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385"/>
        <w:spacing w:after="0"/>
        <w:rPr>
          <w:sz w:val="20"/>
          <w:szCs w:val="20"/>
          <w:color w:val="auto"/>
        </w:rPr>
      </w:pPr>
      <w:r>
        <w:rPr>
          <w:rFonts w:ascii="Times New Roman" w:cs="Times New Roman" w:eastAsia="Times New Roman" w:hAnsi="Times New Roman"/>
          <w:sz w:val="13"/>
          <w:szCs w:val="13"/>
          <w:color w:val="auto"/>
        </w:rPr>
        <w:t>As filed with the Securities and Exchange Commission on April 21, 2025</w:t>
      </w:r>
    </w:p>
    <w:p>
      <w:pPr>
        <w:spacing w:after="0" w:line="79" w:lineRule="exact"/>
        <w:rPr>
          <w:sz w:val="24"/>
          <w:szCs w:val="24"/>
          <w:color w:val="auto"/>
        </w:rPr>
      </w:pPr>
    </w:p>
    <w:p>
      <w:pPr>
        <w:ind w:left="4285"/>
        <w:spacing w:after="0"/>
        <w:rPr>
          <w:sz w:val="20"/>
          <w:szCs w:val="20"/>
          <w:color w:val="auto"/>
        </w:rPr>
      </w:pPr>
      <w:r>
        <w:rPr>
          <w:rFonts w:ascii="Times New Roman" w:cs="Times New Roman" w:eastAsia="Times New Roman" w:hAnsi="Times New Roman"/>
          <w:sz w:val="13"/>
          <w:szCs w:val="13"/>
          <w:color w:val="auto"/>
        </w:rPr>
        <w:t>Registration Statement File No. 333-279315</w:t>
      </w:r>
    </w:p>
    <w:p>
      <w:pPr>
        <w:spacing w:after="0" w:line="116" w:lineRule="exact"/>
        <w:rPr>
          <w:sz w:val="24"/>
          <w:szCs w:val="24"/>
          <w:color w:val="auto"/>
        </w:rPr>
      </w:pPr>
    </w:p>
    <w:p>
      <w:pPr>
        <w:jc w:val="center"/>
        <w:ind w:right="3114"/>
        <w:spacing w:after="0"/>
        <w:rPr>
          <w:sz w:val="20"/>
          <w:szCs w:val="20"/>
          <w:color w:val="auto"/>
        </w:rPr>
      </w:pPr>
      <w:r>
        <w:rPr>
          <w:rFonts w:ascii="Times New Roman" w:cs="Times New Roman" w:eastAsia="Times New Roman" w:hAnsi="Times New Roman"/>
          <w:sz w:val="13"/>
          <w:szCs w:val="13"/>
          <w:b w:val="1"/>
          <w:bCs w:val="1"/>
          <w:color w:val="auto"/>
        </w:rPr>
        <w:t>UNITED STATES</w:t>
      </w:r>
    </w:p>
    <w:p>
      <w:pPr>
        <w:spacing w:after="0" w:line="24" w:lineRule="exact"/>
        <w:rPr>
          <w:sz w:val="24"/>
          <w:szCs w:val="24"/>
          <w:color w:val="auto"/>
        </w:rPr>
      </w:pPr>
    </w:p>
    <w:p>
      <w:pPr>
        <w:jc w:val="center"/>
        <w:ind w:right="3114"/>
        <w:spacing w:after="0"/>
        <w:rPr>
          <w:sz w:val="20"/>
          <w:szCs w:val="20"/>
          <w:color w:val="auto"/>
        </w:rPr>
      </w:pPr>
      <w:r>
        <w:rPr>
          <w:rFonts w:ascii="Times New Roman" w:cs="Times New Roman" w:eastAsia="Times New Roman" w:hAnsi="Times New Roman"/>
          <w:sz w:val="13"/>
          <w:szCs w:val="13"/>
          <w:b w:val="1"/>
          <w:bCs w:val="1"/>
          <w:color w:val="auto"/>
        </w:rPr>
        <w:t>SECURITIES AND EXCHANGE COMMISSION</w:t>
      </w:r>
    </w:p>
    <w:tbl>
      <w:tblPr>
        <w:tblLayout w:type="fixed"/>
        <w:tblInd w:w="5" w:type="dxa"/>
        <w:tblCellMar>
          <w:top w:w="0" w:type="dxa"/>
          <w:left w:w="0" w:type="dxa"/>
          <w:bottom w:w="0" w:type="dxa"/>
          <w:right w:w="0" w:type="dxa"/>
        </w:tblCellMar>
      </w:tblPr>
      <w:tr>
        <w:trPr>
          <w:trHeight w:val="174"/>
        </w:trPr>
        <w:tc>
          <w:tcPr>
            <w:tcW w:w="380" w:type="dxa"/>
            <w:vAlign w:val="bottom"/>
          </w:tcPr>
          <w:p>
            <w:pPr>
              <w:spacing w:after="0"/>
              <w:rPr>
                <w:sz w:val="15"/>
                <w:szCs w:val="15"/>
                <w:color w:val="auto"/>
              </w:rPr>
            </w:pPr>
          </w:p>
        </w:tc>
        <w:tc>
          <w:tcPr>
            <w:tcW w:w="5600" w:type="dxa"/>
            <w:vAlign w:val="bottom"/>
          </w:tcPr>
          <w:p>
            <w:pPr>
              <w:jc w:val="center"/>
              <w:ind w:left="213"/>
              <w:spacing w:after="0"/>
              <w:rPr>
                <w:sz w:val="20"/>
                <w:szCs w:val="20"/>
                <w:color w:val="auto"/>
              </w:rPr>
            </w:pPr>
            <w:r>
              <w:rPr>
                <w:rFonts w:ascii="Times New Roman" w:cs="Times New Roman" w:eastAsia="Times New Roman" w:hAnsi="Times New Roman"/>
                <w:sz w:val="13"/>
                <w:szCs w:val="13"/>
                <w:b w:val="1"/>
                <w:bCs w:val="1"/>
                <w:color w:val="auto"/>
              </w:rPr>
              <w:t>Washington, D.C. 20549</w:t>
            </w:r>
          </w:p>
        </w:tc>
        <w:tc>
          <w:tcPr>
            <w:tcW w:w="680" w:type="dxa"/>
            <w:vAlign w:val="bottom"/>
          </w:tcPr>
          <w:p>
            <w:pPr>
              <w:spacing w:after="0"/>
              <w:rPr>
                <w:sz w:val="15"/>
                <w:szCs w:val="15"/>
                <w:color w:val="auto"/>
              </w:rPr>
            </w:pPr>
          </w:p>
        </w:tc>
      </w:tr>
      <w:tr>
        <w:trPr>
          <w:trHeight w:val="232"/>
        </w:trPr>
        <w:tc>
          <w:tcPr>
            <w:tcW w:w="380" w:type="dxa"/>
            <w:vAlign w:val="bottom"/>
          </w:tcPr>
          <w:p>
            <w:pPr>
              <w:spacing w:after="0"/>
              <w:rPr>
                <w:sz w:val="20"/>
                <w:szCs w:val="20"/>
                <w:color w:val="auto"/>
              </w:rPr>
            </w:pPr>
          </w:p>
        </w:tc>
        <w:tc>
          <w:tcPr>
            <w:tcW w:w="5600" w:type="dxa"/>
            <w:vAlign w:val="bottom"/>
          </w:tcPr>
          <w:p>
            <w:pPr>
              <w:jc w:val="center"/>
              <w:ind w:left="213"/>
              <w:spacing w:after="0"/>
              <w:rPr>
                <w:sz w:val="20"/>
                <w:szCs w:val="20"/>
                <w:color w:val="auto"/>
              </w:rPr>
            </w:pPr>
            <w:r>
              <w:rPr>
                <w:rFonts w:ascii="Times New Roman" w:cs="Times New Roman" w:eastAsia="Times New Roman" w:hAnsi="Times New Roman"/>
                <w:sz w:val="13"/>
                <w:szCs w:val="13"/>
                <w:b w:val="1"/>
                <w:bCs w:val="1"/>
                <w:color w:val="auto"/>
              </w:rPr>
              <w:t>FORM N-4</w:t>
            </w:r>
          </w:p>
        </w:tc>
        <w:tc>
          <w:tcPr>
            <w:tcW w:w="680" w:type="dxa"/>
            <w:vAlign w:val="bottom"/>
          </w:tcPr>
          <w:p>
            <w:pPr>
              <w:spacing w:after="0"/>
              <w:rPr>
                <w:sz w:val="20"/>
                <w:szCs w:val="20"/>
                <w:color w:val="auto"/>
              </w:rPr>
            </w:pPr>
          </w:p>
        </w:tc>
      </w:tr>
      <w:tr>
        <w:trPr>
          <w:trHeight w:val="198"/>
        </w:trPr>
        <w:tc>
          <w:tcPr>
            <w:tcW w:w="380" w:type="dxa"/>
            <w:vAlign w:val="bottom"/>
          </w:tcPr>
          <w:p>
            <w:pPr>
              <w:spacing w:after="0"/>
              <w:rPr>
                <w:sz w:val="17"/>
                <w:szCs w:val="17"/>
                <w:color w:val="auto"/>
              </w:rPr>
            </w:pPr>
          </w:p>
        </w:tc>
        <w:tc>
          <w:tcPr>
            <w:tcW w:w="5600" w:type="dxa"/>
            <w:vAlign w:val="bottom"/>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rPr>
              <w:t>REGISTRATION STATEMENT UNDER THE SECURITIES ACT OF 1933</w:t>
            </w:r>
          </w:p>
        </w:tc>
        <w:tc>
          <w:tcPr>
            <w:tcW w:w="680" w:type="dxa"/>
            <w:vAlign w:val="bottom"/>
          </w:tcPr>
          <w:p>
            <w:pPr>
              <w:spacing w:after="0"/>
              <w:rPr>
                <w:sz w:val="17"/>
                <w:szCs w:val="17"/>
                <w:color w:val="auto"/>
              </w:rPr>
            </w:pPr>
          </w:p>
        </w:tc>
      </w:tr>
      <w:tr>
        <w:trPr>
          <w:trHeight w:val="39"/>
        </w:trPr>
        <w:tc>
          <w:tcPr>
            <w:tcW w:w="380" w:type="dxa"/>
            <w:vAlign w:val="bottom"/>
          </w:tcPr>
          <w:p>
            <w:pPr>
              <w:spacing w:after="0"/>
              <w:rPr>
                <w:sz w:val="3"/>
                <w:szCs w:val="3"/>
                <w:color w:val="auto"/>
              </w:rPr>
            </w:pPr>
          </w:p>
        </w:tc>
        <w:tc>
          <w:tcPr>
            <w:tcW w:w="560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38"/>
        </w:trPr>
        <w:tc>
          <w:tcPr>
            <w:tcW w:w="380" w:type="dxa"/>
            <w:vAlign w:val="bottom"/>
            <w:shd w:val="clear" w:color="auto" w:fill="F0FFFF"/>
          </w:tcPr>
          <w:p>
            <w:pPr>
              <w:spacing w:after="0"/>
              <w:rPr>
                <w:sz w:val="20"/>
                <w:szCs w:val="20"/>
                <w:color w:val="auto"/>
              </w:rPr>
            </w:pPr>
          </w:p>
        </w:tc>
        <w:tc>
          <w:tcPr>
            <w:tcW w:w="5600" w:type="dxa"/>
            <w:vAlign w:val="bottom"/>
            <w:shd w:val="clear" w:color="auto" w:fill="F0FFFF"/>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rPr>
              <w:t>Pre-Effective Amendment No.</w:t>
            </w:r>
          </w:p>
        </w:tc>
        <w:tc>
          <w:tcPr>
            <w:tcW w:w="680" w:type="dxa"/>
            <w:vAlign w:val="bottom"/>
            <w:shd w:val="clear" w:color="auto" w:fill="F0FFFF"/>
          </w:tcPr>
          <w:p>
            <w:pPr>
              <w:ind w:left="5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3"/>
        </w:trPr>
        <w:tc>
          <w:tcPr>
            <w:tcW w:w="380" w:type="dxa"/>
            <w:vAlign w:val="bottom"/>
          </w:tcPr>
          <w:p>
            <w:pPr>
              <w:spacing w:after="0"/>
              <w:rPr>
                <w:sz w:val="19"/>
                <w:szCs w:val="19"/>
                <w:color w:val="auto"/>
              </w:rPr>
            </w:pPr>
          </w:p>
        </w:tc>
        <w:tc>
          <w:tcPr>
            <w:tcW w:w="5600" w:type="dxa"/>
            <w:vAlign w:val="bottom"/>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rPr>
              <w:t>Post-Effective Amendment No. 1</w:t>
            </w:r>
          </w:p>
        </w:tc>
        <w:tc>
          <w:tcPr>
            <w:tcW w:w="680" w:type="dxa"/>
            <w:vAlign w:val="bottom"/>
          </w:tcPr>
          <w:p>
            <w:pPr>
              <w:ind w:left="5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94"/>
        </w:trPr>
        <w:tc>
          <w:tcPr>
            <w:tcW w:w="380" w:type="dxa"/>
            <w:vAlign w:val="bottom"/>
          </w:tcPr>
          <w:p>
            <w:pPr>
              <w:spacing w:after="0"/>
              <w:rPr>
                <w:sz w:val="16"/>
                <w:szCs w:val="16"/>
                <w:color w:val="auto"/>
              </w:rPr>
            </w:pPr>
          </w:p>
        </w:tc>
        <w:tc>
          <w:tcPr>
            <w:tcW w:w="5600" w:type="dxa"/>
            <w:vAlign w:val="bottom"/>
          </w:tcPr>
          <w:p>
            <w:pPr>
              <w:jc w:val="center"/>
              <w:ind w:left="233"/>
              <w:spacing w:after="0"/>
              <w:rPr>
                <w:sz w:val="20"/>
                <w:szCs w:val="20"/>
                <w:color w:val="auto"/>
              </w:rPr>
            </w:pPr>
            <w:r>
              <w:rPr>
                <w:rFonts w:ascii="Times New Roman" w:cs="Times New Roman" w:eastAsia="Times New Roman" w:hAnsi="Times New Roman"/>
                <w:sz w:val="13"/>
                <w:szCs w:val="13"/>
                <w:color w:val="auto"/>
              </w:rPr>
              <w:t>(Check Appropriate Box or Boxes)</w:t>
            </w:r>
          </w:p>
        </w:tc>
        <w:tc>
          <w:tcPr>
            <w:tcW w:w="680" w:type="dxa"/>
            <w:vAlign w:val="bottom"/>
          </w:tcPr>
          <w:p>
            <w:pPr>
              <w:spacing w:after="0"/>
              <w:rPr>
                <w:sz w:val="16"/>
                <w:szCs w:val="16"/>
                <w:color w:val="auto"/>
              </w:rPr>
            </w:pPr>
          </w:p>
        </w:tc>
      </w:tr>
      <w:tr>
        <w:trPr>
          <w:trHeight w:val="275"/>
        </w:trPr>
        <w:tc>
          <w:tcPr>
            <w:tcW w:w="380" w:type="dxa"/>
            <w:vAlign w:val="bottom"/>
          </w:tcPr>
          <w:p>
            <w:pPr>
              <w:spacing w:after="0"/>
              <w:rPr>
                <w:sz w:val="23"/>
                <w:szCs w:val="23"/>
                <w:color w:val="auto"/>
              </w:rPr>
            </w:pPr>
          </w:p>
        </w:tc>
        <w:tc>
          <w:tcPr>
            <w:tcW w:w="5600" w:type="dxa"/>
            <w:vAlign w:val="bottom"/>
          </w:tcPr>
          <w:p>
            <w:pPr>
              <w:jc w:val="center"/>
              <w:ind w:left="233"/>
              <w:spacing w:after="0"/>
              <w:rPr>
                <w:sz w:val="20"/>
                <w:szCs w:val="20"/>
                <w:color w:val="auto"/>
              </w:rPr>
            </w:pPr>
            <w:r>
              <w:rPr>
                <w:rFonts w:ascii="Times New Roman" w:cs="Times New Roman" w:eastAsia="Times New Roman" w:hAnsi="Times New Roman"/>
                <w:sz w:val="19"/>
                <w:szCs w:val="19"/>
                <w:color w:val="auto"/>
                <w:w w:val="97"/>
              </w:rPr>
              <w:t>Brighthouse Life Insurance Company of NY</w:t>
            </w:r>
          </w:p>
        </w:tc>
        <w:tc>
          <w:tcPr>
            <w:tcW w:w="680" w:type="dxa"/>
            <w:vAlign w:val="bottom"/>
          </w:tcPr>
          <w:p>
            <w:pPr>
              <w:spacing w:after="0"/>
              <w:rPr>
                <w:sz w:val="23"/>
                <w:szCs w:val="23"/>
                <w:color w:val="auto"/>
              </w:rPr>
            </w:pPr>
          </w:p>
        </w:tc>
      </w:tr>
      <w:tr>
        <w:trPr>
          <w:trHeight w:val="172"/>
        </w:trPr>
        <w:tc>
          <w:tcPr>
            <w:tcW w:w="380" w:type="dxa"/>
            <w:vAlign w:val="bottom"/>
          </w:tcPr>
          <w:p>
            <w:pPr>
              <w:spacing w:after="0"/>
              <w:rPr>
                <w:sz w:val="14"/>
                <w:szCs w:val="14"/>
                <w:color w:val="auto"/>
              </w:rPr>
            </w:pPr>
          </w:p>
        </w:tc>
        <w:tc>
          <w:tcPr>
            <w:tcW w:w="5600" w:type="dxa"/>
            <w:vAlign w:val="bottom"/>
          </w:tcPr>
          <w:p>
            <w:pPr>
              <w:jc w:val="center"/>
              <w:ind w:left="213"/>
              <w:spacing w:after="0"/>
              <w:rPr>
                <w:sz w:val="20"/>
                <w:szCs w:val="20"/>
                <w:color w:val="auto"/>
              </w:rPr>
            </w:pPr>
            <w:r>
              <w:rPr>
                <w:rFonts w:ascii="Times New Roman" w:cs="Times New Roman" w:eastAsia="Times New Roman" w:hAnsi="Times New Roman"/>
                <w:sz w:val="13"/>
                <w:szCs w:val="13"/>
                <w:color w:val="auto"/>
              </w:rPr>
              <w:t>(Name of Insurance Company)</w:t>
            </w:r>
          </w:p>
        </w:tc>
        <w:tc>
          <w:tcPr>
            <w:tcW w:w="680" w:type="dxa"/>
            <w:vAlign w:val="bottom"/>
          </w:tcPr>
          <w:p>
            <w:pPr>
              <w:spacing w:after="0"/>
              <w:rPr>
                <w:sz w:val="14"/>
                <w:szCs w:val="14"/>
                <w:color w:val="auto"/>
              </w:rPr>
            </w:pPr>
          </w:p>
        </w:tc>
      </w:tr>
      <w:tr>
        <w:trPr>
          <w:trHeight w:val="233"/>
        </w:trPr>
        <w:tc>
          <w:tcPr>
            <w:tcW w:w="380" w:type="dxa"/>
            <w:vAlign w:val="bottom"/>
          </w:tcPr>
          <w:p>
            <w:pPr>
              <w:spacing w:after="0"/>
              <w:rPr>
                <w:sz w:val="20"/>
                <w:szCs w:val="20"/>
                <w:color w:val="auto"/>
              </w:rPr>
            </w:pPr>
          </w:p>
        </w:tc>
        <w:tc>
          <w:tcPr>
            <w:tcW w:w="5600" w:type="dxa"/>
            <w:vAlign w:val="bottom"/>
          </w:tcPr>
          <w:p>
            <w:pPr>
              <w:jc w:val="center"/>
              <w:ind w:left="193"/>
              <w:spacing w:after="0"/>
              <w:rPr>
                <w:sz w:val="20"/>
                <w:szCs w:val="20"/>
                <w:color w:val="auto"/>
              </w:rPr>
            </w:pPr>
            <w:r>
              <w:rPr>
                <w:rFonts w:ascii="Times New Roman" w:cs="Times New Roman" w:eastAsia="Times New Roman" w:hAnsi="Times New Roman"/>
                <w:sz w:val="13"/>
                <w:szCs w:val="13"/>
                <w:b w:val="1"/>
                <w:bCs w:val="1"/>
                <w:color w:val="auto"/>
              </w:rPr>
              <w:t>285 Madison Avenue</w:t>
            </w:r>
          </w:p>
        </w:tc>
        <w:tc>
          <w:tcPr>
            <w:tcW w:w="680" w:type="dxa"/>
            <w:vAlign w:val="bottom"/>
          </w:tcPr>
          <w:p>
            <w:pPr>
              <w:spacing w:after="0"/>
              <w:rPr>
                <w:sz w:val="20"/>
                <w:szCs w:val="20"/>
                <w:color w:val="auto"/>
              </w:rPr>
            </w:pPr>
          </w:p>
        </w:tc>
      </w:tr>
      <w:tr>
        <w:trPr>
          <w:trHeight w:val="151"/>
        </w:trPr>
        <w:tc>
          <w:tcPr>
            <w:tcW w:w="380" w:type="dxa"/>
            <w:vAlign w:val="bottom"/>
          </w:tcPr>
          <w:p>
            <w:pPr>
              <w:spacing w:after="0"/>
              <w:rPr>
                <w:sz w:val="13"/>
                <w:szCs w:val="13"/>
                <w:color w:val="auto"/>
              </w:rPr>
            </w:pPr>
          </w:p>
        </w:tc>
        <w:tc>
          <w:tcPr>
            <w:tcW w:w="5600" w:type="dxa"/>
            <w:vAlign w:val="bottom"/>
          </w:tcPr>
          <w:p>
            <w:pPr>
              <w:jc w:val="center"/>
              <w:ind w:left="193"/>
              <w:spacing w:after="0"/>
              <w:rPr>
                <w:sz w:val="20"/>
                <w:szCs w:val="20"/>
                <w:color w:val="auto"/>
              </w:rPr>
            </w:pPr>
            <w:r>
              <w:rPr>
                <w:rFonts w:ascii="Times New Roman" w:cs="Times New Roman" w:eastAsia="Times New Roman" w:hAnsi="Times New Roman"/>
                <w:sz w:val="13"/>
                <w:szCs w:val="13"/>
                <w:b w:val="1"/>
                <w:bCs w:val="1"/>
                <w:color w:val="auto"/>
              </w:rPr>
              <w:t>New York, NY 10017</w:t>
            </w:r>
          </w:p>
        </w:tc>
        <w:tc>
          <w:tcPr>
            <w:tcW w:w="680" w:type="dxa"/>
            <w:vAlign w:val="bottom"/>
          </w:tcPr>
          <w:p>
            <w:pPr>
              <w:spacing w:after="0"/>
              <w:rPr>
                <w:sz w:val="13"/>
                <w:szCs w:val="13"/>
                <w:color w:val="auto"/>
              </w:rPr>
            </w:pPr>
          </w:p>
        </w:tc>
      </w:tr>
      <w:tr>
        <w:trPr>
          <w:trHeight w:val="172"/>
        </w:trPr>
        <w:tc>
          <w:tcPr>
            <w:tcW w:w="380" w:type="dxa"/>
            <w:vAlign w:val="bottom"/>
          </w:tcPr>
          <w:p>
            <w:pPr>
              <w:spacing w:after="0"/>
              <w:rPr>
                <w:sz w:val="14"/>
                <w:szCs w:val="14"/>
                <w:color w:val="auto"/>
              </w:rPr>
            </w:pPr>
          </w:p>
        </w:tc>
        <w:tc>
          <w:tcPr>
            <w:tcW w:w="5600" w:type="dxa"/>
            <w:vAlign w:val="bottom"/>
          </w:tcPr>
          <w:p>
            <w:pPr>
              <w:jc w:val="center"/>
              <w:ind w:left="233"/>
              <w:spacing w:after="0"/>
              <w:rPr>
                <w:sz w:val="20"/>
                <w:szCs w:val="20"/>
                <w:color w:val="auto"/>
              </w:rPr>
            </w:pPr>
            <w:r>
              <w:rPr>
                <w:rFonts w:ascii="Times New Roman" w:cs="Times New Roman" w:eastAsia="Times New Roman" w:hAnsi="Times New Roman"/>
                <w:sz w:val="13"/>
                <w:szCs w:val="13"/>
                <w:color w:val="auto"/>
              </w:rPr>
              <w:t>(Address of Insurance Company's Principal Executive Offices) (Zip Code)</w:t>
            </w:r>
          </w:p>
        </w:tc>
        <w:tc>
          <w:tcPr>
            <w:tcW w:w="680" w:type="dxa"/>
            <w:vAlign w:val="bottom"/>
          </w:tcPr>
          <w:p>
            <w:pPr>
              <w:spacing w:after="0"/>
              <w:rPr>
                <w:sz w:val="14"/>
                <w:szCs w:val="14"/>
                <w:color w:val="auto"/>
              </w:rPr>
            </w:pPr>
          </w:p>
        </w:tc>
      </w:tr>
      <w:tr>
        <w:trPr>
          <w:trHeight w:val="245"/>
        </w:trPr>
        <w:tc>
          <w:tcPr>
            <w:tcW w:w="380" w:type="dxa"/>
            <w:vAlign w:val="bottom"/>
          </w:tcPr>
          <w:p>
            <w:pPr>
              <w:spacing w:after="0"/>
              <w:rPr>
                <w:sz w:val="21"/>
                <w:szCs w:val="21"/>
                <w:color w:val="auto"/>
              </w:rPr>
            </w:pPr>
          </w:p>
        </w:tc>
        <w:tc>
          <w:tcPr>
            <w:tcW w:w="5600" w:type="dxa"/>
            <w:vAlign w:val="bottom"/>
          </w:tcPr>
          <w:p>
            <w:pPr>
              <w:jc w:val="center"/>
              <w:ind w:left="193"/>
              <w:spacing w:after="0"/>
              <w:rPr>
                <w:sz w:val="20"/>
                <w:szCs w:val="20"/>
                <w:color w:val="auto"/>
              </w:rPr>
            </w:pPr>
            <w:r>
              <w:rPr>
                <w:rFonts w:ascii="Times New Roman" w:cs="Times New Roman" w:eastAsia="Times New Roman" w:hAnsi="Times New Roman"/>
                <w:sz w:val="13"/>
                <w:szCs w:val="13"/>
                <w:b w:val="1"/>
                <w:bCs w:val="1"/>
                <w:color w:val="auto"/>
              </w:rPr>
              <w:t>(980) 365-7100</w:t>
            </w:r>
          </w:p>
        </w:tc>
        <w:tc>
          <w:tcPr>
            <w:tcW w:w="680" w:type="dxa"/>
            <w:vAlign w:val="bottom"/>
          </w:tcPr>
          <w:p>
            <w:pPr>
              <w:spacing w:after="0"/>
              <w:rPr>
                <w:sz w:val="21"/>
                <w:szCs w:val="21"/>
                <w:color w:val="auto"/>
              </w:rPr>
            </w:pPr>
          </w:p>
        </w:tc>
      </w:tr>
      <w:tr>
        <w:trPr>
          <w:trHeight w:val="172"/>
        </w:trPr>
        <w:tc>
          <w:tcPr>
            <w:tcW w:w="380" w:type="dxa"/>
            <w:vAlign w:val="bottom"/>
          </w:tcPr>
          <w:p>
            <w:pPr>
              <w:spacing w:after="0"/>
              <w:rPr>
                <w:sz w:val="14"/>
                <w:szCs w:val="14"/>
                <w:color w:val="auto"/>
              </w:rPr>
            </w:pPr>
          </w:p>
        </w:tc>
        <w:tc>
          <w:tcPr>
            <w:tcW w:w="5600" w:type="dxa"/>
            <w:vAlign w:val="bottom"/>
          </w:tcPr>
          <w:p>
            <w:pPr>
              <w:jc w:val="center"/>
              <w:ind w:left="193"/>
              <w:spacing w:after="0"/>
              <w:rPr>
                <w:sz w:val="20"/>
                <w:szCs w:val="20"/>
                <w:color w:val="auto"/>
              </w:rPr>
            </w:pPr>
            <w:r>
              <w:rPr>
                <w:rFonts w:ascii="Times New Roman" w:cs="Times New Roman" w:eastAsia="Times New Roman" w:hAnsi="Times New Roman"/>
                <w:sz w:val="13"/>
                <w:szCs w:val="13"/>
                <w:color w:val="auto"/>
              </w:rPr>
              <w:t>(Insurance Company's Telephone Number, including Area Code)</w:t>
            </w:r>
          </w:p>
        </w:tc>
        <w:tc>
          <w:tcPr>
            <w:tcW w:w="680" w:type="dxa"/>
            <w:vAlign w:val="bottom"/>
          </w:tcPr>
          <w:p>
            <w:pPr>
              <w:spacing w:after="0"/>
              <w:rPr>
                <w:sz w:val="14"/>
                <w:szCs w:val="14"/>
                <w:color w:val="auto"/>
              </w:rPr>
            </w:pPr>
          </w:p>
        </w:tc>
      </w:tr>
      <w:tr>
        <w:trPr>
          <w:trHeight w:val="292"/>
        </w:trPr>
        <w:tc>
          <w:tcPr>
            <w:tcW w:w="380" w:type="dxa"/>
            <w:vAlign w:val="bottom"/>
          </w:tcPr>
          <w:p>
            <w:pPr>
              <w:spacing w:after="0"/>
              <w:rPr>
                <w:sz w:val="24"/>
                <w:szCs w:val="24"/>
                <w:color w:val="auto"/>
              </w:rPr>
            </w:pPr>
          </w:p>
        </w:tc>
        <w:tc>
          <w:tcPr>
            <w:tcW w:w="5600" w:type="dxa"/>
            <w:vAlign w:val="bottom"/>
          </w:tcPr>
          <w:p>
            <w:pPr>
              <w:jc w:val="center"/>
              <w:ind w:left="193"/>
              <w:spacing w:after="0"/>
              <w:rPr>
                <w:sz w:val="20"/>
                <w:szCs w:val="20"/>
                <w:color w:val="auto"/>
              </w:rPr>
            </w:pPr>
            <w:r>
              <w:rPr>
                <w:rFonts w:ascii="Times New Roman" w:cs="Times New Roman" w:eastAsia="Times New Roman" w:hAnsi="Times New Roman"/>
                <w:sz w:val="13"/>
                <w:szCs w:val="13"/>
                <w:b w:val="1"/>
                <w:bCs w:val="1"/>
                <w:color w:val="auto"/>
              </w:rPr>
              <w:t>Brighthouse Life Insurance Company of NY</w:t>
            </w:r>
          </w:p>
        </w:tc>
        <w:tc>
          <w:tcPr>
            <w:tcW w:w="680" w:type="dxa"/>
            <w:vAlign w:val="bottom"/>
          </w:tcPr>
          <w:p>
            <w:pPr>
              <w:spacing w:after="0"/>
              <w:rPr>
                <w:sz w:val="24"/>
                <w:szCs w:val="24"/>
                <w:color w:val="auto"/>
              </w:rPr>
            </w:pPr>
          </w:p>
        </w:tc>
      </w:tr>
      <w:tr>
        <w:trPr>
          <w:trHeight w:val="159"/>
        </w:trPr>
        <w:tc>
          <w:tcPr>
            <w:tcW w:w="380" w:type="dxa"/>
            <w:vAlign w:val="bottom"/>
          </w:tcPr>
          <w:p>
            <w:pPr>
              <w:spacing w:after="0"/>
              <w:rPr>
                <w:sz w:val="13"/>
                <w:szCs w:val="13"/>
                <w:color w:val="auto"/>
              </w:rPr>
            </w:pPr>
          </w:p>
        </w:tc>
        <w:tc>
          <w:tcPr>
            <w:tcW w:w="5600" w:type="dxa"/>
            <w:vAlign w:val="bottom"/>
          </w:tcPr>
          <w:p>
            <w:pPr>
              <w:jc w:val="center"/>
              <w:ind w:left="173"/>
              <w:spacing w:after="0"/>
              <w:rPr>
                <w:sz w:val="20"/>
                <w:szCs w:val="20"/>
                <w:color w:val="auto"/>
              </w:rPr>
            </w:pPr>
            <w:r>
              <w:rPr>
                <w:rFonts w:ascii="Times New Roman" w:cs="Times New Roman" w:eastAsia="Times New Roman" w:hAnsi="Times New Roman"/>
                <w:sz w:val="13"/>
                <w:szCs w:val="13"/>
                <w:b w:val="1"/>
                <w:bCs w:val="1"/>
                <w:color w:val="auto"/>
              </w:rPr>
              <w:t>c/o C T Corporation Systems</w:t>
            </w:r>
          </w:p>
        </w:tc>
        <w:tc>
          <w:tcPr>
            <w:tcW w:w="680" w:type="dxa"/>
            <w:vAlign w:val="bottom"/>
          </w:tcPr>
          <w:p>
            <w:pPr>
              <w:spacing w:after="0"/>
              <w:rPr>
                <w:sz w:val="13"/>
                <w:szCs w:val="13"/>
                <w:color w:val="auto"/>
              </w:rPr>
            </w:pPr>
          </w:p>
        </w:tc>
      </w:tr>
      <w:tr>
        <w:trPr>
          <w:trHeight w:val="159"/>
        </w:trPr>
        <w:tc>
          <w:tcPr>
            <w:tcW w:w="380" w:type="dxa"/>
            <w:vAlign w:val="bottom"/>
          </w:tcPr>
          <w:p>
            <w:pPr>
              <w:spacing w:after="0"/>
              <w:rPr>
                <w:sz w:val="13"/>
                <w:szCs w:val="13"/>
                <w:color w:val="auto"/>
              </w:rPr>
            </w:pPr>
          </w:p>
        </w:tc>
        <w:tc>
          <w:tcPr>
            <w:tcW w:w="5600" w:type="dxa"/>
            <w:vAlign w:val="bottom"/>
          </w:tcPr>
          <w:p>
            <w:pPr>
              <w:jc w:val="center"/>
              <w:ind w:left="173"/>
              <w:spacing w:after="0"/>
              <w:rPr>
                <w:sz w:val="20"/>
                <w:szCs w:val="20"/>
                <w:color w:val="auto"/>
              </w:rPr>
            </w:pPr>
            <w:r>
              <w:rPr>
                <w:rFonts w:ascii="Times New Roman" w:cs="Times New Roman" w:eastAsia="Times New Roman" w:hAnsi="Times New Roman"/>
                <w:sz w:val="13"/>
                <w:szCs w:val="13"/>
                <w:b w:val="1"/>
                <w:bCs w:val="1"/>
                <w:color w:val="auto"/>
              </w:rPr>
              <w:t>28 Liberty Street</w:t>
            </w:r>
          </w:p>
        </w:tc>
        <w:tc>
          <w:tcPr>
            <w:tcW w:w="680" w:type="dxa"/>
            <w:vAlign w:val="bottom"/>
          </w:tcPr>
          <w:p>
            <w:pPr>
              <w:spacing w:after="0"/>
              <w:rPr>
                <w:sz w:val="13"/>
                <w:szCs w:val="13"/>
                <w:color w:val="auto"/>
              </w:rPr>
            </w:pPr>
          </w:p>
        </w:tc>
      </w:tr>
      <w:tr>
        <w:trPr>
          <w:trHeight w:val="159"/>
        </w:trPr>
        <w:tc>
          <w:tcPr>
            <w:tcW w:w="380" w:type="dxa"/>
            <w:vAlign w:val="bottom"/>
          </w:tcPr>
          <w:p>
            <w:pPr>
              <w:spacing w:after="0"/>
              <w:rPr>
                <w:sz w:val="13"/>
                <w:szCs w:val="13"/>
                <w:color w:val="auto"/>
              </w:rPr>
            </w:pPr>
          </w:p>
        </w:tc>
        <w:tc>
          <w:tcPr>
            <w:tcW w:w="5600" w:type="dxa"/>
            <w:vAlign w:val="bottom"/>
          </w:tcPr>
          <w:p>
            <w:pPr>
              <w:jc w:val="center"/>
              <w:ind w:left="193"/>
              <w:spacing w:after="0"/>
              <w:rPr>
                <w:sz w:val="20"/>
                <w:szCs w:val="20"/>
                <w:color w:val="auto"/>
              </w:rPr>
            </w:pPr>
            <w:r>
              <w:rPr>
                <w:rFonts w:ascii="Times New Roman" w:cs="Times New Roman" w:eastAsia="Times New Roman" w:hAnsi="Times New Roman"/>
                <w:sz w:val="13"/>
                <w:szCs w:val="13"/>
                <w:b w:val="1"/>
                <w:bCs w:val="1"/>
                <w:color w:val="auto"/>
              </w:rPr>
              <w:t>New York, NY 10005</w:t>
            </w:r>
          </w:p>
        </w:tc>
        <w:tc>
          <w:tcPr>
            <w:tcW w:w="680" w:type="dxa"/>
            <w:vAlign w:val="bottom"/>
          </w:tcPr>
          <w:p>
            <w:pPr>
              <w:spacing w:after="0"/>
              <w:rPr>
                <w:sz w:val="13"/>
                <w:szCs w:val="13"/>
                <w:color w:val="auto"/>
              </w:rPr>
            </w:pPr>
          </w:p>
        </w:tc>
      </w:tr>
      <w:tr>
        <w:trPr>
          <w:trHeight w:val="151"/>
        </w:trPr>
        <w:tc>
          <w:tcPr>
            <w:tcW w:w="380" w:type="dxa"/>
            <w:vAlign w:val="bottom"/>
          </w:tcPr>
          <w:p>
            <w:pPr>
              <w:spacing w:after="0"/>
              <w:rPr>
                <w:sz w:val="13"/>
                <w:szCs w:val="13"/>
                <w:color w:val="auto"/>
              </w:rPr>
            </w:pPr>
          </w:p>
        </w:tc>
        <w:tc>
          <w:tcPr>
            <w:tcW w:w="5600" w:type="dxa"/>
            <w:vAlign w:val="bottom"/>
          </w:tcPr>
          <w:p>
            <w:pPr>
              <w:jc w:val="center"/>
              <w:ind w:left="193"/>
              <w:spacing w:after="0"/>
              <w:rPr>
                <w:sz w:val="20"/>
                <w:szCs w:val="20"/>
                <w:color w:val="auto"/>
              </w:rPr>
            </w:pPr>
            <w:r>
              <w:rPr>
                <w:rFonts w:ascii="Times New Roman" w:cs="Times New Roman" w:eastAsia="Times New Roman" w:hAnsi="Times New Roman"/>
                <w:sz w:val="13"/>
                <w:szCs w:val="13"/>
                <w:b w:val="1"/>
                <w:bCs w:val="1"/>
                <w:color w:val="auto"/>
              </w:rPr>
              <w:t>(800) 448-5350</w:t>
            </w:r>
          </w:p>
        </w:tc>
        <w:tc>
          <w:tcPr>
            <w:tcW w:w="680" w:type="dxa"/>
            <w:vAlign w:val="bottom"/>
          </w:tcPr>
          <w:p>
            <w:pPr>
              <w:spacing w:after="0"/>
              <w:rPr>
                <w:sz w:val="13"/>
                <w:szCs w:val="13"/>
                <w:color w:val="auto"/>
              </w:rPr>
            </w:pPr>
          </w:p>
        </w:tc>
      </w:tr>
      <w:tr>
        <w:trPr>
          <w:trHeight w:val="172"/>
        </w:trPr>
        <w:tc>
          <w:tcPr>
            <w:tcW w:w="380" w:type="dxa"/>
            <w:vAlign w:val="bottom"/>
          </w:tcPr>
          <w:p>
            <w:pPr>
              <w:spacing w:after="0"/>
              <w:rPr>
                <w:sz w:val="14"/>
                <w:szCs w:val="14"/>
                <w:color w:val="auto"/>
              </w:rPr>
            </w:pPr>
          </w:p>
        </w:tc>
        <w:tc>
          <w:tcPr>
            <w:tcW w:w="5600" w:type="dxa"/>
            <w:vAlign w:val="bottom"/>
          </w:tcPr>
          <w:p>
            <w:pPr>
              <w:jc w:val="center"/>
              <w:ind w:left="233"/>
              <w:spacing w:after="0"/>
              <w:rPr>
                <w:sz w:val="20"/>
                <w:szCs w:val="20"/>
                <w:color w:val="auto"/>
              </w:rPr>
            </w:pPr>
            <w:r>
              <w:rPr>
                <w:rFonts w:ascii="Times New Roman" w:cs="Times New Roman" w:eastAsia="Times New Roman" w:hAnsi="Times New Roman"/>
                <w:sz w:val="13"/>
                <w:szCs w:val="13"/>
                <w:color w:val="auto"/>
              </w:rPr>
              <w:t>(Name and Address of Agent for Service)</w:t>
            </w:r>
          </w:p>
        </w:tc>
        <w:tc>
          <w:tcPr>
            <w:tcW w:w="680" w:type="dxa"/>
            <w:vAlign w:val="bottom"/>
          </w:tcPr>
          <w:p>
            <w:pPr>
              <w:spacing w:after="0"/>
              <w:rPr>
                <w:sz w:val="14"/>
                <w:szCs w:val="14"/>
                <w:color w:val="auto"/>
              </w:rPr>
            </w:pPr>
          </w:p>
        </w:tc>
      </w:tr>
      <w:tr>
        <w:trPr>
          <w:trHeight w:val="248"/>
        </w:trPr>
        <w:tc>
          <w:tcPr>
            <w:tcW w:w="380" w:type="dxa"/>
            <w:vAlign w:val="bottom"/>
          </w:tcPr>
          <w:p>
            <w:pPr>
              <w:spacing w:after="0"/>
              <w:rPr>
                <w:sz w:val="21"/>
                <w:szCs w:val="21"/>
                <w:color w:val="auto"/>
              </w:rPr>
            </w:pPr>
          </w:p>
        </w:tc>
        <w:tc>
          <w:tcPr>
            <w:tcW w:w="5600" w:type="dxa"/>
            <w:vAlign w:val="bottom"/>
          </w:tcPr>
          <w:p>
            <w:pPr>
              <w:jc w:val="center"/>
              <w:ind w:left="233"/>
              <w:spacing w:after="0"/>
              <w:rPr>
                <w:sz w:val="20"/>
                <w:szCs w:val="20"/>
                <w:color w:val="auto"/>
              </w:rPr>
            </w:pPr>
            <w:r>
              <w:rPr>
                <w:rFonts w:ascii="Times New Roman" w:cs="Times New Roman" w:eastAsia="Times New Roman" w:hAnsi="Times New Roman"/>
                <w:sz w:val="13"/>
                <w:szCs w:val="13"/>
                <w:i w:val="1"/>
                <w:iCs w:val="1"/>
                <w:color w:val="auto"/>
              </w:rPr>
              <w:t>Copies to:</w:t>
            </w:r>
          </w:p>
        </w:tc>
        <w:tc>
          <w:tcPr>
            <w:tcW w:w="680" w:type="dxa"/>
            <w:vAlign w:val="bottom"/>
          </w:tcPr>
          <w:p>
            <w:pPr>
              <w:spacing w:after="0"/>
              <w:rPr>
                <w:sz w:val="21"/>
                <w:szCs w:val="21"/>
                <w:color w:val="auto"/>
              </w:rPr>
            </w:pPr>
          </w:p>
        </w:tc>
      </w:tr>
      <w:tr>
        <w:trPr>
          <w:trHeight w:val="156"/>
        </w:trPr>
        <w:tc>
          <w:tcPr>
            <w:tcW w:w="380" w:type="dxa"/>
            <w:vAlign w:val="bottom"/>
          </w:tcPr>
          <w:p>
            <w:pPr>
              <w:spacing w:after="0"/>
              <w:rPr>
                <w:sz w:val="13"/>
                <w:szCs w:val="13"/>
                <w:color w:val="auto"/>
              </w:rPr>
            </w:pPr>
          </w:p>
        </w:tc>
        <w:tc>
          <w:tcPr>
            <w:tcW w:w="5600" w:type="dxa"/>
            <w:vAlign w:val="bottom"/>
          </w:tcPr>
          <w:p>
            <w:pPr>
              <w:jc w:val="center"/>
              <w:ind w:left="193"/>
              <w:spacing w:after="0"/>
              <w:rPr>
                <w:sz w:val="20"/>
                <w:szCs w:val="20"/>
                <w:color w:val="auto"/>
              </w:rPr>
            </w:pPr>
            <w:r>
              <w:rPr>
                <w:rFonts w:ascii="Times New Roman" w:cs="Times New Roman" w:eastAsia="Times New Roman" w:hAnsi="Times New Roman"/>
                <w:sz w:val="13"/>
                <w:szCs w:val="13"/>
                <w:color w:val="auto"/>
              </w:rPr>
              <w:t>Dodie C. Kent</w:t>
            </w:r>
          </w:p>
        </w:tc>
        <w:tc>
          <w:tcPr>
            <w:tcW w:w="680" w:type="dxa"/>
            <w:vAlign w:val="bottom"/>
          </w:tcPr>
          <w:p>
            <w:pPr>
              <w:spacing w:after="0"/>
              <w:rPr>
                <w:sz w:val="13"/>
                <w:szCs w:val="13"/>
                <w:color w:val="auto"/>
              </w:rPr>
            </w:pPr>
          </w:p>
        </w:tc>
      </w:tr>
      <w:tr>
        <w:trPr>
          <w:trHeight w:val="149"/>
        </w:trPr>
        <w:tc>
          <w:tcPr>
            <w:tcW w:w="380" w:type="dxa"/>
            <w:vAlign w:val="bottom"/>
          </w:tcPr>
          <w:p>
            <w:pPr>
              <w:spacing w:after="0"/>
              <w:rPr>
                <w:sz w:val="12"/>
                <w:szCs w:val="12"/>
                <w:color w:val="auto"/>
              </w:rPr>
            </w:pPr>
          </w:p>
        </w:tc>
        <w:tc>
          <w:tcPr>
            <w:tcW w:w="5600" w:type="dxa"/>
            <w:vAlign w:val="bottom"/>
          </w:tcPr>
          <w:p>
            <w:pPr>
              <w:jc w:val="center"/>
              <w:ind w:left="193"/>
              <w:spacing w:after="0"/>
              <w:rPr>
                <w:sz w:val="20"/>
                <w:szCs w:val="20"/>
                <w:color w:val="auto"/>
              </w:rPr>
            </w:pPr>
            <w:r>
              <w:rPr>
                <w:rFonts w:ascii="Times New Roman" w:cs="Times New Roman" w:eastAsia="Times New Roman" w:hAnsi="Times New Roman"/>
                <w:sz w:val="13"/>
                <w:szCs w:val="13"/>
                <w:color w:val="auto"/>
              </w:rPr>
              <w:t>Eversheds Sutherland (US) LLP</w:t>
            </w:r>
          </w:p>
        </w:tc>
        <w:tc>
          <w:tcPr>
            <w:tcW w:w="680" w:type="dxa"/>
            <w:vAlign w:val="bottom"/>
          </w:tcPr>
          <w:p>
            <w:pPr>
              <w:spacing w:after="0"/>
              <w:rPr>
                <w:sz w:val="12"/>
                <w:szCs w:val="12"/>
                <w:color w:val="auto"/>
              </w:rPr>
            </w:pPr>
          </w:p>
        </w:tc>
      </w:tr>
      <w:tr>
        <w:trPr>
          <w:trHeight w:val="139"/>
        </w:trPr>
        <w:tc>
          <w:tcPr>
            <w:tcW w:w="380" w:type="dxa"/>
            <w:vAlign w:val="bottom"/>
          </w:tcPr>
          <w:p>
            <w:pPr>
              <w:spacing w:after="0"/>
              <w:rPr>
                <w:sz w:val="12"/>
                <w:szCs w:val="12"/>
                <w:color w:val="auto"/>
              </w:rPr>
            </w:pPr>
          </w:p>
        </w:tc>
        <w:tc>
          <w:tcPr>
            <w:tcW w:w="5600" w:type="dxa"/>
            <w:vAlign w:val="bottom"/>
          </w:tcPr>
          <w:p>
            <w:pPr>
              <w:jc w:val="center"/>
              <w:ind w:left="193"/>
              <w:spacing w:after="0" w:line="139" w:lineRule="exact"/>
              <w:rPr>
                <w:sz w:val="20"/>
                <w:szCs w:val="20"/>
                <w:color w:val="auto"/>
              </w:rPr>
            </w:pPr>
            <w:r>
              <w:rPr>
                <w:rFonts w:ascii="Times New Roman" w:cs="Times New Roman" w:eastAsia="Times New Roman" w:hAnsi="Times New Roman"/>
                <w:sz w:val="13"/>
                <w:szCs w:val="13"/>
                <w:color w:val="auto"/>
              </w:rPr>
              <w:t>The Grace Building, 40th Floor</w:t>
            </w:r>
          </w:p>
        </w:tc>
        <w:tc>
          <w:tcPr>
            <w:tcW w:w="680" w:type="dxa"/>
            <w:vAlign w:val="bottom"/>
          </w:tcPr>
          <w:p>
            <w:pPr>
              <w:spacing w:after="0"/>
              <w:rPr>
                <w:sz w:val="12"/>
                <w:szCs w:val="12"/>
                <w:color w:val="auto"/>
              </w:rPr>
            </w:pPr>
          </w:p>
        </w:tc>
      </w:tr>
      <w:tr>
        <w:trPr>
          <w:trHeight w:val="139"/>
        </w:trPr>
        <w:tc>
          <w:tcPr>
            <w:tcW w:w="380" w:type="dxa"/>
            <w:vAlign w:val="bottom"/>
          </w:tcPr>
          <w:p>
            <w:pPr>
              <w:spacing w:after="0"/>
              <w:rPr>
                <w:sz w:val="12"/>
                <w:szCs w:val="12"/>
                <w:color w:val="auto"/>
              </w:rPr>
            </w:pPr>
          </w:p>
        </w:tc>
        <w:tc>
          <w:tcPr>
            <w:tcW w:w="5600" w:type="dxa"/>
            <w:vAlign w:val="bottom"/>
          </w:tcPr>
          <w:p>
            <w:pPr>
              <w:jc w:val="center"/>
              <w:ind w:left="193"/>
              <w:spacing w:after="0" w:line="139" w:lineRule="exact"/>
              <w:rPr>
                <w:sz w:val="20"/>
                <w:szCs w:val="20"/>
                <w:color w:val="auto"/>
              </w:rPr>
            </w:pPr>
            <w:r>
              <w:rPr>
                <w:rFonts w:ascii="Times New Roman" w:cs="Times New Roman" w:eastAsia="Times New Roman" w:hAnsi="Times New Roman"/>
                <w:sz w:val="13"/>
                <w:szCs w:val="13"/>
                <w:color w:val="auto"/>
              </w:rPr>
              <w:t>1114 Avenue of the Americas</w:t>
            </w:r>
          </w:p>
        </w:tc>
        <w:tc>
          <w:tcPr>
            <w:tcW w:w="680" w:type="dxa"/>
            <w:vAlign w:val="bottom"/>
          </w:tcPr>
          <w:p>
            <w:pPr>
              <w:spacing w:after="0"/>
              <w:rPr>
                <w:sz w:val="12"/>
                <w:szCs w:val="12"/>
                <w:color w:val="auto"/>
              </w:rPr>
            </w:pPr>
          </w:p>
        </w:tc>
      </w:tr>
      <w:tr>
        <w:trPr>
          <w:trHeight w:val="172"/>
        </w:trPr>
        <w:tc>
          <w:tcPr>
            <w:tcW w:w="380" w:type="dxa"/>
            <w:vAlign w:val="bottom"/>
          </w:tcPr>
          <w:p>
            <w:pPr>
              <w:spacing w:after="0"/>
              <w:rPr>
                <w:sz w:val="14"/>
                <w:szCs w:val="14"/>
                <w:color w:val="auto"/>
              </w:rPr>
            </w:pPr>
          </w:p>
        </w:tc>
        <w:tc>
          <w:tcPr>
            <w:tcW w:w="5600" w:type="dxa"/>
            <w:vAlign w:val="bottom"/>
          </w:tcPr>
          <w:p>
            <w:pPr>
              <w:jc w:val="center"/>
              <w:ind w:left="193"/>
              <w:spacing w:after="0"/>
              <w:rPr>
                <w:sz w:val="20"/>
                <w:szCs w:val="20"/>
                <w:color w:val="auto"/>
              </w:rPr>
            </w:pPr>
            <w:r>
              <w:rPr>
                <w:rFonts w:ascii="Times New Roman" w:cs="Times New Roman" w:eastAsia="Times New Roman" w:hAnsi="Times New Roman"/>
                <w:sz w:val="13"/>
                <w:szCs w:val="13"/>
                <w:color w:val="auto"/>
              </w:rPr>
              <w:t>New York, NY 10036-7703</w:t>
            </w:r>
          </w:p>
        </w:tc>
        <w:tc>
          <w:tcPr>
            <w:tcW w:w="680" w:type="dxa"/>
            <w:vAlign w:val="bottom"/>
          </w:tcPr>
          <w:p>
            <w:pPr>
              <w:spacing w:after="0"/>
              <w:rPr>
                <w:sz w:val="14"/>
                <w:szCs w:val="14"/>
                <w:color w:val="auto"/>
              </w:rPr>
            </w:pPr>
          </w:p>
        </w:tc>
      </w:tr>
      <w:tr>
        <w:trPr>
          <w:trHeight w:val="198"/>
        </w:trPr>
        <w:tc>
          <w:tcPr>
            <w:tcW w:w="59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Approximate Date of Proposed Public Offering: On April 28, 2025 or as soon thereafter as practicable.</w:t>
            </w:r>
          </w:p>
        </w:tc>
        <w:tc>
          <w:tcPr>
            <w:tcW w:w="680" w:type="dxa"/>
            <w:vAlign w:val="bottom"/>
          </w:tcPr>
          <w:p>
            <w:pPr>
              <w:spacing w:after="0"/>
              <w:rPr>
                <w:sz w:val="17"/>
                <w:szCs w:val="17"/>
                <w:color w:val="auto"/>
              </w:rPr>
            </w:pPr>
          </w:p>
        </w:tc>
      </w:tr>
      <w:tr>
        <w:trPr>
          <w:trHeight w:val="208"/>
        </w:trPr>
        <w:tc>
          <w:tcPr>
            <w:tcW w:w="5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It is proposed that this filing will become effective (check appropriate box):</w:t>
            </w:r>
          </w:p>
        </w:tc>
        <w:tc>
          <w:tcPr>
            <w:tcW w:w="680" w:type="dxa"/>
            <w:vAlign w:val="bottom"/>
          </w:tcPr>
          <w:p>
            <w:pPr>
              <w:spacing w:after="0"/>
              <w:rPr>
                <w:sz w:val="18"/>
                <w:szCs w:val="18"/>
                <w:color w:val="auto"/>
              </w:rPr>
            </w:pPr>
          </w:p>
        </w:tc>
      </w:tr>
      <w:tr>
        <w:trPr>
          <w:trHeight w:val="238"/>
        </w:trPr>
        <w:tc>
          <w:tcPr>
            <w:tcW w:w="38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56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immediately upon filing pursuant to paragraph (b)</w:t>
            </w:r>
          </w:p>
        </w:tc>
        <w:tc>
          <w:tcPr>
            <w:tcW w:w="680" w:type="dxa"/>
            <w:vAlign w:val="bottom"/>
          </w:tcPr>
          <w:p>
            <w:pPr>
              <w:spacing w:after="0"/>
              <w:rPr>
                <w:sz w:val="20"/>
                <w:szCs w:val="20"/>
                <w:color w:val="auto"/>
              </w:rPr>
            </w:pPr>
          </w:p>
        </w:tc>
      </w:tr>
    </w:tbl>
    <w:p>
      <w:pPr>
        <w:spacing w:after="0" w:line="17" w:lineRule="exact"/>
        <w:rPr>
          <w:sz w:val="24"/>
          <w:szCs w:val="24"/>
          <w:color w:val="auto"/>
        </w:rPr>
      </w:pPr>
    </w:p>
    <w:p>
      <w:pPr>
        <w:ind w:left="625" w:hanging="625"/>
        <w:spacing w:after="0"/>
        <w:tabs>
          <w:tab w:leader="none" w:pos="625"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on April 28, 2025 pursuant to paragraph (b)</w:t>
      </w:r>
    </w:p>
    <w:p>
      <w:pPr>
        <w:spacing w:after="0" w:line="59" w:lineRule="exact"/>
        <w:rPr>
          <w:sz w:val="24"/>
          <w:szCs w:val="24"/>
          <w:color w:val="auto"/>
        </w:rPr>
      </w:pPr>
    </w:p>
    <w:p>
      <w:pPr>
        <w:ind w:left="625" w:hanging="625"/>
        <w:spacing w:after="0"/>
        <w:tabs>
          <w:tab w:leader="none" w:pos="625"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60 days after filing pursuant to paragraph (a)(1)</w:t>
      </w:r>
    </w:p>
    <w:p>
      <w:pPr>
        <w:spacing w:after="0" w:line="68" w:lineRule="exact"/>
        <w:rPr>
          <w:rFonts w:ascii="MS PGothic" w:cs="MS PGothic" w:eastAsia="MS PGothic" w:hAnsi="MS PGothic"/>
          <w:sz w:val="13"/>
          <w:szCs w:val="13"/>
          <w:color w:val="auto"/>
        </w:rPr>
      </w:pPr>
    </w:p>
    <w:p>
      <w:pPr>
        <w:ind w:left="625" w:hanging="625"/>
        <w:spacing w:after="0"/>
        <w:tabs>
          <w:tab w:leader="none" w:pos="625"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on (date) pursuant to paragraph (a)(1) of rule 485 under the Securities Act of 1933 (“Securities Act”).</w:t>
      </w:r>
    </w:p>
    <w:p>
      <w:pPr>
        <w:spacing w:after="0" w:line="56" w:lineRule="exact"/>
        <w:rPr>
          <w:rFonts w:ascii="MS PGothic" w:cs="MS PGothic" w:eastAsia="MS PGothic" w:hAnsi="MS PGothic"/>
          <w:sz w:val="13"/>
          <w:szCs w:val="13"/>
          <w:color w:val="auto"/>
        </w:rPr>
      </w:pPr>
    </w:p>
    <w:p>
      <w:pPr>
        <w:ind w:left="5"/>
        <w:spacing w:after="0"/>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If appropriate, check the following box:</w:t>
      </w:r>
    </w:p>
    <w:p>
      <w:pPr>
        <w:spacing w:after="0" w:line="60" w:lineRule="exact"/>
        <w:rPr>
          <w:rFonts w:ascii="MS PGothic" w:cs="MS PGothic" w:eastAsia="MS PGothic" w:hAnsi="MS PGothic"/>
          <w:sz w:val="13"/>
          <w:szCs w:val="13"/>
          <w:color w:val="auto"/>
        </w:rPr>
      </w:pPr>
    </w:p>
    <w:p>
      <w:pPr>
        <w:ind w:left="625" w:hanging="625"/>
        <w:spacing w:after="0"/>
        <w:tabs>
          <w:tab w:leader="none" w:pos="625"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This post-effective amendment designates a new effective date for a previously filed post-effective amendment.</w:t>
      </w:r>
    </w:p>
    <w:p>
      <w:pPr>
        <w:spacing w:after="0" w:line="66" w:lineRule="exact"/>
        <w:rPr>
          <w:rFonts w:ascii="MS PGothic" w:cs="MS PGothic" w:eastAsia="MS PGothic" w:hAnsi="MS PGothic"/>
          <w:sz w:val="13"/>
          <w:szCs w:val="13"/>
          <w:color w:val="auto"/>
        </w:rPr>
      </w:pPr>
    </w:p>
    <w:p>
      <w:pPr>
        <w:ind w:left="5"/>
        <w:spacing w:after="0"/>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Check each box that appropriately characterizes the Registrant:</w:t>
      </w:r>
    </w:p>
    <w:p>
      <w:pPr>
        <w:spacing w:after="0" w:line="60" w:lineRule="exact"/>
        <w:rPr>
          <w:rFonts w:ascii="MS PGothic" w:cs="MS PGothic" w:eastAsia="MS PGothic" w:hAnsi="MS PGothic"/>
          <w:sz w:val="13"/>
          <w:szCs w:val="13"/>
          <w:color w:val="auto"/>
        </w:rPr>
      </w:pPr>
    </w:p>
    <w:p>
      <w:pPr>
        <w:ind w:left="625" w:right="3179" w:hanging="625"/>
        <w:spacing w:after="0" w:line="264" w:lineRule="auto"/>
        <w:tabs>
          <w:tab w:leader="none" w:pos="625"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New Registrant (as applicable, a Registered Separate Account or Insurance Company that has not filed a Separate Account or Insurance Company that has not filed a Securities Act registration statement or amendment thereto within 3 years preceding this filing)</w:t>
      </w:r>
    </w:p>
    <w:p>
      <w:pPr>
        <w:spacing w:after="0" w:line="32" w:lineRule="exact"/>
        <w:rPr>
          <w:rFonts w:ascii="MS PGothic" w:cs="MS PGothic" w:eastAsia="MS PGothic" w:hAnsi="MS PGothic"/>
          <w:sz w:val="13"/>
          <w:szCs w:val="13"/>
          <w:color w:val="auto"/>
        </w:rPr>
      </w:pPr>
    </w:p>
    <w:p>
      <w:pPr>
        <w:ind w:left="625" w:right="3239" w:hanging="625"/>
        <w:spacing w:after="0" w:line="277" w:lineRule="auto"/>
        <w:tabs>
          <w:tab w:leader="none" w:pos="625"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Emerging Growth Company (as defined by Rule 12b-2 under the Securities Exchange Act of 1934 (“Exchange Act”))</w:t>
      </w:r>
    </w:p>
    <w:p>
      <w:pPr>
        <w:spacing w:after="0" w:line="31" w:lineRule="exact"/>
        <w:rPr>
          <w:rFonts w:ascii="MS PGothic" w:cs="MS PGothic" w:eastAsia="MS PGothic" w:hAnsi="MS PGothic"/>
          <w:sz w:val="13"/>
          <w:szCs w:val="13"/>
          <w:color w:val="auto"/>
        </w:rPr>
      </w:pPr>
    </w:p>
    <w:p>
      <w:pPr>
        <w:ind w:left="625" w:right="3279" w:hanging="625"/>
        <w:spacing w:after="0" w:line="264" w:lineRule="auto"/>
        <w:tabs>
          <w:tab w:leader="none" w:pos="625"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If an Emerging Growth Company, indicate by check mark if the Registrant has elected not to use the extended transition period for complying with any new or revised financial accounting standards provided pursuant to Section 7(a)(2)(B) of Securities Act</w:t>
      </w:r>
    </w:p>
    <w:p>
      <w:pPr>
        <w:spacing w:after="0" w:line="32" w:lineRule="exact"/>
        <w:rPr>
          <w:rFonts w:ascii="MS PGothic" w:cs="MS PGothic" w:eastAsia="MS PGothic" w:hAnsi="MS PGothic"/>
          <w:sz w:val="13"/>
          <w:szCs w:val="13"/>
          <w:color w:val="auto"/>
        </w:rPr>
      </w:pPr>
    </w:p>
    <w:p>
      <w:pPr>
        <w:ind w:left="625" w:hanging="625"/>
        <w:spacing w:after="0"/>
        <w:tabs>
          <w:tab w:leader="none" w:pos="625"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Insurance Company relying on Rule 12h-7 under the Exchange Act</w:t>
      </w:r>
    </w:p>
    <w:p>
      <w:pPr>
        <w:spacing w:after="0" w:line="58" w:lineRule="exact"/>
        <w:rPr>
          <w:rFonts w:ascii="MS PGothic" w:cs="MS PGothic" w:eastAsia="MS PGothic" w:hAnsi="MS PGothic"/>
          <w:sz w:val="13"/>
          <w:szCs w:val="13"/>
          <w:color w:val="auto"/>
        </w:rPr>
      </w:pPr>
    </w:p>
    <w:p>
      <w:pPr>
        <w:ind w:left="625" w:hanging="625"/>
        <w:spacing w:after="0"/>
        <w:tabs>
          <w:tab w:leader="none" w:pos="625"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Smaller reporting company (as defined by Rule 12b-2 under the Exchange Act)</w:t>
      </w:r>
    </w:p>
    <w:p>
      <w:pPr>
        <w:sectPr>
          <w:pgSz w:w="11900" w:h="16838" w:orient="portrait"/>
          <w:cols w:equalWidth="0" w:num="1">
            <w:col w:w="9744"/>
          </w:cols>
          <w:pgMar w:left="715" w:top="424" w:right="1440" w:bottom="1440" w:gutter="0" w:footer="0" w:header="0"/>
        </w:sectPr>
      </w:pPr>
    </w:p>
    <w:bookmarkStart w:id="1" w:name="page2"/>
    <w:bookmarkEnd w:id="1"/>
    <w:p>
      <w:pPr>
        <w:spacing w:after="0"/>
        <w:tabs>
          <w:tab w:leader="none" w:pos="62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177165</wp:posOffset>
            </wp:positionH>
            <wp:positionV relativeFrom="page">
              <wp:posOffset>120015</wp:posOffset>
            </wp:positionV>
            <wp:extent cx="719391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3199"/>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6615" cy="31750"/>
                    </a:xfrm>
                    <a:prstGeom prst="rect">
                      <a:avLst/>
                    </a:prstGeom>
                    <a:noFill/>
                  </pic:spPr>
                </pic:pic>
              </a:graphicData>
            </a:graphic>
          </wp:anchor>
        </w:drawing>
        <w:t>BRIGHTHOUSE SHIELD</w:t>
      </w:r>
      <w:r>
        <w:rPr>
          <w:rFonts w:ascii="Times New Roman" w:cs="Times New Roman" w:eastAsia="Times New Roman" w:hAnsi="Times New Roman"/>
          <w:sz w:val="30"/>
          <w:szCs w:val="30"/>
          <w:b w:val="1"/>
          <w:bCs w:val="1"/>
          <w:color w:val="auto"/>
          <w:vertAlign w:val="superscript"/>
        </w:rPr>
        <w:t>®</w:t>
      </w:r>
      <w:r>
        <w:rPr>
          <w:rFonts w:ascii="Times New Roman" w:cs="Times New Roman" w:eastAsia="Times New Roman" w:hAnsi="Times New Roman"/>
          <w:sz w:val="24"/>
          <w:szCs w:val="24"/>
          <w:b w:val="1"/>
          <w:bCs w:val="1"/>
          <w:color w:val="auto"/>
        </w:rPr>
        <w:t xml:space="preserve"> LEVEL II 6-YEAR</w:t>
      </w:r>
    </w:p>
    <w:p>
      <w:pPr>
        <w:jc w:val="center"/>
        <w:ind w:right="3199"/>
        <w:spacing w:after="0"/>
        <w:rPr>
          <w:sz w:val="20"/>
          <w:szCs w:val="20"/>
          <w:color w:val="auto"/>
        </w:rPr>
      </w:pPr>
      <w:r>
        <w:rPr>
          <w:rFonts w:ascii="Times New Roman" w:cs="Times New Roman" w:eastAsia="Times New Roman" w:hAnsi="Times New Roman"/>
          <w:sz w:val="24"/>
          <w:szCs w:val="24"/>
          <w:b w:val="1"/>
          <w:bCs w:val="1"/>
          <w:color w:val="auto"/>
        </w:rPr>
        <w:t>ANNUITY</w:t>
      </w:r>
    </w:p>
    <w:p>
      <w:pPr>
        <w:spacing w:after="0" w:line="139" w:lineRule="exact"/>
        <w:rPr>
          <w:sz w:val="20"/>
          <w:szCs w:val="20"/>
          <w:color w:val="auto"/>
        </w:rPr>
      </w:pPr>
    </w:p>
    <w:p>
      <w:pPr>
        <w:jc w:val="both"/>
        <w:ind w:right="3199" w:firstLine="265"/>
        <w:spacing w:after="0" w:line="244" w:lineRule="auto"/>
        <w:rPr>
          <w:sz w:val="20"/>
          <w:szCs w:val="20"/>
          <w:color w:val="auto"/>
        </w:rPr>
      </w:pPr>
      <w:r>
        <w:rPr>
          <w:rFonts w:ascii="Times New Roman" w:cs="Times New Roman" w:eastAsia="Times New Roman" w:hAnsi="Times New Roman"/>
          <w:sz w:val="13"/>
          <w:szCs w:val="13"/>
          <w:color w:val="auto"/>
        </w:rPr>
        <w:t>Brighthouse Shield</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Level II 6-Year Annuity is an individual single premium deferred index-linked annuity contract (the “Contract”) issued by Brighthouse Life Insurance Company of NY (“BLNY”, “we”, “our” or “us”). This means additional purchase payments will not be accepted.</w:t>
      </w:r>
    </w:p>
    <w:p>
      <w:pPr>
        <w:spacing w:after="0" w:line="154" w:lineRule="exact"/>
        <w:rPr>
          <w:sz w:val="20"/>
          <w:szCs w:val="20"/>
          <w:color w:val="auto"/>
        </w:rPr>
      </w:pPr>
    </w:p>
    <w:p>
      <w:pPr>
        <w:jc w:val="both"/>
        <w:ind w:right="3199" w:firstLine="265"/>
        <w:spacing w:after="0" w:line="266" w:lineRule="auto"/>
        <w:rPr>
          <w:sz w:val="20"/>
          <w:szCs w:val="20"/>
          <w:color w:val="auto"/>
        </w:rPr>
      </w:pPr>
      <w:r>
        <w:rPr>
          <w:rFonts w:ascii="Times New Roman" w:cs="Times New Roman" w:eastAsia="Times New Roman" w:hAnsi="Times New Roman"/>
          <w:sz w:val="13"/>
          <w:szCs w:val="13"/>
          <w:color w:val="auto"/>
        </w:rPr>
        <w:t>This Contract is available for use in connection with Non-Qualified Plans, Traditional IRAs and Roth IRAs. BLNY is located at 285 Madison Avenue, New York, NY 10017. The telephone number is 1-888-243-1932. Brighthouse Securities, LLC, 11225 North Community House Road, Charlotte, NC 28277, is the principal underwriter and distributor of the Contracts.</w:t>
      </w:r>
    </w:p>
    <w:p>
      <w:pPr>
        <w:spacing w:after="0" w:line="129" w:lineRule="exact"/>
        <w:rPr>
          <w:sz w:val="20"/>
          <w:szCs w:val="20"/>
          <w:color w:val="auto"/>
        </w:rPr>
      </w:pPr>
    </w:p>
    <w:p>
      <w:pPr>
        <w:jc w:val="both"/>
        <w:ind w:right="3199" w:firstLine="265"/>
        <w:spacing w:after="0" w:line="259" w:lineRule="auto"/>
        <w:rPr>
          <w:sz w:val="20"/>
          <w:szCs w:val="20"/>
          <w:color w:val="auto"/>
        </w:rPr>
      </w:pPr>
      <w:r>
        <w:rPr>
          <w:rFonts w:ascii="Times New Roman" w:cs="Times New Roman" w:eastAsia="Times New Roman" w:hAnsi="Times New Roman"/>
          <w:sz w:val="13"/>
          <w:szCs w:val="13"/>
          <w:b w:val="1"/>
          <w:bCs w:val="1"/>
          <w:color w:val="auto"/>
        </w:rPr>
        <w:t xml:space="preserve">Please read the prospectus carefully before investing and keep it for future reference. </w:t>
      </w:r>
      <w:r>
        <w:rPr>
          <w:rFonts w:ascii="Times New Roman" w:cs="Times New Roman" w:eastAsia="Times New Roman" w:hAnsi="Times New Roman"/>
          <w:sz w:val="13"/>
          <w:szCs w:val="13"/>
          <w:color w:val="auto"/>
        </w:rPr>
        <w:t>This prospectus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includes important information including a description of all material features, rights and obligations of the Contract. BLNY’s obligations under the Contract are subject to our financial strength and claims-paying ability. The investment options (“Allocation Options”) under the Contract include (1) the various Shield Options which credit positive, negative, or zero interest based on the performance of an underlying index, and provide certain protections in that BLNY will absorb specified levels of negative index returns; and (2) the Fixed Account, if available, which guarantees principal and interest. For more information about the types of Allocation Options available under the Contract, please see Appendix A – Investment Options Available Under the Contract. The Contract also includes the Performance Lock feature that allows you to lock the Interim Value of each Shield Option once during the Term.</w:t>
      </w:r>
    </w:p>
    <w:p>
      <w:pPr>
        <w:spacing w:after="0" w:line="53" w:lineRule="exact"/>
        <w:rPr>
          <w:sz w:val="20"/>
          <w:szCs w:val="20"/>
          <w:color w:val="auto"/>
        </w:rPr>
      </w:pPr>
    </w:p>
    <w:p>
      <w:pPr>
        <w:jc w:val="both"/>
        <w:ind w:right="3199" w:firstLine="265"/>
        <w:spacing w:after="0" w:line="260" w:lineRule="auto"/>
        <w:rPr>
          <w:sz w:val="20"/>
          <w:szCs w:val="20"/>
          <w:color w:val="auto"/>
        </w:rPr>
      </w:pPr>
      <w:r>
        <w:rPr>
          <w:rFonts w:ascii="Times New Roman" w:cs="Times New Roman" w:eastAsia="Times New Roman" w:hAnsi="Times New Roman"/>
          <w:sz w:val="13"/>
          <w:szCs w:val="13"/>
          <w:b w:val="1"/>
          <w:bCs w:val="1"/>
          <w:color w:val="auto"/>
        </w:rPr>
        <w:t xml:space="preserve">The currently offered Shield Options provide that we will absorb losses at least equal to 10%, 15%, and 25%. Under these Shield Options, the maximum amount of loss you could experience due to negative index performance at the end of a Term, after taking into account these levels of protection, would be: 90% for 10% downside protection; 85% for 15% downside protection; and 75% for 25% downside protection. We do not guarantee that there will always be a Shield Option under the Contract that provides this minimum amount of downside protection; however, there will always be at least one Shield Option available that offers downside protection, although it may not be substantially similar to one of the currently available Shield Options. </w:t>
      </w:r>
      <w:r>
        <w:rPr>
          <w:rFonts w:ascii="Times New Roman" w:cs="Times New Roman" w:eastAsia="Times New Roman" w:hAnsi="Times New Roman"/>
          <w:sz w:val="13"/>
          <w:szCs w:val="13"/>
          <w:color w:val="auto"/>
        </w:rPr>
        <w:t>In return for downside protection, we may limit positive index gains for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Shield Options.</w:t>
      </w:r>
    </w:p>
    <w:p>
      <w:pPr>
        <w:spacing w:after="0" w:line="214" w:lineRule="exact"/>
        <w:rPr>
          <w:sz w:val="20"/>
          <w:szCs w:val="20"/>
          <w:color w:val="auto"/>
        </w:rPr>
      </w:pPr>
    </w:p>
    <w:p>
      <w:pPr>
        <w:jc w:val="both"/>
        <w:ind w:right="3199" w:firstLine="265"/>
        <w:spacing w:after="0" w:line="265" w:lineRule="auto"/>
        <w:rPr>
          <w:sz w:val="20"/>
          <w:szCs w:val="20"/>
          <w:color w:val="auto"/>
        </w:rPr>
      </w:pPr>
      <w:r>
        <w:rPr>
          <w:rFonts w:ascii="Times New Roman" w:cs="Times New Roman" w:eastAsia="Times New Roman" w:hAnsi="Times New Roman"/>
          <w:sz w:val="13"/>
          <w:szCs w:val="13"/>
          <w:color w:val="auto"/>
        </w:rPr>
        <w:t>Each Shield Option also has a Rate Crediting Type (the Cap Rate, Step Rate, or Step Rate Edge), which are the ways in which we calculate any positive interest credited based on the performance of the underlying Index.</w:t>
      </w:r>
    </w:p>
    <w:p>
      <w:pPr>
        <w:jc w:val="both"/>
        <w:ind w:right="3199"/>
        <w:spacing w:after="0" w:line="256" w:lineRule="auto"/>
        <w:rPr>
          <w:sz w:val="20"/>
          <w:szCs w:val="20"/>
          <w:color w:val="auto"/>
        </w:rPr>
      </w:pPr>
      <w:r>
        <w:rPr>
          <w:rFonts w:ascii="Times New Roman" w:cs="Times New Roman" w:eastAsia="Times New Roman" w:hAnsi="Times New Roman"/>
          <w:sz w:val="13"/>
          <w:szCs w:val="13"/>
          <w:b w:val="1"/>
          <w:bCs w:val="1"/>
          <w:color w:val="auto"/>
        </w:rPr>
        <w:t xml:space="preserve">We limit the amount you can earn on a Shield Option through the Rate Crediting Type. The Minimum Guaranteed Cap Rate for your Contract is the amount shown on your Contract Schedule and may vary by Shield Rate, but will not be less than 3.5% for Shield Options with a 1-Year Term, 13.5% for Shield Options with a 3-Year Term and 21% for Shield Options with a 6-Year Term. The Minimum Guaranteed Step Rate for your Contract is the amount shown on your Contract Schedule and may vary by Shield Rate, but will not be less than 4.5% for Shield Options </w:t>
      </w:r>
      <w:r>
        <w:rPr>
          <w:rFonts w:ascii="Times New Roman" w:cs="Times New Roman" w:eastAsia="Times New Roman" w:hAnsi="Times New Roman"/>
          <w:sz w:val="13"/>
          <w:szCs w:val="13"/>
          <w:color w:val="auto"/>
        </w:rPr>
        <w:t>with a 1-Year Term and 9%</w:t>
      </w:r>
      <w:r>
        <w:rPr>
          <w:rFonts w:ascii="Times New Roman" w:cs="Times New Roman" w:eastAsia="Times New Roman" w:hAnsi="Times New Roman"/>
          <w:sz w:val="13"/>
          <w:szCs w:val="13"/>
          <w:b w:val="1"/>
          <w:bCs w:val="1"/>
          <w:color w:val="auto"/>
        </w:rPr>
        <w:t xml:space="preserve"> for Shield Options </w:t>
      </w:r>
      <w:r>
        <w:rPr>
          <w:rFonts w:ascii="Times New Roman" w:cs="Times New Roman" w:eastAsia="Times New Roman" w:hAnsi="Times New Roman"/>
          <w:sz w:val="13"/>
          <w:szCs w:val="13"/>
          <w:color w:val="auto"/>
        </w:rPr>
        <w:t>with a 2-Year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Term. The Minimum Guaranteed Edge Rate for your Contract is the amount shown on your Contract Schedule and may vary by Shield Rate, but will not be less than 4.5% </w:t>
      </w:r>
      <w:r>
        <w:rPr>
          <w:rFonts w:ascii="Times New Roman" w:cs="Times New Roman" w:eastAsia="Times New Roman" w:hAnsi="Times New Roman"/>
          <w:sz w:val="13"/>
          <w:szCs w:val="13"/>
          <w:b w:val="1"/>
          <w:bCs w:val="1"/>
          <w:color w:val="auto"/>
        </w:rPr>
        <w:t>for Shield Options</w:t>
      </w:r>
      <w:r>
        <w:rPr>
          <w:rFonts w:ascii="Times New Roman" w:cs="Times New Roman" w:eastAsia="Times New Roman" w:hAnsi="Times New Roman"/>
          <w:sz w:val="13"/>
          <w:szCs w:val="13"/>
          <w:color w:val="auto"/>
        </w:rPr>
        <w:t xml:space="preserve"> with a 1-Year Term and 9% </w:t>
      </w:r>
      <w:r>
        <w:rPr>
          <w:rFonts w:ascii="Times New Roman" w:cs="Times New Roman" w:eastAsia="Times New Roman" w:hAnsi="Times New Roman"/>
          <w:sz w:val="13"/>
          <w:szCs w:val="13"/>
          <w:b w:val="1"/>
          <w:bCs w:val="1"/>
          <w:color w:val="auto"/>
        </w:rPr>
        <w:t>for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 xml:space="preserve">Shield Options </w:t>
      </w:r>
      <w:r>
        <w:rPr>
          <w:rFonts w:ascii="Times New Roman" w:cs="Times New Roman" w:eastAsia="Times New Roman" w:hAnsi="Times New Roman"/>
          <w:sz w:val="13"/>
          <w:szCs w:val="13"/>
          <w:color w:val="auto"/>
        </w:rPr>
        <w:t>with a 2-Year Term.</w:t>
      </w:r>
    </w:p>
    <w:p>
      <w:pPr>
        <w:spacing w:after="0" w:line="60" w:lineRule="exact"/>
        <w:rPr>
          <w:sz w:val="20"/>
          <w:szCs w:val="20"/>
          <w:color w:val="auto"/>
        </w:rPr>
      </w:pPr>
    </w:p>
    <w:p>
      <w:pPr>
        <w:jc w:val="both"/>
        <w:ind w:right="3199" w:firstLine="265"/>
        <w:spacing w:after="0" w:line="283" w:lineRule="auto"/>
        <w:rPr>
          <w:sz w:val="20"/>
          <w:szCs w:val="20"/>
          <w:color w:val="auto"/>
        </w:rPr>
      </w:pPr>
      <w:r>
        <w:rPr>
          <w:rFonts w:ascii="Times New Roman" w:cs="Times New Roman" w:eastAsia="Times New Roman" w:hAnsi="Times New Roman"/>
          <w:sz w:val="13"/>
          <w:szCs w:val="13"/>
          <w:color w:val="auto"/>
        </w:rPr>
        <w:t>The Contract is a complex investment. Investment in the Contract involves investment risks, including potential loss of principal. You should not buy this Contract if you are not willing to assume these investment risks.</w:t>
      </w:r>
    </w:p>
    <w:p>
      <w:pPr>
        <w:spacing w:after="0" w:line="201" w:lineRule="exact"/>
        <w:rPr>
          <w:sz w:val="20"/>
          <w:szCs w:val="20"/>
          <w:color w:val="auto"/>
        </w:rPr>
      </w:pPr>
    </w:p>
    <w:p>
      <w:pPr>
        <w:jc w:val="both"/>
        <w:ind w:right="3199" w:firstLine="265"/>
        <w:spacing w:after="0" w:line="258" w:lineRule="auto"/>
        <w:rPr>
          <w:sz w:val="20"/>
          <w:szCs w:val="20"/>
          <w:color w:val="auto"/>
        </w:rPr>
      </w:pPr>
      <w:r>
        <w:rPr>
          <w:rFonts w:ascii="Times New Roman" w:cs="Times New Roman" w:eastAsia="Times New Roman" w:hAnsi="Times New Roman"/>
          <w:sz w:val="13"/>
          <w:szCs w:val="13"/>
          <w:b w:val="1"/>
          <w:bCs w:val="1"/>
          <w:color w:val="auto"/>
        </w:rPr>
        <w:t>The Contract is not a short-term investment and is not appropriate for an investor who needs ready access to cash. The Contract permits ongoing withdrawals from the Shield Options prior to the Term End Date. However, the Contract may not be appropriate for you if you plan to take withdrawals from a Shield Option prior to the Term End Date, especially if you plan to take ongoing withdrawals such as required minimum distributions or withdrawals under the systematic withdrawal program. Withdrawals (including required minimum distributions (“RMDs”) and systematic withdrawals) and Surrenders may be subject to Withdrawal Charges, income taxes, and income tax penalties if taken before age 59½, and, if taken from the Shield Options before the end of a Term, may be based on an Interim Value calculation. A negative Interim Value could result in loss beyond the protection of the Shield Rate. In extreme circumstances, you could lose up to 100% of the value of the Shield Option if you make a withdrawal or Surrender from the Shield Options or if you exercise the Performance Lock before the Term End Date. If you do intend to take ongoing withdrawals under the Contract, particularly from a Shield Option during the Term, you should consult with a financial professional about whether the Contract is appropriate for you.</w:t>
      </w:r>
    </w:p>
    <w:p>
      <w:pPr>
        <w:spacing w:after="0" w:line="56" w:lineRule="exact"/>
        <w:rPr>
          <w:sz w:val="20"/>
          <w:szCs w:val="20"/>
          <w:color w:val="auto"/>
        </w:rPr>
      </w:pPr>
    </w:p>
    <w:p>
      <w:pPr>
        <w:jc w:val="both"/>
        <w:ind w:right="3199" w:firstLine="265"/>
        <w:spacing w:after="0" w:line="266" w:lineRule="auto"/>
        <w:rPr>
          <w:sz w:val="20"/>
          <w:szCs w:val="20"/>
          <w:color w:val="auto"/>
        </w:rPr>
      </w:pPr>
      <w:r>
        <w:rPr>
          <w:rFonts w:ascii="Times New Roman" w:cs="Times New Roman" w:eastAsia="Times New Roman" w:hAnsi="Times New Roman"/>
          <w:sz w:val="13"/>
          <w:szCs w:val="13"/>
          <w:color w:val="auto"/>
        </w:rPr>
        <w:t>If you are a new investor in the Contract, you may cancel the Contract within 10 days after receiving it without paying fees or penalties by mailing or delivering the Contract to either us or the financial professional who sold it. You will receive (i) whatever your Contract is worth on the day that we receive your cancellation request (although we will apply an Interim</w:t>
      </w:r>
    </w:p>
    <w:p>
      <w:pPr>
        <w:sectPr>
          <w:pgSz w:w="11900" w:h="16838" w:orient="portrait"/>
          <w:cols w:equalWidth="0" w:num="1">
            <w:col w:w="9259"/>
          </w:cols>
          <w:pgMar w:left="1200" w:top="1041" w:right="1440" w:bottom="1440" w:gutter="0" w:footer="0" w:header="0"/>
        </w:sectPr>
      </w:pPr>
    </w:p>
    <w:bookmarkStart w:id="3" w:name="page4"/>
    <w:bookmarkEnd w:id="3"/>
    <w:p>
      <w:pPr>
        <w:jc w:val="both"/>
        <w:ind w:right="3199"/>
        <w:spacing w:after="0" w:line="27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177165</wp:posOffset>
            </wp:positionH>
            <wp:positionV relativeFrom="page">
              <wp:posOffset>120015</wp:posOffset>
            </wp:positionV>
            <wp:extent cx="719391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93915" cy="38100"/>
                    </a:xfrm>
                    <a:prstGeom prst="rect">
                      <a:avLst/>
                    </a:prstGeom>
                    <a:noFill/>
                  </pic:spPr>
                </pic:pic>
              </a:graphicData>
            </a:graphic>
          </wp:anchor>
        </w:drawing>
        <w:t>Value calculation), plus (ii) the sum of all fees, taxes and charges deducted from the Purchase Payment during the Free Look period. You should review this prospectus or consult with your financial professional, for additional information about the specific cancellation terms that apply.</w:t>
      </w:r>
    </w:p>
    <w:p>
      <w:pPr>
        <w:spacing w:after="0" w:line="125" w:lineRule="exact"/>
        <w:rPr>
          <w:sz w:val="20"/>
          <w:szCs w:val="20"/>
          <w:color w:val="auto"/>
        </w:rPr>
      </w:pPr>
    </w:p>
    <w:p>
      <w:pPr>
        <w:jc w:val="both"/>
        <w:ind w:right="3199" w:firstLine="265"/>
        <w:spacing w:after="0" w:line="264" w:lineRule="auto"/>
        <w:rPr>
          <w:sz w:val="20"/>
          <w:szCs w:val="20"/>
          <w:color w:val="auto"/>
        </w:rPr>
      </w:pPr>
      <w:r>
        <w:rPr>
          <w:rFonts w:ascii="Times New Roman" w:cs="Times New Roman" w:eastAsia="Times New Roman" w:hAnsi="Times New Roman"/>
          <w:sz w:val="13"/>
          <w:szCs w:val="13"/>
          <w:b w:val="1"/>
          <w:bCs w:val="1"/>
          <w:color w:val="auto"/>
        </w:rPr>
        <w:t>Neither the Securities and Exchange Commission (the “SEC”) nor any state securities commission has approved or disapproved these securities or the adequacy of this prospectus. Any representation to the contrary is a criminal offense. Mutual funds, annuities and insurance products are not deposits of any bank and are not insured or guaranteed by the Federal Deposit Insurance Corporation (the “FDIC”) or any other government agency. You may lose money invested in the Contract.</w:t>
      </w:r>
    </w:p>
    <w:p>
      <w:pPr>
        <w:spacing w:after="0" w:line="130" w:lineRule="exact"/>
        <w:rPr>
          <w:sz w:val="20"/>
          <w:szCs w:val="20"/>
          <w:color w:val="auto"/>
        </w:rPr>
      </w:pPr>
    </w:p>
    <w:p>
      <w:pPr>
        <w:jc w:val="both"/>
        <w:ind w:right="3199" w:firstLine="265"/>
        <w:spacing w:after="0" w:line="264" w:lineRule="auto"/>
        <w:rPr>
          <w:sz w:val="20"/>
          <w:szCs w:val="20"/>
          <w:color w:val="auto"/>
        </w:rPr>
      </w:pPr>
      <w:r>
        <w:rPr>
          <w:rFonts w:ascii="Times New Roman" w:cs="Times New Roman" w:eastAsia="Times New Roman" w:hAnsi="Times New Roman"/>
          <w:sz w:val="13"/>
          <w:szCs w:val="13"/>
          <w:b w:val="1"/>
          <w:bCs w:val="1"/>
          <w:color w:val="auto"/>
        </w:rPr>
        <w:t xml:space="preserve">The Contracts may be distributed through broker-dealers that have relationships with banks or other financial institutions or by employees of such banks. However, the Contracts are not deposits or obligations of, or guaranteed by such institutions or any Federal regulatory agency. Additional information about certain investment products, including registered index-linked annuities, has been prepared by the SEC’s staff and is available at </w:t>
      </w:r>
      <w:r>
        <w:rPr>
          <w:rFonts w:ascii="Times New Roman" w:cs="Times New Roman" w:eastAsia="Times New Roman" w:hAnsi="Times New Roman"/>
          <w:sz w:val="13"/>
          <w:szCs w:val="13"/>
          <w:color w:val="auto"/>
        </w:rPr>
        <w:t>Investor.gov</w:t>
      </w:r>
      <w:r>
        <w:rPr>
          <w:rFonts w:ascii="Times New Roman" w:cs="Times New Roman" w:eastAsia="Times New Roman" w:hAnsi="Times New Roman"/>
          <w:sz w:val="13"/>
          <w:szCs w:val="13"/>
          <w:b w:val="1"/>
          <w:bCs w:val="1"/>
          <w:color w:val="auto"/>
        </w:rPr>
        <w:t>.</w:t>
      </w:r>
    </w:p>
    <w:p>
      <w:pPr>
        <w:spacing w:after="0" w:line="130" w:lineRule="exact"/>
        <w:rPr>
          <w:sz w:val="20"/>
          <w:szCs w:val="20"/>
          <w:color w:val="auto"/>
        </w:rPr>
      </w:pPr>
    </w:p>
    <w:p>
      <w:pPr>
        <w:jc w:val="both"/>
        <w:ind w:right="3199" w:firstLine="265"/>
        <w:spacing w:after="0" w:line="293" w:lineRule="auto"/>
        <w:rPr>
          <w:sz w:val="20"/>
          <w:szCs w:val="20"/>
          <w:color w:val="auto"/>
        </w:rPr>
      </w:pPr>
      <w:r>
        <w:rPr>
          <w:rFonts w:ascii="Times New Roman" w:cs="Times New Roman" w:eastAsia="Times New Roman" w:hAnsi="Times New Roman"/>
          <w:sz w:val="13"/>
          <w:szCs w:val="13"/>
          <w:b w:val="1"/>
          <w:bCs w:val="1"/>
          <w:color w:val="auto"/>
        </w:rPr>
        <w:t>The principal underwriter of the Contract is Brighthouse Securities, LLC. The offering of the Contract is intended to be continuous.</w:t>
      </w:r>
    </w:p>
    <w:p>
      <w:pPr>
        <w:spacing w:after="0" w:line="11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3"/>
          <w:szCs w:val="13"/>
          <w:color w:val="auto"/>
        </w:rPr>
        <w:t>Prospectus dated April 28, 2025</w:t>
      </w:r>
    </w:p>
    <w:p>
      <w:pPr>
        <w:sectPr>
          <w:pgSz w:w="11900" w:h="16838" w:orient="portrait"/>
          <w:cols w:equalWidth="0" w:num="1">
            <w:col w:w="9259"/>
          </w:cols>
          <w:pgMar w:left="1200" w:top="583"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100" w:type="dxa"/>
            <w:vAlign w:val="bottom"/>
            <w:gridSpan w:val="13"/>
          </w:tcPr>
          <w:p>
            <w:pPr>
              <w:jc w:val="center"/>
              <w:ind w:right="1640"/>
              <w:spacing w:after="0"/>
              <w:rPr>
                <w:sz w:val="20"/>
                <w:szCs w:val="20"/>
                <w:color w:val="auto"/>
              </w:rPr>
            </w:pPr>
            <w:r>
              <w:rPr>
                <w:rFonts w:ascii="Times New Roman" w:cs="Times New Roman" w:eastAsia="Times New Roman" w:hAnsi="Times New Roman"/>
                <w:sz w:val="13"/>
                <w:szCs w:val="13"/>
                <w:b w:val="1"/>
                <w:bCs w:val="1"/>
                <w:color w:val="auto"/>
              </w:rPr>
              <w:t>TABLE OF CONTENTS</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380" w:type="dxa"/>
            <w:vAlign w:val="bottom"/>
            <w:gridSpan w:val="43"/>
          </w:tcPr>
          <w:p>
            <w:pPr>
              <w:spacing w:after="0"/>
              <w:rPr>
                <w:sz w:val="20"/>
                <w:szCs w:val="20"/>
                <w:color w:val="auto"/>
              </w:rPr>
            </w:pPr>
            <w:r>
              <w:rPr>
                <w:rFonts w:ascii="Times New Roman" w:cs="Times New Roman" w:eastAsia="Times New Roman" w:hAnsi="Times New Roman"/>
                <w:sz w:val="13"/>
                <w:szCs w:val="13"/>
                <w:color w:val="0000EE"/>
              </w:rPr>
              <w:t>SPECIAL TERMS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5360" w:type="dxa"/>
            <w:vAlign w:val="bottom"/>
            <w:gridSpan w:val="42"/>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0000EE"/>
              </w:rPr>
              <w:t>OVERVIEW OF THE CONTRACT</w:t>
            </w:r>
          </w:p>
        </w:tc>
        <w:tc>
          <w:tcPr>
            <w:tcW w:w="7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40"/>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8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26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800" w:type="dxa"/>
            <w:vAlign w:val="bottom"/>
            <w:tcBorders>
              <w:top w:val="single" w:sz="8" w:color="F0FFFF"/>
              <w:bottom w:val="single" w:sz="8" w:color="F0FFFF"/>
            </w:tcBorders>
            <w:shd w:val="clear" w:color="auto" w:fill="F0FFFF"/>
          </w:tcPr>
          <w:p>
            <w:pPr>
              <w:spacing w:after="0"/>
              <w:rPr>
                <w:sz w:val="3"/>
                <w:szCs w:val="3"/>
                <w:color w:val="auto"/>
              </w:rPr>
            </w:pPr>
          </w:p>
        </w:tc>
        <w:tc>
          <w:tcPr>
            <w:tcW w:w="540" w:type="dxa"/>
            <w:vAlign w:val="bottom"/>
            <w:tcBorders>
              <w:top w:val="single" w:sz="8" w:color="F0FFFF"/>
              <w:bottom w:val="single" w:sz="8" w:color="F0FFFF"/>
            </w:tcBorders>
            <w:shd w:val="clear" w:color="auto" w:fill="F0FFFF"/>
          </w:tcPr>
          <w:p>
            <w:pPr>
              <w:spacing w:after="0"/>
              <w:rPr>
                <w:sz w:val="3"/>
                <w:szCs w:val="3"/>
                <w:color w:val="auto"/>
              </w:rPr>
            </w:pPr>
          </w:p>
        </w:tc>
        <w:tc>
          <w:tcPr>
            <w:tcW w:w="580" w:type="dxa"/>
            <w:vAlign w:val="bottom"/>
            <w:tcBorders>
              <w:top w:val="single" w:sz="8" w:color="F0FFFF"/>
              <w:bottom w:val="single" w:sz="8" w:color="F0FFFF"/>
            </w:tcBorders>
            <w:shd w:val="clear" w:color="auto" w:fill="F0FFFF"/>
          </w:tcPr>
          <w:p>
            <w:pPr>
              <w:spacing w:after="0"/>
              <w:rPr>
                <w:sz w:val="3"/>
                <w:szCs w:val="3"/>
                <w:color w:val="auto"/>
              </w:rPr>
            </w:pPr>
          </w:p>
        </w:tc>
        <w:tc>
          <w:tcPr>
            <w:tcW w:w="70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360" w:type="dxa"/>
            <w:vAlign w:val="bottom"/>
            <w:gridSpan w:val="42"/>
          </w:tcPr>
          <w:p>
            <w:pPr>
              <w:spacing w:after="0" w:line="99" w:lineRule="exact"/>
              <w:rPr>
                <w:sz w:val="20"/>
                <w:szCs w:val="20"/>
                <w:color w:val="auto"/>
              </w:rPr>
            </w:pPr>
            <w:r>
              <w:rPr>
                <w:rFonts w:ascii="Times New Roman" w:cs="Times New Roman" w:eastAsia="Times New Roman" w:hAnsi="Times New Roman"/>
                <w:sz w:val="11"/>
                <w:szCs w:val="11"/>
                <w:color w:val="0000EE"/>
              </w:rPr>
              <w:t>IMPORTANT INFORMATION YOU SHOULD CONSIDER ABOUT THE CONTRACT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40"/>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800" w:type="dxa"/>
            <w:vAlign w:val="bottom"/>
            <w:tcBorders>
              <w:top w:val="single" w:sz="8" w:color="0000EE"/>
            </w:tcBorders>
          </w:tcPr>
          <w:p>
            <w:pPr>
              <w:spacing w:after="0"/>
              <w:rPr>
                <w:sz w:val="3"/>
                <w:szCs w:val="3"/>
                <w:color w:val="auto"/>
              </w:rPr>
            </w:pPr>
          </w:p>
        </w:tc>
        <w:tc>
          <w:tcPr>
            <w:tcW w:w="540" w:type="dxa"/>
            <w:vAlign w:val="bottom"/>
            <w:tcBorders>
              <w:top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5360" w:type="dxa"/>
            <w:vAlign w:val="bottom"/>
            <w:gridSpan w:val="42"/>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0000EE"/>
              </w:rPr>
              <w:t>FEE TABLE</w:t>
            </w:r>
          </w:p>
        </w:tc>
        <w:tc>
          <w:tcPr>
            <w:tcW w:w="7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40"/>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8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26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800" w:type="dxa"/>
            <w:vAlign w:val="bottom"/>
            <w:tcBorders>
              <w:top w:val="single" w:sz="8" w:color="F0FFFF"/>
              <w:bottom w:val="single" w:sz="8" w:color="F0FFFF"/>
            </w:tcBorders>
            <w:shd w:val="clear" w:color="auto" w:fill="F0FFFF"/>
          </w:tcPr>
          <w:p>
            <w:pPr>
              <w:spacing w:after="0"/>
              <w:rPr>
                <w:sz w:val="3"/>
                <w:szCs w:val="3"/>
                <w:color w:val="auto"/>
              </w:rPr>
            </w:pPr>
          </w:p>
        </w:tc>
        <w:tc>
          <w:tcPr>
            <w:tcW w:w="540" w:type="dxa"/>
            <w:vAlign w:val="bottom"/>
            <w:tcBorders>
              <w:top w:val="single" w:sz="8" w:color="F0FFFF"/>
              <w:bottom w:val="single" w:sz="8" w:color="F0FFFF"/>
            </w:tcBorders>
            <w:shd w:val="clear" w:color="auto" w:fill="F0FFFF"/>
          </w:tcPr>
          <w:p>
            <w:pPr>
              <w:spacing w:after="0"/>
              <w:rPr>
                <w:sz w:val="3"/>
                <w:szCs w:val="3"/>
                <w:color w:val="auto"/>
              </w:rPr>
            </w:pPr>
          </w:p>
        </w:tc>
        <w:tc>
          <w:tcPr>
            <w:tcW w:w="580" w:type="dxa"/>
            <w:vAlign w:val="bottom"/>
            <w:tcBorders>
              <w:top w:val="single" w:sz="8" w:color="F0FFFF"/>
              <w:bottom w:val="single" w:sz="8" w:color="F0FFFF"/>
            </w:tcBorders>
            <w:shd w:val="clear" w:color="auto" w:fill="F0FFFF"/>
          </w:tcPr>
          <w:p>
            <w:pPr>
              <w:spacing w:after="0"/>
              <w:rPr>
                <w:sz w:val="3"/>
                <w:szCs w:val="3"/>
                <w:color w:val="auto"/>
              </w:rPr>
            </w:pPr>
          </w:p>
        </w:tc>
        <w:tc>
          <w:tcPr>
            <w:tcW w:w="70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360" w:type="dxa"/>
            <w:vAlign w:val="bottom"/>
            <w:gridSpan w:val="42"/>
          </w:tcPr>
          <w:p>
            <w:pPr>
              <w:spacing w:after="0" w:line="99" w:lineRule="exact"/>
              <w:rPr>
                <w:sz w:val="20"/>
                <w:szCs w:val="20"/>
                <w:color w:val="auto"/>
              </w:rPr>
            </w:pPr>
            <w:r>
              <w:rPr>
                <w:rFonts w:ascii="Times New Roman" w:cs="Times New Roman" w:eastAsia="Times New Roman" w:hAnsi="Times New Roman"/>
                <w:sz w:val="11"/>
                <w:szCs w:val="11"/>
                <w:color w:val="0000EE"/>
              </w:rPr>
              <w:t>PRINCIPAL RISKS OF INVESTING IN THE CONTRACT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40"/>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5360" w:type="dxa"/>
            <w:vAlign w:val="bottom"/>
            <w:gridSpan w:val="42"/>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0000EE"/>
              </w:rPr>
              <w:t>THE ANNUITY CONTRACT</w:t>
            </w:r>
          </w:p>
        </w:tc>
        <w:tc>
          <w:tcPr>
            <w:tcW w:w="7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40"/>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8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26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800" w:type="dxa"/>
            <w:vAlign w:val="bottom"/>
            <w:tcBorders>
              <w:top w:val="single" w:sz="8" w:color="F0FFFF"/>
              <w:bottom w:val="single" w:sz="8" w:color="F0FFFF"/>
            </w:tcBorders>
            <w:shd w:val="clear" w:color="auto" w:fill="F0FFFF"/>
          </w:tcPr>
          <w:p>
            <w:pPr>
              <w:spacing w:after="0"/>
              <w:rPr>
                <w:sz w:val="3"/>
                <w:szCs w:val="3"/>
                <w:color w:val="auto"/>
              </w:rPr>
            </w:pPr>
          </w:p>
        </w:tc>
        <w:tc>
          <w:tcPr>
            <w:tcW w:w="540" w:type="dxa"/>
            <w:vAlign w:val="bottom"/>
            <w:tcBorders>
              <w:top w:val="single" w:sz="8" w:color="F0FFFF"/>
              <w:bottom w:val="single" w:sz="8" w:color="F0FFFF"/>
            </w:tcBorders>
            <w:shd w:val="clear" w:color="auto" w:fill="F0FFFF"/>
          </w:tcPr>
          <w:p>
            <w:pPr>
              <w:spacing w:after="0"/>
              <w:rPr>
                <w:sz w:val="3"/>
                <w:szCs w:val="3"/>
                <w:color w:val="auto"/>
              </w:rPr>
            </w:pPr>
          </w:p>
        </w:tc>
        <w:tc>
          <w:tcPr>
            <w:tcW w:w="580" w:type="dxa"/>
            <w:vAlign w:val="bottom"/>
            <w:tcBorders>
              <w:top w:val="single" w:sz="8" w:color="F0FFFF"/>
              <w:bottom w:val="single" w:sz="8" w:color="F0FFFF"/>
            </w:tcBorders>
            <w:shd w:val="clear" w:color="auto" w:fill="F0FFFF"/>
          </w:tcPr>
          <w:p>
            <w:pPr>
              <w:spacing w:after="0"/>
              <w:rPr>
                <w:sz w:val="3"/>
                <w:szCs w:val="3"/>
                <w:color w:val="auto"/>
              </w:rPr>
            </w:pPr>
          </w:p>
        </w:tc>
        <w:tc>
          <w:tcPr>
            <w:tcW w:w="70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120" w:type="dxa"/>
            <w:vAlign w:val="bottom"/>
            <w:gridSpan w:val="41"/>
          </w:tcPr>
          <w:p>
            <w:pPr>
              <w:spacing w:after="0" w:line="99" w:lineRule="exact"/>
              <w:rPr>
                <w:sz w:val="20"/>
                <w:szCs w:val="20"/>
                <w:color w:val="auto"/>
              </w:rPr>
            </w:pPr>
            <w:r>
              <w:rPr>
                <w:rFonts w:ascii="Times New Roman" w:cs="Times New Roman" w:eastAsia="Times New Roman" w:hAnsi="Times New Roman"/>
                <w:sz w:val="11"/>
                <w:szCs w:val="11"/>
                <w:color w:val="0000EE"/>
              </w:rPr>
              <w:t>Replacement of Contracts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5360" w:type="dxa"/>
            <w:vAlign w:val="bottom"/>
            <w:gridSpan w:val="42"/>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0000EE"/>
              </w:rPr>
              <w:t>PURCHASE</w:t>
            </w:r>
          </w:p>
        </w:tc>
        <w:tc>
          <w:tcPr>
            <w:tcW w:w="7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40"/>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8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26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800" w:type="dxa"/>
            <w:vAlign w:val="bottom"/>
            <w:tcBorders>
              <w:top w:val="single" w:sz="8" w:color="F0FFFF"/>
              <w:bottom w:val="single" w:sz="8" w:color="F0FFFF"/>
            </w:tcBorders>
            <w:shd w:val="clear" w:color="auto" w:fill="F0FFFF"/>
          </w:tcPr>
          <w:p>
            <w:pPr>
              <w:spacing w:after="0"/>
              <w:rPr>
                <w:sz w:val="3"/>
                <w:szCs w:val="3"/>
                <w:color w:val="auto"/>
              </w:rPr>
            </w:pPr>
          </w:p>
        </w:tc>
        <w:tc>
          <w:tcPr>
            <w:tcW w:w="540" w:type="dxa"/>
            <w:vAlign w:val="bottom"/>
            <w:tcBorders>
              <w:top w:val="single" w:sz="8" w:color="F0FFFF"/>
              <w:bottom w:val="single" w:sz="8" w:color="F0FFFF"/>
            </w:tcBorders>
            <w:shd w:val="clear" w:color="auto" w:fill="F0FFFF"/>
          </w:tcPr>
          <w:p>
            <w:pPr>
              <w:spacing w:after="0"/>
              <w:rPr>
                <w:sz w:val="3"/>
                <w:szCs w:val="3"/>
                <w:color w:val="auto"/>
              </w:rPr>
            </w:pPr>
          </w:p>
        </w:tc>
        <w:tc>
          <w:tcPr>
            <w:tcW w:w="580" w:type="dxa"/>
            <w:vAlign w:val="bottom"/>
            <w:tcBorders>
              <w:top w:val="single" w:sz="8" w:color="F0FFFF"/>
              <w:bottom w:val="single" w:sz="8" w:color="F0FFFF"/>
            </w:tcBorders>
            <w:shd w:val="clear" w:color="auto" w:fill="F0FFFF"/>
          </w:tcPr>
          <w:p>
            <w:pPr>
              <w:spacing w:after="0"/>
              <w:rPr>
                <w:sz w:val="3"/>
                <w:szCs w:val="3"/>
                <w:color w:val="auto"/>
              </w:rPr>
            </w:pPr>
          </w:p>
        </w:tc>
        <w:tc>
          <w:tcPr>
            <w:tcW w:w="70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120" w:type="dxa"/>
            <w:vAlign w:val="bottom"/>
            <w:gridSpan w:val="41"/>
          </w:tcPr>
          <w:p>
            <w:pPr>
              <w:spacing w:after="0" w:line="99" w:lineRule="exact"/>
              <w:rPr>
                <w:sz w:val="20"/>
                <w:szCs w:val="20"/>
                <w:color w:val="auto"/>
              </w:rPr>
            </w:pPr>
            <w:r>
              <w:rPr>
                <w:rFonts w:ascii="Times New Roman" w:cs="Times New Roman" w:eastAsia="Times New Roman" w:hAnsi="Times New Roman"/>
                <w:sz w:val="11"/>
                <w:szCs w:val="11"/>
                <w:color w:val="0000EE"/>
              </w:rPr>
              <w:t>Purchase Payment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240" w:type="dxa"/>
            <w:vAlign w:val="bottom"/>
            <w:shd w:val="clear" w:color="auto" w:fill="F0FFFF"/>
          </w:tcPr>
          <w:p>
            <w:pPr>
              <w:spacing w:after="0"/>
              <w:rPr>
                <w:sz w:val="10"/>
                <w:szCs w:val="10"/>
                <w:color w:val="auto"/>
              </w:rPr>
            </w:pPr>
          </w:p>
        </w:tc>
        <w:tc>
          <w:tcPr>
            <w:tcW w:w="5120" w:type="dxa"/>
            <w:vAlign w:val="bottom"/>
            <w:gridSpan w:val="41"/>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0000EE"/>
              </w:rPr>
              <w:t>Allocation of the Purchase Payment</w:t>
            </w:r>
          </w:p>
        </w:tc>
        <w:tc>
          <w:tcPr>
            <w:tcW w:w="7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8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26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800" w:type="dxa"/>
            <w:vAlign w:val="bottom"/>
            <w:tcBorders>
              <w:top w:val="single" w:sz="8" w:color="F0FFFF"/>
              <w:bottom w:val="single" w:sz="8" w:color="F0FFFF"/>
            </w:tcBorders>
            <w:shd w:val="clear" w:color="auto" w:fill="F0FFFF"/>
          </w:tcPr>
          <w:p>
            <w:pPr>
              <w:spacing w:after="0"/>
              <w:rPr>
                <w:sz w:val="3"/>
                <w:szCs w:val="3"/>
                <w:color w:val="auto"/>
              </w:rPr>
            </w:pPr>
          </w:p>
        </w:tc>
        <w:tc>
          <w:tcPr>
            <w:tcW w:w="540" w:type="dxa"/>
            <w:vAlign w:val="bottom"/>
            <w:tcBorders>
              <w:top w:val="single" w:sz="8" w:color="F0FFFF"/>
              <w:bottom w:val="single" w:sz="8" w:color="F0FFFF"/>
            </w:tcBorders>
            <w:shd w:val="clear" w:color="auto" w:fill="F0FFFF"/>
          </w:tcPr>
          <w:p>
            <w:pPr>
              <w:spacing w:after="0"/>
              <w:rPr>
                <w:sz w:val="3"/>
                <w:szCs w:val="3"/>
                <w:color w:val="auto"/>
              </w:rPr>
            </w:pPr>
          </w:p>
        </w:tc>
        <w:tc>
          <w:tcPr>
            <w:tcW w:w="580" w:type="dxa"/>
            <w:vAlign w:val="bottom"/>
            <w:tcBorders>
              <w:top w:val="single" w:sz="8" w:color="F0FFFF"/>
              <w:bottom w:val="single" w:sz="8" w:color="F0FFFF"/>
            </w:tcBorders>
            <w:shd w:val="clear" w:color="auto" w:fill="F0FFFF"/>
          </w:tcPr>
          <w:p>
            <w:pPr>
              <w:spacing w:after="0"/>
              <w:rPr>
                <w:sz w:val="3"/>
                <w:szCs w:val="3"/>
                <w:color w:val="auto"/>
              </w:rPr>
            </w:pPr>
          </w:p>
        </w:tc>
        <w:tc>
          <w:tcPr>
            <w:tcW w:w="70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360" w:type="dxa"/>
            <w:vAlign w:val="bottom"/>
            <w:gridSpan w:val="42"/>
          </w:tcPr>
          <w:p>
            <w:pPr>
              <w:spacing w:after="0" w:line="99" w:lineRule="exact"/>
              <w:rPr>
                <w:sz w:val="20"/>
                <w:szCs w:val="20"/>
                <w:color w:val="auto"/>
              </w:rPr>
            </w:pPr>
            <w:r>
              <w:rPr>
                <w:rFonts w:ascii="Times New Roman" w:cs="Times New Roman" w:eastAsia="Times New Roman" w:hAnsi="Times New Roman"/>
                <w:sz w:val="11"/>
                <w:szCs w:val="11"/>
                <w:color w:val="0000EE"/>
              </w:rPr>
              <w:t>SHIELD OPTIONS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40"/>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5360" w:type="dxa"/>
            <w:vAlign w:val="bottom"/>
            <w:gridSpan w:val="42"/>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0000EE"/>
              </w:rPr>
              <w:t>TERM</w:t>
            </w:r>
          </w:p>
        </w:tc>
        <w:tc>
          <w:tcPr>
            <w:tcW w:w="7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40"/>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F0FFFF"/>
              <w:bottom w:val="single" w:sz="8" w:color="F0FFFF"/>
            </w:tcBorders>
            <w:shd w:val="clear" w:color="auto" w:fill="F0FFFF"/>
          </w:tcPr>
          <w:p>
            <w:pPr>
              <w:spacing w:after="0"/>
              <w:rPr>
                <w:sz w:val="3"/>
                <w:szCs w:val="3"/>
                <w:color w:val="auto"/>
              </w:rPr>
            </w:pPr>
          </w:p>
        </w:tc>
        <w:tc>
          <w:tcPr>
            <w:tcW w:w="16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8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26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800" w:type="dxa"/>
            <w:vAlign w:val="bottom"/>
            <w:tcBorders>
              <w:top w:val="single" w:sz="8" w:color="F0FFFF"/>
              <w:bottom w:val="single" w:sz="8" w:color="F0FFFF"/>
            </w:tcBorders>
            <w:shd w:val="clear" w:color="auto" w:fill="F0FFFF"/>
          </w:tcPr>
          <w:p>
            <w:pPr>
              <w:spacing w:after="0"/>
              <w:rPr>
                <w:sz w:val="3"/>
                <w:szCs w:val="3"/>
                <w:color w:val="auto"/>
              </w:rPr>
            </w:pPr>
          </w:p>
        </w:tc>
        <w:tc>
          <w:tcPr>
            <w:tcW w:w="540" w:type="dxa"/>
            <w:vAlign w:val="bottom"/>
            <w:tcBorders>
              <w:top w:val="single" w:sz="8" w:color="F0FFFF"/>
              <w:bottom w:val="single" w:sz="8" w:color="F0FFFF"/>
            </w:tcBorders>
            <w:shd w:val="clear" w:color="auto" w:fill="F0FFFF"/>
          </w:tcPr>
          <w:p>
            <w:pPr>
              <w:spacing w:after="0"/>
              <w:rPr>
                <w:sz w:val="3"/>
                <w:szCs w:val="3"/>
                <w:color w:val="auto"/>
              </w:rPr>
            </w:pPr>
          </w:p>
        </w:tc>
        <w:tc>
          <w:tcPr>
            <w:tcW w:w="580" w:type="dxa"/>
            <w:vAlign w:val="bottom"/>
            <w:tcBorders>
              <w:top w:val="single" w:sz="8" w:color="F0FFFF"/>
              <w:bottom w:val="single" w:sz="8" w:color="F0FFFF"/>
            </w:tcBorders>
            <w:shd w:val="clear" w:color="auto" w:fill="F0FFFF"/>
          </w:tcPr>
          <w:p>
            <w:pPr>
              <w:spacing w:after="0"/>
              <w:rPr>
                <w:sz w:val="3"/>
                <w:szCs w:val="3"/>
                <w:color w:val="auto"/>
              </w:rPr>
            </w:pPr>
          </w:p>
        </w:tc>
        <w:tc>
          <w:tcPr>
            <w:tcW w:w="70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120" w:type="dxa"/>
            <w:vAlign w:val="bottom"/>
            <w:gridSpan w:val="41"/>
          </w:tcPr>
          <w:p>
            <w:pPr>
              <w:spacing w:after="0" w:line="99" w:lineRule="exact"/>
              <w:rPr>
                <w:sz w:val="20"/>
                <w:szCs w:val="20"/>
                <w:color w:val="auto"/>
              </w:rPr>
            </w:pPr>
            <w:r>
              <w:rPr>
                <w:rFonts w:ascii="Times New Roman" w:cs="Times New Roman" w:eastAsia="Times New Roman" w:hAnsi="Times New Roman"/>
                <w:sz w:val="11"/>
                <w:szCs w:val="11"/>
                <w:color w:val="0000EE"/>
              </w:rPr>
              <w:t>Term Start Date</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240" w:type="dxa"/>
            <w:vAlign w:val="bottom"/>
            <w:shd w:val="clear" w:color="auto" w:fill="F0FFFF"/>
          </w:tcPr>
          <w:p>
            <w:pPr>
              <w:spacing w:after="0"/>
              <w:rPr>
                <w:sz w:val="10"/>
                <w:szCs w:val="10"/>
                <w:color w:val="auto"/>
              </w:rPr>
            </w:pPr>
          </w:p>
        </w:tc>
        <w:tc>
          <w:tcPr>
            <w:tcW w:w="5120" w:type="dxa"/>
            <w:vAlign w:val="bottom"/>
            <w:gridSpan w:val="41"/>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0000EE"/>
              </w:rPr>
              <w:t>Term End Date</w:t>
            </w:r>
          </w:p>
        </w:tc>
        <w:tc>
          <w:tcPr>
            <w:tcW w:w="7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8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26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800" w:type="dxa"/>
            <w:vAlign w:val="bottom"/>
            <w:tcBorders>
              <w:top w:val="single" w:sz="8" w:color="F0FFFF"/>
              <w:bottom w:val="single" w:sz="8" w:color="F0FFFF"/>
            </w:tcBorders>
            <w:shd w:val="clear" w:color="auto" w:fill="F0FFFF"/>
          </w:tcPr>
          <w:p>
            <w:pPr>
              <w:spacing w:after="0"/>
              <w:rPr>
                <w:sz w:val="3"/>
                <w:szCs w:val="3"/>
                <w:color w:val="auto"/>
              </w:rPr>
            </w:pPr>
          </w:p>
        </w:tc>
        <w:tc>
          <w:tcPr>
            <w:tcW w:w="540" w:type="dxa"/>
            <w:vAlign w:val="bottom"/>
            <w:tcBorders>
              <w:top w:val="single" w:sz="8" w:color="F0FFFF"/>
              <w:bottom w:val="single" w:sz="8" w:color="F0FFFF"/>
            </w:tcBorders>
            <w:shd w:val="clear" w:color="auto" w:fill="F0FFFF"/>
          </w:tcPr>
          <w:p>
            <w:pPr>
              <w:spacing w:after="0"/>
              <w:rPr>
                <w:sz w:val="3"/>
                <w:szCs w:val="3"/>
                <w:color w:val="auto"/>
              </w:rPr>
            </w:pPr>
          </w:p>
        </w:tc>
        <w:tc>
          <w:tcPr>
            <w:tcW w:w="580" w:type="dxa"/>
            <w:vAlign w:val="bottom"/>
            <w:tcBorders>
              <w:top w:val="single" w:sz="8" w:color="F0FFFF"/>
              <w:bottom w:val="single" w:sz="8" w:color="F0FFFF"/>
            </w:tcBorders>
            <w:shd w:val="clear" w:color="auto" w:fill="F0FFFF"/>
          </w:tcPr>
          <w:p>
            <w:pPr>
              <w:spacing w:after="0"/>
              <w:rPr>
                <w:sz w:val="3"/>
                <w:szCs w:val="3"/>
                <w:color w:val="auto"/>
              </w:rPr>
            </w:pPr>
          </w:p>
        </w:tc>
        <w:tc>
          <w:tcPr>
            <w:tcW w:w="70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360" w:type="dxa"/>
            <w:vAlign w:val="bottom"/>
            <w:gridSpan w:val="42"/>
          </w:tcPr>
          <w:p>
            <w:pPr>
              <w:spacing w:after="0" w:line="99" w:lineRule="exact"/>
              <w:rPr>
                <w:sz w:val="20"/>
                <w:szCs w:val="20"/>
                <w:color w:val="auto"/>
              </w:rPr>
            </w:pPr>
            <w:r>
              <w:rPr>
                <w:rFonts w:ascii="Times New Roman" w:cs="Times New Roman" w:eastAsia="Times New Roman" w:hAnsi="Times New Roman"/>
                <w:sz w:val="11"/>
                <w:szCs w:val="11"/>
                <w:color w:val="0000EE"/>
              </w:rPr>
              <w:t>INDICES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40"/>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240" w:type="dxa"/>
            <w:vAlign w:val="bottom"/>
            <w:shd w:val="clear" w:color="auto" w:fill="F0FFFF"/>
          </w:tcPr>
          <w:p>
            <w:pPr>
              <w:spacing w:after="0"/>
              <w:rPr>
                <w:sz w:val="10"/>
                <w:szCs w:val="10"/>
                <w:color w:val="auto"/>
              </w:rPr>
            </w:pPr>
          </w:p>
        </w:tc>
        <w:tc>
          <w:tcPr>
            <w:tcW w:w="5120" w:type="dxa"/>
            <w:vAlign w:val="bottom"/>
            <w:gridSpan w:val="41"/>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0000EE"/>
              </w:rPr>
              <w:t>Discontinuation or Substantial Change to an Index.</w:t>
            </w:r>
          </w:p>
        </w:tc>
        <w:tc>
          <w:tcPr>
            <w:tcW w:w="7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80" w:type="dxa"/>
            <w:vAlign w:val="bottom"/>
            <w:tcBorders>
              <w:top w:val="single" w:sz="8" w:color="0000EE"/>
              <w:bottom w:val="single" w:sz="8" w:color="F0FFFF"/>
            </w:tcBorders>
            <w:shd w:val="clear" w:color="auto" w:fill="F0FFFF"/>
          </w:tcPr>
          <w:p>
            <w:pPr>
              <w:spacing w:after="0"/>
              <w:rPr>
                <w:sz w:val="3"/>
                <w:szCs w:val="3"/>
                <w:color w:val="auto"/>
              </w:rPr>
            </w:pPr>
          </w:p>
        </w:tc>
        <w:tc>
          <w:tcPr>
            <w:tcW w:w="20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6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800" w:type="dxa"/>
            <w:vAlign w:val="bottom"/>
            <w:tcBorders>
              <w:top w:val="single" w:sz="8" w:color="F0FFFF"/>
              <w:bottom w:val="single" w:sz="8" w:color="F0FFFF"/>
            </w:tcBorders>
            <w:shd w:val="clear" w:color="auto" w:fill="F0FFFF"/>
          </w:tcPr>
          <w:p>
            <w:pPr>
              <w:spacing w:after="0"/>
              <w:rPr>
                <w:sz w:val="3"/>
                <w:szCs w:val="3"/>
                <w:color w:val="auto"/>
              </w:rPr>
            </w:pPr>
          </w:p>
        </w:tc>
        <w:tc>
          <w:tcPr>
            <w:tcW w:w="540" w:type="dxa"/>
            <w:vAlign w:val="bottom"/>
            <w:tcBorders>
              <w:top w:val="single" w:sz="8" w:color="F0FFFF"/>
              <w:bottom w:val="single" w:sz="8" w:color="F0FFFF"/>
            </w:tcBorders>
            <w:shd w:val="clear" w:color="auto" w:fill="F0FFFF"/>
          </w:tcPr>
          <w:p>
            <w:pPr>
              <w:spacing w:after="0"/>
              <w:rPr>
                <w:sz w:val="3"/>
                <w:szCs w:val="3"/>
                <w:color w:val="auto"/>
              </w:rPr>
            </w:pPr>
          </w:p>
        </w:tc>
        <w:tc>
          <w:tcPr>
            <w:tcW w:w="580" w:type="dxa"/>
            <w:vAlign w:val="bottom"/>
            <w:tcBorders>
              <w:top w:val="single" w:sz="8" w:color="F0FFFF"/>
              <w:bottom w:val="single" w:sz="8" w:color="F0FFFF"/>
            </w:tcBorders>
            <w:shd w:val="clear" w:color="auto" w:fill="F0FFFF"/>
          </w:tcPr>
          <w:p>
            <w:pPr>
              <w:spacing w:after="0"/>
              <w:rPr>
                <w:sz w:val="3"/>
                <w:szCs w:val="3"/>
                <w:color w:val="auto"/>
              </w:rPr>
            </w:pPr>
          </w:p>
        </w:tc>
        <w:tc>
          <w:tcPr>
            <w:tcW w:w="70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120" w:type="dxa"/>
            <w:vAlign w:val="bottom"/>
            <w:gridSpan w:val="41"/>
          </w:tcPr>
          <w:p>
            <w:pPr>
              <w:spacing w:after="0" w:line="99" w:lineRule="exact"/>
              <w:rPr>
                <w:sz w:val="20"/>
                <w:szCs w:val="20"/>
                <w:color w:val="auto"/>
              </w:rPr>
            </w:pPr>
            <w:r>
              <w:rPr>
                <w:rFonts w:ascii="Times New Roman" w:cs="Times New Roman" w:eastAsia="Times New Roman" w:hAnsi="Times New Roman"/>
                <w:sz w:val="11"/>
                <w:szCs w:val="11"/>
                <w:color w:val="0000EE"/>
              </w:rPr>
              <w:t>Index Value</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240" w:type="dxa"/>
            <w:vAlign w:val="bottom"/>
            <w:shd w:val="clear" w:color="auto" w:fill="F0FFFF"/>
          </w:tcPr>
          <w:p>
            <w:pPr>
              <w:spacing w:after="0"/>
              <w:rPr>
                <w:sz w:val="10"/>
                <w:szCs w:val="10"/>
                <w:color w:val="auto"/>
              </w:rPr>
            </w:pPr>
          </w:p>
        </w:tc>
        <w:tc>
          <w:tcPr>
            <w:tcW w:w="5120" w:type="dxa"/>
            <w:vAlign w:val="bottom"/>
            <w:gridSpan w:val="41"/>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0000EE"/>
              </w:rPr>
              <w:t>Index Performance</w:t>
            </w:r>
          </w:p>
        </w:tc>
        <w:tc>
          <w:tcPr>
            <w:tcW w:w="7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8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26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800" w:type="dxa"/>
            <w:vAlign w:val="bottom"/>
            <w:tcBorders>
              <w:top w:val="single" w:sz="8" w:color="F0FFFF"/>
              <w:bottom w:val="single" w:sz="8" w:color="F0FFFF"/>
            </w:tcBorders>
            <w:shd w:val="clear" w:color="auto" w:fill="F0FFFF"/>
          </w:tcPr>
          <w:p>
            <w:pPr>
              <w:spacing w:after="0"/>
              <w:rPr>
                <w:sz w:val="3"/>
                <w:szCs w:val="3"/>
                <w:color w:val="auto"/>
              </w:rPr>
            </w:pPr>
          </w:p>
        </w:tc>
        <w:tc>
          <w:tcPr>
            <w:tcW w:w="540" w:type="dxa"/>
            <w:vAlign w:val="bottom"/>
            <w:tcBorders>
              <w:top w:val="single" w:sz="8" w:color="F0FFFF"/>
              <w:bottom w:val="single" w:sz="8" w:color="F0FFFF"/>
            </w:tcBorders>
            <w:shd w:val="clear" w:color="auto" w:fill="F0FFFF"/>
          </w:tcPr>
          <w:p>
            <w:pPr>
              <w:spacing w:after="0"/>
              <w:rPr>
                <w:sz w:val="3"/>
                <w:szCs w:val="3"/>
                <w:color w:val="auto"/>
              </w:rPr>
            </w:pPr>
          </w:p>
        </w:tc>
        <w:tc>
          <w:tcPr>
            <w:tcW w:w="580" w:type="dxa"/>
            <w:vAlign w:val="bottom"/>
            <w:tcBorders>
              <w:top w:val="single" w:sz="8" w:color="F0FFFF"/>
              <w:bottom w:val="single" w:sz="8" w:color="F0FFFF"/>
            </w:tcBorders>
            <w:shd w:val="clear" w:color="auto" w:fill="F0FFFF"/>
          </w:tcPr>
          <w:p>
            <w:pPr>
              <w:spacing w:after="0"/>
              <w:rPr>
                <w:sz w:val="3"/>
                <w:szCs w:val="3"/>
                <w:color w:val="auto"/>
              </w:rPr>
            </w:pPr>
          </w:p>
        </w:tc>
        <w:tc>
          <w:tcPr>
            <w:tcW w:w="70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120" w:type="dxa"/>
            <w:vAlign w:val="bottom"/>
            <w:gridSpan w:val="41"/>
          </w:tcPr>
          <w:p>
            <w:pPr>
              <w:spacing w:after="0" w:line="99" w:lineRule="exact"/>
              <w:rPr>
                <w:sz w:val="20"/>
                <w:szCs w:val="20"/>
                <w:color w:val="auto"/>
              </w:rPr>
            </w:pPr>
            <w:r>
              <w:rPr>
                <w:rFonts w:ascii="Times New Roman" w:cs="Times New Roman" w:eastAsia="Times New Roman" w:hAnsi="Times New Roman"/>
                <w:sz w:val="11"/>
                <w:szCs w:val="11"/>
                <w:color w:val="0000EE"/>
              </w:rPr>
              <w:t>Index Examples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5360" w:type="dxa"/>
            <w:vAlign w:val="bottom"/>
            <w:gridSpan w:val="42"/>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0000EE"/>
              </w:rPr>
              <w:t>SHIELD RATES</w:t>
            </w:r>
          </w:p>
        </w:tc>
        <w:tc>
          <w:tcPr>
            <w:tcW w:w="7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40"/>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8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26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800" w:type="dxa"/>
            <w:vAlign w:val="bottom"/>
            <w:tcBorders>
              <w:top w:val="single" w:sz="8" w:color="F0FFFF"/>
              <w:bottom w:val="single" w:sz="8" w:color="F0FFFF"/>
            </w:tcBorders>
            <w:shd w:val="clear" w:color="auto" w:fill="F0FFFF"/>
          </w:tcPr>
          <w:p>
            <w:pPr>
              <w:spacing w:after="0"/>
              <w:rPr>
                <w:sz w:val="3"/>
                <w:szCs w:val="3"/>
                <w:color w:val="auto"/>
              </w:rPr>
            </w:pPr>
          </w:p>
        </w:tc>
        <w:tc>
          <w:tcPr>
            <w:tcW w:w="540" w:type="dxa"/>
            <w:vAlign w:val="bottom"/>
            <w:tcBorders>
              <w:top w:val="single" w:sz="8" w:color="F0FFFF"/>
              <w:bottom w:val="single" w:sz="8" w:color="F0FFFF"/>
            </w:tcBorders>
            <w:shd w:val="clear" w:color="auto" w:fill="F0FFFF"/>
          </w:tcPr>
          <w:p>
            <w:pPr>
              <w:spacing w:after="0"/>
              <w:rPr>
                <w:sz w:val="3"/>
                <w:szCs w:val="3"/>
                <w:color w:val="auto"/>
              </w:rPr>
            </w:pPr>
          </w:p>
        </w:tc>
        <w:tc>
          <w:tcPr>
            <w:tcW w:w="580" w:type="dxa"/>
            <w:vAlign w:val="bottom"/>
            <w:tcBorders>
              <w:top w:val="single" w:sz="8" w:color="F0FFFF"/>
              <w:bottom w:val="single" w:sz="8" w:color="F0FFFF"/>
            </w:tcBorders>
            <w:shd w:val="clear" w:color="auto" w:fill="F0FFFF"/>
          </w:tcPr>
          <w:p>
            <w:pPr>
              <w:spacing w:after="0"/>
              <w:rPr>
                <w:sz w:val="3"/>
                <w:szCs w:val="3"/>
                <w:color w:val="auto"/>
              </w:rPr>
            </w:pPr>
          </w:p>
        </w:tc>
        <w:tc>
          <w:tcPr>
            <w:tcW w:w="70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360" w:type="dxa"/>
            <w:vAlign w:val="bottom"/>
            <w:gridSpan w:val="42"/>
          </w:tcPr>
          <w:p>
            <w:pPr>
              <w:spacing w:after="0" w:line="99" w:lineRule="exact"/>
              <w:rPr>
                <w:sz w:val="20"/>
                <w:szCs w:val="20"/>
                <w:color w:val="auto"/>
              </w:rPr>
            </w:pPr>
            <w:r>
              <w:rPr>
                <w:rFonts w:ascii="Times New Roman" w:cs="Times New Roman" w:eastAsia="Times New Roman" w:hAnsi="Times New Roman"/>
                <w:sz w:val="11"/>
                <w:szCs w:val="11"/>
                <w:color w:val="0000EE"/>
              </w:rPr>
              <w:t>RATE CREDITING TYPES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40"/>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240" w:type="dxa"/>
            <w:vAlign w:val="bottom"/>
            <w:shd w:val="clear" w:color="auto" w:fill="F0FFFF"/>
          </w:tcPr>
          <w:p>
            <w:pPr>
              <w:spacing w:after="0"/>
              <w:rPr>
                <w:sz w:val="10"/>
                <w:szCs w:val="10"/>
                <w:color w:val="auto"/>
              </w:rPr>
            </w:pPr>
          </w:p>
        </w:tc>
        <w:tc>
          <w:tcPr>
            <w:tcW w:w="5120" w:type="dxa"/>
            <w:vAlign w:val="bottom"/>
            <w:gridSpan w:val="41"/>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0000EE"/>
              </w:rPr>
              <w:t>Cap Rate</w:t>
            </w:r>
          </w:p>
        </w:tc>
        <w:tc>
          <w:tcPr>
            <w:tcW w:w="7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8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26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800" w:type="dxa"/>
            <w:vAlign w:val="bottom"/>
            <w:tcBorders>
              <w:top w:val="single" w:sz="8" w:color="F0FFFF"/>
              <w:bottom w:val="single" w:sz="8" w:color="F0FFFF"/>
            </w:tcBorders>
            <w:shd w:val="clear" w:color="auto" w:fill="F0FFFF"/>
          </w:tcPr>
          <w:p>
            <w:pPr>
              <w:spacing w:after="0"/>
              <w:rPr>
                <w:sz w:val="3"/>
                <w:szCs w:val="3"/>
                <w:color w:val="auto"/>
              </w:rPr>
            </w:pPr>
          </w:p>
        </w:tc>
        <w:tc>
          <w:tcPr>
            <w:tcW w:w="540" w:type="dxa"/>
            <w:vAlign w:val="bottom"/>
            <w:tcBorders>
              <w:top w:val="single" w:sz="8" w:color="F0FFFF"/>
              <w:bottom w:val="single" w:sz="8" w:color="F0FFFF"/>
            </w:tcBorders>
            <w:shd w:val="clear" w:color="auto" w:fill="F0FFFF"/>
          </w:tcPr>
          <w:p>
            <w:pPr>
              <w:spacing w:after="0"/>
              <w:rPr>
                <w:sz w:val="3"/>
                <w:szCs w:val="3"/>
                <w:color w:val="auto"/>
              </w:rPr>
            </w:pPr>
          </w:p>
        </w:tc>
        <w:tc>
          <w:tcPr>
            <w:tcW w:w="580" w:type="dxa"/>
            <w:vAlign w:val="bottom"/>
            <w:tcBorders>
              <w:top w:val="single" w:sz="8" w:color="F0FFFF"/>
              <w:bottom w:val="single" w:sz="8" w:color="F0FFFF"/>
            </w:tcBorders>
            <w:shd w:val="clear" w:color="auto" w:fill="F0FFFF"/>
          </w:tcPr>
          <w:p>
            <w:pPr>
              <w:spacing w:after="0"/>
              <w:rPr>
                <w:sz w:val="3"/>
                <w:szCs w:val="3"/>
                <w:color w:val="auto"/>
              </w:rPr>
            </w:pPr>
          </w:p>
        </w:tc>
        <w:tc>
          <w:tcPr>
            <w:tcW w:w="70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120" w:type="dxa"/>
            <w:vAlign w:val="bottom"/>
            <w:gridSpan w:val="41"/>
          </w:tcPr>
          <w:p>
            <w:pPr>
              <w:spacing w:after="0" w:line="99" w:lineRule="exact"/>
              <w:rPr>
                <w:sz w:val="20"/>
                <w:szCs w:val="20"/>
                <w:color w:val="auto"/>
              </w:rPr>
            </w:pPr>
            <w:r>
              <w:rPr>
                <w:rFonts w:ascii="Times New Roman" w:cs="Times New Roman" w:eastAsia="Times New Roman" w:hAnsi="Times New Roman"/>
                <w:sz w:val="11"/>
                <w:szCs w:val="11"/>
                <w:color w:val="0000EE"/>
              </w:rPr>
              <w:t>Step Rate</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240" w:type="dxa"/>
            <w:vAlign w:val="bottom"/>
            <w:shd w:val="clear" w:color="auto" w:fill="F0FFFF"/>
          </w:tcPr>
          <w:p>
            <w:pPr>
              <w:spacing w:after="0"/>
              <w:rPr>
                <w:sz w:val="10"/>
                <w:szCs w:val="10"/>
                <w:color w:val="auto"/>
              </w:rPr>
            </w:pPr>
          </w:p>
        </w:tc>
        <w:tc>
          <w:tcPr>
            <w:tcW w:w="5120" w:type="dxa"/>
            <w:vAlign w:val="bottom"/>
            <w:gridSpan w:val="41"/>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0000EE"/>
              </w:rPr>
              <w:t>Step Rate Edge</w:t>
            </w:r>
          </w:p>
        </w:tc>
        <w:tc>
          <w:tcPr>
            <w:tcW w:w="7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8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26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800" w:type="dxa"/>
            <w:vAlign w:val="bottom"/>
            <w:tcBorders>
              <w:top w:val="single" w:sz="8" w:color="F0FFFF"/>
              <w:bottom w:val="single" w:sz="8" w:color="F0FFFF"/>
            </w:tcBorders>
            <w:shd w:val="clear" w:color="auto" w:fill="F0FFFF"/>
          </w:tcPr>
          <w:p>
            <w:pPr>
              <w:spacing w:after="0"/>
              <w:rPr>
                <w:sz w:val="3"/>
                <w:szCs w:val="3"/>
                <w:color w:val="auto"/>
              </w:rPr>
            </w:pPr>
          </w:p>
        </w:tc>
        <w:tc>
          <w:tcPr>
            <w:tcW w:w="540" w:type="dxa"/>
            <w:vAlign w:val="bottom"/>
            <w:tcBorders>
              <w:top w:val="single" w:sz="8" w:color="F0FFFF"/>
              <w:bottom w:val="single" w:sz="8" w:color="F0FFFF"/>
            </w:tcBorders>
            <w:shd w:val="clear" w:color="auto" w:fill="F0FFFF"/>
          </w:tcPr>
          <w:p>
            <w:pPr>
              <w:spacing w:after="0"/>
              <w:rPr>
                <w:sz w:val="3"/>
                <w:szCs w:val="3"/>
                <w:color w:val="auto"/>
              </w:rPr>
            </w:pPr>
          </w:p>
        </w:tc>
        <w:tc>
          <w:tcPr>
            <w:tcW w:w="580" w:type="dxa"/>
            <w:vAlign w:val="bottom"/>
            <w:tcBorders>
              <w:top w:val="single" w:sz="8" w:color="F0FFFF"/>
              <w:bottom w:val="single" w:sz="8" w:color="F0FFFF"/>
            </w:tcBorders>
            <w:shd w:val="clear" w:color="auto" w:fill="F0FFFF"/>
          </w:tcPr>
          <w:p>
            <w:pPr>
              <w:spacing w:after="0"/>
              <w:rPr>
                <w:sz w:val="3"/>
                <w:szCs w:val="3"/>
                <w:color w:val="auto"/>
              </w:rPr>
            </w:pPr>
          </w:p>
        </w:tc>
        <w:tc>
          <w:tcPr>
            <w:tcW w:w="70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120" w:type="dxa"/>
            <w:vAlign w:val="bottom"/>
            <w:gridSpan w:val="41"/>
          </w:tcPr>
          <w:p>
            <w:pPr>
              <w:spacing w:after="0" w:line="99" w:lineRule="exact"/>
              <w:rPr>
                <w:sz w:val="20"/>
                <w:szCs w:val="20"/>
                <w:color w:val="auto"/>
              </w:rPr>
            </w:pPr>
            <w:r>
              <w:rPr>
                <w:rFonts w:ascii="Times New Roman" w:cs="Times New Roman" w:eastAsia="Times New Roman" w:hAnsi="Times New Roman"/>
                <w:sz w:val="11"/>
                <w:szCs w:val="11"/>
                <w:color w:val="0000EE"/>
              </w:rPr>
              <w:t>Rate Crediting Type Considerations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5360" w:type="dxa"/>
            <w:vAlign w:val="bottom"/>
            <w:gridSpan w:val="42"/>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0000EE"/>
              </w:rPr>
              <w:t>ADDITION OR DISCONTINUANCE OF A SHIELD OPTION</w:t>
            </w:r>
          </w:p>
        </w:tc>
        <w:tc>
          <w:tcPr>
            <w:tcW w:w="7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40"/>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80" w:type="dxa"/>
            <w:vAlign w:val="bottom"/>
            <w:tcBorders>
              <w:top w:val="single" w:sz="8" w:color="0000EE"/>
              <w:bottom w:val="single" w:sz="8" w:color="F0FFFF"/>
            </w:tcBorders>
            <w:shd w:val="clear" w:color="auto" w:fill="F0FFFF"/>
          </w:tcPr>
          <w:p>
            <w:pPr>
              <w:spacing w:after="0"/>
              <w:rPr>
                <w:sz w:val="3"/>
                <w:szCs w:val="3"/>
                <w:color w:val="auto"/>
              </w:rPr>
            </w:pPr>
          </w:p>
        </w:tc>
        <w:tc>
          <w:tcPr>
            <w:tcW w:w="20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6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800" w:type="dxa"/>
            <w:vAlign w:val="bottom"/>
            <w:tcBorders>
              <w:top w:val="single" w:sz="8" w:color="F0FFFF"/>
              <w:bottom w:val="single" w:sz="8" w:color="F0FFFF"/>
            </w:tcBorders>
            <w:shd w:val="clear" w:color="auto" w:fill="F0FFFF"/>
          </w:tcPr>
          <w:p>
            <w:pPr>
              <w:spacing w:after="0"/>
              <w:rPr>
                <w:sz w:val="3"/>
                <w:szCs w:val="3"/>
                <w:color w:val="auto"/>
              </w:rPr>
            </w:pPr>
          </w:p>
        </w:tc>
        <w:tc>
          <w:tcPr>
            <w:tcW w:w="540" w:type="dxa"/>
            <w:vAlign w:val="bottom"/>
            <w:tcBorders>
              <w:top w:val="single" w:sz="8" w:color="F0FFFF"/>
              <w:bottom w:val="single" w:sz="8" w:color="F0FFFF"/>
            </w:tcBorders>
            <w:shd w:val="clear" w:color="auto" w:fill="F0FFFF"/>
          </w:tcPr>
          <w:p>
            <w:pPr>
              <w:spacing w:after="0"/>
              <w:rPr>
                <w:sz w:val="3"/>
                <w:szCs w:val="3"/>
                <w:color w:val="auto"/>
              </w:rPr>
            </w:pPr>
          </w:p>
        </w:tc>
        <w:tc>
          <w:tcPr>
            <w:tcW w:w="580" w:type="dxa"/>
            <w:vAlign w:val="bottom"/>
            <w:tcBorders>
              <w:top w:val="single" w:sz="8" w:color="F0FFFF"/>
              <w:bottom w:val="single" w:sz="8" w:color="F0FFFF"/>
            </w:tcBorders>
            <w:shd w:val="clear" w:color="auto" w:fill="F0FFFF"/>
          </w:tcPr>
          <w:p>
            <w:pPr>
              <w:spacing w:after="0"/>
              <w:rPr>
                <w:sz w:val="3"/>
                <w:szCs w:val="3"/>
                <w:color w:val="auto"/>
              </w:rPr>
            </w:pPr>
          </w:p>
        </w:tc>
        <w:tc>
          <w:tcPr>
            <w:tcW w:w="70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360" w:type="dxa"/>
            <w:vAlign w:val="bottom"/>
            <w:gridSpan w:val="42"/>
          </w:tcPr>
          <w:p>
            <w:pPr>
              <w:spacing w:after="0" w:line="99" w:lineRule="exact"/>
              <w:rPr>
                <w:sz w:val="20"/>
                <w:szCs w:val="20"/>
                <w:color w:val="auto"/>
              </w:rPr>
            </w:pPr>
            <w:r>
              <w:rPr>
                <w:rFonts w:ascii="Times New Roman" w:cs="Times New Roman" w:eastAsia="Times New Roman" w:hAnsi="Times New Roman"/>
                <w:sz w:val="11"/>
                <w:szCs w:val="11"/>
                <w:color w:val="0000EE"/>
              </w:rPr>
              <w:t>ACCOUNT VALUE</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40"/>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5360" w:type="dxa"/>
            <w:vAlign w:val="bottom"/>
            <w:gridSpan w:val="42"/>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0000EE"/>
              </w:rPr>
              <w:t>INVESTMENT AMOUNT</w:t>
            </w:r>
          </w:p>
        </w:tc>
        <w:tc>
          <w:tcPr>
            <w:tcW w:w="7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40"/>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8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26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800" w:type="dxa"/>
            <w:vAlign w:val="bottom"/>
            <w:tcBorders>
              <w:top w:val="single" w:sz="8" w:color="F0FFFF"/>
              <w:bottom w:val="single" w:sz="8" w:color="F0FFFF"/>
            </w:tcBorders>
            <w:shd w:val="clear" w:color="auto" w:fill="F0FFFF"/>
          </w:tcPr>
          <w:p>
            <w:pPr>
              <w:spacing w:after="0"/>
              <w:rPr>
                <w:sz w:val="3"/>
                <w:szCs w:val="3"/>
                <w:color w:val="auto"/>
              </w:rPr>
            </w:pPr>
          </w:p>
        </w:tc>
        <w:tc>
          <w:tcPr>
            <w:tcW w:w="540" w:type="dxa"/>
            <w:vAlign w:val="bottom"/>
            <w:tcBorders>
              <w:top w:val="single" w:sz="8" w:color="F0FFFF"/>
              <w:bottom w:val="single" w:sz="8" w:color="F0FFFF"/>
            </w:tcBorders>
            <w:shd w:val="clear" w:color="auto" w:fill="F0FFFF"/>
          </w:tcPr>
          <w:p>
            <w:pPr>
              <w:spacing w:after="0"/>
              <w:rPr>
                <w:sz w:val="3"/>
                <w:szCs w:val="3"/>
                <w:color w:val="auto"/>
              </w:rPr>
            </w:pPr>
          </w:p>
        </w:tc>
        <w:tc>
          <w:tcPr>
            <w:tcW w:w="580" w:type="dxa"/>
            <w:vAlign w:val="bottom"/>
            <w:tcBorders>
              <w:top w:val="single" w:sz="8" w:color="F0FFFF"/>
              <w:bottom w:val="single" w:sz="8" w:color="F0FFFF"/>
            </w:tcBorders>
            <w:shd w:val="clear" w:color="auto" w:fill="F0FFFF"/>
          </w:tcPr>
          <w:p>
            <w:pPr>
              <w:spacing w:after="0"/>
              <w:rPr>
                <w:sz w:val="3"/>
                <w:szCs w:val="3"/>
                <w:color w:val="auto"/>
              </w:rPr>
            </w:pPr>
          </w:p>
        </w:tc>
        <w:tc>
          <w:tcPr>
            <w:tcW w:w="70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360" w:type="dxa"/>
            <w:vAlign w:val="bottom"/>
            <w:gridSpan w:val="42"/>
          </w:tcPr>
          <w:p>
            <w:pPr>
              <w:spacing w:after="0" w:line="99" w:lineRule="exact"/>
              <w:rPr>
                <w:sz w:val="20"/>
                <w:szCs w:val="20"/>
                <w:color w:val="auto"/>
              </w:rPr>
            </w:pPr>
            <w:r>
              <w:rPr>
                <w:rFonts w:ascii="Times New Roman" w:cs="Times New Roman" w:eastAsia="Times New Roman" w:hAnsi="Times New Roman"/>
                <w:sz w:val="11"/>
                <w:szCs w:val="11"/>
                <w:color w:val="0000EE"/>
              </w:rPr>
              <w:t>CALCULATING YOUR INVESTMENT AMOUNT ON A TERM END DATE</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40"/>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800" w:type="dxa"/>
            <w:vAlign w:val="bottom"/>
            <w:tcBorders>
              <w:top w:val="single" w:sz="8" w:color="0000EE"/>
            </w:tcBorders>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5360" w:type="dxa"/>
            <w:vAlign w:val="bottom"/>
            <w:gridSpan w:val="42"/>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0000EE"/>
              </w:rPr>
              <w:t>CHARGES, FEES, AND ADJUSTMENTS</w:t>
            </w:r>
          </w:p>
        </w:tc>
        <w:tc>
          <w:tcPr>
            <w:tcW w:w="7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40"/>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8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26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800" w:type="dxa"/>
            <w:vAlign w:val="bottom"/>
            <w:tcBorders>
              <w:top w:val="single" w:sz="8" w:color="F0FFFF"/>
              <w:bottom w:val="single" w:sz="8" w:color="F0FFFF"/>
            </w:tcBorders>
            <w:shd w:val="clear" w:color="auto" w:fill="F0FFFF"/>
          </w:tcPr>
          <w:p>
            <w:pPr>
              <w:spacing w:after="0"/>
              <w:rPr>
                <w:sz w:val="3"/>
                <w:szCs w:val="3"/>
                <w:color w:val="auto"/>
              </w:rPr>
            </w:pPr>
          </w:p>
        </w:tc>
        <w:tc>
          <w:tcPr>
            <w:tcW w:w="540" w:type="dxa"/>
            <w:vAlign w:val="bottom"/>
            <w:tcBorders>
              <w:top w:val="single" w:sz="8" w:color="F0FFFF"/>
              <w:bottom w:val="single" w:sz="8" w:color="F0FFFF"/>
            </w:tcBorders>
            <w:shd w:val="clear" w:color="auto" w:fill="F0FFFF"/>
          </w:tcPr>
          <w:p>
            <w:pPr>
              <w:spacing w:after="0"/>
              <w:rPr>
                <w:sz w:val="3"/>
                <w:szCs w:val="3"/>
                <w:color w:val="auto"/>
              </w:rPr>
            </w:pPr>
          </w:p>
        </w:tc>
        <w:tc>
          <w:tcPr>
            <w:tcW w:w="580" w:type="dxa"/>
            <w:vAlign w:val="bottom"/>
            <w:tcBorders>
              <w:top w:val="single" w:sz="8" w:color="F0FFFF"/>
              <w:bottom w:val="single" w:sz="8" w:color="F0FFFF"/>
            </w:tcBorders>
            <w:shd w:val="clear" w:color="auto" w:fill="F0FFFF"/>
          </w:tcPr>
          <w:p>
            <w:pPr>
              <w:spacing w:after="0"/>
              <w:rPr>
                <w:sz w:val="3"/>
                <w:szCs w:val="3"/>
                <w:color w:val="auto"/>
              </w:rPr>
            </w:pPr>
          </w:p>
        </w:tc>
        <w:tc>
          <w:tcPr>
            <w:tcW w:w="70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120" w:type="dxa"/>
            <w:vAlign w:val="bottom"/>
            <w:gridSpan w:val="41"/>
          </w:tcPr>
          <w:p>
            <w:pPr>
              <w:spacing w:after="0" w:line="99" w:lineRule="exact"/>
              <w:rPr>
                <w:sz w:val="20"/>
                <w:szCs w:val="20"/>
                <w:color w:val="auto"/>
              </w:rPr>
            </w:pPr>
            <w:r>
              <w:rPr>
                <w:rFonts w:ascii="Times New Roman" w:cs="Times New Roman" w:eastAsia="Times New Roman" w:hAnsi="Times New Roman"/>
                <w:sz w:val="11"/>
                <w:szCs w:val="11"/>
                <w:color w:val="0000EE"/>
              </w:rPr>
              <w:t>Interim Value Calculation</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240" w:type="dxa"/>
            <w:vAlign w:val="bottom"/>
            <w:shd w:val="clear" w:color="auto" w:fill="F0FFFF"/>
          </w:tcPr>
          <w:p>
            <w:pPr>
              <w:spacing w:after="0"/>
              <w:rPr>
                <w:sz w:val="10"/>
                <w:szCs w:val="10"/>
                <w:color w:val="auto"/>
              </w:rPr>
            </w:pPr>
          </w:p>
        </w:tc>
        <w:tc>
          <w:tcPr>
            <w:tcW w:w="5120" w:type="dxa"/>
            <w:vAlign w:val="bottom"/>
            <w:gridSpan w:val="41"/>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0000EE"/>
              </w:rPr>
              <w:t>Withdrawal Charge</w:t>
            </w:r>
          </w:p>
        </w:tc>
        <w:tc>
          <w:tcPr>
            <w:tcW w:w="7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8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26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800" w:type="dxa"/>
            <w:vAlign w:val="bottom"/>
            <w:tcBorders>
              <w:top w:val="single" w:sz="8" w:color="F0FFFF"/>
              <w:bottom w:val="single" w:sz="8" w:color="F0FFFF"/>
            </w:tcBorders>
            <w:shd w:val="clear" w:color="auto" w:fill="F0FFFF"/>
          </w:tcPr>
          <w:p>
            <w:pPr>
              <w:spacing w:after="0"/>
              <w:rPr>
                <w:sz w:val="3"/>
                <w:szCs w:val="3"/>
                <w:color w:val="auto"/>
              </w:rPr>
            </w:pPr>
          </w:p>
        </w:tc>
        <w:tc>
          <w:tcPr>
            <w:tcW w:w="540" w:type="dxa"/>
            <w:vAlign w:val="bottom"/>
            <w:tcBorders>
              <w:top w:val="single" w:sz="8" w:color="F0FFFF"/>
              <w:bottom w:val="single" w:sz="8" w:color="F0FFFF"/>
            </w:tcBorders>
            <w:shd w:val="clear" w:color="auto" w:fill="F0FFFF"/>
          </w:tcPr>
          <w:p>
            <w:pPr>
              <w:spacing w:after="0"/>
              <w:rPr>
                <w:sz w:val="3"/>
                <w:szCs w:val="3"/>
                <w:color w:val="auto"/>
              </w:rPr>
            </w:pPr>
          </w:p>
        </w:tc>
        <w:tc>
          <w:tcPr>
            <w:tcW w:w="580" w:type="dxa"/>
            <w:vAlign w:val="bottom"/>
            <w:tcBorders>
              <w:top w:val="single" w:sz="8" w:color="F0FFFF"/>
              <w:bottom w:val="single" w:sz="8" w:color="F0FFFF"/>
            </w:tcBorders>
            <w:shd w:val="clear" w:color="auto" w:fill="F0FFFF"/>
          </w:tcPr>
          <w:p>
            <w:pPr>
              <w:spacing w:after="0"/>
              <w:rPr>
                <w:sz w:val="3"/>
                <w:szCs w:val="3"/>
                <w:color w:val="auto"/>
              </w:rPr>
            </w:pPr>
          </w:p>
        </w:tc>
        <w:tc>
          <w:tcPr>
            <w:tcW w:w="70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120" w:type="dxa"/>
            <w:vAlign w:val="bottom"/>
            <w:gridSpan w:val="41"/>
          </w:tcPr>
          <w:p>
            <w:pPr>
              <w:spacing w:after="0" w:line="99" w:lineRule="exact"/>
              <w:rPr>
                <w:sz w:val="20"/>
                <w:szCs w:val="20"/>
                <w:color w:val="auto"/>
              </w:rPr>
            </w:pPr>
            <w:r>
              <w:rPr>
                <w:rFonts w:ascii="Times New Roman" w:cs="Times New Roman" w:eastAsia="Times New Roman" w:hAnsi="Times New Roman"/>
                <w:sz w:val="11"/>
                <w:szCs w:val="11"/>
                <w:color w:val="0000EE"/>
              </w:rPr>
              <w:t>When No Withdrawal Charge Applies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240" w:type="dxa"/>
            <w:vAlign w:val="bottom"/>
            <w:shd w:val="clear" w:color="auto" w:fill="F0FFFF"/>
          </w:tcPr>
          <w:p>
            <w:pPr>
              <w:spacing w:after="0"/>
              <w:rPr>
                <w:sz w:val="10"/>
                <w:szCs w:val="10"/>
                <w:color w:val="auto"/>
              </w:rPr>
            </w:pPr>
          </w:p>
        </w:tc>
        <w:tc>
          <w:tcPr>
            <w:tcW w:w="5120" w:type="dxa"/>
            <w:vAlign w:val="bottom"/>
            <w:gridSpan w:val="41"/>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0000EE"/>
              </w:rPr>
              <w:t>Premium and Other Taxes</w:t>
            </w:r>
          </w:p>
        </w:tc>
        <w:tc>
          <w:tcPr>
            <w:tcW w:w="7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8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26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800" w:type="dxa"/>
            <w:vAlign w:val="bottom"/>
            <w:tcBorders>
              <w:top w:val="single" w:sz="8" w:color="F0FFFF"/>
              <w:bottom w:val="single" w:sz="8" w:color="F0FFFF"/>
            </w:tcBorders>
            <w:shd w:val="clear" w:color="auto" w:fill="F0FFFF"/>
          </w:tcPr>
          <w:p>
            <w:pPr>
              <w:spacing w:after="0"/>
              <w:rPr>
                <w:sz w:val="3"/>
                <w:szCs w:val="3"/>
                <w:color w:val="auto"/>
              </w:rPr>
            </w:pPr>
          </w:p>
        </w:tc>
        <w:tc>
          <w:tcPr>
            <w:tcW w:w="540" w:type="dxa"/>
            <w:vAlign w:val="bottom"/>
            <w:tcBorders>
              <w:top w:val="single" w:sz="8" w:color="F0FFFF"/>
              <w:bottom w:val="single" w:sz="8" w:color="F0FFFF"/>
            </w:tcBorders>
            <w:shd w:val="clear" w:color="auto" w:fill="F0FFFF"/>
          </w:tcPr>
          <w:p>
            <w:pPr>
              <w:spacing w:after="0"/>
              <w:rPr>
                <w:sz w:val="3"/>
                <w:szCs w:val="3"/>
                <w:color w:val="auto"/>
              </w:rPr>
            </w:pPr>
          </w:p>
        </w:tc>
        <w:tc>
          <w:tcPr>
            <w:tcW w:w="580" w:type="dxa"/>
            <w:vAlign w:val="bottom"/>
            <w:tcBorders>
              <w:top w:val="single" w:sz="8" w:color="F0FFFF"/>
              <w:bottom w:val="single" w:sz="8" w:color="F0FFFF"/>
            </w:tcBorders>
            <w:shd w:val="clear" w:color="auto" w:fill="F0FFFF"/>
          </w:tcPr>
          <w:p>
            <w:pPr>
              <w:spacing w:after="0"/>
              <w:rPr>
                <w:sz w:val="3"/>
                <w:szCs w:val="3"/>
                <w:color w:val="auto"/>
              </w:rPr>
            </w:pPr>
          </w:p>
        </w:tc>
        <w:tc>
          <w:tcPr>
            <w:tcW w:w="70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120" w:type="dxa"/>
            <w:vAlign w:val="bottom"/>
            <w:gridSpan w:val="41"/>
          </w:tcPr>
          <w:p>
            <w:pPr>
              <w:spacing w:after="0" w:line="99" w:lineRule="exact"/>
              <w:rPr>
                <w:sz w:val="20"/>
                <w:szCs w:val="20"/>
                <w:color w:val="auto"/>
              </w:rPr>
            </w:pPr>
            <w:r>
              <w:rPr>
                <w:rFonts w:ascii="Times New Roman" w:cs="Times New Roman" w:eastAsia="Times New Roman" w:hAnsi="Times New Roman"/>
                <w:sz w:val="11"/>
                <w:szCs w:val="11"/>
                <w:color w:val="0000EE"/>
              </w:rPr>
              <w:t>Income Taxes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5360" w:type="dxa"/>
            <w:vAlign w:val="bottom"/>
            <w:gridSpan w:val="42"/>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0000EE"/>
              </w:rPr>
              <w:t>WITHDRAWAL PROVISIONS</w:t>
            </w:r>
          </w:p>
        </w:tc>
        <w:tc>
          <w:tcPr>
            <w:tcW w:w="7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40"/>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8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26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800" w:type="dxa"/>
            <w:vAlign w:val="bottom"/>
            <w:tcBorders>
              <w:top w:val="single" w:sz="8" w:color="F0FFFF"/>
              <w:bottom w:val="single" w:sz="8" w:color="F0FFFF"/>
            </w:tcBorders>
            <w:shd w:val="clear" w:color="auto" w:fill="F0FFFF"/>
          </w:tcPr>
          <w:p>
            <w:pPr>
              <w:spacing w:after="0"/>
              <w:rPr>
                <w:sz w:val="3"/>
                <w:szCs w:val="3"/>
                <w:color w:val="auto"/>
              </w:rPr>
            </w:pPr>
          </w:p>
        </w:tc>
        <w:tc>
          <w:tcPr>
            <w:tcW w:w="540" w:type="dxa"/>
            <w:vAlign w:val="bottom"/>
            <w:tcBorders>
              <w:top w:val="single" w:sz="8" w:color="F0FFFF"/>
              <w:bottom w:val="single" w:sz="8" w:color="F0FFFF"/>
            </w:tcBorders>
            <w:shd w:val="clear" w:color="auto" w:fill="F0FFFF"/>
          </w:tcPr>
          <w:p>
            <w:pPr>
              <w:spacing w:after="0"/>
              <w:rPr>
                <w:sz w:val="3"/>
                <w:szCs w:val="3"/>
                <w:color w:val="auto"/>
              </w:rPr>
            </w:pPr>
          </w:p>
        </w:tc>
        <w:tc>
          <w:tcPr>
            <w:tcW w:w="580" w:type="dxa"/>
            <w:vAlign w:val="bottom"/>
            <w:tcBorders>
              <w:top w:val="single" w:sz="8" w:color="F0FFFF"/>
              <w:bottom w:val="single" w:sz="8" w:color="F0FFFF"/>
            </w:tcBorders>
            <w:shd w:val="clear" w:color="auto" w:fill="F0FFFF"/>
          </w:tcPr>
          <w:p>
            <w:pPr>
              <w:spacing w:after="0"/>
              <w:rPr>
                <w:sz w:val="3"/>
                <w:szCs w:val="3"/>
                <w:color w:val="auto"/>
              </w:rPr>
            </w:pPr>
          </w:p>
        </w:tc>
        <w:tc>
          <w:tcPr>
            <w:tcW w:w="70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360" w:type="dxa"/>
            <w:vAlign w:val="bottom"/>
            <w:gridSpan w:val="42"/>
          </w:tcPr>
          <w:p>
            <w:pPr>
              <w:spacing w:after="0" w:line="99" w:lineRule="exact"/>
              <w:rPr>
                <w:sz w:val="20"/>
                <w:szCs w:val="20"/>
                <w:color w:val="auto"/>
              </w:rPr>
            </w:pPr>
            <w:r>
              <w:rPr>
                <w:rFonts w:ascii="Times New Roman" w:cs="Times New Roman" w:eastAsia="Times New Roman" w:hAnsi="Times New Roman"/>
                <w:sz w:val="11"/>
                <w:szCs w:val="11"/>
                <w:color w:val="0000EE"/>
              </w:rPr>
              <w:t>TRANSFERS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0" w:type="dxa"/>
            <w:vAlign w:val="bottom"/>
          </w:tcPr>
          <w:p>
            <w:pPr>
              <w:spacing w:after="0"/>
              <w:rPr>
                <w:sz w:val="1"/>
                <w:szCs w:val="1"/>
                <w:color w:val="auto"/>
              </w:rPr>
            </w:pPr>
          </w:p>
        </w:tc>
      </w:tr>
      <w:tr>
        <w:trPr>
          <w:trHeight w:val="40"/>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240" w:type="dxa"/>
            <w:vAlign w:val="bottom"/>
            <w:shd w:val="clear" w:color="auto" w:fill="F0FFFF"/>
          </w:tcPr>
          <w:p>
            <w:pPr>
              <w:spacing w:after="0"/>
              <w:rPr>
                <w:sz w:val="10"/>
                <w:szCs w:val="10"/>
                <w:color w:val="auto"/>
              </w:rPr>
            </w:pPr>
          </w:p>
        </w:tc>
        <w:tc>
          <w:tcPr>
            <w:tcW w:w="5120" w:type="dxa"/>
            <w:vAlign w:val="bottom"/>
            <w:gridSpan w:val="41"/>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0000EE"/>
              </w:rPr>
              <w:t>Transfers without the Performance Lock</w:t>
            </w:r>
          </w:p>
        </w:tc>
        <w:tc>
          <w:tcPr>
            <w:tcW w:w="7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8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26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800" w:type="dxa"/>
            <w:vAlign w:val="bottom"/>
            <w:tcBorders>
              <w:top w:val="single" w:sz="8" w:color="F0FFFF"/>
              <w:bottom w:val="single" w:sz="8" w:color="F0FFFF"/>
            </w:tcBorders>
            <w:shd w:val="clear" w:color="auto" w:fill="F0FFFF"/>
          </w:tcPr>
          <w:p>
            <w:pPr>
              <w:spacing w:after="0"/>
              <w:rPr>
                <w:sz w:val="3"/>
                <w:szCs w:val="3"/>
                <w:color w:val="auto"/>
              </w:rPr>
            </w:pPr>
          </w:p>
        </w:tc>
        <w:tc>
          <w:tcPr>
            <w:tcW w:w="540" w:type="dxa"/>
            <w:vAlign w:val="bottom"/>
            <w:tcBorders>
              <w:top w:val="single" w:sz="8" w:color="F0FFFF"/>
              <w:bottom w:val="single" w:sz="8" w:color="F0FFFF"/>
            </w:tcBorders>
            <w:shd w:val="clear" w:color="auto" w:fill="F0FFFF"/>
          </w:tcPr>
          <w:p>
            <w:pPr>
              <w:spacing w:after="0"/>
              <w:rPr>
                <w:sz w:val="3"/>
                <w:szCs w:val="3"/>
                <w:color w:val="auto"/>
              </w:rPr>
            </w:pPr>
          </w:p>
        </w:tc>
        <w:tc>
          <w:tcPr>
            <w:tcW w:w="580" w:type="dxa"/>
            <w:vAlign w:val="bottom"/>
            <w:tcBorders>
              <w:top w:val="single" w:sz="8" w:color="F0FFFF"/>
              <w:bottom w:val="single" w:sz="8" w:color="F0FFFF"/>
            </w:tcBorders>
            <w:shd w:val="clear" w:color="auto" w:fill="F0FFFF"/>
          </w:tcPr>
          <w:p>
            <w:pPr>
              <w:spacing w:after="0"/>
              <w:rPr>
                <w:sz w:val="3"/>
                <w:szCs w:val="3"/>
                <w:color w:val="auto"/>
              </w:rPr>
            </w:pPr>
          </w:p>
        </w:tc>
        <w:tc>
          <w:tcPr>
            <w:tcW w:w="70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120" w:type="dxa"/>
            <w:vAlign w:val="bottom"/>
            <w:gridSpan w:val="41"/>
          </w:tcPr>
          <w:p>
            <w:pPr>
              <w:spacing w:after="0" w:line="99" w:lineRule="exact"/>
              <w:rPr>
                <w:sz w:val="20"/>
                <w:szCs w:val="20"/>
                <w:color w:val="auto"/>
              </w:rPr>
            </w:pPr>
            <w:r>
              <w:rPr>
                <w:rFonts w:ascii="Times New Roman" w:cs="Times New Roman" w:eastAsia="Times New Roman" w:hAnsi="Times New Roman"/>
                <w:sz w:val="11"/>
                <w:szCs w:val="11"/>
                <w:color w:val="0000EE"/>
              </w:rPr>
              <w:t>Transfers with the Performance Lock</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240" w:type="dxa"/>
            <w:vAlign w:val="bottom"/>
            <w:shd w:val="clear" w:color="auto" w:fill="F0FFFF"/>
          </w:tcPr>
          <w:p>
            <w:pPr>
              <w:spacing w:after="0"/>
              <w:rPr>
                <w:sz w:val="10"/>
                <w:szCs w:val="10"/>
                <w:color w:val="auto"/>
              </w:rPr>
            </w:pPr>
          </w:p>
        </w:tc>
        <w:tc>
          <w:tcPr>
            <w:tcW w:w="5120" w:type="dxa"/>
            <w:vAlign w:val="bottom"/>
            <w:gridSpan w:val="41"/>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0000EE"/>
              </w:rPr>
              <w:t>Availability of Performance Lock with a New Shield Option</w:t>
            </w:r>
          </w:p>
        </w:tc>
        <w:tc>
          <w:tcPr>
            <w:tcW w:w="7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80" w:type="dxa"/>
            <w:vAlign w:val="bottom"/>
            <w:tcBorders>
              <w:top w:val="single" w:sz="8" w:color="0000EE"/>
              <w:bottom w:val="single" w:sz="8" w:color="F0FFFF"/>
            </w:tcBorders>
            <w:shd w:val="clear" w:color="auto" w:fill="F0FFFF"/>
          </w:tcPr>
          <w:p>
            <w:pPr>
              <w:spacing w:after="0"/>
              <w:rPr>
                <w:sz w:val="3"/>
                <w:szCs w:val="3"/>
                <w:color w:val="auto"/>
              </w:rPr>
            </w:pPr>
          </w:p>
        </w:tc>
        <w:tc>
          <w:tcPr>
            <w:tcW w:w="20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6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800" w:type="dxa"/>
            <w:vAlign w:val="bottom"/>
            <w:tcBorders>
              <w:top w:val="single" w:sz="8" w:color="F0FFFF"/>
              <w:bottom w:val="single" w:sz="8" w:color="F0FFFF"/>
            </w:tcBorders>
            <w:shd w:val="clear" w:color="auto" w:fill="F0FFFF"/>
          </w:tcPr>
          <w:p>
            <w:pPr>
              <w:spacing w:after="0"/>
              <w:rPr>
                <w:sz w:val="3"/>
                <w:szCs w:val="3"/>
                <w:color w:val="auto"/>
              </w:rPr>
            </w:pPr>
          </w:p>
        </w:tc>
        <w:tc>
          <w:tcPr>
            <w:tcW w:w="540" w:type="dxa"/>
            <w:vAlign w:val="bottom"/>
            <w:tcBorders>
              <w:top w:val="single" w:sz="8" w:color="F0FFFF"/>
              <w:bottom w:val="single" w:sz="8" w:color="F0FFFF"/>
            </w:tcBorders>
            <w:shd w:val="clear" w:color="auto" w:fill="F0FFFF"/>
          </w:tcPr>
          <w:p>
            <w:pPr>
              <w:spacing w:after="0"/>
              <w:rPr>
                <w:sz w:val="3"/>
                <w:szCs w:val="3"/>
                <w:color w:val="auto"/>
              </w:rPr>
            </w:pPr>
          </w:p>
        </w:tc>
        <w:tc>
          <w:tcPr>
            <w:tcW w:w="580" w:type="dxa"/>
            <w:vAlign w:val="bottom"/>
            <w:tcBorders>
              <w:top w:val="single" w:sz="8" w:color="F0FFFF"/>
              <w:bottom w:val="single" w:sz="8" w:color="F0FFFF"/>
            </w:tcBorders>
            <w:shd w:val="clear" w:color="auto" w:fill="F0FFFF"/>
          </w:tcPr>
          <w:p>
            <w:pPr>
              <w:spacing w:after="0"/>
              <w:rPr>
                <w:sz w:val="3"/>
                <w:szCs w:val="3"/>
                <w:color w:val="auto"/>
              </w:rPr>
            </w:pPr>
          </w:p>
        </w:tc>
        <w:tc>
          <w:tcPr>
            <w:tcW w:w="70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120" w:type="dxa"/>
            <w:vAlign w:val="bottom"/>
            <w:gridSpan w:val="41"/>
          </w:tcPr>
          <w:p>
            <w:pPr>
              <w:spacing w:after="0" w:line="99" w:lineRule="exact"/>
              <w:rPr>
                <w:sz w:val="20"/>
                <w:szCs w:val="20"/>
                <w:color w:val="auto"/>
              </w:rPr>
            </w:pPr>
            <w:r>
              <w:rPr>
                <w:rFonts w:ascii="Times New Roman" w:cs="Times New Roman" w:eastAsia="Times New Roman" w:hAnsi="Times New Roman"/>
                <w:sz w:val="11"/>
                <w:szCs w:val="11"/>
                <w:color w:val="0000EE"/>
              </w:rPr>
              <w:t>Transfer Requirements for the Fixed Account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5360" w:type="dxa"/>
            <w:vAlign w:val="bottom"/>
            <w:gridSpan w:val="42"/>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0000EE"/>
              </w:rPr>
              <w:t>PERFORMANCE LOCK</w:t>
            </w:r>
          </w:p>
        </w:tc>
        <w:tc>
          <w:tcPr>
            <w:tcW w:w="7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40"/>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8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26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800" w:type="dxa"/>
            <w:vAlign w:val="bottom"/>
            <w:tcBorders>
              <w:top w:val="single" w:sz="8" w:color="F0FFFF"/>
              <w:bottom w:val="single" w:sz="8" w:color="F0FFFF"/>
            </w:tcBorders>
            <w:shd w:val="clear" w:color="auto" w:fill="F0FFFF"/>
          </w:tcPr>
          <w:p>
            <w:pPr>
              <w:spacing w:after="0"/>
              <w:rPr>
                <w:sz w:val="3"/>
                <w:szCs w:val="3"/>
                <w:color w:val="auto"/>
              </w:rPr>
            </w:pPr>
          </w:p>
        </w:tc>
        <w:tc>
          <w:tcPr>
            <w:tcW w:w="540" w:type="dxa"/>
            <w:vAlign w:val="bottom"/>
            <w:tcBorders>
              <w:top w:val="single" w:sz="8" w:color="F0FFFF"/>
              <w:bottom w:val="single" w:sz="8" w:color="F0FFFF"/>
            </w:tcBorders>
            <w:shd w:val="clear" w:color="auto" w:fill="F0FFFF"/>
          </w:tcPr>
          <w:p>
            <w:pPr>
              <w:spacing w:after="0"/>
              <w:rPr>
                <w:sz w:val="3"/>
                <w:szCs w:val="3"/>
                <w:color w:val="auto"/>
              </w:rPr>
            </w:pPr>
          </w:p>
        </w:tc>
        <w:tc>
          <w:tcPr>
            <w:tcW w:w="580" w:type="dxa"/>
            <w:vAlign w:val="bottom"/>
            <w:tcBorders>
              <w:top w:val="single" w:sz="8" w:color="F0FFFF"/>
              <w:bottom w:val="single" w:sz="8" w:color="F0FFFF"/>
            </w:tcBorders>
            <w:shd w:val="clear" w:color="auto" w:fill="F0FFFF"/>
          </w:tcPr>
          <w:p>
            <w:pPr>
              <w:spacing w:after="0"/>
              <w:rPr>
                <w:sz w:val="3"/>
                <w:szCs w:val="3"/>
                <w:color w:val="auto"/>
              </w:rPr>
            </w:pPr>
          </w:p>
        </w:tc>
        <w:tc>
          <w:tcPr>
            <w:tcW w:w="70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360" w:type="dxa"/>
            <w:vAlign w:val="bottom"/>
            <w:gridSpan w:val="42"/>
          </w:tcPr>
          <w:p>
            <w:pPr>
              <w:spacing w:after="0" w:line="99" w:lineRule="exact"/>
              <w:rPr>
                <w:sz w:val="20"/>
                <w:szCs w:val="20"/>
                <w:color w:val="auto"/>
              </w:rPr>
            </w:pPr>
            <w:r>
              <w:rPr>
                <w:rFonts w:ascii="Times New Roman" w:cs="Times New Roman" w:eastAsia="Times New Roman" w:hAnsi="Times New Roman"/>
                <w:sz w:val="11"/>
                <w:szCs w:val="11"/>
                <w:color w:val="0000EE"/>
              </w:rPr>
              <w:t>BENEFITS AVAILABLE UNDER THE CONTRACT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40"/>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5360" w:type="dxa"/>
            <w:vAlign w:val="bottom"/>
            <w:gridSpan w:val="42"/>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0000EE"/>
              </w:rPr>
              <w:t>DEATH BENEFIT</w:t>
            </w:r>
          </w:p>
        </w:tc>
        <w:tc>
          <w:tcPr>
            <w:tcW w:w="7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0" w:type="dxa"/>
            <w:vAlign w:val="bottom"/>
          </w:tcPr>
          <w:p>
            <w:pPr>
              <w:spacing w:after="0"/>
              <w:rPr>
                <w:sz w:val="1"/>
                <w:szCs w:val="1"/>
                <w:color w:val="auto"/>
              </w:rPr>
            </w:pPr>
          </w:p>
        </w:tc>
      </w:tr>
      <w:tr>
        <w:trPr>
          <w:trHeight w:val="40"/>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8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26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800" w:type="dxa"/>
            <w:vAlign w:val="bottom"/>
            <w:tcBorders>
              <w:top w:val="single" w:sz="8" w:color="F0FFFF"/>
              <w:bottom w:val="single" w:sz="8" w:color="F0FFFF"/>
            </w:tcBorders>
            <w:shd w:val="clear" w:color="auto" w:fill="F0FFFF"/>
          </w:tcPr>
          <w:p>
            <w:pPr>
              <w:spacing w:after="0"/>
              <w:rPr>
                <w:sz w:val="3"/>
                <w:szCs w:val="3"/>
                <w:color w:val="auto"/>
              </w:rPr>
            </w:pPr>
          </w:p>
        </w:tc>
        <w:tc>
          <w:tcPr>
            <w:tcW w:w="540" w:type="dxa"/>
            <w:vAlign w:val="bottom"/>
            <w:tcBorders>
              <w:top w:val="single" w:sz="8" w:color="F0FFFF"/>
              <w:bottom w:val="single" w:sz="8" w:color="F0FFFF"/>
            </w:tcBorders>
            <w:shd w:val="clear" w:color="auto" w:fill="F0FFFF"/>
          </w:tcPr>
          <w:p>
            <w:pPr>
              <w:spacing w:after="0"/>
              <w:rPr>
                <w:sz w:val="3"/>
                <w:szCs w:val="3"/>
                <w:color w:val="auto"/>
              </w:rPr>
            </w:pPr>
          </w:p>
        </w:tc>
        <w:tc>
          <w:tcPr>
            <w:tcW w:w="580" w:type="dxa"/>
            <w:vAlign w:val="bottom"/>
            <w:tcBorders>
              <w:top w:val="single" w:sz="8" w:color="F0FFFF"/>
              <w:bottom w:val="single" w:sz="8" w:color="F0FFFF"/>
            </w:tcBorders>
            <w:shd w:val="clear" w:color="auto" w:fill="F0FFFF"/>
          </w:tcPr>
          <w:p>
            <w:pPr>
              <w:spacing w:after="0"/>
              <w:rPr>
                <w:sz w:val="3"/>
                <w:szCs w:val="3"/>
                <w:color w:val="auto"/>
              </w:rPr>
            </w:pPr>
          </w:p>
        </w:tc>
        <w:tc>
          <w:tcPr>
            <w:tcW w:w="70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120" w:type="dxa"/>
            <w:vAlign w:val="bottom"/>
            <w:gridSpan w:val="41"/>
          </w:tcPr>
          <w:p>
            <w:pPr>
              <w:spacing w:after="0" w:line="99" w:lineRule="exact"/>
              <w:rPr>
                <w:sz w:val="20"/>
                <w:szCs w:val="20"/>
                <w:color w:val="auto"/>
              </w:rPr>
            </w:pPr>
            <w:r>
              <w:rPr>
                <w:rFonts w:ascii="Times New Roman" w:cs="Times New Roman" w:eastAsia="Times New Roman" w:hAnsi="Times New Roman"/>
                <w:sz w:val="11"/>
                <w:szCs w:val="11"/>
                <w:color w:val="0000EE"/>
              </w:rPr>
              <w:t>Standard Death Benefit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240" w:type="dxa"/>
            <w:vAlign w:val="bottom"/>
            <w:shd w:val="clear" w:color="auto" w:fill="F0FFFF"/>
          </w:tcPr>
          <w:p>
            <w:pPr>
              <w:spacing w:after="0"/>
              <w:rPr>
                <w:sz w:val="10"/>
                <w:szCs w:val="10"/>
                <w:color w:val="auto"/>
              </w:rPr>
            </w:pPr>
          </w:p>
        </w:tc>
        <w:tc>
          <w:tcPr>
            <w:tcW w:w="5120" w:type="dxa"/>
            <w:vAlign w:val="bottom"/>
            <w:gridSpan w:val="41"/>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0000EE"/>
              </w:rPr>
              <w:t>General Death Benefit Provisions</w:t>
            </w:r>
          </w:p>
        </w:tc>
        <w:tc>
          <w:tcPr>
            <w:tcW w:w="7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28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26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800" w:type="dxa"/>
            <w:vAlign w:val="bottom"/>
            <w:tcBorders>
              <w:top w:val="single" w:sz="8" w:color="F0FFFF"/>
              <w:bottom w:val="single" w:sz="8" w:color="F0FFFF"/>
            </w:tcBorders>
            <w:shd w:val="clear" w:color="auto" w:fill="F0FFFF"/>
          </w:tcPr>
          <w:p>
            <w:pPr>
              <w:spacing w:after="0"/>
              <w:rPr>
                <w:sz w:val="3"/>
                <w:szCs w:val="3"/>
                <w:color w:val="auto"/>
              </w:rPr>
            </w:pPr>
          </w:p>
        </w:tc>
        <w:tc>
          <w:tcPr>
            <w:tcW w:w="540" w:type="dxa"/>
            <w:vAlign w:val="bottom"/>
            <w:tcBorders>
              <w:top w:val="single" w:sz="8" w:color="F0FFFF"/>
              <w:bottom w:val="single" w:sz="8" w:color="F0FFFF"/>
            </w:tcBorders>
            <w:shd w:val="clear" w:color="auto" w:fill="F0FFFF"/>
          </w:tcPr>
          <w:p>
            <w:pPr>
              <w:spacing w:after="0"/>
              <w:rPr>
                <w:sz w:val="3"/>
                <w:szCs w:val="3"/>
                <w:color w:val="auto"/>
              </w:rPr>
            </w:pPr>
          </w:p>
        </w:tc>
        <w:tc>
          <w:tcPr>
            <w:tcW w:w="580" w:type="dxa"/>
            <w:vAlign w:val="bottom"/>
            <w:tcBorders>
              <w:top w:val="single" w:sz="8" w:color="F0FFFF"/>
              <w:bottom w:val="single" w:sz="8" w:color="F0FFFF"/>
            </w:tcBorders>
            <w:shd w:val="clear" w:color="auto" w:fill="F0FFFF"/>
          </w:tcPr>
          <w:p>
            <w:pPr>
              <w:spacing w:after="0"/>
              <w:rPr>
                <w:sz w:val="3"/>
                <w:szCs w:val="3"/>
                <w:color w:val="auto"/>
              </w:rPr>
            </w:pPr>
          </w:p>
        </w:tc>
        <w:tc>
          <w:tcPr>
            <w:tcW w:w="70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120" w:type="dxa"/>
            <w:vAlign w:val="bottom"/>
            <w:gridSpan w:val="41"/>
          </w:tcPr>
          <w:p>
            <w:pPr>
              <w:spacing w:after="0" w:line="99" w:lineRule="exact"/>
              <w:rPr>
                <w:sz w:val="20"/>
                <w:szCs w:val="20"/>
                <w:color w:val="auto"/>
              </w:rPr>
            </w:pPr>
            <w:r>
              <w:rPr>
                <w:rFonts w:ascii="Times New Roman" w:cs="Times New Roman" w:eastAsia="Times New Roman" w:hAnsi="Times New Roman"/>
                <w:sz w:val="11"/>
                <w:szCs w:val="11"/>
                <w:color w:val="0000EE"/>
              </w:rPr>
              <w:t>Controlled Payout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240" w:type="dxa"/>
            <w:vAlign w:val="bottom"/>
            <w:shd w:val="clear" w:color="auto" w:fill="F0FFFF"/>
          </w:tcPr>
          <w:p>
            <w:pPr>
              <w:spacing w:after="0"/>
              <w:rPr>
                <w:sz w:val="10"/>
                <w:szCs w:val="10"/>
                <w:color w:val="auto"/>
              </w:rPr>
            </w:pPr>
          </w:p>
        </w:tc>
        <w:tc>
          <w:tcPr>
            <w:tcW w:w="5120" w:type="dxa"/>
            <w:vAlign w:val="bottom"/>
            <w:gridSpan w:val="41"/>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0000EE"/>
              </w:rPr>
              <w:t>Death of Owner During the Accumulation Period</w:t>
            </w:r>
          </w:p>
        </w:tc>
        <w:tc>
          <w:tcPr>
            <w:tcW w:w="7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16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280" w:type="dxa"/>
            <w:vAlign w:val="bottom"/>
            <w:tcBorders>
              <w:top w:val="single" w:sz="8" w:color="0000EE"/>
              <w:bottom w:val="single" w:sz="8" w:color="F0FFFF"/>
            </w:tcBorders>
            <w:shd w:val="clear" w:color="auto" w:fill="F0FFFF"/>
          </w:tcPr>
          <w:p>
            <w:pPr>
              <w:spacing w:after="0"/>
              <w:rPr>
                <w:sz w:val="3"/>
                <w:szCs w:val="3"/>
                <w:color w:val="auto"/>
              </w:rPr>
            </w:pPr>
          </w:p>
        </w:tc>
        <w:tc>
          <w:tcPr>
            <w:tcW w:w="20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26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800" w:type="dxa"/>
            <w:vAlign w:val="bottom"/>
            <w:tcBorders>
              <w:top w:val="single" w:sz="8" w:color="F0FFFF"/>
              <w:bottom w:val="single" w:sz="8" w:color="F0FFFF"/>
            </w:tcBorders>
            <w:shd w:val="clear" w:color="auto" w:fill="F0FFFF"/>
          </w:tcPr>
          <w:p>
            <w:pPr>
              <w:spacing w:after="0"/>
              <w:rPr>
                <w:sz w:val="3"/>
                <w:szCs w:val="3"/>
                <w:color w:val="auto"/>
              </w:rPr>
            </w:pPr>
          </w:p>
        </w:tc>
        <w:tc>
          <w:tcPr>
            <w:tcW w:w="540" w:type="dxa"/>
            <w:vAlign w:val="bottom"/>
            <w:tcBorders>
              <w:top w:val="single" w:sz="8" w:color="F0FFFF"/>
              <w:bottom w:val="single" w:sz="8" w:color="F0FFFF"/>
            </w:tcBorders>
            <w:shd w:val="clear" w:color="auto" w:fill="F0FFFF"/>
          </w:tcPr>
          <w:p>
            <w:pPr>
              <w:spacing w:after="0"/>
              <w:rPr>
                <w:sz w:val="3"/>
                <w:szCs w:val="3"/>
                <w:color w:val="auto"/>
              </w:rPr>
            </w:pPr>
          </w:p>
        </w:tc>
        <w:tc>
          <w:tcPr>
            <w:tcW w:w="580" w:type="dxa"/>
            <w:vAlign w:val="bottom"/>
            <w:tcBorders>
              <w:top w:val="single" w:sz="8" w:color="F0FFFF"/>
              <w:bottom w:val="single" w:sz="8" w:color="F0FFFF"/>
            </w:tcBorders>
            <w:shd w:val="clear" w:color="auto" w:fill="F0FFFF"/>
          </w:tcPr>
          <w:p>
            <w:pPr>
              <w:spacing w:after="0"/>
              <w:rPr>
                <w:sz w:val="3"/>
                <w:szCs w:val="3"/>
                <w:color w:val="auto"/>
              </w:rPr>
            </w:pPr>
          </w:p>
        </w:tc>
        <w:tc>
          <w:tcPr>
            <w:tcW w:w="70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0" w:type="dxa"/>
            <w:vAlign w:val="bottom"/>
            <w:tcBorders>
              <w:bottom w:val="single" w:sz="8" w:color="0000EE"/>
            </w:tcBorders>
            <w:gridSpan w:val="34"/>
          </w:tcPr>
          <w:p>
            <w:pPr>
              <w:spacing w:after="0" w:line="99" w:lineRule="exact"/>
              <w:rPr>
                <w:sz w:val="20"/>
                <w:szCs w:val="20"/>
                <w:color w:val="auto"/>
              </w:rPr>
            </w:pPr>
            <w:r>
              <w:rPr>
                <w:rFonts w:ascii="Times New Roman" w:cs="Times New Roman" w:eastAsia="Times New Roman" w:hAnsi="Times New Roman"/>
                <w:sz w:val="11"/>
                <w:szCs w:val="11"/>
                <w:color w:val="0000EE"/>
              </w:rPr>
              <w:t>Death of Annuitant During the Accumulation Period</w:t>
            </w:r>
          </w:p>
        </w:tc>
        <w:tc>
          <w:tcPr>
            <w:tcW w:w="2060" w:type="dxa"/>
            <w:vAlign w:val="bottom"/>
            <w:gridSpan w:val="5"/>
            <w:vMerge w:val="restart"/>
          </w:tcPr>
          <w:p>
            <w:pPr>
              <w:spacing w:after="0"/>
              <w:rPr>
                <w:sz w:val="8"/>
                <w:szCs w:val="8"/>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gridSpan w:val="16"/>
          </w:tcPr>
          <w:p>
            <w:pPr>
              <w:spacing w:after="0"/>
              <w:rPr>
                <w:sz w:val="3"/>
                <w:szCs w:val="3"/>
                <w:color w:val="auto"/>
              </w:rPr>
            </w:pPr>
          </w:p>
        </w:tc>
        <w:tc>
          <w:tcPr>
            <w:tcW w:w="1860" w:type="dxa"/>
            <w:vAlign w:val="bottom"/>
            <w:gridSpan w:val="18"/>
          </w:tcPr>
          <w:p>
            <w:pPr>
              <w:spacing w:after="0"/>
              <w:rPr>
                <w:sz w:val="3"/>
                <w:szCs w:val="3"/>
                <w:color w:val="auto"/>
              </w:rPr>
            </w:pPr>
          </w:p>
        </w:tc>
        <w:tc>
          <w:tcPr>
            <w:tcW w:w="2060" w:type="dxa"/>
            <w:vAlign w:val="bottom"/>
            <w:gridSpan w:val="5"/>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240" w:type="dxa"/>
            <w:vAlign w:val="bottom"/>
            <w:tcBorders>
              <w:bottom w:val="single" w:sz="8" w:color="F0FFFF"/>
            </w:tcBorders>
            <w:shd w:val="clear" w:color="auto" w:fill="F0FFFF"/>
          </w:tcPr>
          <w:p>
            <w:pPr>
              <w:spacing w:after="0"/>
              <w:rPr>
                <w:sz w:val="10"/>
                <w:szCs w:val="10"/>
                <w:color w:val="auto"/>
              </w:rPr>
            </w:pPr>
          </w:p>
        </w:tc>
        <w:tc>
          <w:tcPr>
            <w:tcW w:w="1200" w:type="dxa"/>
            <w:vAlign w:val="bottom"/>
            <w:tcBorders>
              <w:bottom w:val="single" w:sz="8" w:color="0000EE"/>
            </w:tcBorders>
            <w:gridSpan w:val="18"/>
            <w:shd w:val="clear" w:color="auto" w:fill="F0FFFF"/>
          </w:tcPr>
          <w:p>
            <w:pPr>
              <w:spacing w:after="0" w:line="99" w:lineRule="exact"/>
              <w:rPr>
                <w:sz w:val="20"/>
                <w:szCs w:val="20"/>
                <w:color w:val="auto"/>
              </w:rPr>
            </w:pPr>
            <w:r>
              <w:rPr>
                <w:rFonts w:ascii="Times New Roman" w:cs="Times New Roman" w:eastAsia="Times New Roman" w:hAnsi="Times New Roman"/>
                <w:sz w:val="11"/>
                <w:szCs w:val="11"/>
                <w:color w:val="0000EE"/>
              </w:rPr>
              <w:t>Death Benefit Options</w:t>
            </w:r>
          </w:p>
        </w:tc>
        <w:tc>
          <w:tcPr>
            <w:tcW w:w="3920" w:type="dxa"/>
            <w:vAlign w:val="bottom"/>
            <w:tcBorders>
              <w:bottom w:val="single" w:sz="8" w:color="F0FFFF"/>
            </w:tcBorders>
            <w:gridSpan w:val="23"/>
            <w:shd w:val="clear" w:color="auto" w:fill="F0FFFF"/>
          </w:tcPr>
          <w:p>
            <w:pPr>
              <w:spacing w:after="0"/>
              <w:rPr>
                <w:sz w:val="10"/>
                <w:szCs w:val="10"/>
                <w:color w:val="auto"/>
              </w:rPr>
            </w:pPr>
          </w:p>
        </w:tc>
        <w:tc>
          <w:tcPr>
            <w:tcW w:w="700" w:type="dxa"/>
            <w:vAlign w:val="bottom"/>
            <w:tcBorders>
              <w:bottom w:val="single" w:sz="8" w:color="F0FFFF"/>
            </w:tcBorders>
            <w:shd w:val="clear" w:color="auto" w:fill="F0FFFF"/>
          </w:tcPr>
          <w:p>
            <w:pPr>
              <w:jc w:val="right"/>
              <w:spacing w:after="0" w:line="99" w:lineRule="exact"/>
              <w:rPr>
                <w:sz w:val="20"/>
                <w:szCs w:val="20"/>
                <w:color w:val="auto"/>
              </w:rPr>
            </w:pPr>
            <w:r>
              <w:rPr>
                <w:rFonts w:ascii="Times New Roman" w:cs="Times New Roman" w:eastAsia="Times New Roman" w:hAnsi="Times New Roman"/>
                <w:sz w:val="11"/>
                <w:szCs w:val="11"/>
                <w:color w:val="auto"/>
              </w:rPr>
              <w:t>56</w:t>
            </w:r>
          </w:p>
        </w:tc>
        <w:tc>
          <w:tcPr>
            <w:tcW w:w="0" w:type="dxa"/>
            <w:vAlign w:val="bottom"/>
          </w:tcPr>
          <w:p>
            <w:pPr>
              <w:spacing w:after="0"/>
              <w:rPr>
                <w:sz w:val="1"/>
                <w:szCs w:val="1"/>
                <w:color w:val="auto"/>
              </w:rPr>
            </w:pPr>
          </w:p>
        </w:tc>
      </w:tr>
      <w:tr>
        <w:trPr>
          <w:trHeight w:val="456"/>
        </w:trPr>
        <w:tc>
          <w:tcPr>
            <w:tcW w:w="3220" w:type="dxa"/>
            <w:vAlign w:val="bottom"/>
            <w:gridSpan w:val="37"/>
          </w:tcPr>
          <w:p>
            <w:pPr>
              <w:jc w:val="right"/>
              <w:ind w:right="160"/>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259"/>
          </w:cols>
          <w:pgMar w:left="1200" w:top="581" w:right="1440" w:bottom="1440" w:gutter="0" w:footer="0" w:header="0"/>
        </w:sectPr>
      </w:pPr>
      <w:r>
        <w:rPr>
          <w:sz w:val="20"/>
          <w:szCs w:val="20"/>
          <w:color w:val="auto"/>
        </w:rPr>
        <w:drawing>
          <wp:anchor simplePos="0" relativeHeight="251657728" behindDoc="1" locked="0" layoutInCell="0" allowOverlap="1">
            <wp:simplePos x="0" y="0"/>
            <wp:positionH relativeFrom="page">
              <wp:posOffset>177165</wp:posOffset>
            </wp:positionH>
            <wp:positionV relativeFrom="page">
              <wp:posOffset>120015</wp:posOffset>
            </wp:positionV>
            <wp:extent cx="719391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bookmarkStart w:id="5" w:name="page6"/>
    <w:bookmarkEnd w:id="5"/>
    <w:tbl>
      <w:tblPr>
        <w:tblLayout w:type="fixed"/>
        <w:tblInd w:w="0" w:type="dxa"/>
        <w:tblCellMar>
          <w:top w:w="0" w:type="dxa"/>
          <w:left w:w="0" w:type="dxa"/>
          <w:bottom w:w="0" w:type="dxa"/>
          <w:right w:w="0" w:type="dxa"/>
        </w:tblCellMar>
      </w:tblPr>
      <w:tr>
        <w:trPr>
          <w:trHeight w:val="169"/>
        </w:trPr>
        <w:tc>
          <w:tcPr>
            <w:tcW w:w="6120" w:type="dxa"/>
            <w:vAlign w:val="bottom"/>
            <w:gridSpan w:val="38"/>
          </w:tcPr>
          <w:p>
            <w:pPr>
              <w:spacing w:after="0"/>
              <w:rPr>
                <w:sz w:val="20"/>
                <w:szCs w:val="20"/>
                <w:color w:val="auto"/>
              </w:rPr>
            </w:pPr>
            <w:r>
              <w:rPr>
                <w:rFonts w:ascii="Times New Roman" w:cs="Times New Roman" w:eastAsia="Times New Roman" w:hAnsi="Times New Roman"/>
                <w:sz w:val="13"/>
                <w:szCs w:val="13"/>
                <w:color w:val="0000EE"/>
              </w:rPr>
              <w:t>ANNUITY PAYMENTS (THE ANNUITY PERIOD)</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0" w:type="dxa"/>
            <w:vAlign w:val="bottom"/>
          </w:tcPr>
          <w:p>
            <w:pPr>
              <w:spacing w:after="0"/>
              <w:rPr>
                <w:sz w:val="1"/>
                <w:szCs w:val="1"/>
                <w:color w:val="auto"/>
              </w:rPr>
            </w:pPr>
          </w:p>
        </w:tc>
      </w:tr>
      <w:tr>
        <w:trPr>
          <w:trHeight w:val="119"/>
        </w:trPr>
        <w:tc>
          <w:tcPr>
            <w:tcW w:w="2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shd w:val="clear" w:color="auto" w:fill="F0FFFF"/>
          </w:tcPr>
          <w:p>
            <w:pPr>
              <w:spacing w:after="0"/>
              <w:rPr>
                <w:sz w:val="10"/>
                <w:szCs w:val="10"/>
                <w:color w:val="auto"/>
              </w:rPr>
            </w:pPr>
          </w:p>
        </w:tc>
        <w:tc>
          <w:tcPr>
            <w:tcW w:w="2580" w:type="dxa"/>
            <w:vAlign w:val="bottom"/>
            <w:tcBorders>
              <w:top w:val="single" w:sz="8" w:color="0000EE"/>
            </w:tcBorders>
            <w:gridSpan w:val="30"/>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0000EE"/>
              </w:rPr>
              <w:t>Annuity Date</w:t>
            </w:r>
          </w:p>
        </w:tc>
        <w:tc>
          <w:tcPr>
            <w:tcW w:w="3280" w:type="dxa"/>
            <w:vAlign w:val="bottom"/>
            <w:gridSpan w:val="6"/>
            <w:shd w:val="clear" w:color="auto" w:fill="F0FFFF"/>
          </w:tcPr>
          <w:p>
            <w:pPr>
              <w:spacing w:after="0"/>
              <w:rPr>
                <w:sz w:val="10"/>
                <w:szCs w:val="10"/>
                <w:color w:val="auto"/>
              </w:rPr>
            </w:pPr>
          </w:p>
        </w:tc>
        <w:tc>
          <w:tcPr>
            <w:tcW w:w="3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0" w:type="dxa"/>
            <w:vAlign w:val="bottom"/>
            <w:tcBorders>
              <w:top w:val="single" w:sz="8" w:color="F0FFFF"/>
              <w:bottom w:val="single" w:sz="8" w:color="F0FFFF"/>
            </w:tcBorders>
            <w:shd w:val="clear" w:color="auto" w:fill="F0FFFF"/>
          </w:tcPr>
          <w:p>
            <w:pPr>
              <w:spacing w:after="0"/>
              <w:rPr>
                <w:sz w:val="3"/>
                <w:szCs w:val="3"/>
                <w:color w:val="auto"/>
              </w:rPr>
            </w:pPr>
          </w:p>
        </w:tc>
        <w:tc>
          <w:tcPr>
            <w:tcW w:w="360" w:type="dxa"/>
            <w:vAlign w:val="bottom"/>
            <w:tcBorders>
              <w:top w:val="single" w:sz="8" w:color="0000EE"/>
              <w:bottom w:val="single" w:sz="8" w:color="F0FFFF"/>
              <w:right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right w:val="single" w:sz="8" w:color="F0FFFF"/>
            </w:tcBorders>
            <w:shd w:val="clear" w:color="auto" w:fill="F0FFFF"/>
          </w:tcPr>
          <w:p>
            <w:pPr>
              <w:spacing w:after="0"/>
              <w:rPr>
                <w:sz w:val="3"/>
                <w:szCs w:val="3"/>
                <w:color w:val="auto"/>
              </w:rPr>
            </w:pPr>
          </w:p>
        </w:tc>
        <w:tc>
          <w:tcPr>
            <w:tcW w:w="30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14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140" w:type="dxa"/>
            <w:vAlign w:val="bottom"/>
            <w:tcBorders>
              <w:top w:val="single" w:sz="8" w:color="F0FFFF"/>
              <w:bottom w:val="single" w:sz="8" w:color="F0FFFF"/>
            </w:tcBorders>
            <w:shd w:val="clear" w:color="auto" w:fill="F0FFFF"/>
          </w:tcPr>
          <w:p>
            <w:pPr>
              <w:spacing w:after="0"/>
              <w:rPr>
                <w:sz w:val="3"/>
                <w:szCs w:val="3"/>
                <w:color w:val="auto"/>
              </w:rPr>
            </w:pPr>
          </w:p>
        </w:tc>
        <w:tc>
          <w:tcPr>
            <w:tcW w:w="180" w:type="dxa"/>
            <w:vAlign w:val="bottom"/>
            <w:tcBorders>
              <w:top w:val="single" w:sz="8" w:color="F0FFFF"/>
              <w:bottom w:val="single" w:sz="8" w:color="F0FFFF"/>
            </w:tcBorders>
            <w:shd w:val="clear" w:color="auto" w:fill="F0FFFF"/>
          </w:tcPr>
          <w:p>
            <w:pPr>
              <w:spacing w:after="0"/>
              <w:rPr>
                <w:sz w:val="3"/>
                <w:szCs w:val="3"/>
                <w:color w:val="auto"/>
              </w:rPr>
            </w:pPr>
          </w:p>
        </w:tc>
        <w:tc>
          <w:tcPr>
            <w:tcW w:w="14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26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240" w:type="dxa"/>
            <w:vAlign w:val="bottom"/>
            <w:tcBorders>
              <w:top w:val="single" w:sz="8" w:color="F0FFFF"/>
              <w:bottom w:val="single" w:sz="8" w:color="F0FFFF"/>
            </w:tcBorders>
            <w:shd w:val="clear" w:color="auto" w:fill="F0FFFF"/>
          </w:tcPr>
          <w:p>
            <w:pPr>
              <w:spacing w:after="0"/>
              <w:rPr>
                <w:sz w:val="3"/>
                <w:szCs w:val="3"/>
                <w:color w:val="auto"/>
              </w:rPr>
            </w:pPr>
          </w:p>
        </w:tc>
        <w:tc>
          <w:tcPr>
            <w:tcW w:w="236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60" w:type="dxa"/>
            <w:vAlign w:val="bottom"/>
            <w:gridSpan w:val="36"/>
          </w:tcPr>
          <w:p>
            <w:pPr>
              <w:spacing w:after="0" w:line="99" w:lineRule="exact"/>
              <w:rPr>
                <w:sz w:val="20"/>
                <w:szCs w:val="20"/>
                <w:color w:val="auto"/>
              </w:rPr>
            </w:pPr>
            <w:r>
              <w:rPr>
                <w:rFonts w:ascii="Times New Roman" w:cs="Times New Roman" w:eastAsia="Times New Roman" w:hAnsi="Times New Roman"/>
                <w:sz w:val="11"/>
                <w:szCs w:val="11"/>
                <w:color w:val="0000EE"/>
              </w:rPr>
              <w:t>Maturity Date</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360" w:type="dxa"/>
            <w:vAlign w:val="bottom"/>
          </w:tcPr>
          <w:p>
            <w:pPr>
              <w:spacing w:after="0"/>
              <w:rPr>
                <w:sz w:val="3"/>
                <w:szCs w:val="3"/>
                <w:color w:val="auto"/>
              </w:rPr>
            </w:pPr>
          </w:p>
        </w:tc>
        <w:tc>
          <w:tcPr>
            <w:tcW w:w="3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240" w:type="dxa"/>
            <w:vAlign w:val="bottom"/>
            <w:shd w:val="clear" w:color="auto" w:fill="F0FFFF"/>
          </w:tcPr>
          <w:p>
            <w:pPr>
              <w:spacing w:after="0"/>
              <w:rPr>
                <w:sz w:val="10"/>
                <w:szCs w:val="10"/>
                <w:color w:val="auto"/>
              </w:rPr>
            </w:pPr>
          </w:p>
        </w:tc>
        <w:tc>
          <w:tcPr>
            <w:tcW w:w="5860" w:type="dxa"/>
            <w:vAlign w:val="bottom"/>
            <w:gridSpan w:val="36"/>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0000EE"/>
              </w:rPr>
              <w:t>Annuity Payments</w:t>
            </w:r>
          </w:p>
        </w:tc>
        <w:tc>
          <w:tcPr>
            <w:tcW w:w="3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0" w:type="dxa"/>
            <w:vAlign w:val="bottom"/>
            <w:tcBorders>
              <w:top w:val="single" w:sz="8" w:color="F0FFFF"/>
              <w:bottom w:val="single" w:sz="8" w:color="F0FFFF"/>
            </w:tcBorders>
            <w:shd w:val="clear" w:color="auto" w:fill="F0FFFF"/>
          </w:tcPr>
          <w:p>
            <w:pPr>
              <w:spacing w:after="0"/>
              <w:rPr>
                <w:sz w:val="3"/>
                <w:szCs w:val="3"/>
                <w:color w:val="auto"/>
              </w:rPr>
            </w:pPr>
          </w:p>
        </w:tc>
        <w:tc>
          <w:tcPr>
            <w:tcW w:w="360" w:type="dxa"/>
            <w:vAlign w:val="bottom"/>
            <w:tcBorders>
              <w:top w:val="single" w:sz="8" w:color="0000EE"/>
              <w:bottom w:val="single" w:sz="8" w:color="F0FFFF"/>
              <w:right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right w:val="single" w:sz="8" w:color="F0FFFF"/>
            </w:tcBorders>
            <w:shd w:val="clear" w:color="auto" w:fill="F0FFFF"/>
          </w:tcPr>
          <w:p>
            <w:pPr>
              <w:spacing w:after="0"/>
              <w:rPr>
                <w:sz w:val="3"/>
                <w:szCs w:val="3"/>
                <w:color w:val="auto"/>
              </w:rPr>
            </w:pPr>
          </w:p>
        </w:tc>
        <w:tc>
          <w:tcPr>
            <w:tcW w:w="30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4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140" w:type="dxa"/>
            <w:vAlign w:val="bottom"/>
            <w:tcBorders>
              <w:top w:val="single" w:sz="8" w:color="F0FFFF"/>
              <w:bottom w:val="single" w:sz="8" w:color="F0FFFF"/>
            </w:tcBorders>
            <w:shd w:val="clear" w:color="auto" w:fill="F0FFFF"/>
          </w:tcPr>
          <w:p>
            <w:pPr>
              <w:spacing w:after="0"/>
              <w:rPr>
                <w:sz w:val="3"/>
                <w:szCs w:val="3"/>
                <w:color w:val="auto"/>
              </w:rPr>
            </w:pPr>
          </w:p>
        </w:tc>
        <w:tc>
          <w:tcPr>
            <w:tcW w:w="180" w:type="dxa"/>
            <w:vAlign w:val="bottom"/>
            <w:tcBorders>
              <w:top w:val="single" w:sz="8" w:color="F0FFFF"/>
              <w:bottom w:val="single" w:sz="8" w:color="F0FFFF"/>
            </w:tcBorders>
            <w:shd w:val="clear" w:color="auto" w:fill="F0FFFF"/>
          </w:tcPr>
          <w:p>
            <w:pPr>
              <w:spacing w:after="0"/>
              <w:rPr>
                <w:sz w:val="3"/>
                <w:szCs w:val="3"/>
                <w:color w:val="auto"/>
              </w:rPr>
            </w:pPr>
          </w:p>
        </w:tc>
        <w:tc>
          <w:tcPr>
            <w:tcW w:w="14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26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240" w:type="dxa"/>
            <w:vAlign w:val="bottom"/>
            <w:tcBorders>
              <w:top w:val="single" w:sz="8" w:color="F0FFFF"/>
              <w:bottom w:val="single" w:sz="8" w:color="F0FFFF"/>
            </w:tcBorders>
            <w:shd w:val="clear" w:color="auto" w:fill="F0FFFF"/>
          </w:tcPr>
          <w:p>
            <w:pPr>
              <w:spacing w:after="0"/>
              <w:rPr>
                <w:sz w:val="3"/>
                <w:szCs w:val="3"/>
                <w:color w:val="auto"/>
              </w:rPr>
            </w:pPr>
          </w:p>
        </w:tc>
        <w:tc>
          <w:tcPr>
            <w:tcW w:w="236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60" w:type="dxa"/>
            <w:vAlign w:val="bottom"/>
            <w:gridSpan w:val="36"/>
          </w:tcPr>
          <w:p>
            <w:pPr>
              <w:spacing w:after="0" w:line="99" w:lineRule="exact"/>
              <w:rPr>
                <w:sz w:val="20"/>
                <w:szCs w:val="20"/>
                <w:color w:val="auto"/>
              </w:rPr>
            </w:pPr>
            <w:r>
              <w:rPr>
                <w:rFonts w:ascii="Times New Roman" w:cs="Times New Roman" w:eastAsia="Times New Roman" w:hAnsi="Times New Roman"/>
                <w:sz w:val="11"/>
                <w:szCs w:val="11"/>
                <w:color w:val="0000EE"/>
              </w:rPr>
              <w:t>Annuity Options</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360" w:type="dxa"/>
            <w:vAlign w:val="bottom"/>
          </w:tcPr>
          <w:p>
            <w:pPr>
              <w:spacing w:after="0"/>
              <w:rPr>
                <w:sz w:val="3"/>
                <w:szCs w:val="3"/>
                <w:color w:val="auto"/>
              </w:rPr>
            </w:pPr>
          </w:p>
        </w:tc>
        <w:tc>
          <w:tcPr>
            <w:tcW w:w="3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240" w:type="dxa"/>
            <w:vAlign w:val="bottom"/>
            <w:shd w:val="clear" w:color="auto" w:fill="F0FFFF"/>
          </w:tcPr>
          <w:p>
            <w:pPr>
              <w:spacing w:after="0"/>
              <w:rPr>
                <w:sz w:val="10"/>
                <w:szCs w:val="10"/>
                <w:color w:val="auto"/>
              </w:rPr>
            </w:pPr>
          </w:p>
        </w:tc>
        <w:tc>
          <w:tcPr>
            <w:tcW w:w="5860" w:type="dxa"/>
            <w:vAlign w:val="bottom"/>
            <w:gridSpan w:val="36"/>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0000EE"/>
              </w:rPr>
              <w:t>Death of Owner During the Annuity Period</w:t>
            </w:r>
          </w:p>
        </w:tc>
        <w:tc>
          <w:tcPr>
            <w:tcW w:w="3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0" w:type="dxa"/>
            <w:vAlign w:val="bottom"/>
            <w:tcBorders>
              <w:top w:val="single" w:sz="8" w:color="F0FFFF"/>
              <w:bottom w:val="single" w:sz="8" w:color="F0FFFF"/>
            </w:tcBorders>
            <w:shd w:val="clear" w:color="auto" w:fill="F0FFFF"/>
          </w:tcPr>
          <w:p>
            <w:pPr>
              <w:spacing w:after="0"/>
              <w:rPr>
                <w:sz w:val="3"/>
                <w:szCs w:val="3"/>
                <w:color w:val="auto"/>
              </w:rPr>
            </w:pPr>
          </w:p>
        </w:tc>
        <w:tc>
          <w:tcPr>
            <w:tcW w:w="360" w:type="dxa"/>
            <w:vAlign w:val="bottom"/>
            <w:tcBorders>
              <w:top w:val="single" w:sz="8" w:color="0000EE"/>
              <w:bottom w:val="single" w:sz="8" w:color="F0FFFF"/>
              <w:right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right w:val="single" w:sz="8" w:color="F0FFFF"/>
            </w:tcBorders>
            <w:shd w:val="clear" w:color="auto" w:fill="F0FFFF"/>
          </w:tcPr>
          <w:p>
            <w:pPr>
              <w:spacing w:after="0"/>
              <w:rPr>
                <w:sz w:val="3"/>
                <w:szCs w:val="3"/>
                <w:color w:val="auto"/>
              </w:rPr>
            </w:pPr>
          </w:p>
        </w:tc>
        <w:tc>
          <w:tcPr>
            <w:tcW w:w="30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4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140" w:type="dxa"/>
            <w:vAlign w:val="bottom"/>
            <w:tcBorders>
              <w:top w:val="single" w:sz="8" w:color="0000EE"/>
              <w:bottom w:val="single" w:sz="8" w:color="F0FFFF"/>
            </w:tcBorders>
            <w:shd w:val="clear" w:color="auto" w:fill="F0FFFF"/>
          </w:tcPr>
          <w:p>
            <w:pPr>
              <w:spacing w:after="0"/>
              <w:rPr>
                <w:sz w:val="3"/>
                <w:szCs w:val="3"/>
                <w:color w:val="auto"/>
              </w:rPr>
            </w:pPr>
          </w:p>
        </w:tc>
        <w:tc>
          <w:tcPr>
            <w:tcW w:w="180" w:type="dxa"/>
            <w:vAlign w:val="bottom"/>
            <w:tcBorders>
              <w:top w:val="single" w:sz="8" w:color="0000EE"/>
              <w:bottom w:val="single" w:sz="8" w:color="F0FFFF"/>
            </w:tcBorders>
            <w:shd w:val="clear" w:color="auto" w:fill="F0FFFF"/>
          </w:tcPr>
          <w:p>
            <w:pPr>
              <w:spacing w:after="0"/>
              <w:rPr>
                <w:sz w:val="3"/>
                <w:szCs w:val="3"/>
                <w:color w:val="auto"/>
              </w:rPr>
            </w:pPr>
          </w:p>
        </w:tc>
        <w:tc>
          <w:tcPr>
            <w:tcW w:w="14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26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240" w:type="dxa"/>
            <w:vAlign w:val="bottom"/>
            <w:tcBorders>
              <w:top w:val="single" w:sz="8" w:color="F0FFFF"/>
              <w:bottom w:val="single" w:sz="8" w:color="F0FFFF"/>
            </w:tcBorders>
            <w:shd w:val="clear" w:color="auto" w:fill="F0FFFF"/>
          </w:tcPr>
          <w:p>
            <w:pPr>
              <w:spacing w:after="0"/>
              <w:rPr>
                <w:sz w:val="3"/>
                <w:szCs w:val="3"/>
                <w:color w:val="auto"/>
              </w:rPr>
            </w:pPr>
          </w:p>
        </w:tc>
        <w:tc>
          <w:tcPr>
            <w:tcW w:w="236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100" w:type="dxa"/>
            <w:vAlign w:val="bottom"/>
            <w:gridSpan w:val="37"/>
          </w:tcPr>
          <w:p>
            <w:pPr>
              <w:spacing w:after="0" w:line="99" w:lineRule="exact"/>
              <w:rPr>
                <w:sz w:val="20"/>
                <w:szCs w:val="20"/>
                <w:color w:val="auto"/>
              </w:rPr>
            </w:pPr>
            <w:r>
              <w:rPr>
                <w:rFonts w:ascii="Times New Roman" w:cs="Times New Roman" w:eastAsia="Times New Roman" w:hAnsi="Times New Roman"/>
                <w:sz w:val="11"/>
                <w:szCs w:val="11"/>
                <w:color w:val="0000EE"/>
              </w:rPr>
              <w:t>FEDERAL TAX CONSIDERATIONS</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0" w:type="dxa"/>
            <w:vAlign w:val="bottom"/>
          </w:tcPr>
          <w:p>
            <w:pPr>
              <w:spacing w:after="0"/>
              <w:rPr>
                <w:sz w:val="1"/>
                <w:szCs w:val="1"/>
                <w:color w:val="auto"/>
              </w:rPr>
            </w:pPr>
          </w:p>
        </w:tc>
      </w:tr>
      <w:tr>
        <w:trPr>
          <w:trHeight w:val="40"/>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360" w:type="dxa"/>
            <w:vAlign w:val="bottom"/>
          </w:tcPr>
          <w:p>
            <w:pPr>
              <w:spacing w:after="0"/>
              <w:rPr>
                <w:sz w:val="3"/>
                <w:szCs w:val="3"/>
                <w:color w:val="auto"/>
              </w:rPr>
            </w:pPr>
          </w:p>
        </w:tc>
        <w:tc>
          <w:tcPr>
            <w:tcW w:w="3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6100" w:type="dxa"/>
            <w:vAlign w:val="bottom"/>
            <w:gridSpan w:val="37"/>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0000EE"/>
              </w:rPr>
              <w:t>YOUR RIGHT TO CANCEL (FREE LOOK)</w:t>
            </w:r>
          </w:p>
        </w:tc>
        <w:tc>
          <w:tcPr>
            <w:tcW w:w="3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0" w:type="dxa"/>
            <w:vAlign w:val="bottom"/>
          </w:tcPr>
          <w:p>
            <w:pPr>
              <w:spacing w:after="0"/>
              <w:rPr>
                <w:sz w:val="1"/>
                <w:szCs w:val="1"/>
                <w:color w:val="auto"/>
              </w:rPr>
            </w:pPr>
          </w:p>
        </w:tc>
      </w:tr>
      <w:tr>
        <w:trPr>
          <w:trHeight w:val="40"/>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bottom w:val="single" w:sz="8" w:color="F0FFFF"/>
            </w:tcBorders>
            <w:shd w:val="clear" w:color="auto" w:fill="F0FFFF"/>
          </w:tcPr>
          <w:p>
            <w:pPr>
              <w:spacing w:after="0"/>
              <w:rPr>
                <w:sz w:val="3"/>
                <w:szCs w:val="3"/>
                <w:color w:val="auto"/>
              </w:rPr>
            </w:pPr>
          </w:p>
        </w:tc>
        <w:tc>
          <w:tcPr>
            <w:tcW w:w="360" w:type="dxa"/>
            <w:vAlign w:val="bottom"/>
            <w:tcBorders>
              <w:top w:val="single" w:sz="8" w:color="0000EE"/>
              <w:bottom w:val="single" w:sz="8" w:color="F0FFFF"/>
              <w:right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right w:val="single" w:sz="8" w:color="F0FFFF"/>
            </w:tcBorders>
            <w:shd w:val="clear" w:color="auto" w:fill="F0FFFF"/>
          </w:tcPr>
          <w:p>
            <w:pPr>
              <w:spacing w:after="0"/>
              <w:rPr>
                <w:sz w:val="3"/>
                <w:szCs w:val="3"/>
                <w:color w:val="auto"/>
              </w:rPr>
            </w:pPr>
          </w:p>
        </w:tc>
        <w:tc>
          <w:tcPr>
            <w:tcW w:w="30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4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140" w:type="dxa"/>
            <w:vAlign w:val="bottom"/>
            <w:tcBorders>
              <w:top w:val="single" w:sz="8" w:color="0000EE"/>
              <w:bottom w:val="single" w:sz="8" w:color="F0FFFF"/>
            </w:tcBorders>
            <w:shd w:val="clear" w:color="auto" w:fill="F0FFFF"/>
          </w:tcPr>
          <w:p>
            <w:pPr>
              <w:spacing w:after="0"/>
              <w:rPr>
                <w:sz w:val="3"/>
                <w:szCs w:val="3"/>
                <w:color w:val="auto"/>
              </w:rPr>
            </w:pPr>
          </w:p>
        </w:tc>
        <w:tc>
          <w:tcPr>
            <w:tcW w:w="180" w:type="dxa"/>
            <w:vAlign w:val="bottom"/>
            <w:tcBorders>
              <w:top w:val="single" w:sz="8" w:color="0000EE"/>
              <w:bottom w:val="single" w:sz="8" w:color="F0FFFF"/>
            </w:tcBorders>
            <w:shd w:val="clear" w:color="auto" w:fill="F0FFFF"/>
          </w:tcPr>
          <w:p>
            <w:pPr>
              <w:spacing w:after="0"/>
              <w:rPr>
                <w:sz w:val="3"/>
                <w:szCs w:val="3"/>
                <w:color w:val="auto"/>
              </w:rPr>
            </w:pPr>
          </w:p>
        </w:tc>
        <w:tc>
          <w:tcPr>
            <w:tcW w:w="14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26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240" w:type="dxa"/>
            <w:vAlign w:val="bottom"/>
            <w:tcBorders>
              <w:top w:val="single" w:sz="8" w:color="F0FFFF"/>
              <w:bottom w:val="single" w:sz="8" w:color="F0FFFF"/>
            </w:tcBorders>
            <w:shd w:val="clear" w:color="auto" w:fill="F0FFFF"/>
          </w:tcPr>
          <w:p>
            <w:pPr>
              <w:spacing w:after="0"/>
              <w:rPr>
                <w:sz w:val="3"/>
                <w:szCs w:val="3"/>
                <w:color w:val="auto"/>
              </w:rPr>
            </w:pPr>
          </w:p>
        </w:tc>
        <w:tc>
          <w:tcPr>
            <w:tcW w:w="236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100" w:type="dxa"/>
            <w:vAlign w:val="bottom"/>
            <w:gridSpan w:val="37"/>
          </w:tcPr>
          <w:p>
            <w:pPr>
              <w:spacing w:after="0" w:line="99" w:lineRule="exact"/>
              <w:rPr>
                <w:sz w:val="20"/>
                <w:szCs w:val="20"/>
                <w:color w:val="auto"/>
              </w:rPr>
            </w:pPr>
            <w:r>
              <w:rPr>
                <w:rFonts w:ascii="Times New Roman" w:cs="Times New Roman" w:eastAsia="Times New Roman" w:hAnsi="Times New Roman"/>
                <w:sz w:val="11"/>
                <w:szCs w:val="11"/>
                <w:color w:val="0000EE"/>
              </w:rPr>
              <w:t>OWNERSHIP PROVISIONS</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0" w:type="dxa"/>
            <w:vAlign w:val="bottom"/>
          </w:tcPr>
          <w:p>
            <w:pPr>
              <w:spacing w:after="0"/>
              <w:rPr>
                <w:sz w:val="1"/>
                <w:szCs w:val="1"/>
                <w:color w:val="auto"/>
              </w:rPr>
            </w:pPr>
          </w:p>
        </w:tc>
      </w:tr>
      <w:tr>
        <w:trPr>
          <w:trHeight w:val="40"/>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360" w:type="dxa"/>
            <w:vAlign w:val="bottom"/>
          </w:tcPr>
          <w:p>
            <w:pPr>
              <w:spacing w:after="0"/>
              <w:rPr>
                <w:sz w:val="3"/>
                <w:szCs w:val="3"/>
                <w:color w:val="auto"/>
              </w:rPr>
            </w:pPr>
          </w:p>
        </w:tc>
        <w:tc>
          <w:tcPr>
            <w:tcW w:w="3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6100" w:type="dxa"/>
            <w:vAlign w:val="bottom"/>
            <w:gridSpan w:val="37"/>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0000EE"/>
              </w:rPr>
              <w:t>ABANDONED PROPERTY REQUIREMENTS</w:t>
            </w:r>
          </w:p>
        </w:tc>
        <w:tc>
          <w:tcPr>
            <w:tcW w:w="3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0" w:type="dxa"/>
            <w:vAlign w:val="bottom"/>
          </w:tcPr>
          <w:p>
            <w:pPr>
              <w:spacing w:after="0"/>
              <w:rPr>
                <w:sz w:val="1"/>
                <w:szCs w:val="1"/>
                <w:color w:val="auto"/>
              </w:rPr>
            </w:pPr>
          </w:p>
        </w:tc>
      </w:tr>
      <w:tr>
        <w:trPr>
          <w:trHeight w:val="40"/>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bottom w:val="single" w:sz="8" w:color="F0FFFF"/>
            </w:tcBorders>
            <w:shd w:val="clear" w:color="auto" w:fill="F0FFFF"/>
          </w:tcPr>
          <w:p>
            <w:pPr>
              <w:spacing w:after="0"/>
              <w:rPr>
                <w:sz w:val="3"/>
                <w:szCs w:val="3"/>
                <w:color w:val="auto"/>
              </w:rPr>
            </w:pPr>
          </w:p>
        </w:tc>
        <w:tc>
          <w:tcPr>
            <w:tcW w:w="360" w:type="dxa"/>
            <w:vAlign w:val="bottom"/>
            <w:tcBorders>
              <w:top w:val="single" w:sz="8" w:color="0000EE"/>
              <w:bottom w:val="single" w:sz="8" w:color="F0FFFF"/>
              <w:right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right w:val="single" w:sz="8" w:color="F0FFFF"/>
            </w:tcBorders>
            <w:shd w:val="clear" w:color="auto" w:fill="F0FFFF"/>
          </w:tcPr>
          <w:p>
            <w:pPr>
              <w:spacing w:after="0"/>
              <w:rPr>
                <w:sz w:val="3"/>
                <w:szCs w:val="3"/>
                <w:color w:val="auto"/>
              </w:rPr>
            </w:pPr>
          </w:p>
        </w:tc>
        <w:tc>
          <w:tcPr>
            <w:tcW w:w="30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4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140" w:type="dxa"/>
            <w:vAlign w:val="bottom"/>
            <w:tcBorders>
              <w:top w:val="single" w:sz="8" w:color="0000EE"/>
              <w:bottom w:val="single" w:sz="8" w:color="F0FFFF"/>
            </w:tcBorders>
            <w:shd w:val="clear" w:color="auto" w:fill="F0FFFF"/>
          </w:tcPr>
          <w:p>
            <w:pPr>
              <w:spacing w:after="0"/>
              <w:rPr>
                <w:sz w:val="3"/>
                <w:szCs w:val="3"/>
                <w:color w:val="auto"/>
              </w:rPr>
            </w:pPr>
          </w:p>
        </w:tc>
        <w:tc>
          <w:tcPr>
            <w:tcW w:w="180" w:type="dxa"/>
            <w:vAlign w:val="bottom"/>
            <w:tcBorders>
              <w:top w:val="single" w:sz="8" w:color="0000EE"/>
              <w:bottom w:val="single" w:sz="8" w:color="F0FFFF"/>
            </w:tcBorders>
            <w:shd w:val="clear" w:color="auto" w:fill="F0FFFF"/>
          </w:tcPr>
          <w:p>
            <w:pPr>
              <w:spacing w:after="0"/>
              <w:rPr>
                <w:sz w:val="3"/>
                <w:szCs w:val="3"/>
                <w:color w:val="auto"/>
              </w:rPr>
            </w:pPr>
          </w:p>
        </w:tc>
        <w:tc>
          <w:tcPr>
            <w:tcW w:w="14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26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240" w:type="dxa"/>
            <w:vAlign w:val="bottom"/>
            <w:tcBorders>
              <w:top w:val="single" w:sz="8" w:color="F0FFFF"/>
              <w:bottom w:val="single" w:sz="8" w:color="F0FFFF"/>
            </w:tcBorders>
            <w:shd w:val="clear" w:color="auto" w:fill="F0FFFF"/>
          </w:tcPr>
          <w:p>
            <w:pPr>
              <w:spacing w:after="0"/>
              <w:rPr>
                <w:sz w:val="3"/>
                <w:szCs w:val="3"/>
                <w:color w:val="auto"/>
              </w:rPr>
            </w:pPr>
          </w:p>
        </w:tc>
        <w:tc>
          <w:tcPr>
            <w:tcW w:w="236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100" w:type="dxa"/>
            <w:vAlign w:val="bottom"/>
            <w:gridSpan w:val="37"/>
          </w:tcPr>
          <w:p>
            <w:pPr>
              <w:spacing w:after="0" w:line="99" w:lineRule="exact"/>
              <w:rPr>
                <w:sz w:val="20"/>
                <w:szCs w:val="20"/>
                <w:color w:val="auto"/>
              </w:rPr>
            </w:pPr>
            <w:r>
              <w:rPr>
                <w:rFonts w:ascii="Times New Roman" w:cs="Times New Roman" w:eastAsia="Times New Roman" w:hAnsi="Times New Roman"/>
                <w:sz w:val="11"/>
                <w:szCs w:val="11"/>
                <w:color w:val="0000EE"/>
              </w:rPr>
              <w:t>SUSPENSION OF PAYMENTS OR TRANSFERS</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0" w:type="dxa"/>
            <w:vAlign w:val="bottom"/>
          </w:tcPr>
          <w:p>
            <w:pPr>
              <w:spacing w:after="0"/>
              <w:rPr>
                <w:sz w:val="1"/>
                <w:szCs w:val="1"/>
                <w:color w:val="auto"/>
              </w:rPr>
            </w:pPr>
          </w:p>
        </w:tc>
      </w:tr>
      <w:tr>
        <w:trPr>
          <w:trHeight w:val="40"/>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360" w:type="dxa"/>
            <w:vAlign w:val="bottom"/>
          </w:tcPr>
          <w:p>
            <w:pPr>
              <w:spacing w:after="0"/>
              <w:rPr>
                <w:sz w:val="3"/>
                <w:szCs w:val="3"/>
                <w:color w:val="auto"/>
              </w:rPr>
            </w:pPr>
          </w:p>
        </w:tc>
        <w:tc>
          <w:tcPr>
            <w:tcW w:w="3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6100" w:type="dxa"/>
            <w:vAlign w:val="bottom"/>
            <w:gridSpan w:val="37"/>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0000EE"/>
              </w:rPr>
              <w:t>WHEN WE CAN CANCEL YOUR CONTRACT</w:t>
            </w:r>
          </w:p>
        </w:tc>
        <w:tc>
          <w:tcPr>
            <w:tcW w:w="3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0" w:type="dxa"/>
            <w:vAlign w:val="bottom"/>
          </w:tcPr>
          <w:p>
            <w:pPr>
              <w:spacing w:after="0"/>
              <w:rPr>
                <w:sz w:val="1"/>
                <w:szCs w:val="1"/>
                <w:color w:val="auto"/>
              </w:rPr>
            </w:pPr>
          </w:p>
        </w:tc>
      </w:tr>
      <w:tr>
        <w:trPr>
          <w:trHeight w:val="40"/>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bottom w:val="single" w:sz="8" w:color="F0FFFF"/>
            </w:tcBorders>
            <w:shd w:val="clear" w:color="auto" w:fill="F0FFFF"/>
          </w:tcPr>
          <w:p>
            <w:pPr>
              <w:spacing w:after="0"/>
              <w:rPr>
                <w:sz w:val="3"/>
                <w:szCs w:val="3"/>
                <w:color w:val="auto"/>
              </w:rPr>
            </w:pPr>
          </w:p>
        </w:tc>
        <w:tc>
          <w:tcPr>
            <w:tcW w:w="360" w:type="dxa"/>
            <w:vAlign w:val="bottom"/>
            <w:tcBorders>
              <w:top w:val="single" w:sz="8" w:color="0000EE"/>
              <w:bottom w:val="single" w:sz="8" w:color="F0FFFF"/>
              <w:right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right w:val="single" w:sz="8" w:color="F0FFFF"/>
            </w:tcBorders>
            <w:shd w:val="clear" w:color="auto" w:fill="F0FFFF"/>
          </w:tcPr>
          <w:p>
            <w:pPr>
              <w:spacing w:after="0"/>
              <w:rPr>
                <w:sz w:val="3"/>
                <w:szCs w:val="3"/>
                <w:color w:val="auto"/>
              </w:rPr>
            </w:pPr>
          </w:p>
        </w:tc>
        <w:tc>
          <w:tcPr>
            <w:tcW w:w="30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4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140" w:type="dxa"/>
            <w:vAlign w:val="bottom"/>
            <w:tcBorders>
              <w:top w:val="single" w:sz="8" w:color="0000EE"/>
              <w:bottom w:val="single" w:sz="8" w:color="F0FFFF"/>
            </w:tcBorders>
            <w:shd w:val="clear" w:color="auto" w:fill="F0FFFF"/>
          </w:tcPr>
          <w:p>
            <w:pPr>
              <w:spacing w:after="0"/>
              <w:rPr>
                <w:sz w:val="3"/>
                <w:szCs w:val="3"/>
                <w:color w:val="auto"/>
              </w:rPr>
            </w:pPr>
          </w:p>
        </w:tc>
        <w:tc>
          <w:tcPr>
            <w:tcW w:w="180" w:type="dxa"/>
            <w:vAlign w:val="bottom"/>
            <w:tcBorders>
              <w:top w:val="single" w:sz="8" w:color="0000EE"/>
              <w:bottom w:val="single" w:sz="8" w:color="F0FFFF"/>
            </w:tcBorders>
            <w:shd w:val="clear" w:color="auto" w:fill="F0FFFF"/>
          </w:tcPr>
          <w:p>
            <w:pPr>
              <w:spacing w:after="0"/>
              <w:rPr>
                <w:sz w:val="3"/>
                <w:szCs w:val="3"/>
                <w:color w:val="auto"/>
              </w:rPr>
            </w:pPr>
          </w:p>
        </w:tc>
        <w:tc>
          <w:tcPr>
            <w:tcW w:w="14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26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240" w:type="dxa"/>
            <w:vAlign w:val="bottom"/>
            <w:tcBorders>
              <w:top w:val="single" w:sz="8" w:color="F0FFFF"/>
              <w:bottom w:val="single" w:sz="8" w:color="F0FFFF"/>
            </w:tcBorders>
            <w:shd w:val="clear" w:color="auto" w:fill="F0FFFF"/>
          </w:tcPr>
          <w:p>
            <w:pPr>
              <w:spacing w:after="0"/>
              <w:rPr>
                <w:sz w:val="3"/>
                <w:szCs w:val="3"/>
                <w:color w:val="auto"/>
              </w:rPr>
            </w:pPr>
          </w:p>
        </w:tc>
        <w:tc>
          <w:tcPr>
            <w:tcW w:w="236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100" w:type="dxa"/>
            <w:vAlign w:val="bottom"/>
            <w:gridSpan w:val="37"/>
          </w:tcPr>
          <w:p>
            <w:pPr>
              <w:spacing w:after="0" w:line="99" w:lineRule="exact"/>
              <w:rPr>
                <w:sz w:val="20"/>
                <w:szCs w:val="20"/>
                <w:color w:val="auto"/>
              </w:rPr>
            </w:pPr>
            <w:r>
              <w:rPr>
                <w:rFonts w:ascii="Times New Roman" w:cs="Times New Roman" w:eastAsia="Times New Roman" w:hAnsi="Times New Roman"/>
                <w:sz w:val="11"/>
                <w:szCs w:val="11"/>
                <w:color w:val="0000EE"/>
              </w:rPr>
              <w:t>THE INSURANCE COMPANY</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0" w:type="dxa"/>
            <w:vAlign w:val="bottom"/>
          </w:tcPr>
          <w:p>
            <w:pPr>
              <w:spacing w:after="0"/>
              <w:rPr>
                <w:sz w:val="1"/>
                <w:szCs w:val="1"/>
                <w:color w:val="auto"/>
              </w:rPr>
            </w:pPr>
          </w:p>
        </w:tc>
      </w:tr>
      <w:tr>
        <w:trPr>
          <w:trHeight w:val="40"/>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360" w:type="dxa"/>
            <w:vAlign w:val="bottom"/>
          </w:tcPr>
          <w:p>
            <w:pPr>
              <w:spacing w:after="0"/>
              <w:rPr>
                <w:sz w:val="3"/>
                <w:szCs w:val="3"/>
                <w:color w:val="auto"/>
              </w:rPr>
            </w:pPr>
          </w:p>
        </w:tc>
        <w:tc>
          <w:tcPr>
            <w:tcW w:w="3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240" w:type="dxa"/>
            <w:vAlign w:val="bottom"/>
            <w:shd w:val="clear" w:color="auto" w:fill="F0FFFF"/>
          </w:tcPr>
          <w:p>
            <w:pPr>
              <w:spacing w:after="0"/>
              <w:rPr>
                <w:sz w:val="10"/>
                <w:szCs w:val="10"/>
                <w:color w:val="auto"/>
              </w:rPr>
            </w:pPr>
          </w:p>
        </w:tc>
        <w:tc>
          <w:tcPr>
            <w:tcW w:w="5860" w:type="dxa"/>
            <w:vAlign w:val="bottom"/>
            <w:gridSpan w:val="36"/>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0000EE"/>
              </w:rPr>
              <w:t>Brighthouse Life Insurance Company of NY</w:t>
            </w:r>
          </w:p>
        </w:tc>
        <w:tc>
          <w:tcPr>
            <w:tcW w:w="3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0" w:type="dxa"/>
            <w:vAlign w:val="bottom"/>
            <w:tcBorders>
              <w:top w:val="single" w:sz="8" w:color="F0FFFF"/>
              <w:bottom w:val="single" w:sz="8" w:color="F0FFFF"/>
            </w:tcBorders>
            <w:shd w:val="clear" w:color="auto" w:fill="F0FFFF"/>
          </w:tcPr>
          <w:p>
            <w:pPr>
              <w:spacing w:after="0"/>
              <w:rPr>
                <w:sz w:val="3"/>
                <w:szCs w:val="3"/>
                <w:color w:val="auto"/>
              </w:rPr>
            </w:pPr>
          </w:p>
        </w:tc>
        <w:tc>
          <w:tcPr>
            <w:tcW w:w="360" w:type="dxa"/>
            <w:vAlign w:val="bottom"/>
            <w:tcBorders>
              <w:top w:val="single" w:sz="8" w:color="0000EE"/>
              <w:bottom w:val="single" w:sz="8" w:color="F0FFFF"/>
              <w:right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right w:val="single" w:sz="8" w:color="F0FFFF"/>
            </w:tcBorders>
            <w:shd w:val="clear" w:color="auto" w:fill="F0FFFF"/>
          </w:tcPr>
          <w:p>
            <w:pPr>
              <w:spacing w:after="0"/>
              <w:rPr>
                <w:sz w:val="3"/>
                <w:szCs w:val="3"/>
                <w:color w:val="auto"/>
              </w:rPr>
            </w:pPr>
          </w:p>
        </w:tc>
        <w:tc>
          <w:tcPr>
            <w:tcW w:w="30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4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140" w:type="dxa"/>
            <w:vAlign w:val="bottom"/>
            <w:tcBorders>
              <w:top w:val="single" w:sz="8" w:color="0000EE"/>
              <w:bottom w:val="single" w:sz="8" w:color="F0FFFF"/>
            </w:tcBorders>
            <w:shd w:val="clear" w:color="auto" w:fill="F0FFFF"/>
          </w:tcPr>
          <w:p>
            <w:pPr>
              <w:spacing w:after="0"/>
              <w:rPr>
                <w:sz w:val="3"/>
                <w:szCs w:val="3"/>
                <w:color w:val="auto"/>
              </w:rPr>
            </w:pPr>
          </w:p>
        </w:tc>
        <w:tc>
          <w:tcPr>
            <w:tcW w:w="180" w:type="dxa"/>
            <w:vAlign w:val="bottom"/>
            <w:tcBorders>
              <w:top w:val="single" w:sz="8" w:color="0000EE"/>
              <w:bottom w:val="single" w:sz="8" w:color="F0FFFF"/>
            </w:tcBorders>
            <w:shd w:val="clear" w:color="auto" w:fill="F0FFFF"/>
          </w:tcPr>
          <w:p>
            <w:pPr>
              <w:spacing w:after="0"/>
              <w:rPr>
                <w:sz w:val="3"/>
                <w:szCs w:val="3"/>
                <w:color w:val="auto"/>
              </w:rPr>
            </w:pPr>
          </w:p>
        </w:tc>
        <w:tc>
          <w:tcPr>
            <w:tcW w:w="14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26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240" w:type="dxa"/>
            <w:vAlign w:val="bottom"/>
            <w:tcBorders>
              <w:top w:val="single" w:sz="8" w:color="F0FFFF"/>
              <w:bottom w:val="single" w:sz="8" w:color="F0FFFF"/>
            </w:tcBorders>
            <w:shd w:val="clear" w:color="auto" w:fill="F0FFFF"/>
          </w:tcPr>
          <w:p>
            <w:pPr>
              <w:spacing w:after="0"/>
              <w:rPr>
                <w:sz w:val="3"/>
                <w:szCs w:val="3"/>
                <w:color w:val="auto"/>
              </w:rPr>
            </w:pPr>
          </w:p>
        </w:tc>
        <w:tc>
          <w:tcPr>
            <w:tcW w:w="236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100" w:type="dxa"/>
            <w:vAlign w:val="bottom"/>
            <w:gridSpan w:val="37"/>
          </w:tcPr>
          <w:p>
            <w:pPr>
              <w:spacing w:after="0" w:line="99" w:lineRule="exact"/>
              <w:rPr>
                <w:sz w:val="20"/>
                <w:szCs w:val="20"/>
                <w:color w:val="auto"/>
              </w:rPr>
            </w:pPr>
            <w:r>
              <w:rPr>
                <w:rFonts w:ascii="Times New Roman" w:cs="Times New Roman" w:eastAsia="Times New Roman" w:hAnsi="Times New Roman"/>
                <w:sz w:val="11"/>
                <w:szCs w:val="11"/>
                <w:color w:val="0000EE"/>
              </w:rPr>
              <w:t>THE SEPARATE ACCOUNT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0" w:type="dxa"/>
            <w:vAlign w:val="bottom"/>
          </w:tcPr>
          <w:p>
            <w:pPr>
              <w:spacing w:after="0"/>
              <w:rPr>
                <w:sz w:val="1"/>
                <w:szCs w:val="1"/>
                <w:color w:val="auto"/>
              </w:rPr>
            </w:pPr>
          </w:p>
        </w:tc>
      </w:tr>
      <w:tr>
        <w:trPr>
          <w:trHeight w:val="40"/>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360" w:type="dxa"/>
            <w:vAlign w:val="bottom"/>
          </w:tcPr>
          <w:p>
            <w:pPr>
              <w:spacing w:after="0"/>
              <w:rPr>
                <w:sz w:val="3"/>
                <w:szCs w:val="3"/>
                <w:color w:val="auto"/>
              </w:rPr>
            </w:pPr>
          </w:p>
        </w:tc>
        <w:tc>
          <w:tcPr>
            <w:tcW w:w="3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6100" w:type="dxa"/>
            <w:vAlign w:val="bottom"/>
            <w:gridSpan w:val="37"/>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0000EE"/>
              </w:rPr>
              <w:t>INVESTMENTS BY BLNY</w:t>
            </w:r>
          </w:p>
        </w:tc>
        <w:tc>
          <w:tcPr>
            <w:tcW w:w="3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0" w:type="dxa"/>
            <w:vAlign w:val="bottom"/>
          </w:tcPr>
          <w:p>
            <w:pPr>
              <w:spacing w:after="0"/>
              <w:rPr>
                <w:sz w:val="1"/>
                <w:szCs w:val="1"/>
                <w:color w:val="auto"/>
              </w:rPr>
            </w:pPr>
          </w:p>
        </w:tc>
      </w:tr>
      <w:tr>
        <w:trPr>
          <w:trHeight w:val="40"/>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bottom w:val="single" w:sz="8" w:color="F0FFFF"/>
            </w:tcBorders>
            <w:shd w:val="clear" w:color="auto" w:fill="F0FFFF"/>
          </w:tcPr>
          <w:p>
            <w:pPr>
              <w:spacing w:after="0"/>
              <w:rPr>
                <w:sz w:val="3"/>
                <w:szCs w:val="3"/>
                <w:color w:val="auto"/>
              </w:rPr>
            </w:pPr>
          </w:p>
        </w:tc>
        <w:tc>
          <w:tcPr>
            <w:tcW w:w="360" w:type="dxa"/>
            <w:vAlign w:val="bottom"/>
            <w:tcBorders>
              <w:top w:val="single" w:sz="8" w:color="0000EE"/>
              <w:bottom w:val="single" w:sz="8" w:color="F0FFFF"/>
              <w:right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right w:val="single" w:sz="8" w:color="F0FFFF"/>
            </w:tcBorders>
            <w:shd w:val="clear" w:color="auto" w:fill="F0FFFF"/>
          </w:tcPr>
          <w:p>
            <w:pPr>
              <w:spacing w:after="0"/>
              <w:rPr>
                <w:sz w:val="3"/>
                <w:szCs w:val="3"/>
                <w:color w:val="auto"/>
              </w:rPr>
            </w:pPr>
          </w:p>
        </w:tc>
        <w:tc>
          <w:tcPr>
            <w:tcW w:w="30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4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140" w:type="dxa"/>
            <w:vAlign w:val="bottom"/>
            <w:tcBorders>
              <w:top w:val="single" w:sz="8" w:color="F0FFFF"/>
              <w:bottom w:val="single" w:sz="8" w:color="F0FFFF"/>
            </w:tcBorders>
            <w:shd w:val="clear" w:color="auto" w:fill="F0FFFF"/>
          </w:tcPr>
          <w:p>
            <w:pPr>
              <w:spacing w:after="0"/>
              <w:rPr>
                <w:sz w:val="3"/>
                <w:szCs w:val="3"/>
                <w:color w:val="auto"/>
              </w:rPr>
            </w:pPr>
          </w:p>
        </w:tc>
        <w:tc>
          <w:tcPr>
            <w:tcW w:w="180" w:type="dxa"/>
            <w:vAlign w:val="bottom"/>
            <w:tcBorders>
              <w:top w:val="single" w:sz="8" w:color="F0FFFF"/>
              <w:bottom w:val="single" w:sz="8" w:color="F0FFFF"/>
            </w:tcBorders>
            <w:shd w:val="clear" w:color="auto" w:fill="F0FFFF"/>
          </w:tcPr>
          <w:p>
            <w:pPr>
              <w:spacing w:after="0"/>
              <w:rPr>
                <w:sz w:val="3"/>
                <w:szCs w:val="3"/>
                <w:color w:val="auto"/>
              </w:rPr>
            </w:pPr>
          </w:p>
        </w:tc>
        <w:tc>
          <w:tcPr>
            <w:tcW w:w="14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26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240" w:type="dxa"/>
            <w:vAlign w:val="bottom"/>
            <w:tcBorders>
              <w:top w:val="single" w:sz="8" w:color="F0FFFF"/>
              <w:bottom w:val="single" w:sz="8" w:color="F0FFFF"/>
            </w:tcBorders>
            <w:shd w:val="clear" w:color="auto" w:fill="F0FFFF"/>
          </w:tcPr>
          <w:p>
            <w:pPr>
              <w:spacing w:after="0"/>
              <w:rPr>
                <w:sz w:val="3"/>
                <w:szCs w:val="3"/>
                <w:color w:val="auto"/>
              </w:rPr>
            </w:pPr>
          </w:p>
        </w:tc>
        <w:tc>
          <w:tcPr>
            <w:tcW w:w="236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100" w:type="dxa"/>
            <w:vAlign w:val="bottom"/>
            <w:gridSpan w:val="37"/>
          </w:tcPr>
          <w:p>
            <w:pPr>
              <w:spacing w:after="0" w:line="99" w:lineRule="exact"/>
              <w:rPr>
                <w:sz w:val="20"/>
                <w:szCs w:val="20"/>
                <w:color w:val="auto"/>
              </w:rPr>
            </w:pPr>
            <w:r>
              <w:rPr>
                <w:rFonts w:ascii="Times New Roman" w:cs="Times New Roman" w:eastAsia="Times New Roman" w:hAnsi="Times New Roman"/>
                <w:sz w:val="11"/>
                <w:szCs w:val="11"/>
                <w:color w:val="0000EE"/>
              </w:rPr>
              <w:t>ANNUAL STATEMENT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0" w:type="dxa"/>
            <w:vAlign w:val="bottom"/>
          </w:tcPr>
          <w:p>
            <w:pPr>
              <w:spacing w:after="0"/>
              <w:rPr>
                <w:sz w:val="1"/>
                <w:szCs w:val="1"/>
                <w:color w:val="auto"/>
              </w:rPr>
            </w:pPr>
          </w:p>
        </w:tc>
      </w:tr>
      <w:tr>
        <w:trPr>
          <w:trHeight w:val="40"/>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360" w:type="dxa"/>
            <w:vAlign w:val="bottom"/>
          </w:tcPr>
          <w:p>
            <w:pPr>
              <w:spacing w:after="0"/>
              <w:rPr>
                <w:sz w:val="3"/>
                <w:szCs w:val="3"/>
                <w:color w:val="auto"/>
              </w:rPr>
            </w:pPr>
          </w:p>
        </w:tc>
        <w:tc>
          <w:tcPr>
            <w:tcW w:w="3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6100" w:type="dxa"/>
            <w:vAlign w:val="bottom"/>
            <w:gridSpan w:val="37"/>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0000EE"/>
              </w:rPr>
              <w:t>DISTRIBUTION OF THE CONTRACTS</w:t>
            </w:r>
          </w:p>
        </w:tc>
        <w:tc>
          <w:tcPr>
            <w:tcW w:w="3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0" w:type="dxa"/>
            <w:vAlign w:val="bottom"/>
          </w:tcPr>
          <w:p>
            <w:pPr>
              <w:spacing w:after="0"/>
              <w:rPr>
                <w:sz w:val="1"/>
                <w:szCs w:val="1"/>
                <w:color w:val="auto"/>
              </w:rPr>
            </w:pPr>
          </w:p>
        </w:tc>
      </w:tr>
      <w:tr>
        <w:trPr>
          <w:trHeight w:val="40"/>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bottom w:val="single" w:sz="8" w:color="F0FFFF"/>
            </w:tcBorders>
            <w:shd w:val="clear" w:color="auto" w:fill="F0FFFF"/>
          </w:tcPr>
          <w:p>
            <w:pPr>
              <w:spacing w:after="0"/>
              <w:rPr>
                <w:sz w:val="3"/>
                <w:szCs w:val="3"/>
                <w:color w:val="auto"/>
              </w:rPr>
            </w:pPr>
          </w:p>
        </w:tc>
        <w:tc>
          <w:tcPr>
            <w:tcW w:w="360" w:type="dxa"/>
            <w:vAlign w:val="bottom"/>
            <w:tcBorders>
              <w:top w:val="single" w:sz="8" w:color="0000EE"/>
              <w:bottom w:val="single" w:sz="8" w:color="F0FFFF"/>
              <w:right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right w:val="single" w:sz="8" w:color="F0FFFF"/>
            </w:tcBorders>
            <w:shd w:val="clear" w:color="auto" w:fill="F0FFFF"/>
          </w:tcPr>
          <w:p>
            <w:pPr>
              <w:spacing w:after="0"/>
              <w:rPr>
                <w:sz w:val="3"/>
                <w:szCs w:val="3"/>
                <w:color w:val="auto"/>
              </w:rPr>
            </w:pPr>
          </w:p>
        </w:tc>
        <w:tc>
          <w:tcPr>
            <w:tcW w:w="30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4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140" w:type="dxa"/>
            <w:vAlign w:val="bottom"/>
            <w:tcBorders>
              <w:top w:val="single" w:sz="8" w:color="0000EE"/>
              <w:bottom w:val="single" w:sz="8" w:color="F0FFFF"/>
            </w:tcBorders>
            <w:shd w:val="clear" w:color="auto" w:fill="F0FFFF"/>
          </w:tcPr>
          <w:p>
            <w:pPr>
              <w:spacing w:after="0"/>
              <w:rPr>
                <w:sz w:val="3"/>
                <w:szCs w:val="3"/>
                <w:color w:val="auto"/>
              </w:rPr>
            </w:pPr>
          </w:p>
        </w:tc>
        <w:tc>
          <w:tcPr>
            <w:tcW w:w="180" w:type="dxa"/>
            <w:vAlign w:val="bottom"/>
            <w:tcBorders>
              <w:top w:val="single" w:sz="8" w:color="F0FFFF"/>
              <w:bottom w:val="single" w:sz="8" w:color="F0FFFF"/>
            </w:tcBorders>
            <w:shd w:val="clear" w:color="auto" w:fill="F0FFFF"/>
          </w:tcPr>
          <w:p>
            <w:pPr>
              <w:spacing w:after="0"/>
              <w:rPr>
                <w:sz w:val="3"/>
                <w:szCs w:val="3"/>
                <w:color w:val="auto"/>
              </w:rPr>
            </w:pPr>
          </w:p>
        </w:tc>
        <w:tc>
          <w:tcPr>
            <w:tcW w:w="14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26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240" w:type="dxa"/>
            <w:vAlign w:val="bottom"/>
            <w:tcBorders>
              <w:top w:val="single" w:sz="8" w:color="F0FFFF"/>
              <w:bottom w:val="single" w:sz="8" w:color="F0FFFF"/>
            </w:tcBorders>
            <w:shd w:val="clear" w:color="auto" w:fill="F0FFFF"/>
          </w:tcPr>
          <w:p>
            <w:pPr>
              <w:spacing w:after="0"/>
              <w:rPr>
                <w:sz w:val="3"/>
                <w:szCs w:val="3"/>
                <w:color w:val="auto"/>
              </w:rPr>
            </w:pPr>
          </w:p>
        </w:tc>
        <w:tc>
          <w:tcPr>
            <w:tcW w:w="236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100" w:type="dxa"/>
            <w:vAlign w:val="bottom"/>
            <w:gridSpan w:val="37"/>
          </w:tcPr>
          <w:p>
            <w:pPr>
              <w:spacing w:after="0" w:line="99" w:lineRule="exact"/>
              <w:rPr>
                <w:sz w:val="20"/>
                <w:szCs w:val="20"/>
                <w:color w:val="auto"/>
              </w:rPr>
            </w:pPr>
            <w:r>
              <w:rPr>
                <w:rFonts w:ascii="Times New Roman" w:cs="Times New Roman" w:eastAsia="Times New Roman" w:hAnsi="Times New Roman"/>
                <w:sz w:val="11"/>
                <w:szCs w:val="11"/>
                <w:color w:val="0000EE"/>
              </w:rPr>
              <w:t>THE FIXED ACCOUNT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0" w:type="dxa"/>
            <w:vAlign w:val="bottom"/>
          </w:tcPr>
          <w:p>
            <w:pPr>
              <w:spacing w:after="0"/>
              <w:rPr>
                <w:sz w:val="1"/>
                <w:szCs w:val="1"/>
                <w:color w:val="auto"/>
              </w:rPr>
            </w:pPr>
          </w:p>
        </w:tc>
      </w:tr>
      <w:tr>
        <w:trPr>
          <w:trHeight w:val="40"/>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360" w:type="dxa"/>
            <w:vAlign w:val="bottom"/>
          </w:tcPr>
          <w:p>
            <w:pPr>
              <w:spacing w:after="0"/>
              <w:rPr>
                <w:sz w:val="3"/>
                <w:szCs w:val="3"/>
                <w:color w:val="auto"/>
              </w:rPr>
            </w:pPr>
          </w:p>
        </w:tc>
        <w:tc>
          <w:tcPr>
            <w:tcW w:w="3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6100" w:type="dxa"/>
            <w:vAlign w:val="bottom"/>
            <w:gridSpan w:val="37"/>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0000EE"/>
              </w:rPr>
              <w:t>THE HOLDING ACCOUNT</w:t>
            </w:r>
          </w:p>
        </w:tc>
        <w:tc>
          <w:tcPr>
            <w:tcW w:w="3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0" w:type="dxa"/>
            <w:vAlign w:val="bottom"/>
          </w:tcPr>
          <w:p>
            <w:pPr>
              <w:spacing w:after="0"/>
              <w:rPr>
                <w:sz w:val="1"/>
                <w:szCs w:val="1"/>
                <w:color w:val="auto"/>
              </w:rPr>
            </w:pPr>
          </w:p>
        </w:tc>
      </w:tr>
      <w:tr>
        <w:trPr>
          <w:trHeight w:val="40"/>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bottom w:val="single" w:sz="8" w:color="F0FFFF"/>
            </w:tcBorders>
            <w:shd w:val="clear" w:color="auto" w:fill="F0FFFF"/>
          </w:tcPr>
          <w:p>
            <w:pPr>
              <w:spacing w:after="0"/>
              <w:rPr>
                <w:sz w:val="3"/>
                <w:szCs w:val="3"/>
                <w:color w:val="auto"/>
              </w:rPr>
            </w:pPr>
          </w:p>
        </w:tc>
        <w:tc>
          <w:tcPr>
            <w:tcW w:w="360" w:type="dxa"/>
            <w:vAlign w:val="bottom"/>
            <w:tcBorders>
              <w:top w:val="single" w:sz="8" w:color="0000EE"/>
              <w:bottom w:val="single" w:sz="8" w:color="F0FFFF"/>
              <w:right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right w:val="single" w:sz="8" w:color="F0FFFF"/>
            </w:tcBorders>
            <w:shd w:val="clear" w:color="auto" w:fill="F0FFFF"/>
          </w:tcPr>
          <w:p>
            <w:pPr>
              <w:spacing w:after="0"/>
              <w:rPr>
                <w:sz w:val="3"/>
                <w:szCs w:val="3"/>
                <w:color w:val="auto"/>
              </w:rPr>
            </w:pPr>
          </w:p>
        </w:tc>
        <w:tc>
          <w:tcPr>
            <w:tcW w:w="30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4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140" w:type="dxa"/>
            <w:vAlign w:val="bottom"/>
            <w:tcBorders>
              <w:top w:val="single" w:sz="8" w:color="F0FFFF"/>
              <w:bottom w:val="single" w:sz="8" w:color="F0FFFF"/>
            </w:tcBorders>
            <w:shd w:val="clear" w:color="auto" w:fill="F0FFFF"/>
          </w:tcPr>
          <w:p>
            <w:pPr>
              <w:spacing w:after="0"/>
              <w:rPr>
                <w:sz w:val="3"/>
                <w:szCs w:val="3"/>
                <w:color w:val="auto"/>
              </w:rPr>
            </w:pPr>
          </w:p>
        </w:tc>
        <w:tc>
          <w:tcPr>
            <w:tcW w:w="180" w:type="dxa"/>
            <w:vAlign w:val="bottom"/>
            <w:tcBorders>
              <w:top w:val="single" w:sz="8" w:color="F0FFFF"/>
              <w:bottom w:val="single" w:sz="8" w:color="F0FFFF"/>
            </w:tcBorders>
            <w:shd w:val="clear" w:color="auto" w:fill="F0FFFF"/>
          </w:tcPr>
          <w:p>
            <w:pPr>
              <w:spacing w:after="0"/>
              <w:rPr>
                <w:sz w:val="3"/>
                <w:szCs w:val="3"/>
                <w:color w:val="auto"/>
              </w:rPr>
            </w:pPr>
          </w:p>
        </w:tc>
        <w:tc>
          <w:tcPr>
            <w:tcW w:w="14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26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240" w:type="dxa"/>
            <w:vAlign w:val="bottom"/>
            <w:tcBorders>
              <w:top w:val="single" w:sz="8" w:color="F0FFFF"/>
              <w:bottom w:val="single" w:sz="8" w:color="F0FFFF"/>
            </w:tcBorders>
            <w:shd w:val="clear" w:color="auto" w:fill="F0FFFF"/>
          </w:tcPr>
          <w:p>
            <w:pPr>
              <w:spacing w:after="0"/>
              <w:rPr>
                <w:sz w:val="3"/>
                <w:szCs w:val="3"/>
                <w:color w:val="auto"/>
              </w:rPr>
            </w:pPr>
          </w:p>
        </w:tc>
        <w:tc>
          <w:tcPr>
            <w:tcW w:w="236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100" w:type="dxa"/>
            <w:vAlign w:val="bottom"/>
            <w:gridSpan w:val="37"/>
          </w:tcPr>
          <w:p>
            <w:pPr>
              <w:spacing w:after="0" w:line="99" w:lineRule="exact"/>
              <w:rPr>
                <w:sz w:val="20"/>
                <w:szCs w:val="20"/>
                <w:color w:val="auto"/>
              </w:rPr>
            </w:pPr>
            <w:r>
              <w:rPr>
                <w:rFonts w:ascii="Times New Roman" w:cs="Times New Roman" w:eastAsia="Times New Roman" w:hAnsi="Times New Roman"/>
                <w:sz w:val="11"/>
                <w:szCs w:val="11"/>
                <w:color w:val="0000EE"/>
              </w:rPr>
              <w:t>RESTRICTIONS ON FINANCIAL TRANSACTIONS</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0" w:type="dxa"/>
            <w:vAlign w:val="bottom"/>
          </w:tcPr>
          <w:p>
            <w:pPr>
              <w:spacing w:after="0"/>
              <w:rPr>
                <w:sz w:val="1"/>
                <w:szCs w:val="1"/>
                <w:color w:val="auto"/>
              </w:rPr>
            </w:pPr>
          </w:p>
        </w:tc>
      </w:tr>
      <w:tr>
        <w:trPr>
          <w:trHeight w:val="40"/>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360" w:type="dxa"/>
            <w:vAlign w:val="bottom"/>
          </w:tcPr>
          <w:p>
            <w:pPr>
              <w:spacing w:after="0"/>
              <w:rPr>
                <w:sz w:val="3"/>
                <w:szCs w:val="3"/>
                <w:color w:val="auto"/>
              </w:rPr>
            </w:pPr>
          </w:p>
        </w:tc>
        <w:tc>
          <w:tcPr>
            <w:tcW w:w="3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6100" w:type="dxa"/>
            <w:vAlign w:val="bottom"/>
            <w:gridSpan w:val="37"/>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0000EE"/>
              </w:rPr>
              <w:t>REQUESTS AND ELECTIONS</w:t>
            </w:r>
          </w:p>
        </w:tc>
        <w:tc>
          <w:tcPr>
            <w:tcW w:w="3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0" w:type="dxa"/>
            <w:vAlign w:val="bottom"/>
          </w:tcPr>
          <w:p>
            <w:pPr>
              <w:spacing w:after="0"/>
              <w:rPr>
                <w:sz w:val="1"/>
                <w:szCs w:val="1"/>
                <w:color w:val="auto"/>
              </w:rPr>
            </w:pPr>
          </w:p>
        </w:tc>
      </w:tr>
      <w:tr>
        <w:trPr>
          <w:trHeight w:val="40"/>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bottom w:val="single" w:sz="8" w:color="F0FFFF"/>
            </w:tcBorders>
            <w:shd w:val="clear" w:color="auto" w:fill="F0FFFF"/>
          </w:tcPr>
          <w:p>
            <w:pPr>
              <w:spacing w:after="0"/>
              <w:rPr>
                <w:sz w:val="3"/>
                <w:szCs w:val="3"/>
                <w:color w:val="auto"/>
              </w:rPr>
            </w:pPr>
          </w:p>
        </w:tc>
        <w:tc>
          <w:tcPr>
            <w:tcW w:w="360" w:type="dxa"/>
            <w:vAlign w:val="bottom"/>
            <w:tcBorders>
              <w:top w:val="single" w:sz="8" w:color="0000EE"/>
              <w:bottom w:val="single" w:sz="8" w:color="F0FFFF"/>
              <w:right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right w:val="single" w:sz="8" w:color="F0FFFF"/>
            </w:tcBorders>
            <w:shd w:val="clear" w:color="auto" w:fill="F0FFFF"/>
          </w:tcPr>
          <w:p>
            <w:pPr>
              <w:spacing w:after="0"/>
              <w:rPr>
                <w:sz w:val="3"/>
                <w:szCs w:val="3"/>
                <w:color w:val="auto"/>
              </w:rPr>
            </w:pPr>
          </w:p>
        </w:tc>
        <w:tc>
          <w:tcPr>
            <w:tcW w:w="30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4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140" w:type="dxa"/>
            <w:vAlign w:val="bottom"/>
            <w:tcBorders>
              <w:top w:val="single" w:sz="8" w:color="F0FFFF"/>
              <w:bottom w:val="single" w:sz="8" w:color="F0FFFF"/>
            </w:tcBorders>
            <w:shd w:val="clear" w:color="auto" w:fill="F0FFFF"/>
          </w:tcPr>
          <w:p>
            <w:pPr>
              <w:spacing w:after="0"/>
              <w:rPr>
                <w:sz w:val="3"/>
                <w:szCs w:val="3"/>
                <w:color w:val="auto"/>
              </w:rPr>
            </w:pPr>
          </w:p>
        </w:tc>
        <w:tc>
          <w:tcPr>
            <w:tcW w:w="180" w:type="dxa"/>
            <w:vAlign w:val="bottom"/>
            <w:tcBorders>
              <w:top w:val="single" w:sz="8" w:color="F0FFFF"/>
              <w:bottom w:val="single" w:sz="8" w:color="F0FFFF"/>
            </w:tcBorders>
            <w:shd w:val="clear" w:color="auto" w:fill="F0FFFF"/>
          </w:tcPr>
          <w:p>
            <w:pPr>
              <w:spacing w:after="0"/>
              <w:rPr>
                <w:sz w:val="3"/>
                <w:szCs w:val="3"/>
                <w:color w:val="auto"/>
              </w:rPr>
            </w:pPr>
          </w:p>
        </w:tc>
        <w:tc>
          <w:tcPr>
            <w:tcW w:w="14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26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240" w:type="dxa"/>
            <w:vAlign w:val="bottom"/>
            <w:tcBorders>
              <w:top w:val="single" w:sz="8" w:color="F0FFFF"/>
              <w:bottom w:val="single" w:sz="8" w:color="F0FFFF"/>
            </w:tcBorders>
            <w:shd w:val="clear" w:color="auto" w:fill="F0FFFF"/>
          </w:tcPr>
          <w:p>
            <w:pPr>
              <w:spacing w:after="0"/>
              <w:rPr>
                <w:sz w:val="3"/>
                <w:szCs w:val="3"/>
                <w:color w:val="auto"/>
              </w:rPr>
            </w:pPr>
          </w:p>
        </w:tc>
        <w:tc>
          <w:tcPr>
            <w:tcW w:w="236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100" w:type="dxa"/>
            <w:vAlign w:val="bottom"/>
            <w:gridSpan w:val="37"/>
          </w:tcPr>
          <w:p>
            <w:pPr>
              <w:spacing w:after="0" w:line="99" w:lineRule="exact"/>
              <w:rPr>
                <w:sz w:val="20"/>
                <w:szCs w:val="20"/>
                <w:color w:val="auto"/>
              </w:rPr>
            </w:pPr>
            <w:r>
              <w:rPr>
                <w:rFonts w:ascii="Times New Roman" w:cs="Times New Roman" w:eastAsia="Times New Roman" w:hAnsi="Times New Roman"/>
                <w:sz w:val="11"/>
                <w:szCs w:val="11"/>
                <w:color w:val="0000EE"/>
              </w:rPr>
              <w:t>CONFIRMING TRANSACTIONS</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0" w:type="dxa"/>
            <w:vAlign w:val="bottom"/>
          </w:tcPr>
          <w:p>
            <w:pPr>
              <w:spacing w:after="0"/>
              <w:rPr>
                <w:sz w:val="1"/>
                <w:szCs w:val="1"/>
                <w:color w:val="auto"/>
              </w:rPr>
            </w:pPr>
          </w:p>
        </w:tc>
      </w:tr>
      <w:tr>
        <w:trPr>
          <w:trHeight w:val="40"/>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360" w:type="dxa"/>
            <w:vAlign w:val="bottom"/>
          </w:tcPr>
          <w:p>
            <w:pPr>
              <w:spacing w:after="0"/>
              <w:rPr>
                <w:sz w:val="3"/>
                <w:szCs w:val="3"/>
                <w:color w:val="auto"/>
              </w:rPr>
            </w:pPr>
          </w:p>
        </w:tc>
        <w:tc>
          <w:tcPr>
            <w:tcW w:w="3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6100" w:type="dxa"/>
            <w:vAlign w:val="bottom"/>
            <w:gridSpan w:val="37"/>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0000EE"/>
              </w:rPr>
              <w:t>LEGAL PROCEEDINGS</w:t>
            </w:r>
          </w:p>
        </w:tc>
        <w:tc>
          <w:tcPr>
            <w:tcW w:w="3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0" w:type="dxa"/>
            <w:vAlign w:val="bottom"/>
          </w:tcPr>
          <w:p>
            <w:pPr>
              <w:spacing w:after="0"/>
              <w:rPr>
                <w:sz w:val="1"/>
                <w:szCs w:val="1"/>
                <w:color w:val="auto"/>
              </w:rPr>
            </w:pPr>
          </w:p>
        </w:tc>
      </w:tr>
      <w:tr>
        <w:trPr>
          <w:trHeight w:val="40"/>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bottom w:val="single" w:sz="8" w:color="F0FFFF"/>
            </w:tcBorders>
            <w:shd w:val="clear" w:color="auto" w:fill="F0FFFF"/>
          </w:tcPr>
          <w:p>
            <w:pPr>
              <w:spacing w:after="0"/>
              <w:rPr>
                <w:sz w:val="3"/>
                <w:szCs w:val="3"/>
                <w:color w:val="auto"/>
              </w:rPr>
            </w:pPr>
          </w:p>
        </w:tc>
        <w:tc>
          <w:tcPr>
            <w:tcW w:w="360" w:type="dxa"/>
            <w:vAlign w:val="bottom"/>
            <w:tcBorders>
              <w:top w:val="single" w:sz="8" w:color="0000EE"/>
              <w:bottom w:val="single" w:sz="8" w:color="F0FFFF"/>
              <w:right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right w:val="single" w:sz="8" w:color="F0FFFF"/>
            </w:tcBorders>
            <w:shd w:val="clear" w:color="auto" w:fill="F0FFFF"/>
          </w:tcPr>
          <w:p>
            <w:pPr>
              <w:spacing w:after="0"/>
              <w:rPr>
                <w:sz w:val="3"/>
                <w:szCs w:val="3"/>
                <w:color w:val="auto"/>
              </w:rPr>
            </w:pPr>
          </w:p>
        </w:tc>
        <w:tc>
          <w:tcPr>
            <w:tcW w:w="30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4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140" w:type="dxa"/>
            <w:vAlign w:val="bottom"/>
            <w:tcBorders>
              <w:top w:val="single" w:sz="8" w:color="F0FFFF"/>
              <w:bottom w:val="single" w:sz="8" w:color="F0FFFF"/>
            </w:tcBorders>
            <w:shd w:val="clear" w:color="auto" w:fill="F0FFFF"/>
          </w:tcPr>
          <w:p>
            <w:pPr>
              <w:spacing w:after="0"/>
              <w:rPr>
                <w:sz w:val="3"/>
                <w:szCs w:val="3"/>
                <w:color w:val="auto"/>
              </w:rPr>
            </w:pPr>
          </w:p>
        </w:tc>
        <w:tc>
          <w:tcPr>
            <w:tcW w:w="180" w:type="dxa"/>
            <w:vAlign w:val="bottom"/>
            <w:tcBorders>
              <w:top w:val="single" w:sz="8" w:color="F0FFFF"/>
              <w:bottom w:val="single" w:sz="8" w:color="F0FFFF"/>
            </w:tcBorders>
            <w:shd w:val="clear" w:color="auto" w:fill="F0FFFF"/>
          </w:tcPr>
          <w:p>
            <w:pPr>
              <w:spacing w:after="0"/>
              <w:rPr>
                <w:sz w:val="3"/>
                <w:szCs w:val="3"/>
                <w:color w:val="auto"/>
              </w:rPr>
            </w:pPr>
          </w:p>
        </w:tc>
        <w:tc>
          <w:tcPr>
            <w:tcW w:w="14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26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240" w:type="dxa"/>
            <w:vAlign w:val="bottom"/>
            <w:tcBorders>
              <w:top w:val="single" w:sz="8" w:color="F0FFFF"/>
              <w:bottom w:val="single" w:sz="8" w:color="F0FFFF"/>
            </w:tcBorders>
            <w:shd w:val="clear" w:color="auto" w:fill="F0FFFF"/>
          </w:tcPr>
          <w:p>
            <w:pPr>
              <w:spacing w:after="0"/>
              <w:rPr>
                <w:sz w:val="3"/>
                <w:szCs w:val="3"/>
                <w:color w:val="auto"/>
              </w:rPr>
            </w:pPr>
          </w:p>
        </w:tc>
        <w:tc>
          <w:tcPr>
            <w:tcW w:w="236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100" w:type="dxa"/>
            <w:vAlign w:val="bottom"/>
            <w:gridSpan w:val="37"/>
          </w:tcPr>
          <w:p>
            <w:pPr>
              <w:spacing w:after="0" w:line="99" w:lineRule="exact"/>
              <w:rPr>
                <w:sz w:val="20"/>
                <w:szCs w:val="20"/>
                <w:color w:val="auto"/>
              </w:rPr>
            </w:pPr>
            <w:r>
              <w:rPr>
                <w:rFonts w:ascii="Times New Roman" w:cs="Times New Roman" w:eastAsia="Times New Roman" w:hAnsi="Times New Roman"/>
                <w:sz w:val="11"/>
                <w:szCs w:val="11"/>
                <w:color w:val="0000EE"/>
              </w:rPr>
              <w:t>EXPERTS</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0" w:type="dxa"/>
            <w:vAlign w:val="bottom"/>
          </w:tcPr>
          <w:p>
            <w:pPr>
              <w:spacing w:after="0"/>
              <w:rPr>
                <w:sz w:val="1"/>
                <w:szCs w:val="1"/>
                <w:color w:val="auto"/>
              </w:rPr>
            </w:pPr>
          </w:p>
        </w:tc>
      </w:tr>
      <w:tr>
        <w:trPr>
          <w:trHeight w:val="40"/>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360" w:type="dxa"/>
            <w:vAlign w:val="bottom"/>
          </w:tcPr>
          <w:p>
            <w:pPr>
              <w:spacing w:after="0"/>
              <w:rPr>
                <w:sz w:val="3"/>
                <w:szCs w:val="3"/>
                <w:color w:val="auto"/>
              </w:rPr>
            </w:pPr>
          </w:p>
        </w:tc>
        <w:tc>
          <w:tcPr>
            <w:tcW w:w="3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6100" w:type="dxa"/>
            <w:vAlign w:val="bottom"/>
            <w:gridSpan w:val="37"/>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0000EE"/>
              </w:rPr>
              <w:t>INDEPENDENT AUDITOR</w:t>
            </w:r>
          </w:p>
        </w:tc>
        <w:tc>
          <w:tcPr>
            <w:tcW w:w="3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0" w:type="dxa"/>
            <w:vAlign w:val="bottom"/>
          </w:tcPr>
          <w:p>
            <w:pPr>
              <w:spacing w:after="0"/>
              <w:rPr>
                <w:sz w:val="1"/>
                <w:szCs w:val="1"/>
                <w:color w:val="auto"/>
              </w:rPr>
            </w:pPr>
          </w:p>
        </w:tc>
      </w:tr>
      <w:tr>
        <w:trPr>
          <w:trHeight w:val="40"/>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bottom w:val="single" w:sz="8" w:color="F0FFFF"/>
            </w:tcBorders>
            <w:shd w:val="clear" w:color="auto" w:fill="F0FFFF"/>
          </w:tcPr>
          <w:p>
            <w:pPr>
              <w:spacing w:after="0"/>
              <w:rPr>
                <w:sz w:val="3"/>
                <w:szCs w:val="3"/>
                <w:color w:val="auto"/>
              </w:rPr>
            </w:pPr>
          </w:p>
        </w:tc>
        <w:tc>
          <w:tcPr>
            <w:tcW w:w="360" w:type="dxa"/>
            <w:vAlign w:val="bottom"/>
            <w:tcBorders>
              <w:top w:val="single" w:sz="8" w:color="0000EE"/>
              <w:bottom w:val="single" w:sz="8" w:color="F0FFFF"/>
              <w:right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right w:val="single" w:sz="8" w:color="F0FFFF"/>
            </w:tcBorders>
            <w:shd w:val="clear" w:color="auto" w:fill="F0FFFF"/>
          </w:tcPr>
          <w:p>
            <w:pPr>
              <w:spacing w:after="0"/>
              <w:rPr>
                <w:sz w:val="3"/>
                <w:szCs w:val="3"/>
                <w:color w:val="auto"/>
              </w:rPr>
            </w:pPr>
          </w:p>
        </w:tc>
        <w:tc>
          <w:tcPr>
            <w:tcW w:w="30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4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8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140" w:type="dxa"/>
            <w:vAlign w:val="bottom"/>
            <w:tcBorders>
              <w:top w:val="single" w:sz="8" w:color="F0FFFF"/>
              <w:bottom w:val="single" w:sz="8" w:color="F0FFFF"/>
            </w:tcBorders>
            <w:shd w:val="clear" w:color="auto" w:fill="F0FFFF"/>
          </w:tcPr>
          <w:p>
            <w:pPr>
              <w:spacing w:after="0"/>
              <w:rPr>
                <w:sz w:val="3"/>
                <w:szCs w:val="3"/>
                <w:color w:val="auto"/>
              </w:rPr>
            </w:pPr>
          </w:p>
        </w:tc>
        <w:tc>
          <w:tcPr>
            <w:tcW w:w="180" w:type="dxa"/>
            <w:vAlign w:val="bottom"/>
            <w:tcBorders>
              <w:top w:val="single" w:sz="8" w:color="F0FFFF"/>
              <w:bottom w:val="single" w:sz="8" w:color="F0FFFF"/>
            </w:tcBorders>
            <w:shd w:val="clear" w:color="auto" w:fill="F0FFFF"/>
          </w:tcPr>
          <w:p>
            <w:pPr>
              <w:spacing w:after="0"/>
              <w:rPr>
                <w:sz w:val="3"/>
                <w:szCs w:val="3"/>
                <w:color w:val="auto"/>
              </w:rPr>
            </w:pPr>
          </w:p>
        </w:tc>
        <w:tc>
          <w:tcPr>
            <w:tcW w:w="14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26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240" w:type="dxa"/>
            <w:vAlign w:val="bottom"/>
            <w:tcBorders>
              <w:top w:val="single" w:sz="8" w:color="F0FFFF"/>
              <w:bottom w:val="single" w:sz="8" w:color="F0FFFF"/>
            </w:tcBorders>
            <w:shd w:val="clear" w:color="auto" w:fill="F0FFFF"/>
          </w:tcPr>
          <w:p>
            <w:pPr>
              <w:spacing w:after="0"/>
              <w:rPr>
                <w:sz w:val="3"/>
                <w:szCs w:val="3"/>
                <w:color w:val="auto"/>
              </w:rPr>
            </w:pPr>
          </w:p>
        </w:tc>
        <w:tc>
          <w:tcPr>
            <w:tcW w:w="236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100" w:type="dxa"/>
            <w:vAlign w:val="bottom"/>
            <w:gridSpan w:val="37"/>
          </w:tcPr>
          <w:p>
            <w:pPr>
              <w:spacing w:after="0" w:line="99" w:lineRule="exact"/>
              <w:rPr>
                <w:sz w:val="20"/>
                <w:szCs w:val="20"/>
                <w:color w:val="auto"/>
              </w:rPr>
            </w:pPr>
            <w:r>
              <w:rPr>
                <w:rFonts w:ascii="Times New Roman" w:cs="Times New Roman" w:eastAsia="Times New Roman" w:hAnsi="Times New Roman"/>
                <w:sz w:val="11"/>
                <w:szCs w:val="11"/>
                <w:color w:val="0000EE"/>
              </w:rPr>
              <w:t>ELECTRONIC DELIVERY</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0" w:type="dxa"/>
            <w:vAlign w:val="bottom"/>
          </w:tcPr>
          <w:p>
            <w:pPr>
              <w:spacing w:after="0"/>
              <w:rPr>
                <w:sz w:val="1"/>
                <w:szCs w:val="1"/>
                <w:color w:val="auto"/>
              </w:rPr>
            </w:pPr>
          </w:p>
        </w:tc>
      </w:tr>
      <w:tr>
        <w:trPr>
          <w:trHeight w:val="40"/>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360" w:type="dxa"/>
            <w:vAlign w:val="bottom"/>
          </w:tcPr>
          <w:p>
            <w:pPr>
              <w:spacing w:after="0"/>
              <w:rPr>
                <w:sz w:val="3"/>
                <w:szCs w:val="3"/>
                <w:color w:val="auto"/>
              </w:rPr>
            </w:pPr>
          </w:p>
        </w:tc>
        <w:tc>
          <w:tcPr>
            <w:tcW w:w="3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6100" w:type="dxa"/>
            <w:vAlign w:val="bottom"/>
            <w:gridSpan w:val="37"/>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0000EE"/>
              </w:rPr>
              <w:t>AMENDMENT OF THE CONTRACT</w:t>
            </w:r>
          </w:p>
        </w:tc>
        <w:tc>
          <w:tcPr>
            <w:tcW w:w="3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0" w:type="dxa"/>
            <w:vAlign w:val="bottom"/>
          </w:tcPr>
          <w:p>
            <w:pPr>
              <w:spacing w:after="0"/>
              <w:rPr>
                <w:sz w:val="1"/>
                <w:szCs w:val="1"/>
                <w:color w:val="auto"/>
              </w:rPr>
            </w:pPr>
          </w:p>
        </w:tc>
      </w:tr>
      <w:tr>
        <w:trPr>
          <w:trHeight w:val="40"/>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bottom w:val="single" w:sz="8" w:color="F0FFFF"/>
            </w:tcBorders>
            <w:shd w:val="clear" w:color="auto" w:fill="F0FFFF"/>
          </w:tcPr>
          <w:p>
            <w:pPr>
              <w:spacing w:after="0"/>
              <w:rPr>
                <w:sz w:val="3"/>
                <w:szCs w:val="3"/>
                <w:color w:val="auto"/>
              </w:rPr>
            </w:pPr>
          </w:p>
        </w:tc>
        <w:tc>
          <w:tcPr>
            <w:tcW w:w="360" w:type="dxa"/>
            <w:vAlign w:val="bottom"/>
            <w:tcBorders>
              <w:top w:val="single" w:sz="8" w:color="0000EE"/>
              <w:bottom w:val="single" w:sz="8" w:color="F0FFFF"/>
              <w:right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right w:val="single" w:sz="8" w:color="F0FFFF"/>
            </w:tcBorders>
            <w:shd w:val="clear" w:color="auto" w:fill="F0FFFF"/>
          </w:tcPr>
          <w:p>
            <w:pPr>
              <w:spacing w:after="0"/>
              <w:rPr>
                <w:sz w:val="3"/>
                <w:szCs w:val="3"/>
                <w:color w:val="auto"/>
              </w:rPr>
            </w:pPr>
          </w:p>
        </w:tc>
        <w:tc>
          <w:tcPr>
            <w:tcW w:w="30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4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140" w:type="dxa"/>
            <w:vAlign w:val="bottom"/>
            <w:tcBorders>
              <w:top w:val="single" w:sz="8" w:color="F0FFFF"/>
              <w:bottom w:val="single" w:sz="8" w:color="F0FFFF"/>
            </w:tcBorders>
            <w:shd w:val="clear" w:color="auto" w:fill="F0FFFF"/>
          </w:tcPr>
          <w:p>
            <w:pPr>
              <w:spacing w:after="0"/>
              <w:rPr>
                <w:sz w:val="3"/>
                <w:szCs w:val="3"/>
                <w:color w:val="auto"/>
              </w:rPr>
            </w:pPr>
          </w:p>
        </w:tc>
        <w:tc>
          <w:tcPr>
            <w:tcW w:w="180" w:type="dxa"/>
            <w:vAlign w:val="bottom"/>
            <w:tcBorders>
              <w:top w:val="single" w:sz="8" w:color="F0FFFF"/>
              <w:bottom w:val="single" w:sz="8" w:color="F0FFFF"/>
            </w:tcBorders>
            <w:shd w:val="clear" w:color="auto" w:fill="F0FFFF"/>
          </w:tcPr>
          <w:p>
            <w:pPr>
              <w:spacing w:after="0"/>
              <w:rPr>
                <w:sz w:val="3"/>
                <w:szCs w:val="3"/>
                <w:color w:val="auto"/>
              </w:rPr>
            </w:pPr>
          </w:p>
        </w:tc>
        <w:tc>
          <w:tcPr>
            <w:tcW w:w="14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20" w:type="dxa"/>
            <w:vAlign w:val="bottom"/>
            <w:tcBorders>
              <w:top w:val="single" w:sz="8" w:color="F0FFFF"/>
              <w:bottom w:val="single" w:sz="8" w:color="F0FFFF"/>
            </w:tcBorders>
            <w:shd w:val="clear" w:color="auto" w:fill="F0FFFF"/>
          </w:tcPr>
          <w:p>
            <w:pPr>
              <w:spacing w:after="0"/>
              <w:rPr>
                <w:sz w:val="3"/>
                <w:szCs w:val="3"/>
                <w:color w:val="auto"/>
              </w:rPr>
            </w:pPr>
          </w:p>
        </w:tc>
        <w:tc>
          <w:tcPr>
            <w:tcW w:w="40" w:type="dxa"/>
            <w:vAlign w:val="bottom"/>
            <w:tcBorders>
              <w:top w:val="single" w:sz="8" w:color="F0FFFF"/>
              <w:bottom w:val="single" w:sz="8" w:color="F0FFFF"/>
            </w:tcBorders>
            <w:shd w:val="clear" w:color="auto" w:fill="F0FFFF"/>
          </w:tcPr>
          <w:p>
            <w:pPr>
              <w:spacing w:after="0"/>
              <w:rPr>
                <w:sz w:val="3"/>
                <w:szCs w:val="3"/>
                <w:color w:val="auto"/>
              </w:rPr>
            </w:pPr>
          </w:p>
        </w:tc>
        <w:tc>
          <w:tcPr>
            <w:tcW w:w="6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100" w:type="dxa"/>
            <w:vAlign w:val="bottom"/>
            <w:tcBorders>
              <w:top w:val="single" w:sz="8" w:color="F0FFFF"/>
              <w:bottom w:val="single" w:sz="8" w:color="F0FFFF"/>
            </w:tcBorders>
            <w:shd w:val="clear" w:color="auto" w:fill="F0FFFF"/>
          </w:tcPr>
          <w:p>
            <w:pPr>
              <w:spacing w:after="0"/>
              <w:rPr>
                <w:sz w:val="3"/>
                <w:szCs w:val="3"/>
                <w:color w:val="auto"/>
              </w:rPr>
            </w:pPr>
          </w:p>
        </w:tc>
        <w:tc>
          <w:tcPr>
            <w:tcW w:w="200" w:type="dxa"/>
            <w:vAlign w:val="bottom"/>
            <w:tcBorders>
              <w:top w:val="single" w:sz="8" w:color="F0FFFF"/>
              <w:bottom w:val="single" w:sz="8" w:color="F0FFFF"/>
            </w:tcBorders>
            <w:shd w:val="clear" w:color="auto" w:fill="F0FFFF"/>
          </w:tcPr>
          <w:p>
            <w:pPr>
              <w:spacing w:after="0"/>
              <w:rPr>
                <w:sz w:val="3"/>
                <w:szCs w:val="3"/>
                <w:color w:val="auto"/>
              </w:rPr>
            </w:pPr>
          </w:p>
        </w:tc>
        <w:tc>
          <w:tcPr>
            <w:tcW w:w="260" w:type="dxa"/>
            <w:vAlign w:val="bottom"/>
            <w:tcBorders>
              <w:top w:val="single" w:sz="8" w:color="F0FFFF"/>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240" w:type="dxa"/>
            <w:vAlign w:val="bottom"/>
            <w:tcBorders>
              <w:top w:val="single" w:sz="8" w:color="F0FFFF"/>
              <w:bottom w:val="single" w:sz="8" w:color="F0FFFF"/>
            </w:tcBorders>
            <w:shd w:val="clear" w:color="auto" w:fill="F0FFFF"/>
          </w:tcPr>
          <w:p>
            <w:pPr>
              <w:spacing w:after="0"/>
              <w:rPr>
                <w:sz w:val="3"/>
                <w:szCs w:val="3"/>
                <w:color w:val="auto"/>
              </w:rPr>
            </w:pPr>
          </w:p>
        </w:tc>
        <w:tc>
          <w:tcPr>
            <w:tcW w:w="236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100" w:type="dxa"/>
            <w:vAlign w:val="bottom"/>
            <w:gridSpan w:val="37"/>
          </w:tcPr>
          <w:p>
            <w:pPr>
              <w:spacing w:after="0" w:line="99" w:lineRule="exact"/>
              <w:rPr>
                <w:sz w:val="20"/>
                <w:szCs w:val="20"/>
                <w:color w:val="auto"/>
              </w:rPr>
            </w:pPr>
            <w:r>
              <w:rPr>
                <w:rFonts w:ascii="Times New Roman" w:cs="Times New Roman" w:eastAsia="Times New Roman" w:hAnsi="Times New Roman"/>
                <w:sz w:val="11"/>
                <w:szCs w:val="11"/>
                <w:color w:val="0000EE"/>
              </w:rPr>
              <w:t>MISSTATEMENT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0" w:type="dxa"/>
            <w:vAlign w:val="bottom"/>
          </w:tcPr>
          <w:p>
            <w:pPr>
              <w:spacing w:after="0"/>
              <w:rPr>
                <w:sz w:val="1"/>
                <w:szCs w:val="1"/>
                <w:color w:val="auto"/>
              </w:rPr>
            </w:pPr>
          </w:p>
        </w:tc>
      </w:tr>
      <w:tr>
        <w:trPr>
          <w:trHeight w:val="40"/>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360" w:type="dxa"/>
            <w:vAlign w:val="bottom"/>
          </w:tcPr>
          <w:p>
            <w:pPr>
              <w:spacing w:after="0"/>
              <w:rPr>
                <w:sz w:val="3"/>
                <w:szCs w:val="3"/>
                <w:color w:val="auto"/>
              </w:rPr>
            </w:pPr>
          </w:p>
        </w:tc>
        <w:tc>
          <w:tcPr>
            <w:tcW w:w="3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6100" w:type="dxa"/>
            <w:vAlign w:val="bottom"/>
            <w:gridSpan w:val="37"/>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0000EE"/>
              </w:rPr>
              <w:t>STATUS PURSUANT TO SECURITIES EXCHANGE ACT OF 1934</w:t>
            </w:r>
          </w:p>
        </w:tc>
        <w:tc>
          <w:tcPr>
            <w:tcW w:w="3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0" w:type="dxa"/>
            <w:vAlign w:val="bottom"/>
          </w:tcPr>
          <w:p>
            <w:pPr>
              <w:spacing w:after="0"/>
              <w:rPr>
                <w:sz w:val="1"/>
                <w:szCs w:val="1"/>
                <w:color w:val="auto"/>
              </w:rPr>
            </w:pPr>
          </w:p>
        </w:tc>
      </w:tr>
      <w:tr>
        <w:trPr>
          <w:trHeight w:val="40"/>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bottom w:val="single" w:sz="8" w:color="F0FFFF"/>
            </w:tcBorders>
            <w:shd w:val="clear" w:color="auto" w:fill="F0FFFF"/>
          </w:tcPr>
          <w:p>
            <w:pPr>
              <w:spacing w:after="0"/>
              <w:rPr>
                <w:sz w:val="3"/>
                <w:szCs w:val="3"/>
                <w:color w:val="auto"/>
              </w:rPr>
            </w:pPr>
          </w:p>
        </w:tc>
        <w:tc>
          <w:tcPr>
            <w:tcW w:w="360" w:type="dxa"/>
            <w:vAlign w:val="bottom"/>
            <w:tcBorders>
              <w:top w:val="single" w:sz="8" w:color="0000EE"/>
              <w:bottom w:val="single" w:sz="8" w:color="F0FFFF"/>
              <w:right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right w:val="single" w:sz="8" w:color="F0FFFF"/>
            </w:tcBorders>
            <w:shd w:val="clear" w:color="auto" w:fill="F0FFFF"/>
          </w:tcPr>
          <w:p>
            <w:pPr>
              <w:spacing w:after="0"/>
              <w:rPr>
                <w:sz w:val="3"/>
                <w:szCs w:val="3"/>
                <w:color w:val="auto"/>
              </w:rPr>
            </w:pPr>
          </w:p>
        </w:tc>
        <w:tc>
          <w:tcPr>
            <w:tcW w:w="30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4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140" w:type="dxa"/>
            <w:vAlign w:val="bottom"/>
            <w:tcBorders>
              <w:top w:val="single" w:sz="8" w:color="0000EE"/>
              <w:bottom w:val="single" w:sz="8" w:color="F0FFFF"/>
            </w:tcBorders>
            <w:shd w:val="clear" w:color="auto" w:fill="F0FFFF"/>
          </w:tcPr>
          <w:p>
            <w:pPr>
              <w:spacing w:after="0"/>
              <w:rPr>
                <w:sz w:val="3"/>
                <w:szCs w:val="3"/>
                <w:color w:val="auto"/>
              </w:rPr>
            </w:pPr>
          </w:p>
        </w:tc>
        <w:tc>
          <w:tcPr>
            <w:tcW w:w="180" w:type="dxa"/>
            <w:vAlign w:val="bottom"/>
            <w:tcBorders>
              <w:top w:val="single" w:sz="8" w:color="0000EE"/>
              <w:bottom w:val="single" w:sz="8" w:color="F0FFFF"/>
            </w:tcBorders>
            <w:shd w:val="clear" w:color="auto" w:fill="F0FFFF"/>
          </w:tcPr>
          <w:p>
            <w:pPr>
              <w:spacing w:after="0"/>
              <w:rPr>
                <w:sz w:val="3"/>
                <w:szCs w:val="3"/>
                <w:color w:val="auto"/>
              </w:rPr>
            </w:pPr>
          </w:p>
        </w:tc>
        <w:tc>
          <w:tcPr>
            <w:tcW w:w="14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200" w:type="dxa"/>
            <w:vAlign w:val="bottom"/>
            <w:tcBorders>
              <w:top w:val="single" w:sz="8" w:color="0000EE"/>
              <w:bottom w:val="single" w:sz="8" w:color="F0FFFF"/>
            </w:tcBorders>
            <w:shd w:val="clear" w:color="auto" w:fill="F0FFFF"/>
          </w:tcPr>
          <w:p>
            <w:pPr>
              <w:spacing w:after="0"/>
              <w:rPr>
                <w:sz w:val="3"/>
                <w:szCs w:val="3"/>
                <w:color w:val="auto"/>
              </w:rPr>
            </w:pPr>
          </w:p>
        </w:tc>
        <w:tc>
          <w:tcPr>
            <w:tcW w:w="26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40" w:type="dxa"/>
            <w:vAlign w:val="bottom"/>
            <w:tcBorders>
              <w:top w:val="single" w:sz="8" w:color="0000EE"/>
              <w:bottom w:val="single" w:sz="8" w:color="F0FFFF"/>
            </w:tcBorders>
            <w:shd w:val="clear" w:color="auto" w:fill="F0FFFF"/>
          </w:tcPr>
          <w:p>
            <w:pPr>
              <w:spacing w:after="0"/>
              <w:rPr>
                <w:sz w:val="3"/>
                <w:szCs w:val="3"/>
                <w:color w:val="auto"/>
              </w:rPr>
            </w:pPr>
          </w:p>
        </w:tc>
        <w:tc>
          <w:tcPr>
            <w:tcW w:w="236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0000EE"/>
            </w:tcBorders>
          </w:tcPr>
          <w:p>
            <w:pPr>
              <w:spacing w:after="0"/>
              <w:rPr>
                <w:sz w:val="8"/>
                <w:szCs w:val="8"/>
                <w:color w:val="auto"/>
              </w:rPr>
            </w:pPr>
          </w:p>
        </w:tc>
        <w:tc>
          <w:tcPr>
            <w:tcW w:w="6100" w:type="dxa"/>
            <w:vAlign w:val="bottom"/>
            <w:tcBorders>
              <w:bottom w:val="single" w:sz="8" w:color="0000EE"/>
            </w:tcBorders>
            <w:gridSpan w:val="37"/>
          </w:tcPr>
          <w:p>
            <w:pPr>
              <w:spacing w:after="0" w:line="99" w:lineRule="exact"/>
              <w:rPr>
                <w:sz w:val="20"/>
                <w:szCs w:val="20"/>
                <w:color w:val="auto"/>
              </w:rPr>
            </w:pPr>
            <w:r>
              <w:rPr>
                <w:rFonts w:ascii="Times New Roman" w:cs="Times New Roman" w:eastAsia="Times New Roman" w:hAnsi="Times New Roman"/>
                <w:sz w:val="11"/>
                <w:szCs w:val="11"/>
                <w:color w:val="0000EE"/>
              </w:rPr>
              <w:t>DISCLOSURE OF COMMISSION POSITION ON INDEMNIFICATION FOR SECURITIES ACT LIABILITIES</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360" w:type="dxa"/>
            <w:vAlign w:val="bottom"/>
          </w:tcPr>
          <w:p>
            <w:pPr>
              <w:spacing w:after="0"/>
              <w:rPr>
                <w:sz w:val="3"/>
                <w:szCs w:val="3"/>
                <w:color w:val="auto"/>
              </w:rPr>
            </w:pPr>
          </w:p>
        </w:tc>
        <w:tc>
          <w:tcPr>
            <w:tcW w:w="3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6100" w:type="dxa"/>
            <w:vAlign w:val="bottom"/>
            <w:gridSpan w:val="37"/>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0000EE"/>
              </w:rPr>
              <w:t>Appendix A — Investment Options Available Under The Contract</w:t>
            </w:r>
          </w:p>
        </w:tc>
        <w:tc>
          <w:tcPr>
            <w:tcW w:w="3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3"/>
                <w:szCs w:val="13"/>
                <w:color w:val="auto"/>
              </w:rPr>
              <w:t>A-1</w:t>
            </w:r>
          </w:p>
        </w:tc>
        <w:tc>
          <w:tcPr>
            <w:tcW w:w="0" w:type="dxa"/>
            <w:vAlign w:val="bottom"/>
          </w:tcPr>
          <w:p>
            <w:pPr>
              <w:spacing w:after="0"/>
              <w:rPr>
                <w:sz w:val="1"/>
                <w:szCs w:val="1"/>
                <w:color w:val="auto"/>
              </w:rPr>
            </w:pPr>
          </w:p>
        </w:tc>
      </w:tr>
      <w:tr>
        <w:trPr>
          <w:trHeight w:val="40"/>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bottom w:val="single" w:sz="8" w:color="F0FFFF"/>
            </w:tcBorders>
            <w:shd w:val="clear" w:color="auto" w:fill="F0FFFF"/>
          </w:tcPr>
          <w:p>
            <w:pPr>
              <w:spacing w:after="0"/>
              <w:rPr>
                <w:sz w:val="3"/>
                <w:szCs w:val="3"/>
                <w:color w:val="auto"/>
              </w:rPr>
            </w:pPr>
          </w:p>
        </w:tc>
        <w:tc>
          <w:tcPr>
            <w:tcW w:w="360" w:type="dxa"/>
            <w:vAlign w:val="bottom"/>
            <w:tcBorders>
              <w:top w:val="single" w:sz="8" w:color="0000EE"/>
              <w:bottom w:val="single" w:sz="8" w:color="F0FFFF"/>
              <w:right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right w:val="single" w:sz="8" w:color="F0FFFF"/>
            </w:tcBorders>
            <w:shd w:val="clear" w:color="auto" w:fill="F0FFFF"/>
          </w:tcPr>
          <w:p>
            <w:pPr>
              <w:spacing w:after="0"/>
              <w:rPr>
                <w:sz w:val="3"/>
                <w:szCs w:val="3"/>
                <w:color w:val="auto"/>
              </w:rPr>
            </w:pPr>
          </w:p>
        </w:tc>
        <w:tc>
          <w:tcPr>
            <w:tcW w:w="30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4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140" w:type="dxa"/>
            <w:vAlign w:val="bottom"/>
            <w:tcBorders>
              <w:top w:val="single" w:sz="8" w:color="0000EE"/>
              <w:bottom w:val="single" w:sz="8" w:color="F0FFFF"/>
            </w:tcBorders>
            <w:shd w:val="clear" w:color="auto" w:fill="F0FFFF"/>
          </w:tcPr>
          <w:p>
            <w:pPr>
              <w:spacing w:after="0"/>
              <w:rPr>
                <w:sz w:val="3"/>
                <w:szCs w:val="3"/>
                <w:color w:val="auto"/>
              </w:rPr>
            </w:pPr>
          </w:p>
        </w:tc>
        <w:tc>
          <w:tcPr>
            <w:tcW w:w="180" w:type="dxa"/>
            <w:vAlign w:val="bottom"/>
            <w:tcBorders>
              <w:top w:val="single" w:sz="8" w:color="0000EE"/>
              <w:bottom w:val="single" w:sz="8" w:color="F0FFFF"/>
            </w:tcBorders>
            <w:shd w:val="clear" w:color="auto" w:fill="F0FFFF"/>
          </w:tcPr>
          <w:p>
            <w:pPr>
              <w:spacing w:after="0"/>
              <w:rPr>
                <w:sz w:val="3"/>
                <w:szCs w:val="3"/>
                <w:color w:val="auto"/>
              </w:rPr>
            </w:pPr>
          </w:p>
        </w:tc>
        <w:tc>
          <w:tcPr>
            <w:tcW w:w="14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200" w:type="dxa"/>
            <w:vAlign w:val="bottom"/>
            <w:tcBorders>
              <w:top w:val="single" w:sz="8" w:color="0000EE"/>
              <w:bottom w:val="single" w:sz="8" w:color="F0FFFF"/>
            </w:tcBorders>
            <w:shd w:val="clear" w:color="auto" w:fill="F0FFFF"/>
          </w:tcPr>
          <w:p>
            <w:pPr>
              <w:spacing w:after="0"/>
              <w:rPr>
                <w:sz w:val="3"/>
                <w:szCs w:val="3"/>
                <w:color w:val="auto"/>
              </w:rPr>
            </w:pPr>
          </w:p>
        </w:tc>
        <w:tc>
          <w:tcPr>
            <w:tcW w:w="26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40" w:type="dxa"/>
            <w:vAlign w:val="bottom"/>
            <w:tcBorders>
              <w:top w:val="single" w:sz="8" w:color="F0FFFF"/>
              <w:bottom w:val="single" w:sz="8" w:color="F0FFFF"/>
            </w:tcBorders>
            <w:shd w:val="clear" w:color="auto" w:fill="F0FFFF"/>
          </w:tcPr>
          <w:p>
            <w:pPr>
              <w:spacing w:after="0"/>
              <w:rPr>
                <w:sz w:val="3"/>
                <w:szCs w:val="3"/>
                <w:color w:val="auto"/>
              </w:rPr>
            </w:pPr>
          </w:p>
        </w:tc>
        <w:tc>
          <w:tcPr>
            <w:tcW w:w="236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100" w:type="dxa"/>
            <w:vAlign w:val="bottom"/>
            <w:gridSpan w:val="37"/>
          </w:tcPr>
          <w:p>
            <w:pPr>
              <w:spacing w:after="0" w:line="99" w:lineRule="exact"/>
              <w:rPr>
                <w:sz w:val="20"/>
                <w:szCs w:val="20"/>
                <w:color w:val="auto"/>
              </w:rPr>
            </w:pPr>
            <w:r>
              <w:rPr>
                <w:rFonts w:ascii="Times New Roman" w:cs="Times New Roman" w:eastAsia="Times New Roman" w:hAnsi="Times New Roman"/>
                <w:sz w:val="11"/>
                <w:szCs w:val="11"/>
                <w:color w:val="0000EE"/>
              </w:rPr>
              <w:t>Appendix B — Index Publishers</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B-1</w:t>
            </w:r>
          </w:p>
        </w:tc>
        <w:tc>
          <w:tcPr>
            <w:tcW w:w="0" w:type="dxa"/>
            <w:vAlign w:val="bottom"/>
          </w:tcPr>
          <w:p>
            <w:pPr>
              <w:spacing w:after="0"/>
              <w:rPr>
                <w:sz w:val="1"/>
                <w:szCs w:val="1"/>
                <w:color w:val="auto"/>
              </w:rPr>
            </w:pPr>
          </w:p>
        </w:tc>
      </w:tr>
      <w:tr>
        <w:trPr>
          <w:trHeight w:val="40"/>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360" w:type="dxa"/>
            <w:vAlign w:val="bottom"/>
          </w:tcPr>
          <w:p>
            <w:pPr>
              <w:spacing w:after="0"/>
              <w:rPr>
                <w:sz w:val="3"/>
                <w:szCs w:val="3"/>
                <w:color w:val="auto"/>
              </w:rPr>
            </w:pPr>
          </w:p>
        </w:tc>
        <w:tc>
          <w:tcPr>
            <w:tcW w:w="3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6100" w:type="dxa"/>
            <w:vAlign w:val="bottom"/>
            <w:gridSpan w:val="37"/>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0000EE"/>
              </w:rPr>
              <w:t>Appendix C — Index Substitution Investment Amount Example</w:t>
            </w:r>
          </w:p>
        </w:tc>
        <w:tc>
          <w:tcPr>
            <w:tcW w:w="3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3"/>
                <w:szCs w:val="13"/>
                <w:color w:val="auto"/>
              </w:rPr>
              <w:t>C-1</w:t>
            </w:r>
          </w:p>
        </w:tc>
        <w:tc>
          <w:tcPr>
            <w:tcW w:w="0" w:type="dxa"/>
            <w:vAlign w:val="bottom"/>
          </w:tcPr>
          <w:p>
            <w:pPr>
              <w:spacing w:after="0"/>
              <w:rPr>
                <w:sz w:val="1"/>
                <w:szCs w:val="1"/>
                <w:color w:val="auto"/>
              </w:rPr>
            </w:pPr>
          </w:p>
        </w:tc>
      </w:tr>
      <w:tr>
        <w:trPr>
          <w:trHeight w:val="40"/>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bottom w:val="single" w:sz="8" w:color="F0FFFF"/>
            </w:tcBorders>
            <w:shd w:val="clear" w:color="auto" w:fill="F0FFFF"/>
          </w:tcPr>
          <w:p>
            <w:pPr>
              <w:spacing w:after="0"/>
              <w:rPr>
                <w:sz w:val="3"/>
                <w:szCs w:val="3"/>
                <w:color w:val="auto"/>
              </w:rPr>
            </w:pPr>
          </w:p>
        </w:tc>
        <w:tc>
          <w:tcPr>
            <w:tcW w:w="360" w:type="dxa"/>
            <w:vAlign w:val="bottom"/>
            <w:tcBorders>
              <w:top w:val="single" w:sz="8" w:color="0000EE"/>
              <w:bottom w:val="single" w:sz="8" w:color="F0FFFF"/>
              <w:right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right w:val="single" w:sz="8" w:color="F0FFFF"/>
            </w:tcBorders>
            <w:shd w:val="clear" w:color="auto" w:fill="F0FFFF"/>
          </w:tcPr>
          <w:p>
            <w:pPr>
              <w:spacing w:after="0"/>
              <w:rPr>
                <w:sz w:val="3"/>
                <w:szCs w:val="3"/>
                <w:color w:val="auto"/>
              </w:rPr>
            </w:pPr>
          </w:p>
        </w:tc>
        <w:tc>
          <w:tcPr>
            <w:tcW w:w="30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4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8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140" w:type="dxa"/>
            <w:vAlign w:val="bottom"/>
            <w:tcBorders>
              <w:top w:val="single" w:sz="8" w:color="0000EE"/>
              <w:bottom w:val="single" w:sz="8" w:color="F0FFFF"/>
            </w:tcBorders>
            <w:shd w:val="clear" w:color="auto" w:fill="F0FFFF"/>
          </w:tcPr>
          <w:p>
            <w:pPr>
              <w:spacing w:after="0"/>
              <w:rPr>
                <w:sz w:val="3"/>
                <w:szCs w:val="3"/>
                <w:color w:val="auto"/>
              </w:rPr>
            </w:pPr>
          </w:p>
        </w:tc>
        <w:tc>
          <w:tcPr>
            <w:tcW w:w="180" w:type="dxa"/>
            <w:vAlign w:val="bottom"/>
            <w:tcBorders>
              <w:top w:val="single" w:sz="8" w:color="0000EE"/>
              <w:bottom w:val="single" w:sz="8" w:color="F0FFFF"/>
            </w:tcBorders>
            <w:shd w:val="clear" w:color="auto" w:fill="F0FFFF"/>
          </w:tcPr>
          <w:p>
            <w:pPr>
              <w:spacing w:after="0"/>
              <w:rPr>
                <w:sz w:val="3"/>
                <w:szCs w:val="3"/>
                <w:color w:val="auto"/>
              </w:rPr>
            </w:pPr>
          </w:p>
        </w:tc>
        <w:tc>
          <w:tcPr>
            <w:tcW w:w="14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20" w:type="dxa"/>
            <w:vAlign w:val="bottom"/>
            <w:tcBorders>
              <w:top w:val="single" w:sz="8" w:color="0000EE"/>
              <w:bottom w:val="single" w:sz="8" w:color="F0FFFF"/>
            </w:tcBorders>
            <w:shd w:val="clear" w:color="auto" w:fill="F0FFFF"/>
          </w:tcPr>
          <w:p>
            <w:pPr>
              <w:spacing w:after="0"/>
              <w:rPr>
                <w:sz w:val="3"/>
                <w:szCs w:val="3"/>
                <w:color w:val="auto"/>
              </w:rPr>
            </w:pPr>
          </w:p>
        </w:tc>
        <w:tc>
          <w:tcPr>
            <w:tcW w:w="40" w:type="dxa"/>
            <w:vAlign w:val="bottom"/>
            <w:tcBorders>
              <w:top w:val="single" w:sz="8" w:color="0000EE"/>
              <w:bottom w:val="single" w:sz="8" w:color="F0FFFF"/>
            </w:tcBorders>
            <w:shd w:val="clear" w:color="auto" w:fill="F0FFFF"/>
          </w:tcPr>
          <w:p>
            <w:pPr>
              <w:spacing w:after="0"/>
              <w:rPr>
                <w:sz w:val="3"/>
                <w:szCs w:val="3"/>
                <w:color w:val="auto"/>
              </w:rPr>
            </w:pPr>
          </w:p>
        </w:tc>
        <w:tc>
          <w:tcPr>
            <w:tcW w:w="6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0000EE"/>
              <w:bottom w:val="single" w:sz="8" w:color="F0FFFF"/>
            </w:tcBorders>
            <w:shd w:val="clear" w:color="auto" w:fill="F0FFFF"/>
          </w:tcPr>
          <w:p>
            <w:pPr>
              <w:spacing w:after="0"/>
              <w:rPr>
                <w:sz w:val="3"/>
                <w:szCs w:val="3"/>
                <w:color w:val="auto"/>
              </w:rPr>
            </w:pPr>
          </w:p>
        </w:tc>
        <w:tc>
          <w:tcPr>
            <w:tcW w:w="100" w:type="dxa"/>
            <w:vAlign w:val="bottom"/>
            <w:tcBorders>
              <w:top w:val="single" w:sz="8" w:color="0000EE"/>
              <w:bottom w:val="single" w:sz="8" w:color="F0FFFF"/>
            </w:tcBorders>
            <w:shd w:val="clear" w:color="auto" w:fill="F0FFFF"/>
          </w:tcPr>
          <w:p>
            <w:pPr>
              <w:spacing w:after="0"/>
              <w:rPr>
                <w:sz w:val="3"/>
                <w:szCs w:val="3"/>
                <w:color w:val="auto"/>
              </w:rPr>
            </w:pPr>
          </w:p>
        </w:tc>
        <w:tc>
          <w:tcPr>
            <w:tcW w:w="200" w:type="dxa"/>
            <w:vAlign w:val="bottom"/>
            <w:tcBorders>
              <w:top w:val="single" w:sz="8" w:color="0000EE"/>
              <w:bottom w:val="single" w:sz="8" w:color="F0FFFF"/>
            </w:tcBorders>
            <w:shd w:val="clear" w:color="auto" w:fill="F0FFFF"/>
          </w:tcPr>
          <w:p>
            <w:pPr>
              <w:spacing w:after="0"/>
              <w:rPr>
                <w:sz w:val="3"/>
                <w:szCs w:val="3"/>
                <w:color w:val="auto"/>
              </w:rPr>
            </w:pPr>
          </w:p>
        </w:tc>
        <w:tc>
          <w:tcPr>
            <w:tcW w:w="260" w:type="dxa"/>
            <w:vAlign w:val="bottom"/>
            <w:tcBorders>
              <w:top w:val="single" w:sz="8" w:color="0000EE"/>
              <w:bottom w:val="single" w:sz="8" w:color="F0FFFF"/>
            </w:tcBorders>
            <w:shd w:val="clear" w:color="auto" w:fill="F0FFFF"/>
          </w:tcPr>
          <w:p>
            <w:pPr>
              <w:spacing w:after="0"/>
              <w:rPr>
                <w:sz w:val="3"/>
                <w:szCs w:val="3"/>
                <w:color w:val="auto"/>
              </w:rPr>
            </w:pPr>
          </w:p>
        </w:tc>
        <w:tc>
          <w:tcPr>
            <w:tcW w:w="120" w:type="dxa"/>
            <w:vAlign w:val="bottom"/>
            <w:tcBorders>
              <w:top w:val="single" w:sz="8" w:color="F0FFFF"/>
              <w:bottom w:val="single" w:sz="8" w:color="F0FFFF"/>
            </w:tcBorders>
            <w:shd w:val="clear" w:color="auto" w:fill="F0FFFF"/>
          </w:tcPr>
          <w:p>
            <w:pPr>
              <w:spacing w:after="0"/>
              <w:rPr>
                <w:sz w:val="3"/>
                <w:szCs w:val="3"/>
                <w:color w:val="auto"/>
              </w:rPr>
            </w:pPr>
          </w:p>
        </w:tc>
        <w:tc>
          <w:tcPr>
            <w:tcW w:w="240" w:type="dxa"/>
            <w:vAlign w:val="bottom"/>
            <w:tcBorders>
              <w:top w:val="single" w:sz="8" w:color="F0FFFF"/>
              <w:bottom w:val="single" w:sz="8" w:color="F0FFFF"/>
            </w:tcBorders>
            <w:shd w:val="clear" w:color="auto" w:fill="F0FFFF"/>
          </w:tcPr>
          <w:p>
            <w:pPr>
              <w:spacing w:after="0"/>
              <w:rPr>
                <w:sz w:val="3"/>
                <w:szCs w:val="3"/>
                <w:color w:val="auto"/>
              </w:rPr>
            </w:pPr>
          </w:p>
        </w:tc>
        <w:tc>
          <w:tcPr>
            <w:tcW w:w="2360" w:type="dxa"/>
            <w:vAlign w:val="bottom"/>
            <w:tcBorders>
              <w:top w:val="single" w:sz="8" w:color="F0FFFF"/>
              <w:bottom w:val="single" w:sz="8" w:color="F0FFFF"/>
            </w:tcBorders>
            <w:shd w:val="clear" w:color="auto" w:fill="F0FFFF"/>
          </w:tcPr>
          <w:p>
            <w:pPr>
              <w:spacing w:after="0"/>
              <w:rPr>
                <w:sz w:val="3"/>
                <w:szCs w:val="3"/>
                <w:color w:val="auto"/>
              </w:rPr>
            </w:pPr>
          </w:p>
        </w:tc>
        <w:tc>
          <w:tcPr>
            <w:tcW w:w="300" w:type="dxa"/>
            <w:vAlign w:val="bottom"/>
            <w:tcBorders>
              <w:top w:val="single" w:sz="8" w:color="F0FFFF"/>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100" w:type="dxa"/>
            <w:vAlign w:val="bottom"/>
            <w:gridSpan w:val="37"/>
          </w:tcPr>
          <w:p>
            <w:pPr>
              <w:spacing w:after="0" w:line="99" w:lineRule="exact"/>
              <w:rPr>
                <w:sz w:val="20"/>
                <w:szCs w:val="20"/>
                <w:color w:val="auto"/>
              </w:rPr>
            </w:pPr>
            <w:r>
              <w:rPr>
                <w:rFonts w:ascii="Times New Roman" w:cs="Times New Roman" w:eastAsia="Times New Roman" w:hAnsi="Times New Roman"/>
                <w:sz w:val="11"/>
                <w:szCs w:val="11"/>
                <w:color w:val="0000EE"/>
              </w:rPr>
              <w:t>Appendix D — Return of Premium Death Benefit Example</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D-1</w:t>
            </w:r>
          </w:p>
        </w:tc>
        <w:tc>
          <w:tcPr>
            <w:tcW w:w="0" w:type="dxa"/>
            <w:vAlign w:val="bottom"/>
          </w:tcPr>
          <w:p>
            <w:pPr>
              <w:spacing w:after="0"/>
              <w:rPr>
                <w:sz w:val="1"/>
                <w:szCs w:val="1"/>
                <w:color w:val="auto"/>
              </w:rPr>
            </w:pPr>
          </w:p>
        </w:tc>
      </w:tr>
      <w:tr>
        <w:trPr>
          <w:trHeight w:val="40"/>
        </w:trPr>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360" w:type="dxa"/>
            <w:vAlign w:val="bottom"/>
          </w:tcPr>
          <w:p>
            <w:pPr>
              <w:spacing w:after="0"/>
              <w:rPr>
                <w:sz w:val="3"/>
                <w:szCs w:val="3"/>
                <w:color w:val="auto"/>
              </w:rPr>
            </w:pPr>
          </w:p>
        </w:tc>
        <w:tc>
          <w:tcPr>
            <w:tcW w:w="3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Borders>
              <w:bottom w:val="single" w:sz="8" w:color="0000EE"/>
            </w:tcBorders>
          </w:tcPr>
          <w:p>
            <w:pPr>
              <w:spacing w:after="0"/>
              <w:rPr>
                <w:sz w:val="10"/>
                <w:szCs w:val="10"/>
                <w:color w:val="auto"/>
              </w:rPr>
            </w:pPr>
          </w:p>
        </w:tc>
        <w:tc>
          <w:tcPr>
            <w:tcW w:w="1840" w:type="dxa"/>
            <w:vAlign w:val="bottom"/>
            <w:tcBorders>
              <w:bottom w:val="single" w:sz="8" w:color="0000EE"/>
            </w:tcBorders>
            <w:gridSpan w:val="19"/>
            <w:shd w:val="clear" w:color="auto" w:fill="F0FFFF"/>
          </w:tcPr>
          <w:p>
            <w:pPr>
              <w:spacing w:after="0" w:line="99" w:lineRule="exact"/>
              <w:rPr>
                <w:sz w:val="20"/>
                <w:szCs w:val="20"/>
                <w:color w:val="auto"/>
              </w:rPr>
            </w:pPr>
            <w:r>
              <w:rPr>
                <w:rFonts w:ascii="Times New Roman" w:cs="Times New Roman" w:eastAsia="Times New Roman" w:hAnsi="Times New Roman"/>
                <w:sz w:val="11"/>
                <w:szCs w:val="11"/>
                <w:color w:val="0000EE"/>
              </w:rPr>
              <w:t>Appendix E — The Fixed Account</w:t>
            </w:r>
          </w:p>
        </w:tc>
        <w:tc>
          <w:tcPr>
            <w:tcW w:w="120" w:type="dxa"/>
            <w:vAlign w:val="bottom"/>
            <w:tcBorders>
              <w:bottom w:val="single" w:sz="8" w:color="F0FFFF"/>
            </w:tcBorders>
            <w:gridSpan w:val="2"/>
            <w:vMerge w:val="restart"/>
            <w:shd w:val="clear" w:color="auto" w:fill="F0FFFF"/>
          </w:tcPr>
          <w:p>
            <w:pPr>
              <w:spacing w:after="0"/>
              <w:rPr>
                <w:sz w:val="10"/>
                <w:szCs w:val="10"/>
                <w:color w:val="auto"/>
              </w:rPr>
            </w:pPr>
          </w:p>
        </w:tc>
        <w:tc>
          <w:tcPr>
            <w:tcW w:w="4140" w:type="dxa"/>
            <w:vAlign w:val="bottom"/>
            <w:tcBorders>
              <w:bottom w:val="single" w:sz="8" w:color="F0FFFF"/>
            </w:tcBorders>
            <w:gridSpan w:val="16"/>
            <w:vMerge w:val="restart"/>
            <w:shd w:val="clear" w:color="auto" w:fill="F0FFFF"/>
          </w:tcPr>
          <w:p>
            <w:pPr>
              <w:spacing w:after="0"/>
              <w:rPr>
                <w:sz w:val="10"/>
                <w:szCs w:val="10"/>
                <w:color w:val="auto"/>
              </w:rPr>
            </w:pPr>
          </w:p>
        </w:tc>
        <w:tc>
          <w:tcPr>
            <w:tcW w:w="300" w:type="dxa"/>
            <w:vAlign w:val="bottom"/>
            <w:tcBorders>
              <w:bottom w:val="single" w:sz="8" w:color="F0FFFF"/>
            </w:tcBorders>
            <w:vMerge w:val="restart"/>
            <w:shd w:val="clear" w:color="auto" w:fill="F0FFFF"/>
          </w:tcPr>
          <w:p>
            <w:pPr>
              <w:jc w:val="right"/>
              <w:spacing w:after="0"/>
              <w:rPr>
                <w:sz w:val="20"/>
                <w:szCs w:val="20"/>
                <w:color w:val="auto"/>
              </w:rPr>
            </w:pPr>
            <w:r>
              <w:rPr>
                <w:rFonts w:ascii="Times New Roman" w:cs="Times New Roman" w:eastAsia="Times New Roman" w:hAnsi="Times New Roman"/>
                <w:sz w:val="13"/>
                <w:szCs w:val="13"/>
                <w:color w:val="auto"/>
              </w:rPr>
              <w:t>E-1</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00" w:type="dxa"/>
            <w:vAlign w:val="bottom"/>
            <w:tcBorders>
              <w:bottom w:val="single" w:sz="8" w:color="F0FFFF"/>
              <w:right w:val="single" w:sz="8" w:color="F0FFFF"/>
            </w:tcBorders>
            <w:gridSpan w:val="2"/>
            <w:shd w:val="clear" w:color="auto" w:fill="F0FFFF"/>
          </w:tcPr>
          <w:p>
            <w:pPr>
              <w:spacing w:after="0"/>
              <w:rPr>
                <w:sz w:val="3"/>
                <w:szCs w:val="3"/>
                <w:color w:val="auto"/>
              </w:rPr>
            </w:pPr>
          </w:p>
        </w:tc>
        <w:tc>
          <w:tcPr>
            <w:tcW w:w="60" w:type="dxa"/>
            <w:vAlign w:val="bottom"/>
            <w:tcBorders>
              <w:bottom w:val="single" w:sz="8" w:color="F0FFFF"/>
              <w:right w:val="single" w:sz="8" w:color="F0FFFF"/>
            </w:tcBorders>
            <w:gridSpan w:val="2"/>
            <w:shd w:val="clear" w:color="auto" w:fill="F0FFFF"/>
          </w:tcPr>
          <w:p>
            <w:pPr>
              <w:spacing w:after="0"/>
              <w:rPr>
                <w:sz w:val="3"/>
                <w:szCs w:val="3"/>
                <w:color w:val="auto"/>
              </w:rPr>
            </w:pPr>
          </w:p>
        </w:tc>
        <w:tc>
          <w:tcPr>
            <w:tcW w:w="1180" w:type="dxa"/>
            <w:vAlign w:val="bottom"/>
            <w:tcBorders>
              <w:bottom w:val="single" w:sz="8" w:color="F0FFFF"/>
            </w:tcBorders>
            <w:gridSpan w:val="15"/>
            <w:shd w:val="clear" w:color="auto" w:fill="F0FFFF"/>
          </w:tcPr>
          <w:p>
            <w:pPr>
              <w:spacing w:after="0"/>
              <w:rPr>
                <w:sz w:val="3"/>
                <w:szCs w:val="3"/>
                <w:color w:val="auto"/>
              </w:rPr>
            </w:pPr>
          </w:p>
        </w:tc>
        <w:tc>
          <w:tcPr>
            <w:tcW w:w="120" w:type="dxa"/>
            <w:vAlign w:val="bottom"/>
            <w:tcBorders>
              <w:bottom w:val="single" w:sz="8" w:color="F0FFFF"/>
            </w:tcBorders>
            <w:gridSpan w:val="2"/>
            <w:vMerge w:val="continue"/>
            <w:shd w:val="clear" w:color="auto" w:fill="F0FFFF"/>
          </w:tcPr>
          <w:p>
            <w:pPr>
              <w:spacing w:after="0"/>
              <w:rPr>
                <w:sz w:val="3"/>
                <w:szCs w:val="3"/>
                <w:color w:val="auto"/>
              </w:rPr>
            </w:pPr>
          </w:p>
        </w:tc>
        <w:tc>
          <w:tcPr>
            <w:tcW w:w="4140" w:type="dxa"/>
            <w:vAlign w:val="bottom"/>
            <w:tcBorders>
              <w:bottom w:val="single" w:sz="8" w:color="F0FFFF"/>
            </w:tcBorders>
            <w:gridSpan w:val="16"/>
            <w:vMerge w:val="continue"/>
            <w:shd w:val="clear" w:color="auto" w:fill="F0FFFF"/>
          </w:tcPr>
          <w:p>
            <w:pPr>
              <w:spacing w:after="0"/>
              <w:rPr>
                <w:sz w:val="3"/>
                <w:szCs w:val="3"/>
                <w:color w:val="auto"/>
              </w:rPr>
            </w:pPr>
          </w:p>
        </w:tc>
        <w:tc>
          <w:tcPr>
            <w:tcW w:w="300" w:type="dxa"/>
            <w:vAlign w:val="bottom"/>
            <w:tcBorders>
              <w:bottom w:val="single" w:sz="8" w:color="F0FFFF"/>
            </w:tcBorders>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100" w:type="dxa"/>
            <w:vAlign w:val="bottom"/>
            <w:gridSpan w:val="37"/>
          </w:tcPr>
          <w:p>
            <w:pPr>
              <w:spacing w:after="0" w:line="99" w:lineRule="exact"/>
              <w:rPr>
                <w:sz w:val="20"/>
                <w:szCs w:val="20"/>
                <w:color w:val="auto"/>
              </w:rPr>
            </w:pPr>
            <w:r>
              <w:rPr>
                <w:rFonts w:ascii="Times New Roman" w:cs="Times New Roman" w:eastAsia="Times New Roman" w:hAnsi="Times New Roman"/>
                <w:sz w:val="11"/>
                <w:szCs w:val="11"/>
                <w:color w:val="0000EE"/>
              </w:rPr>
              <w:t>Appendix F — The Holding Account</w:t>
            </w:r>
          </w:p>
        </w:tc>
        <w:tc>
          <w:tcPr>
            <w:tcW w:w="300" w:type="dxa"/>
            <w:vAlign w:val="bottom"/>
          </w:tcPr>
          <w:p>
            <w:pPr>
              <w:jc w:val="right"/>
              <w:spacing w:after="0" w:line="99" w:lineRule="exact"/>
              <w:rPr>
                <w:sz w:val="20"/>
                <w:szCs w:val="20"/>
                <w:color w:val="auto"/>
              </w:rPr>
            </w:pPr>
            <w:r>
              <w:rPr>
                <w:rFonts w:ascii="Times New Roman" w:cs="Times New Roman" w:eastAsia="Times New Roman" w:hAnsi="Times New Roman"/>
                <w:sz w:val="11"/>
                <w:szCs w:val="11"/>
                <w:color w:val="auto"/>
              </w:rPr>
              <w:t>F-1</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259"/>
          </w:cols>
          <w:pgMar w:left="1200" w:top="1012" w:right="1440" w:bottom="1440" w:gutter="0" w:footer="0" w:header="0"/>
        </w:sectPr>
      </w:pPr>
    </w:p>
    <w:bookmarkStart w:id="6" w:name="page7"/>
    <w:bookmarkEnd w:id="6"/>
    <w:p>
      <w:pPr>
        <w:ind w:left="250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3915" cy="38100"/>
                    </a:xfrm>
                    <a:prstGeom prst="rect">
                      <a:avLst/>
                    </a:prstGeom>
                    <a:noFill/>
                  </pic:spPr>
                </pic:pic>
              </a:graphicData>
            </a:graphic>
          </wp:anchor>
        </w:drawing>
        <w:t>SPECIAL TERMS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this prospectus, the following capitalized terms have the indicated meanings:</w:t>
      </w:r>
    </w:p>
    <w:p>
      <w:pPr>
        <w:spacing w:after="0" w:line="87" w:lineRule="exact"/>
        <w:rPr>
          <w:sz w:val="20"/>
          <w:szCs w:val="20"/>
          <w:color w:val="auto"/>
        </w:rPr>
      </w:pPr>
    </w:p>
    <w:p>
      <w:pPr>
        <w:jc w:val="both"/>
        <w:ind w:right="3199"/>
        <w:spacing w:after="0" w:line="293" w:lineRule="auto"/>
        <w:rPr>
          <w:sz w:val="20"/>
          <w:szCs w:val="20"/>
          <w:color w:val="auto"/>
        </w:rPr>
      </w:pPr>
      <w:r>
        <w:rPr>
          <w:rFonts w:ascii="Times New Roman" w:cs="Times New Roman" w:eastAsia="Times New Roman" w:hAnsi="Times New Roman"/>
          <w:sz w:val="13"/>
          <w:szCs w:val="13"/>
          <w:b w:val="1"/>
          <w:bCs w:val="1"/>
          <w:color w:val="auto"/>
        </w:rPr>
        <w:t>Account Value.</w:t>
      </w:r>
      <w:r>
        <w:rPr>
          <w:rFonts w:ascii="Times New Roman" w:cs="Times New Roman" w:eastAsia="Times New Roman" w:hAnsi="Times New Roman"/>
          <w:sz w:val="13"/>
          <w:szCs w:val="13"/>
          <w:color w:val="auto"/>
        </w:rPr>
        <w:t xml:space="preserve">  The total of the Fixed Account Value, the value of the Shield Option(s), and the Holding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Account value under the Contract during the Accumulation Period.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Accumulation Period.</w:t>
      </w:r>
      <w:r>
        <w:rPr>
          <w:rFonts w:ascii="Times New Roman" w:cs="Times New Roman" w:eastAsia="Times New Roman" w:hAnsi="Times New Roman"/>
          <w:sz w:val="13"/>
          <w:szCs w:val="13"/>
          <w:color w:val="auto"/>
        </w:rPr>
        <w:t xml:space="preserve">   The period prior to the Annuity Date.</w:t>
      </w:r>
    </w:p>
    <w:p>
      <w:pPr>
        <w:spacing w:after="0" w:line="89" w:lineRule="exact"/>
        <w:rPr>
          <w:sz w:val="20"/>
          <w:szCs w:val="20"/>
          <w:color w:val="auto"/>
        </w:rPr>
      </w:pPr>
    </w:p>
    <w:p>
      <w:pPr>
        <w:jc w:val="both"/>
        <w:ind w:right="3199"/>
        <w:spacing w:after="0" w:line="271" w:lineRule="auto"/>
        <w:rPr>
          <w:sz w:val="20"/>
          <w:szCs w:val="20"/>
          <w:color w:val="auto"/>
        </w:rPr>
      </w:pPr>
      <w:r>
        <w:rPr>
          <w:rFonts w:ascii="Times New Roman" w:cs="Times New Roman" w:eastAsia="Times New Roman" w:hAnsi="Times New Roman"/>
          <w:sz w:val="13"/>
          <w:szCs w:val="13"/>
          <w:b w:val="1"/>
          <w:bCs w:val="1"/>
          <w:color w:val="auto"/>
        </w:rPr>
        <w:t>Allocation Option.</w:t>
      </w:r>
      <w:r>
        <w:rPr>
          <w:rFonts w:ascii="Times New Roman" w:cs="Times New Roman" w:eastAsia="Times New Roman" w:hAnsi="Times New Roman"/>
          <w:sz w:val="13"/>
          <w:szCs w:val="13"/>
          <w:color w:val="auto"/>
        </w:rPr>
        <w:t xml:space="preserve">  Includes the Shield Option(s), the Fixed Account, and Holding Account. The Holding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Account is not an allocation option that you can allocate your Purchase Payment or Account Value into and there are only certain circumstances where we will transfer amounts to the Holding Account. See “HOLDING ACCOUNT.”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Annuitant</w:t>
      </w:r>
      <w:r>
        <w:rPr>
          <w:rFonts w:ascii="Times New Roman" w:cs="Times New Roman" w:eastAsia="Times New Roman" w:hAnsi="Times New Roman"/>
          <w:sz w:val="13"/>
          <w:szCs w:val="13"/>
          <w:color w:val="auto"/>
        </w:rPr>
        <w:t>.   The natural person(s) listed on the Contract Schedule on whose life Annuity Payments are based.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Any reference to Annuitant will also include any Joint Annuitant under an Annuity Option.</w:t>
      </w:r>
    </w:p>
    <w:p>
      <w:pPr>
        <w:spacing w:after="0" w:line="74" w:lineRule="exact"/>
        <w:rPr>
          <w:sz w:val="20"/>
          <w:szCs w:val="20"/>
          <w:color w:val="auto"/>
        </w:rPr>
      </w:pPr>
    </w:p>
    <w:p>
      <w:pPr>
        <w:jc w:val="both"/>
        <w:ind w:right="3199"/>
        <w:spacing w:after="0" w:line="274" w:lineRule="auto"/>
        <w:rPr>
          <w:sz w:val="20"/>
          <w:szCs w:val="20"/>
          <w:color w:val="auto"/>
        </w:rPr>
      </w:pPr>
      <w:r>
        <w:rPr>
          <w:rFonts w:ascii="Times New Roman" w:cs="Times New Roman" w:eastAsia="Times New Roman" w:hAnsi="Times New Roman"/>
          <w:sz w:val="13"/>
          <w:szCs w:val="13"/>
          <w:b w:val="1"/>
          <w:bCs w:val="1"/>
          <w:color w:val="auto"/>
        </w:rPr>
        <w:t>Annuity Date.</w:t>
      </w:r>
      <w:r>
        <w:rPr>
          <w:rFonts w:ascii="Times New Roman" w:cs="Times New Roman" w:eastAsia="Times New Roman" w:hAnsi="Times New Roman"/>
          <w:sz w:val="13"/>
          <w:szCs w:val="13"/>
          <w:color w:val="auto"/>
        </w:rPr>
        <w:t xml:space="preserve">  A date on which you choose to begin receiving Annuity Payments. If we agree, you may change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Annuity Date, subject to certain requirements. If you do not choose an Annuity Date, the Annuity Date will be the Annuity Date indicated on the Contract Schedule.</w:t>
      </w:r>
    </w:p>
    <w:p>
      <w:pPr>
        <w:spacing w:after="0" w:line="44" w:lineRule="exact"/>
        <w:rPr>
          <w:sz w:val="20"/>
          <w:szCs w:val="20"/>
          <w:color w:val="auto"/>
        </w:rPr>
      </w:pPr>
    </w:p>
    <w:p>
      <w:pPr>
        <w:ind w:right="3479"/>
        <w:spacing w:after="0" w:line="293" w:lineRule="auto"/>
        <w:rPr>
          <w:sz w:val="20"/>
          <w:szCs w:val="20"/>
          <w:color w:val="auto"/>
        </w:rPr>
      </w:pPr>
      <w:r>
        <w:rPr>
          <w:rFonts w:ascii="Times New Roman" w:cs="Times New Roman" w:eastAsia="Times New Roman" w:hAnsi="Times New Roman"/>
          <w:sz w:val="13"/>
          <w:szCs w:val="13"/>
          <w:b w:val="1"/>
          <w:bCs w:val="1"/>
          <w:color w:val="auto"/>
        </w:rPr>
        <w:t>Annuity Payments.</w:t>
      </w:r>
      <w:r>
        <w:rPr>
          <w:rFonts w:ascii="Times New Roman" w:cs="Times New Roman" w:eastAsia="Times New Roman" w:hAnsi="Times New Roman"/>
          <w:sz w:val="13"/>
          <w:szCs w:val="13"/>
          <w:color w:val="auto"/>
        </w:rPr>
        <w:t xml:space="preserve">  A series of payments made by us during the Annuity Period, which we guarantee as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dollar amount.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Annuity Period.</w:t>
      </w:r>
      <w:r>
        <w:rPr>
          <w:rFonts w:ascii="Times New Roman" w:cs="Times New Roman" w:eastAsia="Times New Roman" w:hAnsi="Times New Roman"/>
          <w:sz w:val="13"/>
          <w:szCs w:val="13"/>
          <w:color w:val="auto"/>
        </w:rPr>
        <w:t xml:space="preserve">   A period starting on the Annuity Date during which Annuity Payments are payable.</w:t>
      </w:r>
    </w:p>
    <w:p>
      <w:pPr>
        <w:spacing w:after="0" w:line="89" w:lineRule="exact"/>
        <w:rPr>
          <w:sz w:val="20"/>
          <w:szCs w:val="20"/>
          <w:color w:val="auto"/>
        </w:rPr>
      </w:pPr>
    </w:p>
    <w:p>
      <w:pPr>
        <w:jc w:val="both"/>
        <w:ind w:right="3199"/>
        <w:spacing w:after="0" w:line="293" w:lineRule="auto"/>
        <w:rPr>
          <w:sz w:val="20"/>
          <w:szCs w:val="20"/>
          <w:color w:val="auto"/>
        </w:rPr>
      </w:pPr>
      <w:r>
        <w:rPr>
          <w:rFonts w:ascii="Times New Roman" w:cs="Times New Roman" w:eastAsia="Times New Roman" w:hAnsi="Times New Roman"/>
          <w:sz w:val="13"/>
          <w:szCs w:val="13"/>
          <w:b w:val="1"/>
          <w:bCs w:val="1"/>
          <w:color w:val="auto"/>
        </w:rPr>
        <w:t>Annuity Service Office.</w:t>
      </w:r>
      <w:r>
        <w:rPr>
          <w:rFonts w:ascii="Times New Roman" w:cs="Times New Roman" w:eastAsia="Times New Roman" w:hAnsi="Times New Roman"/>
          <w:sz w:val="13"/>
          <w:szCs w:val="13"/>
          <w:color w:val="auto"/>
        </w:rPr>
        <w:t xml:space="preserve">  The office indicated on the Contract Schedule to which notices and requests must be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sent, or as otherwise changed by notification from us.</w:t>
      </w:r>
    </w:p>
    <w:p>
      <w:pPr>
        <w:spacing w:after="0" w:line="32"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3"/>
          <w:szCs w:val="13"/>
          <w:b w:val="1"/>
          <w:bCs w:val="1"/>
          <w:color w:val="auto"/>
        </w:rPr>
        <w:t>BLNY (“we,” “us,” “our”).</w:t>
      </w:r>
      <w:r>
        <w:rPr>
          <w:sz w:val="20"/>
          <w:szCs w:val="20"/>
          <w:color w:val="auto"/>
        </w:rPr>
        <w:tab/>
      </w:r>
      <w:r>
        <w:rPr>
          <w:rFonts w:ascii="Times New Roman" w:cs="Times New Roman" w:eastAsia="Times New Roman" w:hAnsi="Times New Roman"/>
          <w:sz w:val="13"/>
          <w:szCs w:val="13"/>
          <w:color w:val="auto"/>
        </w:rPr>
        <w:t>Brighthouse Life Insurance Company of NY.</w:t>
      </w:r>
    </w:p>
    <w:p>
      <w:pPr>
        <w:spacing w:after="0" w:line="89" w:lineRule="exact"/>
        <w:rPr>
          <w:sz w:val="20"/>
          <w:szCs w:val="20"/>
          <w:color w:val="auto"/>
        </w:rPr>
      </w:pPr>
    </w:p>
    <w:p>
      <w:pPr>
        <w:jc w:val="both"/>
        <w:ind w:right="3199"/>
        <w:spacing w:after="0" w:line="293" w:lineRule="auto"/>
        <w:rPr>
          <w:sz w:val="20"/>
          <w:szCs w:val="20"/>
          <w:color w:val="auto"/>
        </w:rPr>
      </w:pPr>
      <w:r>
        <w:rPr>
          <w:rFonts w:ascii="Times New Roman" w:cs="Times New Roman" w:eastAsia="Times New Roman" w:hAnsi="Times New Roman"/>
          <w:sz w:val="13"/>
          <w:szCs w:val="13"/>
          <w:b w:val="1"/>
          <w:bCs w:val="1"/>
          <w:color w:val="auto"/>
        </w:rPr>
        <w:t>Beneficiary.</w:t>
      </w:r>
      <w:r>
        <w:rPr>
          <w:rFonts w:ascii="Times New Roman" w:cs="Times New Roman" w:eastAsia="Times New Roman" w:hAnsi="Times New Roman"/>
          <w:sz w:val="13"/>
          <w:szCs w:val="13"/>
          <w:color w:val="auto"/>
        </w:rPr>
        <w:t xml:space="preserve">  The person(s) or entity(ies) you name to receive a death benefit payable under the Contract upon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death of the Owner or a Joint Owner, or in certain circumstances, an Annuitant.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Brighthouse Securities.</w:t>
      </w:r>
      <w:r>
        <w:rPr>
          <w:rFonts w:ascii="Times New Roman" w:cs="Times New Roman" w:eastAsia="Times New Roman" w:hAnsi="Times New Roman"/>
          <w:sz w:val="13"/>
          <w:szCs w:val="13"/>
          <w:color w:val="auto"/>
        </w:rPr>
        <w:t xml:space="preserve">   Brighthouse Securities, LLC.</w:t>
      </w:r>
    </w:p>
    <w:p>
      <w:pPr>
        <w:spacing w:after="0" w:line="89" w:lineRule="exact"/>
        <w:rPr>
          <w:sz w:val="20"/>
          <w:szCs w:val="20"/>
          <w:color w:val="auto"/>
        </w:rPr>
      </w:pPr>
    </w:p>
    <w:p>
      <w:pPr>
        <w:jc w:val="both"/>
        <w:ind w:right="3199"/>
        <w:spacing w:after="0" w:line="266" w:lineRule="auto"/>
        <w:rPr>
          <w:sz w:val="20"/>
          <w:szCs w:val="20"/>
          <w:color w:val="auto"/>
        </w:rPr>
      </w:pPr>
      <w:r>
        <w:rPr>
          <w:rFonts w:ascii="Times New Roman" w:cs="Times New Roman" w:eastAsia="Times New Roman" w:hAnsi="Times New Roman"/>
          <w:sz w:val="13"/>
          <w:szCs w:val="13"/>
          <w:b w:val="1"/>
          <w:bCs w:val="1"/>
          <w:color w:val="auto"/>
        </w:rPr>
        <w:t>Business Day.</w:t>
      </w:r>
      <w:r>
        <w:rPr>
          <w:rFonts w:ascii="Times New Roman" w:cs="Times New Roman" w:eastAsia="Times New Roman" w:hAnsi="Times New Roman"/>
          <w:sz w:val="13"/>
          <w:szCs w:val="13"/>
          <w:color w:val="auto"/>
        </w:rPr>
        <w:t xml:space="preserve">  Our “business day” is generally any day the New York Stock Exchange (NYSE) is open for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regular trading. For purposes of receipt of Notice for administrative requests and transactions, a Business Day ends at the earlier of 4:00 PM Eastern Standard Time or when the NYSE closes. If the SEC determines the existence of emergency conditions on any day, and consequently, the NYSE does not open, then that day is not a Business Day.</w:t>
      </w:r>
    </w:p>
    <w:p>
      <w:pPr>
        <w:spacing w:after="0" w:line="21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3"/>
          <w:szCs w:val="13"/>
          <w:b w:val="1"/>
          <w:bCs w:val="1"/>
          <w:color w:val="auto"/>
        </w:rPr>
        <w:t>Cap Rate.</w:t>
      </w:r>
      <w:r>
        <w:rPr>
          <w:sz w:val="20"/>
          <w:szCs w:val="20"/>
          <w:color w:val="auto"/>
        </w:rPr>
        <w:tab/>
      </w:r>
      <w:r>
        <w:rPr>
          <w:rFonts w:ascii="Times New Roman" w:cs="Times New Roman" w:eastAsia="Times New Roman" w:hAnsi="Times New Roman"/>
          <w:sz w:val="13"/>
          <w:szCs w:val="13"/>
          <w:color w:val="auto"/>
        </w:rPr>
        <w:t xml:space="preserve">The maximum rate that may be credited at the </w:t>
      </w:r>
      <w:r>
        <w:rPr>
          <w:rFonts w:ascii="Times New Roman" w:cs="Times New Roman" w:eastAsia="Times New Roman" w:hAnsi="Times New Roman"/>
          <w:sz w:val="13"/>
          <w:szCs w:val="13"/>
          <w:u w:val="single" w:color="auto"/>
          <w:color w:val="auto"/>
        </w:rPr>
        <w:t>Term End Date</w:t>
      </w:r>
      <w:r>
        <w:rPr>
          <w:rFonts w:ascii="Times New Roman" w:cs="Times New Roman" w:eastAsia="Times New Roman" w:hAnsi="Times New Roman"/>
          <w:sz w:val="13"/>
          <w:szCs w:val="13"/>
          <w:color w:val="auto"/>
        </w:rPr>
        <w:t xml:space="preserve"> based on </w:t>
      </w:r>
      <w:r>
        <w:rPr>
          <w:rFonts w:ascii="Times New Roman" w:cs="Times New Roman" w:eastAsia="Times New Roman" w:hAnsi="Times New Roman"/>
          <w:sz w:val="13"/>
          <w:szCs w:val="13"/>
          <w:u w:val="single" w:color="auto"/>
          <w:color w:val="auto"/>
        </w:rPr>
        <w:t>Index Performance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The</w:t>
      </w:r>
    </w:p>
    <w:p>
      <w:pPr>
        <w:spacing w:after="0" w:line="24" w:lineRule="exact"/>
        <w:rPr>
          <w:sz w:val="20"/>
          <w:szCs w:val="20"/>
          <w:color w:val="auto"/>
        </w:rPr>
      </w:pPr>
    </w:p>
    <w:p>
      <w:pPr>
        <w:jc w:val="both"/>
        <w:ind w:right="3199"/>
        <w:spacing w:after="0" w:line="269" w:lineRule="auto"/>
        <w:rPr>
          <w:sz w:val="20"/>
          <w:szCs w:val="20"/>
          <w:color w:val="auto"/>
        </w:rPr>
      </w:pPr>
      <w:r>
        <w:rPr>
          <w:rFonts w:ascii="Times New Roman" w:cs="Times New Roman" w:eastAsia="Times New Roman" w:hAnsi="Times New Roman"/>
          <w:sz w:val="13"/>
          <w:szCs w:val="13"/>
          <w:b w:val="1"/>
          <w:bCs w:val="1"/>
          <w:u w:val="single" w:color="auto"/>
          <w:color w:val="auto"/>
        </w:rPr>
        <w:t>Cap Rate</w:t>
      </w:r>
      <w:r>
        <w:rPr>
          <w:rFonts w:ascii="Times New Roman" w:cs="Times New Roman" w:eastAsia="Times New Roman" w:hAnsi="Times New Roman"/>
          <w:sz w:val="13"/>
          <w:szCs w:val="13"/>
          <w:b w:val="1"/>
          <w:bCs w:val="1"/>
          <w:color w:val="auto"/>
        </w:rPr>
        <w:t xml:space="preserve"> may vary between </w:t>
      </w:r>
      <w:r>
        <w:rPr>
          <w:rFonts w:ascii="Times New Roman" w:cs="Times New Roman" w:eastAsia="Times New Roman" w:hAnsi="Times New Roman"/>
          <w:sz w:val="13"/>
          <w:szCs w:val="13"/>
          <w:b w:val="1"/>
          <w:bCs w:val="1"/>
          <w:u w:val="single" w:color="auto"/>
          <w:color w:val="auto"/>
        </w:rPr>
        <w:t>Shield Options</w:t>
      </w:r>
      <w:r>
        <w:rPr>
          <w:rFonts w:ascii="Times New Roman" w:cs="Times New Roman" w:eastAsia="Times New Roman" w:hAnsi="Times New Roman"/>
          <w:sz w:val="13"/>
          <w:szCs w:val="13"/>
          <w:b w:val="1"/>
          <w:bCs w:val="1"/>
          <w:color w:val="auto"/>
        </w:rPr>
        <w:t xml:space="preserve"> and, unless you have a </w:t>
      </w:r>
      <w:r>
        <w:rPr>
          <w:rFonts w:ascii="Times New Roman" w:cs="Times New Roman" w:eastAsia="Times New Roman" w:hAnsi="Times New Roman"/>
          <w:sz w:val="13"/>
          <w:szCs w:val="13"/>
          <w:b w:val="1"/>
          <w:bCs w:val="1"/>
          <w:u w:val="single" w:color="auto"/>
          <w:color w:val="auto"/>
        </w:rPr>
        <w:t>Shield Option</w:t>
      </w:r>
      <w:r>
        <w:rPr>
          <w:rFonts w:ascii="Times New Roman" w:cs="Times New Roman" w:eastAsia="Times New Roman" w:hAnsi="Times New Roman"/>
          <w:sz w:val="13"/>
          <w:szCs w:val="13"/>
          <w:b w:val="1"/>
          <w:bCs w:val="1"/>
          <w:color w:val="auto"/>
        </w:rPr>
        <w:t xml:space="preserve"> with a 1-year </w:t>
      </w:r>
      <w:r>
        <w:rPr>
          <w:rFonts w:ascii="Times New Roman" w:cs="Times New Roman" w:eastAsia="Times New Roman" w:hAnsi="Times New Roman"/>
          <w:sz w:val="13"/>
          <w:szCs w:val="13"/>
          <w:b w:val="1"/>
          <w:bCs w:val="1"/>
          <w:u w:val="single" w:color="auto"/>
          <w:color w:val="auto"/>
        </w:rPr>
        <w:t>Term</w:t>
      </w:r>
      <w:r>
        <w:rPr>
          <w:rFonts w:ascii="Times New Roman" w:cs="Times New Roman" w:eastAsia="Times New Roman" w:hAnsi="Times New Roman"/>
          <w:sz w:val="13"/>
          <w:szCs w:val="13"/>
          <w:b w:val="1"/>
          <w:bCs w:val="1"/>
          <w:color w:val="auto"/>
        </w:rPr>
        <w:t>, is not an annual rate.</w:t>
      </w:r>
    </w:p>
    <w:p>
      <w:pPr>
        <w:spacing w:after="0" w:line="47" w:lineRule="exact"/>
        <w:rPr>
          <w:sz w:val="20"/>
          <w:szCs w:val="20"/>
          <w:color w:val="auto"/>
        </w:rPr>
      </w:pPr>
    </w:p>
    <w:p>
      <w:pPr>
        <w:jc w:val="both"/>
        <w:ind w:right="3199"/>
        <w:spacing w:after="0" w:line="293" w:lineRule="auto"/>
        <w:rPr>
          <w:sz w:val="20"/>
          <w:szCs w:val="20"/>
          <w:color w:val="auto"/>
        </w:rPr>
      </w:pPr>
      <w:r>
        <w:rPr>
          <w:rFonts w:ascii="Times New Roman" w:cs="Times New Roman" w:eastAsia="Times New Roman" w:hAnsi="Times New Roman"/>
          <w:sz w:val="13"/>
          <w:szCs w:val="13"/>
          <w:b w:val="1"/>
          <w:bCs w:val="1"/>
          <w:color w:val="auto"/>
        </w:rPr>
        <w:t>Code.</w:t>
      </w:r>
      <w:r>
        <w:rPr>
          <w:rFonts w:ascii="Times New Roman" w:cs="Times New Roman" w:eastAsia="Times New Roman" w:hAnsi="Times New Roman"/>
          <w:sz w:val="13"/>
          <w:szCs w:val="13"/>
          <w:color w:val="auto"/>
        </w:rPr>
        <w:t xml:space="preserve">  The Internal Revenue Code of 1986, as amended, and all related laws and regulations, which are in effect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during the term of the Contract.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Contract.</w:t>
      </w:r>
      <w:r>
        <w:rPr>
          <w:rFonts w:ascii="Times New Roman" w:cs="Times New Roman" w:eastAsia="Times New Roman" w:hAnsi="Times New Roman"/>
          <w:sz w:val="13"/>
          <w:szCs w:val="13"/>
          <w:color w:val="auto"/>
        </w:rPr>
        <w:t xml:space="preserve">   The legal agreement between you and BLNY. It contains relevant provisions of your deferred annuity.</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Contract Anniversary.</w:t>
      </w:r>
      <w:r>
        <w:rPr>
          <w:rFonts w:ascii="Times New Roman" w:cs="Times New Roman" w:eastAsia="Times New Roman" w:hAnsi="Times New Roman"/>
          <w:sz w:val="13"/>
          <w:szCs w:val="13"/>
          <w:color w:val="auto"/>
        </w:rPr>
        <w:t xml:space="preserve">   An anniversary of the Issue Date of the Contract.</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Contract Schedule.</w:t>
      </w:r>
      <w:r>
        <w:rPr>
          <w:rFonts w:ascii="Times New Roman" w:cs="Times New Roman" w:eastAsia="Times New Roman" w:hAnsi="Times New Roman"/>
          <w:sz w:val="13"/>
          <w:szCs w:val="13"/>
          <w:color w:val="auto"/>
        </w:rPr>
        <w:t xml:space="preserve">   The schedule attached to your Contract.</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Contract Year.</w:t>
      </w:r>
      <w:r>
        <w:rPr>
          <w:rFonts w:ascii="Times New Roman" w:cs="Times New Roman" w:eastAsia="Times New Roman" w:hAnsi="Times New Roman"/>
          <w:sz w:val="13"/>
          <w:szCs w:val="13"/>
          <w:color w:val="auto"/>
        </w:rPr>
        <w:t xml:space="preserve">   A one-year period starting on the Issue Date and on each Contract Anniversary thereafter.</w:t>
      </w:r>
    </w:p>
    <w:p>
      <w:pPr>
        <w:spacing w:after="0" w:line="89" w:lineRule="exact"/>
        <w:rPr>
          <w:sz w:val="20"/>
          <w:szCs w:val="20"/>
          <w:color w:val="auto"/>
        </w:rPr>
      </w:pPr>
    </w:p>
    <w:p>
      <w:pPr>
        <w:jc w:val="both"/>
        <w:ind w:right="3199"/>
        <w:spacing w:after="0" w:line="261" w:lineRule="auto"/>
        <w:rPr>
          <w:sz w:val="20"/>
          <w:szCs w:val="20"/>
          <w:color w:val="auto"/>
        </w:rPr>
      </w:pPr>
      <w:r>
        <w:rPr>
          <w:rFonts w:ascii="Times New Roman" w:cs="Times New Roman" w:eastAsia="Times New Roman" w:hAnsi="Times New Roman"/>
          <w:sz w:val="13"/>
          <w:szCs w:val="13"/>
          <w:b w:val="1"/>
          <w:bCs w:val="1"/>
          <w:color w:val="auto"/>
        </w:rPr>
        <w:t xml:space="preserve">Death Benefit Amount. </w:t>
      </w:r>
      <w:r>
        <w:rPr>
          <w:rFonts w:ascii="Times New Roman" w:cs="Times New Roman" w:eastAsia="Times New Roman" w:hAnsi="Times New Roman"/>
          <w:sz w:val="13"/>
          <w:szCs w:val="13"/>
          <w:color w:val="auto"/>
        </w:rPr>
        <w:t>For Owners age 81 or older at the Issue Date of the Contract, the standard death benefit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is the Account Value. For Owners age 80 or younger at the Issue Date of the Contract, the standard death benefit (known as the Return of Premium death benefit) is the greater of the Account Value or your Purchase Payment (reduced proportionally by the percentage reduction in Account Value of the Shield Option(s), the Fixed Account, and the Holding Account for each partial withdrawal (including any applicable Withdrawal Charge)). The Death Benefit Amount is determined as of the end of the Business Day on which we have received Notice of due proof of death and an acceptable election for the payment method.</w:t>
      </w:r>
    </w:p>
    <w:p>
      <w:pPr>
        <w:spacing w:after="0" w:line="52" w:lineRule="exact"/>
        <w:rPr>
          <w:sz w:val="20"/>
          <w:szCs w:val="20"/>
          <w:color w:val="auto"/>
        </w:rPr>
      </w:pPr>
    </w:p>
    <w:p>
      <w:pPr>
        <w:jc w:val="both"/>
        <w:ind w:right="3199"/>
        <w:spacing w:after="0" w:line="267" w:lineRule="auto"/>
        <w:rPr>
          <w:sz w:val="20"/>
          <w:szCs w:val="20"/>
          <w:color w:val="auto"/>
        </w:rPr>
      </w:pPr>
      <w:r>
        <w:rPr>
          <w:rFonts w:ascii="Times New Roman" w:cs="Times New Roman" w:eastAsia="Times New Roman" w:hAnsi="Times New Roman"/>
          <w:sz w:val="13"/>
          <w:szCs w:val="13"/>
          <w:b w:val="1"/>
          <w:bCs w:val="1"/>
          <w:color w:val="auto"/>
        </w:rPr>
        <w:t xml:space="preserve">Edge Rate. </w:t>
      </w:r>
      <w:r>
        <w:rPr>
          <w:rFonts w:ascii="Times New Roman" w:cs="Times New Roman" w:eastAsia="Times New Roman" w:hAnsi="Times New Roman"/>
          <w:sz w:val="13"/>
          <w:szCs w:val="13"/>
          <w:color w:val="auto"/>
        </w:rPr>
        <w:t>The rate credited at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Term End Date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if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Index Performance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is equal to or greater than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Shield Rate</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b w:val="1"/>
          <w:bCs w:val="1"/>
          <w:color w:val="auto"/>
        </w:rPr>
        <w:t>The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u w:val="single" w:color="auto"/>
          <w:color w:val="auto"/>
        </w:rPr>
        <w:t>Edge Rate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may vary between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u w:val="single" w:color="auto"/>
          <w:color w:val="auto"/>
        </w:rPr>
        <w:t>Shield Options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and, unless you have 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u w:val="single" w:color="auto"/>
          <w:color w:val="auto"/>
        </w:rPr>
        <w:t>Shield Option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with 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 xml:space="preserve">1-year </w:t>
      </w:r>
      <w:r>
        <w:rPr>
          <w:rFonts w:ascii="Times New Roman" w:cs="Times New Roman" w:eastAsia="Times New Roman" w:hAnsi="Times New Roman"/>
          <w:sz w:val="13"/>
          <w:szCs w:val="13"/>
          <w:b w:val="1"/>
          <w:bCs w:val="1"/>
          <w:u w:val="single" w:color="auto"/>
          <w:color w:val="auto"/>
        </w:rPr>
        <w:t>Term</w:t>
      </w:r>
      <w:r>
        <w:rPr>
          <w:rFonts w:ascii="Times New Roman" w:cs="Times New Roman" w:eastAsia="Times New Roman" w:hAnsi="Times New Roman"/>
          <w:sz w:val="13"/>
          <w:szCs w:val="13"/>
          <w:b w:val="1"/>
          <w:bCs w:val="1"/>
          <w:color w:val="auto"/>
        </w:rPr>
        <w:t xml:space="preserve">, it is not an annual rate. </w:t>
      </w:r>
      <w:r>
        <w:rPr>
          <w:rFonts w:ascii="Times New Roman" w:cs="Times New Roman" w:eastAsia="Times New Roman" w:hAnsi="Times New Roman"/>
          <w:sz w:val="13"/>
          <w:szCs w:val="13"/>
          <w:color w:val="auto"/>
        </w:rPr>
        <w:t>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with an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Edge Rate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may also be referred to as a “Shield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Option with Step Rate Edge” in the prospectus.</w:t>
      </w:r>
    </w:p>
    <w:p>
      <w:pPr>
        <w:spacing w:after="0" w:line="4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3"/>
          <w:szCs w:val="13"/>
          <w:b w:val="1"/>
          <w:bCs w:val="1"/>
          <w:color w:val="auto"/>
        </w:rPr>
        <w:t>ERISA.</w:t>
      </w:r>
      <w:r>
        <w:rPr>
          <w:sz w:val="20"/>
          <w:szCs w:val="20"/>
          <w:color w:val="auto"/>
        </w:rPr>
        <w:tab/>
      </w:r>
      <w:r>
        <w:rPr>
          <w:rFonts w:ascii="Times New Roman" w:cs="Times New Roman" w:eastAsia="Times New Roman" w:hAnsi="Times New Roman"/>
          <w:sz w:val="13"/>
          <w:szCs w:val="13"/>
          <w:color w:val="auto"/>
        </w:rPr>
        <w:t>Employee Retirement Income Security Act of 1974, as amended.</w:t>
      </w:r>
    </w:p>
    <w:p>
      <w:pPr>
        <w:spacing w:after="0" w:line="22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259"/>
          </w:cols>
          <w:pgMar w:left="1200" w:top="1047" w:right="1440" w:bottom="1440" w:gutter="0" w:footer="0" w:header="0"/>
        </w:sectPr>
      </w:pPr>
    </w:p>
    <w:bookmarkStart w:id="7" w:name="page8"/>
    <w:bookmarkEnd w:id="7"/>
    <w:p>
      <w:pPr>
        <w:jc w:val="both"/>
        <w:ind w:left="1" w:right="3199"/>
        <w:spacing w:after="0" w:line="267"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3915" cy="38100"/>
                    </a:xfrm>
                    <a:prstGeom prst="rect">
                      <a:avLst/>
                    </a:prstGeom>
                    <a:noFill/>
                  </pic:spPr>
                </pic:pic>
              </a:graphicData>
            </a:graphic>
          </wp:anchor>
        </w:drawing>
        <w:t>Fixed Account.</w:t>
      </w:r>
      <w:r>
        <w:rPr>
          <w:rFonts w:ascii="Times New Roman" w:cs="Times New Roman" w:eastAsia="Times New Roman" w:hAnsi="Times New Roman"/>
          <w:sz w:val="13"/>
          <w:szCs w:val="13"/>
          <w:color w:val="auto"/>
        </w:rPr>
        <w:t xml:space="preserve">  An account, if available, that consists of all of the assets under the Contract other than those 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Separate Account or Holding Account. You may allocate your Purchase Payment to the Fixed Account, and you may make a transfer into or out of the Fixed Account. The Fixed Account is part of the General Account assets of BLNY.</w:t>
      </w:r>
    </w:p>
    <w:p>
      <w:pPr>
        <w:spacing w:after="0" w:line="59" w:lineRule="exact"/>
        <w:rPr>
          <w:sz w:val="20"/>
          <w:szCs w:val="20"/>
          <w:color w:val="auto"/>
        </w:rPr>
      </w:pPr>
    </w:p>
    <w:p>
      <w:pPr>
        <w:jc w:val="both"/>
        <w:ind w:left="1" w:right="3199"/>
        <w:spacing w:after="0" w:line="274" w:lineRule="auto"/>
        <w:rPr>
          <w:sz w:val="20"/>
          <w:szCs w:val="20"/>
          <w:color w:val="auto"/>
        </w:rPr>
      </w:pPr>
      <w:r>
        <w:rPr>
          <w:rFonts w:ascii="Times New Roman" w:cs="Times New Roman" w:eastAsia="Times New Roman" w:hAnsi="Times New Roman"/>
          <w:sz w:val="13"/>
          <w:szCs w:val="13"/>
          <w:b w:val="1"/>
          <w:bCs w:val="1"/>
          <w:color w:val="auto"/>
        </w:rPr>
        <w:t>Fixed Account Term.</w:t>
      </w:r>
      <w:r>
        <w:rPr>
          <w:rFonts w:ascii="Times New Roman" w:cs="Times New Roman" w:eastAsia="Times New Roman" w:hAnsi="Times New Roman"/>
          <w:sz w:val="13"/>
          <w:szCs w:val="13"/>
          <w:color w:val="auto"/>
        </w:rPr>
        <w:t xml:space="preserve">  The length of time over which the current Fixed Account interest rate is guaranteed. No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Fixed Account Term will extend beyond the Annuity Date. The minimum Fixed Account Term depends on the date your Contract is issued but will not be less than one (1) year.</w:t>
      </w:r>
    </w:p>
    <w:p>
      <w:pPr>
        <w:spacing w:after="0" w:line="4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Fixed Account Term End Date.</w:t>
      </w:r>
      <w:r>
        <w:rPr>
          <w:rFonts w:ascii="Times New Roman" w:cs="Times New Roman" w:eastAsia="Times New Roman" w:hAnsi="Times New Roman"/>
          <w:sz w:val="13"/>
          <w:szCs w:val="13"/>
          <w:color w:val="auto"/>
        </w:rPr>
        <w:t xml:space="preserve">   The Contract Anniversary on which a Fixed Account Term ends.</w:t>
      </w:r>
    </w:p>
    <w:p>
      <w:pPr>
        <w:spacing w:after="0" w:line="99" w:lineRule="exact"/>
        <w:rPr>
          <w:sz w:val="20"/>
          <w:szCs w:val="20"/>
          <w:color w:val="auto"/>
        </w:rPr>
      </w:pPr>
    </w:p>
    <w:p>
      <w:pPr>
        <w:jc w:val="both"/>
        <w:ind w:left="1" w:right="3199"/>
        <w:spacing w:after="0" w:line="274" w:lineRule="auto"/>
        <w:rPr>
          <w:sz w:val="20"/>
          <w:szCs w:val="20"/>
          <w:color w:val="auto"/>
        </w:rPr>
      </w:pPr>
      <w:r>
        <w:rPr>
          <w:rFonts w:ascii="Times New Roman" w:cs="Times New Roman" w:eastAsia="Times New Roman" w:hAnsi="Times New Roman"/>
          <w:sz w:val="13"/>
          <w:szCs w:val="13"/>
          <w:b w:val="1"/>
          <w:bCs w:val="1"/>
          <w:color w:val="auto"/>
        </w:rPr>
        <w:t>Fixed Account Term Start Date.</w:t>
      </w:r>
      <w:r>
        <w:rPr>
          <w:rFonts w:ascii="Times New Roman" w:cs="Times New Roman" w:eastAsia="Times New Roman" w:hAnsi="Times New Roman"/>
          <w:sz w:val="13"/>
          <w:szCs w:val="13"/>
          <w:color w:val="auto"/>
        </w:rPr>
        <w:t xml:space="preserve">  The Contract Anniversary on which a Fixed Account Term is established. If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chosen at issue, the initial Fixed Account Term Start Date begins on the Issue Date or otherwise it will begin on the first Contract Anniversary on which you allocate to the Fixed Account.</w:t>
      </w:r>
    </w:p>
    <w:p>
      <w:pPr>
        <w:spacing w:after="0" w:line="53" w:lineRule="exact"/>
        <w:rPr>
          <w:sz w:val="20"/>
          <w:szCs w:val="20"/>
          <w:color w:val="auto"/>
        </w:rPr>
      </w:pPr>
    </w:p>
    <w:p>
      <w:pPr>
        <w:jc w:val="both"/>
        <w:ind w:left="1" w:right="3199"/>
        <w:spacing w:after="0" w:line="264" w:lineRule="auto"/>
        <w:rPr>
          <w:sz w:val="20"/>
          <w:szCs w:val="20"/>
          <w:color w:val="auto"/>
        </w:rPr>
      </w:pPr>
      <w:r>
        <w:rPr>
          <w:rFonts w:ascii="Times New Roman" w:cs="Times New Roman" w:eastAsia="Times New Roman" w:hAnsi="Times New Roman"/>
          <w:sz w:val="13"/>
          <w:szCs w:val="13"/>
          <w:b w:val="1"/>
          <w:bCs w:val="1"/>
          <w:color w:val="auto"/>
        </w:rPr>
        <w:t xml:space="preserve">Fixed Account Value. </w:t>
      </w:r>
      <w:r>
        <w:rPr>
          <w:rFonts w:ascii="Times New Roman" w:cs="Times New Roman" w:eastAsia="Times New Roman" w:hAnsi="Times New Roman"/>
          <w:sz w:val="13"/>
          <w:szCs w:val="13"/>
          <w:color w:val="auto"/>
        </w:rPr>
        <w:t>The initial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Fixed Account Value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is the amount of your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Purchase Payment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initially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allocated to the </w:t>
      </w:r>
      <w:r>
        <w:rPr>
          <w:rFonts w:ascii="Times New Roman" w:cs="Times New Roman" w:eastAsia="Times New Roman" w:hAnsi="Times New Roman"/>
          <w:sz w:val="13"/>
          <w:szCs w:val="13"/>
          <w:u w:val="single" w:color="auto"/>
          <w:color w:val="auto"/>
        </w:rPr>
        <w:t>Fixed Account</w:t>
      </w:r>
      <w:r>
        <w:rPr>
          <w:rFonts w:ascii="Times New Roman" w:cs="Times New Roman" w:eastAsia="Times New Roman" w:hAnsi="Times New Roman"/>
          <w:sz w:val="13"/>
          <w:szCs w:val="13"/>
          <w:color w:val="auto"/>
        </w:rPr>
        <w:t xml:space="preserve">. Thereafter, the </w:t>
      </w:r>
      <w:r>
        <w:rPr>
          <w:rFonts w:ascii="Times New Roman" w:cs="Times New Roman" w:eastAsia="Times New Roman" w:hAnsi="Times New Roman"/>
          <w:sz w:val="13"/>
          <w:szCs w:val="13"/>
          <w:u w:val="single" w:color="auto"/>
          <w:color w:val="auto"/>
        </w:rPr>
        <w:t>Fixed Account Value</w:t>
      </w:r>
      <w:r>
        <w:rPr>
          <w:rFonts w:ascii="Times New Roman" w:cs="Times New Roman" w:eastAsia="Times New Roman" w:hAnsi="Times New Roman"/>
          <w:sz w:val="13"/>
          <w:szCs w:val="13"/>
          <w:color w:val="auto"/>
        </w:rPr>
        <w:t xml:space="preserve"> equals: (a) the initial </w:t>
      </w:r>
      <w:r>
        <w:rPr>
          <w:rFonts w:ascii="Times New Roman" w:cs="Times New Roman" w:eastAsia="Times New Roman" w:hAnsi="Times New Roman"/>
          <w:sz w:val="13"/>
          <w:szCs w:val="13"/>
          <w:u w:val="single" w:color="auto"/>
          <w:color w:val="auto"/>
        </w:rPr>
        <w:t>Fixed Account Value</w:t>
      </w:r>
      <w:r>
        <w:rPr>
          <w:rFonts w:ascii="Times New Roman" w:cs="Times New Roman" w:eastAsia="Times New Roman" w:hAnsi="Times New Roman"/>
          <w:sz w:val="13"/>
          <w:szCs w:val="13"/>
          <w:color w:val="auto"/>
        </w:rPr>
        <w:t xml:space="preserve"> or the </w:t>
      </w:r>
      <w:r>
        <w:rPr>
          <w:rFonts w:ascii="Times New Roman" w:cs="Times New Roman" w:eastAsia="Times New Roman" w:hAnsi="Times New Roman"/>
          <w:sz w:val="13"/>
          <w:szCs w:val="13"/>
          <w:u w:val="single" w:color="auto"/>
          <w:color w:val="auto"/>
        </w:rPr>
        <w:t>Fixed Account Value</w:t>
      </w:r>
      <w:r>
        <w:rPr>
          <w:rFonts w:ascii="Times New Roman" w:cs="Times New Roman" w:eastAsia="Times New Roman" w:hAnsi="Times New Roman"/>
          <w:sz w:val="13"/>
          <w:szCs w:val="13"/>
          <w:color w:val="auto"/>
        </w:rPr>
        <w:t xml:space="preserve"> on the most recent </w:t>
      </w:r>
      <w:r>
        <w:rPr>
          <w:rFonts w:ascii="Times New Roman" w:cs="Times New Roman" w:eastAsia="Times New Roman" w:hAnsi="Times New Roman"/>
          <w:sz w:val="13"/>
          <w:szCs w:val="13"/>
          <w:u w:val="single" w:color="auto"/>
          <w:color w:val="auto"/>
        </w:rPr>
        <w:t>Contract Anniversary</w:t>
      </w:r>
      <w:r>
        <w:rPr>
          <w:rFonts w:ascii="Times New Roman" w:cs="Times New Roman" w:eastAsia="Times New Roman" w:hAnsi="Times New Roman"/>
          <w:sz w:val="13"/>
          <w:szCs w:val="13"/>
          <w:color w:val="auto"/>
        </w:rPr>
        <w:t xml:space="preserve">, including any transfers, whichever is applicable; plus (b) any interest credited by us; less (c) the amount of any withdrawals (including any applicable </w:t>
      </w:r>
      <w:r>
        <w:rPr>
          <w:rFonts w:ascii="Times New Roman" w:cs="Times New Roman" w:eastAsia="Times New Roman" w:hAnsi="Times New Roman"/>
          <w:sz w:val="13"/>
          <w:szCs w:val="13"/>
          <w:u w:val="single" w:color="auto"/>
          <w:color w:val="auto"/>
        </w:rPr>
        <w:t>Withdrawal Charges</w:t>
      </w:r>
      <w:r>
        <w:rPr>
          <w:rFonts w:ascii="Times New Roman" w:cs="Times New Roman" w:eastAsia="Times New Roman" w:hAnsi="Times New Roman"/>
          <w:sz w:val="13"/>
          <w:szCs w:val="13"/>
          <w:color w:val="auto"/>
        </w:rPr>
        <w:t xml:space="preserve">); and less (d) any </w:t>
      </w:r>
      <w:r>
        <w:rPr>
          <w:rFonts w:ascii="Times New Roman" w:cs="Times New Roman" w:eastAsia="Times New Roman" w:hAnsi="Times New Roman"/>
          <w:sz w:val="13"/>
          <w:szCs w:val="13"/>
          <w:u w:val="single" w:color="auto"/>
          <w:color w:val="auto"/>
        </w:rPr>
        <w:t>Premium Tax</w:t>
      </w:r>
      <w:r>
        <w:rPr>
          <w:rFonts w:ascii="Times New Roman" w:cs="Times New Roman" w:eastAsia="Times New Roman" w:hAnsi="Times New Roman"/>
          <w:sz w:val="13"/>
          <w:szCs w:val="13"/>
          <w:color w:val="auto"/>
        </w:rPr>
        <w:t xml:space="preserve"> or other taxes, if applicable.</w:t>
      </w:r>
    </w:p>
    <w:p>
      <w:pPr>
        <w:spacing w:after="0" w:line="51" w:lineRule="exact"/>
        <w:rPr>
          <w:sz w:val="20"/>
          <w:szCs w:val="20"/>
          <w:color w:val="auto"/>
        </w:rPr>
      </w:pPr>
    </w:p>
    <w:p>
      <w:pPr>
        <w:jc w:val="both"/>
        <w:ind w:left="1" w:right="3199"/>
        <w:spacing w:after="0" w:line="258" w:lineRule="auto"/>
        <w:rPr>
          <w:sz w:val="20"/>
          <w:szCs w:val="20"/>
          <w:color w:val="auto"/>
        </w:rPr>
      </w:pPr>
      <w:r>
        <w:rPr>
          <w:rFonts w:ascii="Times New Roman" w:cs="Times New Roman" w:eastAsia="Times New Roman" w:hAnsi="Times New Roman"/>
          <w:sz w:val="13"/>
          <w:szCs w:val="13"/>
          <w:b w:val="1"/>
          <w:bCs w:val="1"/>
          <w:color w:val="auto"/>
        </w:rPr>
        <w:t xml:space="preserve">Free Look. </w:t>
      </w:r>
      <w:r>
        <w:rPr>
          <w:rFonts w:ascii="Times New Roman" w:cs="Times New Roman" w:eastAsia="Times New Roman" w:hAnsi="Times New Roman"/>
          <w:sz w:val="13"/>
          <w:szCs w:val="13"/>
          <w:color w:val="auto"/>
        </w:rPr>
        <w:t>If you change your mind about owning the Contract, you may cancel the Contract within 10 days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after receiving it by mailing or delivering the Contract to either us or the financial professional who sold it. This is known as a “Free Look.” We ask that you submit your request to cancel in writing, signed by you, to us (e.g., the Annuity Service Office) or to the financial professional who sold it. When you cancel the Contract within this Free Look period, we will not assess a Withdrawal Charge. You will receive (i) whatever your Contract is worth on the day that we receive your cancellation request (although we will apply an Interim Value calculation), plus</w:t>
      </w:r>
    </w:p>
    <w:p>
      <w:pPr>
        <w:spacing w:after="0" w:line="3" w:lineRule="exact"/>
        <w:rPr>
          <w:sz w:val="20"/>
          <w:szCs w:val="20"/>
          <w:color w:val="auto"/>
        </w:rPr>
      </w:pPr>
    </w:p>
    <w:p>
      <w:pPr>
        <w:jc w:val="both"/>
        <w:ind w:left="1" w:right="3199" w:hanging="1"/>
        <w:spacing w:after="0" w:line="259" w:lineRule="auto"/>
        <w:tabs>
          <w:tab w:leader="none" w:pos="202"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sum of all fees, taxes and charges deducted from the Purchase Payment during the Free Look period. The amount you receive may be more or less than your Purchase Payment depending upon the Shield Options you allocated your Purchase Payment to during the Free Look period. This means that you bear the risk of any decline in the Account Value of your Contract during the Free Look period.</w:t>
      </w:r>
    </w:p>
    <w:p>
      <w:pPr>
        <w:spacing w:after="0" w:line="64" w:lineRule="exact"/>
        <w:rPr>
          <w:sz w:val="20"/>
          <w:szCs w:val="20"/>
          <w:color w:val="auto"/>
        </w:rPr>
      </w:pPr>
    </w:p>
    <w:p>
      <w:pPr>
        <w:jc w:val="both"/>
        <w:ind w:left="1" w:right="3199" w:firstLine="43"/>
        <w:spacing w:after="0" w:line="278" w:lineRule="auto"/>
        <w:rPr>
          <w:sz w:val="20"/>
          <w:szCs w:val="20"/>
          <w:color w:val="auto"/>
        </w:rPr>
      </w:pPr>
      <w:r>
        <w:rPr>
          <w:rFonts w:ascii="Times New Roman" w:cs="Times New Roman" w:eastAsia="Times New Roman" w:hAnsi="Times New Roman"/>
          <w:sz w:val="13"/>
          <w:szCs w:val="13"/>
          <w:b w:val="1"/>
          <w:bCs w:val="1"/>
          <w:color w:val="auto"/>
        </w:rPr>
        <w:t xml:space="preserve">Free Withdrawal Amount. </w:t>
      </w:r>
      <w:r>
        <w:rPr>
          <w:rFonts w:ascii="Times New Roman" w:cs="Times New Roman" w:eastAsia="Times New Roman" w:hAnsi="Times New Roman"/>
          <w:sz w:val="13"/>
          <w:szCs w:val="13"/>
          <w:color w:val="auto"/>
        </w:rPr>
        <w:t>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Free Withdrawal Amount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 the first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Contract Year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is zero. Thereafter,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Free Withdrawal Amount</w:t>
      </w:r>
      <w:r>
        <w:rPr>
          <w:rFonts w:ascii="Times New Roman" w:cs="Times New Roman" w:eastAsia="Times New Roman" w:hAnsi="Times New Roman"/>
          <w:sz w:val="13"/>
          <w:szCs w:val="13"/>
          <w:color w:val="auto"/>
        </w:rPr>
        <w:t xml:space="preserve"> each </w:t>
      </w:r>
      <w:r>
        <w:rPr>
          <w:rFonts w:ascii="Times New Roman" w:cs="Times New Roman" w:eastAsia="Times New Roman" w:hAnsi="Times New Roman"/>
          <w:sz w:val="13"/>
          <w:szCs w:val="13"/>
          <w:u w:val="single" w:color="auto"/>
          <w:color w:val="auto"/>
        </w:rPr>
        <w:t>Contract Year</w:t>
      </w:r>
      <w:r>
        <w:rPr>
          <w:rFonts w:ascii="Times New Roman" w:cs="Times New Roman" w:eastAsia="Times New Roman" w:hAnsi="Times New Roman"/>
          <w:sz w:val="13"/>
          <w:szCs w:val="13"/>
          <w:color w:val="auto"/>
        </w:rPr>
        <w:t xml:space="preserve"> is equal to 10% of your </w:t>
      </w:r>
      <w:r>
        <w:rPr>
          <w:rFonts w:ascii="Times New Roman" w:cs="Times New Roman" w:eastAsia="Times New Roman" w:hAnsi="Times New Roman"/>
          <w:sz w:val="13"/>
          <w:szCs w:val="13"/>
          <w:u w:val="single" w:color="auto"/>
          <w:color w:val="auto"/>
        </w:rPr>
        <w:t>Account Value</w:t>
      </w:r>
      <w:r>
        <w:rPr>
          <w:rFonts w:ascii="Times New Roman" w:cs="Times New Roman" w:eastAsia="Times New Roman" w:hAnsi="Times New Roman"/>
          <w:sz w:val="13"/>
          <w:szCs w:val="13"/>
          <w:color w:val="auto"/>
        </w:rPr>
        <w:t xml:space="preserve"> as of the prior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Anniversary</w:t>
      </w:r>
      <w:r>
        <w:rPr>
          <w:rFonts w:ascii="Times New Roman" w:cs="Times New Roman" w:eastAsia="Times New Roman" w:hAnsi="Times New Roman"/>
          <w:sz w:val="13"/>
          <w:szCs w:val="13"/>
          <w:color w:val="auto"/>
        </w:rPr>
        <w:t xml:space="preserve">, less the total amount withdrawn from the </w:t>
      </w:r>
      <w:r>
        <w:rPr>
          <w:rFonts w:ascii="Times New Roman" w:cs="Times New Roman" w:eastAsia="Times New Roman" w:hAnsi="Times New Roman"/>
          <w:sz w:val="13"/>
          <w:szCs w:val="13"/>
          <w:u w:val="single" w:color="auto"/>
          <w:color w:val="auto"/>
        </w:rPr>
        <w:t>Account Value</w:t>
      </w:r>
      <w:r>
        <w:rPr>
          <w:rFonts w:ascii="Times New Roman" w:cs="Times New Roman" w:eastAsia="Times New Roman" w:hAnsi="Times New Roman"/>
          <w:sz w:val="13"/>
          <w:szCs w:val="13"/>
          <w:color w:val="auto"/>
        </w:rPr>
        <w:t xml:space="preserve"> in the current </w:t>
      </w:r>
      <w:r>
        <w:rPr>
          <w:rFonts w:ascii="Times New Roman" w:cs="Times New Roman" w:eastAsia="Times New Roman" w:hAnsi="Times New Roman"/>
          <w:sz w:val="13"/>
          <w:szCs w:val="13"/>
          <w:u w:val="single" w:color="auto"/>
          <w:color w:val="auto"/>
        </w:rPr>
        <w:t>Contract Year</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u w:val="single" w:color="auto"/>
          <w:color w:val="auto"/>
        </w:rPr>
        <w:t>Free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Withdrawal Amount</w:t>
      </w:r>
      <w:r>
        <w:rPr>
          <w:rFonts w:ascii="Times New Roman" w:cs="Times New Roman" w:eastAsia="Times New Roman" w:hAnsi="Times New Roman"/>
          <w:sz w:val="13"/>
          <w:szCs w:val="13"/>
          <w:color w:val="auto"/>
        </w:rPr>
        <w:t xml:space="preserve"> is non-cumulative and is not carried over to other </w:t>
      </w:r>
      <w:r>
        <w:rPr>
          <w:rFonts w:ascii="Times New Roman" w:cs="Times New Roman" w:eastAsia="Times New Roman" w:hAnsi="Times New Roman"/>
          <w:sz w:val="13"/>
          <w:szCs w:val="13"/>
          <w:u w:val="single" w:color="auto"/>
          <w:color w:val="auto"/>
        </w:rPr>
        <w:t>Contract Years</w:t>
      </w:r>
      <w:r>
        <w:rPr>
          <w:rFonts w:ascii="Times New Roman" w:cs="Times New Roman" w:eastAsia="Times New Roman" w:hAnsi="Times New Roman"/>
          <w:sz w:val="13"/>
          <w:szCs w:val="13"/>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2982595</wp:posOffset>
            </wp:positionH>
            <wp:positionV relativeFrom="paragraph">
              <wp:posOffset>-240665</wp:posOffset>
            </wp:positionV>
            <wp:extent cx="3810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100" cy="6350"/>
                    </a:xfrm>
                    <a:prstGeom prst="rect">
                      <a:avLst/>
                    </a:prstGeom>
                    <a:noFill/>
                  </pic:spPr>
                </pic:pic>
              </a:graphicData>
            </a:graphic>
          </wp:anchor>
        </w:drawing>
        <w:drawing>
          <wp:anchor simplePos="0" relativeHeight="251657728" behindDoc="1" locked="0" layoutInCell="0" allowOverlap="1">
            <wp:simplePos x="0" y="0"/>
            <wp:positionH relativeFrom="column">
              <wp:posOffset>2884170</wp:posOffset>
            </wp:positionH>
            <wp:positionV relativeFrom="paragraph">
              <wp:posOffset>-33020</wp:posOffset>
            </wp:positionV>
            <wp:extent cx="2540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400" cy="6350"/>
                    </a:xfrm>
                    <a:prstGeom prst="rect">
                      <a:avLst/>
                    </a:prstGeom>
                    <a:noFill/>
                  </pic:spPr>
                </pic:pic>
              </a:graphicData>
            </a:graphic>
          </wp:anchor>
        </w:drawing>
      </w:r>
    </w:p>
    <w:p>
      <w:pPr>
        <w:spacing w:after="0" w:line="3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General Account.</w:t>
      </w:r>
      <w:r>
        <w:rPr>
          <w:rFonts w:ascii="Times New Roman" w:cs="Times New Roman" w:eastAsia="Times New Roman" w:hAnsi="Times New Roman"/>
          <w:sz w:val="13"/>
          <w:szCs w:val="13"/>
          <w:color w:val="auto"/>
        </w:rPr>
        <w:t xml:space="preserve">   Comprised of BLNY’s assets, other than assets in any separate accounts it may maintain.</w:t>
      </w:r>
    </w:p>
    <w:p>
      <w:pPr>
        <w:spacing w:after="0" w:line="89" w:lineRule="exact"/>
        <w:rPr>
          <w:sz w:val="20"/>
          <w:szCs w:val="20"/>
          <w:color w:val="auto"/>
        </w:rPr>
      </w:pPr>
    </w:p>
    <w:p>
      <w:pPr>
        <w:jc w:val="both"/>
        <w:ind w:left="1" w:right="3199"/>
        <w:spacing w:after="0" w:line="257" w:lineRule="auto"/>
        <w:rPr>
          <w:sz w:val="20"/>
          <w:szCs w:val="20"/>
          <w:color w:val="auto"/>
        </w:rPr>
      </w:pPr>
      <w:r>
        <w:rPr>
          <w:rFonts w:ascii="Times New Roman" w:cs="Times New Roman" w:eastAsia="Times New Roman" w:hAnsi="Times New Roman"/>
          <w:sz w:val="13"/>
          <w:szCs w:val="13"/>
          <w:b w:val="1"/>
          <w:bCs w:val="1"/>
          <w:color w:val="auto"/>
        </w:rPr>
        <w:t>Good Order.</w:t>
      </w:r>
      <w:r>
        <w:rPr>
          <w:rFonts w:ascii="Times New Roman" w:cs="Times New Roman" w:eastAsia="Times New Roman" w:hAnsi="Times New Roman"/>
          <w:sz w:val="13"/>
          <w:szCs w:val="13"/>
          <w:color w:val="auto"/>
        </w:rPr>
        <w:t xml:space="preserve">  A request or transaction generally is considered in “Good Order” if it complies with our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administrative procedures and the required information is complete and accurate. A request or transaction may be rejected or delayed if not in Good Order. Good Order generally means the actual receipt by us of the instructions relating to the requested transaction in writing (or, when permitted, by telephone) along with all forms, information and supporting legal documentation necessary to effect the transaction. This information and documentation generally includes to the extent applicable to the transaction: your completed application; your contract number; the transaction amount (in dollars or percentage terms); the names and allocations to and/or from the Shield Options, or the Fixed Account if applicable, affected by the requested transaction; the signatures of all Contract Owners (exactly as indicated on the contract), if necessary; Social Security Number or Tax I.D.; and any other information or supporting documentation that we may require, including any spousal or Joint Owner’s consents. With respect to Purchase Payments, Good Order also generally includes receipt by us of sufficient funds to effect the purchase. We may, in our sole discretion, determine whether any particular transaction request is in Good Order, and we reserve the right to change or waive any Good Order requirement at any time. If you have any questions, you should contact us or your financial professional before submitting the form or request.</w:t>
      </w:r>
    </w:p>
    <w:p>
      <w:pPr>
        <w:spacing w:after="0" w:line="70" w:lineRule="exact"/>
        <w:rPr>
          <w:sz w:val="20"/>
          <w:szCs w:val="20"/>
          <w:color w:val="auto"/>
        </w:rPr>
      </w:pPr>
    </w:p>
    <w:p>
      <w:pPr>
        <w:jc w:val="both"/>
        <w:ind w:left="1" w:right="3199"/>
        <w:spacing w:after="0" w:line="264" w:lineRule="auto"/>
        <w:rPr>
          <w:sz w:val="20"/>
          <w:szCs w:val="20"/>
          <w:color w:val="auto"/>
        </w:rPr>
      </w:pPr>
      <w:r>
        <w:rPr>
          <w:rFonts w:ascii="Times New Roman" w:cs="Times New Roman" w:eastAsia="Times New Roman" w:hAnsi="Times New Roman"/>
          <w:sz w:val="13"/>
          <w:szCs w:val="13"/>
          <w:b w:val="1"/>
          <w:bCs w:val="1"/>
          <w:color w:val="auto"/>
        </w:rPr>
        <w:t>Holding Account.</w:t>
      </w:r>
      <w:r>
        <w:rPr>
          <w:rFonts w:ascii="Times New Roman" w:cs="Times New Roman" w:eastAsia="Times New Roman" w:hAnsi="Times New Roman"/>
          <w:sz w:val="13"/>
          <w:szCs w:val="13"/>
          <w:color w:val="auto"/>
        </w:rPr>
        <w:t xml:space="preserve">  An account that may hold Account Value prior to being transferred to the Shield Option(s)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and/or the Fixed Account in accordance with your allocation instructions. Transfers can only occur on a Contract Anniversary. The Holding Account has its own Holding Account interest rate, which is a fixed interest rate, and interest is credited daily at an effective annual rate that we declare periodically. The Holding Account is part of the General Account assets of BLNY.</w:t>
      </w:r>
    </w:p>
    <w:p>
      <w:pPr>
        <w:spacing w:after="0" w:line="61" w:lineRule="exact"/>
        <w:rPr>
          <w:sz w:val="20"/>
          <w:szCs w:val="20"/>
          <w:color w:val="auto"/>
        </w:rPr>
      </w:pPr>
    </w:p>
    <w:p>
      <w:pPr>
        <w:jc w:val="both"/>
        <w:ind w:left="1" w:right="3199"/>
        <w:spacing w:after="0" w:line="267" w:lineRule="auto"/>
        <w:rPr>
          <w:sz w:val="20"/>
          <w:szCs w:val="20"/>
          <w:color w:val="auto"/>
        </w:rPr>
      </w:pPr>
      <w:r>
        <w:rPr>
          <w:rFonts w:ascii="Times New Roman" w:cs="Times New Roman" w:eastAsia="Times New Roman" w:hAnsi="Times New Roman"/>
          <w:sz w:val="13"/>
          <w:szCs w:val="13"/>
          <w:b w:val="1"/>
          <w:bCs w:val="1"/>
          <w:color w:val="auto"/>
        </w:rPr>
        <w:t xml:space="preserve">Index (Indices). </w:t>
      </w:r>
      <w:r>
        <w:rPr>
          <w:rFonts w:ascii="Times New Roman" w:cs="Times New Roman" w:eastAsia="Times New Roman" w:hAnsi="Times New Roman"/>
          <w:sz w:val="13"/>
          <w:szCs w:val="13"/>
          <w:color w:val="auto"/>
        </w:rPr>
        <w:t>The underlying index associated with 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which is used to determine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Index</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Performance</w:t>
      </w:r>
      <w:r>
        <w:rPr>
          <w:rFonts w:ascii="Times New Roman" w:cs="Times New Roman" w:eastAsia="Times New Roman" w:hAnsi="Times New Roman"/>
          <w:sz w:val="13"/>
          <w:szCs w:val="13"/>
          <w:color w:val="auto"/>
        </w:rPr>
        <w:t xml:space="preserve"> on a </w:t>
      </w:r>
      <w:r>
        <w:rPr>
          <w:rFonts w:ascii="Times New Roman" w:cs="Times New Roman" w:eastAsia="Times New Roman" w:hAnsi="Times New Roman"/>
          <w:sz w:val="13"/>
          <w:szCs w:val="13"/>
          <w:u w:val="single" w:color="auto"/>
          <w:color w:val="auto"/>
        </w:rPr>
        <w:t>Term End Date</w:t>
      </w:r>
      <w:r>
        <w:rPr>
          <w:rFonts w:ascii="Times New Roman" w:cs="Times New Roman" w:eastAsia="Times New Roman" w:hAnsi="Times New Roman"/>
          <w:sz w:val="13"/>
          <w:szCs w:val="13"/>
          <w:color w:val="auto"/>
        </w:rPr>
        <w:t xml:space="preserve">. We currently offer </w:t>
      </w:r>
      <w:r>
        <w:rPr>
          <w:rFonts w:ascii="Times New Roman" w:cs="Times New Roman" w:eastAsia="Times New Roman" w:hAnsi="Times New Roman"/>
          <w:sz w:val="13"/>
          <w:szCs w:val="13"/>
          <w:u w:val="single" w:color="auto"/>
          <w:color w:val="auto"/>
        </w:rPr>
        <w:t>Shield Options</w:t>
      </w:r>
      <w:r>
        <w:rPr>
          <w:rFonts w:ascii="Times New Roman" w:cs="Times New Roman" w:eastAsia="Times New Roman" w:hAnsi="Times New Roman"/>
          <w:sz w:val="13"/>
          <w:szCs w:val="13"/>
          <w:color w:val="auto"/>
        </w:rPr>
        <w:t xml:space="preserve"> with indices based on the performance of securities. In the future we may offer </w:t>
      </w:r>
      <w:r>
        <w:rPr>
          <w:rFonts w:ascii="Times New Roman" w:cs="Times New Roman" w:eastAsia="Times New Roman" w:hAnsi="Times New Roman"/>
          <w:sz w:val="13"/>
          <w:szCs w:val="13"/>
          <w:u w:val="single" w:color="auto"/>
          <w:color w:val="auto"/>
        </w:rPr>
        <w:t>Shield Options</w:t>
      </w:r>
      <w:r>
        <w:rPr>
          <w:rFonts w:ascii="Times New Roman" w:cs="Times New Roman" w:eastAsia="Times New Roman" w:hAnsi="Times New Roman"/>
          <w:sz w:val="13"/>
          <w:szCs w:val="13"/>
          <w:color w:val="auto"/>
        </w:rPr>
        <w:t xml:space="preserve"> based on other types of </w:t>
      </w:r>
      <w:r>
        <w:rPr>
          <w:rFonts w:ascii="Times New Roman" w:cs="Times New Roman" w:eastAsia="Times New Roman" w:hAnsi="Times New Roman"/>
          <w:sz w:val="13"/>
          <w:szCs w:val="13"/>
          <w:u w:val="single" w:color="auto"/>
          <w:color w:val="auto"/>
        </w:rPr>
        <w:t>Indices</w:t>
      </w:r>
      <w:r>
        <w:rPr>
          <w:rFonts w:ascii="Times New Roman" w:cs="Times New Roman" w:eastAsia="Times New Roman" w:hAnsi="Times New Roman"/>
          <w:sz w:val="13"/>
          <w:szCs w:val="13"/>
          <w:color w:val="auto"/>
        </w:rPr>
        <w:t>. We may also add other indices at our discretion.</w:t>
      </w:r>
    </w:p>
    <w:p>
      <w:pPr>
        <w:spacing w:after="0" w:line="49" w:lineRule="exact"/>
        <w:rPr>
          <w:sz w:val="20"/>
          <w:szCs w:val="20"/>
          <w:color w:val="auto"/>
        </w:rPr>
      </w:pPr>
    </w:p>
    <w:p>
      <w:pPr>
        <w:jc w:val="both"/>
        <w:ind w:left="1" w:right="3199"/>
        <w:spacing w:after="0" w:line="293" w:lineRule="auto"/>
        <w:rPr>
          <w:sz w:val="20"/>
          <w:szCs w:val="20"/>
          <w:color w:val="auto"/>
        </w:rPr>
      </w:pPr>
      <w:r>
        <w:rPr>
          <w:rFonts w:ascii="Times New Roman" w:cs="Times New Roman" w:eastAsia="Times New Roman" w:hAnsi="Times New Roman"/>
          <w:sz w:val="13"/>
          <w:szCs w:val="13"/>
          <w:b w:val="1"/>
          <w:bCs w:val="1"/>
          <w:color w:val="auto"/>
        </w:rPr>
        <w:t>Index Performance.</w:t>
      </w:r>
      <w:r>
        <w:rPr>
          <w:rFonts w:ascii="Times New Roman" w:cs="Times New Roman" w:eastAsia="Times New Roman" w:hAnsi="Times New Roman"/>
          <w:sz w:val="13"/>
          <w:szCs w:val="13"/>
          <w:color w:val="auto"/>
        </w:rPr>
        <w:t xml:space="preserve">  The percentage change in the Index Value measured from the Term Start Date to any day,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including the Term End Date, within the Term. Index Performance can be positive, zero or negative.</w:t>
      </w:r>
    </w:p>
    <w:p>
      <w:pPr>
        <w:spacing w:after="0" w:line="163" w:lineRule="exact"/>
        <w:rPr>
          <w:sz w:val="20"/>
          <w:szCs w:val="20"/>
          <w:color w:val="auto"/>
        </w:rPr>
      </w:pPr>
    </w:p>
    <w:p>
      <w:pPr>
        <w:ind w:left="3021"/>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261"/>
          </w:cols>
          <w:pgMar w:left="1199" w:top="1047" w:right="1440" w:bottom="1440" w:gutter="0" w:footer="0" w:header="0"/>
        </w:sectPr>
      </w:pPr>
    </w:p>
    <w:bookmarkStart w:id="8" w:name="page9"/>
    <w:bookmarkEnd w:id="8"/>
    <w:p>
      <w:pPr>
        <w:jc w:val="both"/>
        <w:ind w:right="3199"/>
        <w:spacing w:after="0" w:line="267"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3915" cy="38100"/>
                    </a:xfrm>
                    <a:prstGeom prst="rect">
                      <a:avLst/>
                    </a:prstGeom>
                    <a:noFill/>
                  </pic:spPr>
                </pic:pic>
              </a:graphicData>
            </a:graphic>
          </wp:anchor>
        </w:drawing>
        <w:t>Index Value.</w:t>
      </w:r>
      <w:r>
        <w:rPr>
          <w:rFonts w:ascii="Times New Roman" w:cs="Times New Roman" w:eastAsia="Times New Roman" w:hAnsi="Times New Roman"/>
          <w:sz w:val="13"/>
          <w:szCs w:val="13"/>
          <w:color w:val="auto"/>
        </w:rPr>
        <w:t xml:space="preserve">  The Index Value of an Index, on a Business Day, is the published closing value of the Index 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that Business Day. The Index Value on any day that is not a Business Day is the value as of the prior Business Day. If an Index Value is not published on a Business Day, the closing Index Value on the next Business Day in which the Index Value is published will be used.</w:t>
      </w:r>
    </w:p>
    <w:p>
      <w:pPr>
        <w:spacing w:after="0" w:line="49" w:lineRule="exact"/>
        <w:rPr>
          <w:sz w:val="20"/>
          <w:szCs w:val="20"/>
          <w:color w:val="auto"/>
        </w:rPr>
      </w:pPr>
    </w:p>
    <w:p>
      <w:pPr>
        <w:jc w:val="both"/>
        <w:ind w:right="3179"/>
        <w:spacing w:after="0" w:line="264" w:lineRule="auto"/>
        <w:rPr>
          <w:sz w:val="20"/>
          <w:szCs w:val="20"/>
          <w:color w:val="auto"/>
        </w:rPr>
      </w:pPr>
      <w:r>
        <w:rPr>
          <w:rFonts w:ascii="Times New Roman" w:cs="Times New Roman" w:eastAsia="Times New Roman" w:hAnsi="Times New Roman"/>
          <w:sz w:val="13"/>
          <w:szCs w:val="13"/>
          <w:b w:val="1"/>
          <w:bCs w:val="1"/>
          <w:color w:val="auto"/>
        </w:rPr>
        <w:t>Interim Value.</w:t>
      </w:r>
      <w:r>
        <w:rPr>
          <w:rFonts w:ascii="Times New Roman" w:cs="Times New Roman" w:eastAsia="Times New Roman" w:hAnsi="Times New Roman"/>
          <w:sz w:val="13"/>
          <w:szCs w:val="13"/>
          <w:color w:val="auto"/>
        </w:rPr>
        <w:t xml:space="preserve">  For each Shield Option, Interim Value is the value we assign on any Business Day other than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Term Start Date and the Term End Date. During the Transfer Period, the Interim Value of each Shield Option is equal to the Investment Amount at the Term End Date in that Shield Option. After the Transfer Period, the Interim Value is a calculated value (as described in the “Interim Value Calculation” section) and is the amount that is available for annuitization, death benefits, withdrawals, Surrenders, and </w:t>
      </w:r>
      <w:r>
        <w:rPr>
          <w:rFonts w:ascii="Times New Roman" w:cs="Times New Roman" w:eastAsia="Times New Roman" w:hAnsi="Times New Roman"/>
          <w:sz w:val="13"/>
          <w:szCs w:val="13"/>
          <w:u w:val="single" w:color="auto"/>
          <w:color w:val="auto"/>
        </w:rPr>
        <w:t>Performance Lock</w:t>
      </w:r>
      <w:r>
        <w:rPr>
          <w:rFonts w:ascii="Times New Roman" w:cs="Times New Roman" w:eastAsia="Times New Roman" w:hAnsi="Times New Roman"/>
          <w:sz w:val="13"/>
          <w:szCs w:val="13"/>
          <w:color w:val="auto"/>
        </w:rPr>
        <w:t>.</w:t>
      </w:r>
    </w:p>
    <w:p>
      <w:pPr>
        <w:spacing w:after="0" w:line="51" w:lineRule="exact"/>
        <w:rPr>
          <w:sz w:val="20"/>
          <w:szCs w:val="20"/>
          <w:color w:val="auto"/>
        </w:rPr>
      </w:pPr>
    </w:p>
    <w:p>
      <w:pPr>
        <w:jc w:val="both"/>
        <w:ind w:right="3199"/>
        <w:spacing w:after="0" w:line="269" w:lineRule="auto"/>
        <w:rPr>
          <w:sz w:val="20"/>
          <w:szCs w:val="20"/>
          <w:color w:val="auto"/>
        </w:rPr>
      </w:pPr>
      <w:r>
        <w:rPr>
          <w:rFonts w:ascii="Times New Roman" w:cs="Times New Roman" w:eastAsia="Times New Roman" w:hAnsi="Times New Roman"/>
          <w:sz w:val="13"/>
          <w:szCs w:val="13"/>
          <w:b w:val="1"/>
          <w:bCs w:val="1"/>
          <w:color w:val="auto"/>
        </w:rPr>
        <w:t>Investment Amount.</w:t>
      </w:r>
      <w:r>
        <w:rPr>
          <w:rFonts w:ascii="Times New Roman" w:cs="Times New Roman" w:eastAsia="Times New Roman" w:hAnsi="Times New Roman"/>
          <w:sz w:val="13"/>
          <w:szCs w:val="13"/>
          <w:color w:val="auto"/>
        </w:rPr>
        <w:t xml:space="preserve">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Investment Amount</w:t>
      </w:r>
      <w:r>
        <w:rPr>
          <w:rFonts w:ascii="Times New Roman" w:cs="Times New Roman" w:eastAsia="Times New Roman" w:hAnsi="Times New Roman"/>
          <w:sz w:val="13"/>
          <w:szCs w:val="13"/>
          <w:color w:val="auto"/>
        </w:rPr>
        <w:t>, for any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is the amount that is allocated to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at the </w:t>
      </w:r>
      <w:r>
        <w:rPr>
          <w:rFonts w:ascii="Times New Roman" w:cs="Times New Roman" w:eastAsia="Times New Roman" w:hAnsi="Times New Roman"/>
          <w:sz w:val="13"/>
          <w:szCs w:val="13"/>
          <w:u w:val="single" w:color="auto"/>
          <w:color w:val="auto"/>
        </w:rPr>
        <w:t>Term Start Date</w:t>
      </w:r>
      <w:r>
        <w:rPr>
          <w:rFonts w:ascii="Times New Roman" w:cs="Times New Roman" w:eastAsia="Times New Roman" w:hAnsi="Times New Roman"/>
          <w:sz w:val="13"/>
          <w:szCs w:val="13"/>
          <w:color w:val="auto"/>
        </w:rPr>
        <w:t xml:space="preserve"> , reduced proportionately for any withdrawals at the time of such withdrawals (including any applicable Withdrawal Charge) by the same percentage that the withdrawal reduces the </w:t>
      </w:r>
      <w:r>
        <w:rPr>
          <w:rFonts w:ascii="Times New Roman" w:cs="Times New Roman" w:eastAsia="Times New Roman" w:hAnsi="Times New Roman"/>
          <w:sz w:val="13"/>
          <w:szCs w:val="13"/>
          <w:u w:val="single" w:color="auto"/>
          <w:color w:val="auto"/>
        </w:rPr>
        <w:t>Interim Value</w:t>
      </w:r>
      <w:r>
        <w:rPr>
          <w:rFonts w:ascii="Times New Roman" w:cs="Times New Roman" w:eastAsia="Times New Roman" w:hAnsi="Times New Roman"/>
          <w:sz w:val="13"/>
          <w:szCs w:val="13"/>
          <w:color w:val="auto"/>
        </w:rPr>
        <w:t xml:space="preserve"> attributable to that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and then, at </w:t>
      </w:r>
      <w:r>
        <w:rPr>
          <w:rFonts w:ascii="Times New Roman" w:cs="Times New Roman" w:eastAsia="Times New Roman" w:hAnsi="Times New Roman"/>
          <w:sz w:val="13"/>
          <w:szCs w:val="13"/>
          <w:u w:val="single" w:color="auto"/>
          <w:color w:val="auto"/>
        </w:rPr>
        <w:t>Term End Date</w:t>
      </w:r>
      <w:r>
        <w:rPr>
          <w:rFonts w:ascii="Times New Roman" w:cs="Times New Roman" w:eastAsia="Times New Roman" w:hAnsi="Times New Roman"/>
          <w:sz w:val="13"/>
          <w:szCs w:val="13"/>
          <w:color w:val="auto"/>
        </w:rPr>
        <w:t xml:space="preserve"> , adjusted by the </w:t>
      </w:r>
      <w:r>
        <w:rPr>
          <w:rFonts w:ascii="Times New Roman" w:cs="Times New Roman" w:eastAsia="Times New Roman" w:hAnsi="Times New Roman"/>
          <w:sz w:val="13"/>
          <w:szCs w:val="13"/>
          <w:u w:val="single" w:color="auto"/>
          <w:color w:val="auto"/>
        </w:rPr>
        <w:t>Performance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Rate</w:t>
      </w:r>
      <w:r>
        <w:rPr>
          <w:rFonts w:ascii="Times New Roman" w:cs="Times New Roman" w:eastAsia="Times New Roman" w:hAnsi="Times New Roman"/>
          <w:sz w:val="13"/>
          <w:szCs w:val="13"/>
          <w:color w:val="auto"/>
        </w:rPr>
        <w:t xml:space="preserve">. The remaining </w:t>
      </w:r>
      <w:r>
        <w:rPr>
          <w:rFonts w:ascii="Times New Roman" w:cs="Times New Roman" w:eastAsia="Times New Roman" w:hAnsi="Times New Roman"/>
          <w:sz w:val="13"/>
          <w:szCs w:val="13"/>
          <w:u w:val="single" w:color="auto"/>
          <w:color w:val="auto"/>
        </w:rPr>
        <w:t>Investment Amount</w:t>
      </w:r>
      <w:r>
        <w:rPr>
          <w:rFonts w:ascii="Times New Roman" w:cs="Times New Roman" w:eastAsia="Times New Roman" w:hAnsi="Times New Roman"/>
          <w:sz w:val="13"/>
          <w:szCs w:val="13"/>
          <w:color w:val="auto"/>
        </w:rPr>
        <w:t xml:space="preserve"> after a withdrawal will be used as the new </w:t>
      </w:r>
      <w:r>
        <w:rPr>
          <w:rFonts w:ascii="Times New Roman" w:cs="Times New Roman" w:eastAsia="Times New Roman" w:hAnsi="Times New Roman"/>
          <w:sz w:val="13"/>
          <w:szCs w:val="13"/>
          <w:u w:val="single" w:color="auto"/>
          <w:color w:val="auto"/>
        </w:rPr>
        <w:t>Investment Amount</w:t>
      </w:r>
      <w:r>
        <w:rPr>
          <w:rFonts w:ascii="Times New Roman" w:cs="Times New Roman" w:eastAsia="Times New Roman" w:hAnsi="Times New Roman"/>
          <w:sz w:val="13"/>
          <w:szCs w:val="13"/>
          <w:color w:val="auto"/>
        </w:rPr>
        <w:t xml:space="preserve"> for the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color w:val="auto"/>
        </w:rPr>
        <w:t xml:space="preserve"> until the </w:t>
      </w:r>
      <w:r>
        <w:rPr>
          <w:rFonts w:ascii="Times New Roman" w:cs="Times New Roman" w:eastAsia="Times New Roman" w:hAnsi="Times New Roman"/>
          <w:sz w:val="13"/>
          <w:szCs w:val="13"/>
          <w:u w:val="single" w:color="auto"/>
          <w:color w:val="auto"/>
        </w:rPr>
        <w:t>Term End Date</w:t>
      </w:r>
      <w:r>
        <w:rPr>
          <w:rFonts w:ascii="Times New Roman" w:cs="Times New Roman" w:eastAsia="Times New Roman" w:hAnsi="Times New Roman"/>
          <w:sz w:val="13"/>
          <w:szCs w:val="13"/>
          <w:color w:val="auto"/>
        </w:rPr>
        <w:t xml:space="preserve"> or the next </w:t>
      </w:r>
      <w:r>
        <w:rPr>
          <w:rFonts w:ascii="Times New Roman" w:cs="Times New Roman" w:eastAsia="Times New Roman" w:hAnsi="Times New Roman"/>
          <w:sz w:val="13"/>
          <w:szCs w:val="13"/>
          <w:u w:val="single" w:color="auto"/>
          <w:color w:val="auto"/>
        </w:rPr>
        <w:t>Interim Value</w:t>
      </w:r>
      <w:r>
        <w:rPr>
          <w:rFonts w:ascii="Times New Roman" w:cs="Times New Roman" w:eastAsia="Times New Roman" w:hAnsi="Times New Roman"/>
          <w:sz w:val="13"/>
          <w:szCs w:val="13"/>
          <w:color w:val="auto"/>
        </w:rPr>
        <w:t xml:space="preserve"> calculation for that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-439420</wp:posOffset>
            </wp:positionV>
            <wp:extent cx="5016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165" cy="6350"/>
                    </a:xfrm>
                    <a:prstGeom prst="rect">
                      <a:avLst/>
                    </a:prstGeom>
                    <a:noFill/>
                  </pic:spPr>
                </pic:pic>
              </a:graphicData>
            </a:graphic>
          </wp:anchor>
        </w:drawing>
        <w:drawing>
          <wp:anchor simplePos="0" relativeHeight="251657728" behindDoc="1" locked="0" layoutInCell="0" allowOverlap="1">
            <wp:simplePos x="0" y="0"/>
            <wp:positionH relativeFrom="column">
              <wp:posOffset>2772410</wp:posOffset>
            </wp:positionH>
            <wp:positionV relativeFrom="paragraph">
              <wp:posOffset>-231775</wp:posOffset>
            </wp:positionV>
            <wp:extent cx="3175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750" cy="6350"/>
                    </a:xfrm>
                    <a:prstGeom prst="rect">
                      <a:avLst/>
                    </a:prstGeom>
                    <a:noFill/>
                  </pic:spPr>
                </pic:pic>
              </a:graphicData>
            </a:graphic>
          </wp:anchor>
        </w:drawing>
      </w:r>
    </w:p>
    <w:p>
      <w:pPr>
        <w:spacing w:after="0" w:line="2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3"/>
          <w:szCs w:val="13"/>
          <w:b w:val="1"/>
          <w:bCs w:val="1"/>
          <w:color w:val="auto"/>
        </w:rPr>
        <w:t>Issue Date.</w:t>
      </w:r>
      <w:r>
        <w:rPr>
          <w:sz w:val="20"/>
          <w:szCs w:val="20"/>
          <w:color w:val="auto"/>
        </w:rPr>
        <w:tab/>
      </w:r>
      <w:r>
        <w:rPr>
          <w:rFonts w:ascii="Times New Roman" w:cs="Times New Roman" w:eastAsia="Times New Roman" w:hAnsi="Times New Roman"/>
          <w:sz w:val="13"/>
          <w:szCs w:val="13"/>
          <w:color w:val="auto"/>
        </w:rPr>
        <w:t xml:space="preserve">The date the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is issued.</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Joint Annuitant.</w:t>
      </w:r>
      <w:r>
        <w:rPr>
          <w:rFonts w:ascii="Times New Roman" w:cs="Times New Roman" w:eastAsia="Times New Roman" w:hAnsi="Times New Roman"/>
          <w:sz w:val="13"/>
          <w:szCs w:val="13"/>
          <w:color w:val="auto"/>
        </w:rPr>
        <w:t xml:space="preserve">   If there is more than one Annuitant, each Annuitant will be a Joint Annuitant of the Contract.</w:t>
      </w:r>
    </w:p>
    <w:p>
      <w:pPr>
        <w:spacing w:after="0" w:line="89" w:lineRule="exact"/>
        <w:rPr>
          <w:sz w:val="20"/>
          <w:szCs w:val="20"/>
          <w:color w:val="auto"/>
        </w:rPr>
      </w:pPr>
    </w:p>
    <w:p>
      <w:pPr>
        <w:jc w:val="both"/>
        <w:ind w:right="3199"/>
        <w:spacing w:after="0" w:line="293" w:lineRule="auto"/>
        <w:rPr>
          <w:sz w:val="20"/>
          <w:szCs w:val="20"/>
          <w:color w:val="auto"/>
        </w:rPr>
      </w:pPr>
      <w:r>
        <w:rPr>
          <w:rFonts w:ascii="Times New Roman" w:cs="Times New Roman" w:eastAsia="Times New Roman" w:hAnsi="Times New Roman"/>
          <w:sz w:val="13"/>
          <w:szCs w:val="13"/>
          <w:b w:val="1"/>
          <w:bCs w:val="1"/>
          <w:color w:val="auto"/>
        </w:rPr>
        <w:t>Joint Owner.</w:t>
      </w:r>
      <w:r>
        <w:rPr>
          <w:rFonts w:ascii="Times New Roman" w:cs="Times New Roman" w:eastAsia="Times New Roman" w:hAnsi="Times New Roman"/>
          <w:sz w:val="13"/>
          <w:szCs w:val="13"/>
          <w:color w:val="auto"/>
        </w:rPr>
        <w:t xml:space="preserve">  If there is more than one Owner, each Owner will be a Joint Owner of the Contract. Joint Owners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are limited to natural persons.</w:t>
      </w:r>
    </w:p>
    <w:p>
      <w:pPr>
        <w:spacing w:after="0" w:line="32" w:lineRule="exact"/>
        <w:rPr>
          <w:sz w:val="20"/>
          <w:szCs w:val="20"/>
          <w:color w:val="auto"/>
        </w:rPr>
      </w:pPr>
    </w:p>
    <w:p>
      <w:pPr>
        <w:jc w:val="both"/>
        <w:ind w:right="3199"/>
        <w:spacing w:after="0" w:line="285" w:lineRule="auto"/>
        <w:rPr>
          <w:sz w:val="20"/>
          <w:szCs w:val="20"/>
          <w:color w:val="auto"/>
        </w:rPr>
      </w:pPr>
      <w:r>
        <w:rPr>
          <w:rFonts w:ascii="Times New Roman" w:cs="Times New Roman" w:eastAsia="Times New Roman" w:hAnsi="Times New Roman"/>
          <w:sz w:val="13"/>
          <w:szCs w:val="13"/>
          <w:b w:val="1"/>
          <w:bCs w:val="1"/>
          <w:color w:val="auto"/>
        </w:rPr>
        <w:t>Maturity Date.</w:t>
      </w:r>
      <w:r>
        <w:rPr>
          <w:rFonts w:ascii="Times New Roman" w:cs="Times New Roman" w:eastAsia="Times New Roman" w:hAnsi="Times New Roman"/>
          <w:sz w:val="13"/>
          <w:szCs w:val="13"/>
          <w:color w:val="auto"/>
        </w:rPr>
        <w:t xml:space="preserve">  The Maturity Date is the Contract Anniversary after the oldest Owner’s 90th birthday or 10</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years from the date we issue your Contract, whichever is later. The Contract will be annuitized at the Maturity Date.</w:t>
      </w:r>
    </w:p>
    <w:p>
      <w:pPr>
        <w:spacing w:after="0" w:line="201" w:lineRule="exact"/>
        <w:rPr>
          <w:sz w:val="20"/>
          <w:szCs w:val="20"/>
          <w:color w:val="auto"/>
        </w:rPr>
      </w:pPr>
    </w:p>
    <w:p>
      <w:pPr>
        <w:jc w:val="both"/>
        <w:ind w:right="3199"/>
        <w:spacing w:after="0" w:line="274" w:lineRule="auto"/>
        <w:rPr>
          <w:sz w:val="20"/>
          <w:szCs w:val="20"/>
          <w:color w:val="auto"/>
        </w:rPr>
      </w:pPr>
      <w:r>
        <w:rPr>
          <w:rFonts w:ascii="Times New Roman" w:cs="Times New Roman" w:eastAsia="Times New Roman" w:hAnsi="Times New Roman"/>
          <w:sz w:val="13"/>
          <w:szCs w:val="13"/>
          <w:b w:val="1"/>
          <w:bCs w:val="1"/>
          <w:color w:val="auto"/>
        </w:rPr>
        <w:t xml:space="preserve">Minimum Account Value. </w:t>
      </w:r>
      <w:r>
        <w:rPr>
          <w:rFonts w:ascii="Times New Roman" w:cs="Times New Roman" w:eastAsia="Times New Roman" w:hAnsi="Times New Roman"/>
          <w:sz w:val="13"/>
          <w:szCs w:val="13"/>
          <w:color w:val="auto"/>
        </w:rPr>
        <w:t>$2,000. If your Account Value falls below the Minimum Account Value as a result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 a withdrawal (including any applicable Withdrawal Charge) we will treat the withdrawal request as a request for a full withdrawal.</w:t>
      </w:r>
    </w:p>
    <w:p>
      <w:pPr>
        <w:spacing w:after="0" w:line="44" w:lineRule="exact"/>
        <w:rPr>
          <w:sz w:val="20"/>
          <w:szCs w:val="20"/>
          <w:color w:val="auto"/>
        </w:rPr>
      </w:pPr>
    </w:p>
    <w:p>
      <w:pPr>
        <w:jc w:val="both"/>
        <w:ind w:right="3199"/>
        <w:spacing w:after="0" w:line="274" w:lineRule="auto"/>
        <w:rPr>
          <w:sz w:val="20"/>
          <w:szCs w:val="20"/>
          <w:color w:val="auto"/>
        </w:rPr>
      </w:pPr>
      <w:r>
        <w:rPr>
          <w:rFonts w:ascii="Times New Roman" w:cs="Times New Roman" w:eastAsia="Times New Roman" w:hAnsi="Times New Roman"/>
          <w:sz w:val="13"/>
          <w:szCs w:val="13"/>
          <w:b w:val="1"/>
          <w:bCs w:val="1"/>
          <w:color w:val="auto"/>
        </w:rPr>
        <w:t xml:space="preserve">Minimum Guaranteed Cap Rate. </w:t>
      </w:r>
      <w:r>
        <w:rPr>
          <w:rFonts w:ascii="Times New Roman" w:cs="Times New Roman" w:eastAsia="Times New Roman" w:hAnsi="Times New Roman"/>
          <w:sz w:val="13"/>
          <w:szCs w:val="13"/>
          <w:color w:val="auto"/>
        </w:rPr>
        <w:t>The actual Minimum Guaranteed Cap Rate for your Contract is the amount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shown on your Contract Schedule but the rate will not be less than what is shown in the Minimum Guaranteed Cap Rates table. See “RATE CREDITING TYPES—Cap Rate."</w:t>
      </w:r>
    </w:p>
    <w:p>
      <w:pPr>
        <w:spacing w:after="0" w:line="44" w:lineRule="exact"/>
        <w:rPr>
          <w:sz w:val="20"/>
          <w:szCs w:val="20"/>
          <w:color w:val="auto"/>
        </w:rPr>
      </w:pPr>
    </w:p>
    <w:p>
      <w:pPr>
        <w:jc w:val="both"/>
        <w:ind w:right="3199"/>
        <w:spacing w:after="0" w:line="274" w:lineRule="auto"/>
        <w:rPr>
          <w:sz w:val="20"/>
          <w:szCs w:val="20"/>
          <w:color w:val="auto"/>
        </w:rPr>
      </w:pPr>
      <w:r>
        <w:rPr>
          <w:rFonts w:ascii="Times New Roman" w:cs="Times New Roman" w:eastAsia="Times New Roman" w:hAnsi="Times New Roman"/>
          <w:sz w:val="13"/>
          <w:szCs w:val="13"/>
          <w:b w:val="1"/>
          <w:bCs w:val="1"/>
          <w:color w:val="auto"/>
        </w:rPr>
        <w:t xml:space="preserve">Minimum Guaranteed Edge Rate. </w:t>
      </w:r>
      <w:r>
        <w:rPr>
          <w:rFonts w:ascii="Times New Roman" w:cs="Times New Roman" w:eastAsia="Times New Roman" w:hAnsi="Times New Roman"/>
          <w:sz w:val="13"/>
          <w:szCs w:val="13"/>
          <w:color w:val="auto"/>
        </w:rPr>
        <w:t>The actual Minimum Guaranteed Edge Rate for your Contract is the amount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shown on your Contract Schedule, but the rate will not be less than what is shown in the Minimum Guaranteed Edge Rates table. See “RATE CREDITING TYPES—Step Rate Edge."</w:t>
      </w:r>
    </w:p>
    <w:p>
      <w:pPr>
        <w:spacing w:after="0" w:line="44" w:lineRule="exact"/>
        <w:rPr>
          <w:sz w:val="20"/>
          <w:szCs w:val="20"/>
          <w:color w:val="auto"/>
        </w:rPr>
      </w:pPr>
    </w:p>
    <w:p>
      <w:pPr>
        <w:jc w:val="both"/>
        <w:ind w:right="3199"/>
        <w:spacing w:after="0" w:line="267" w:lineRule="auto"/>
        <w:rPr>
          <w:sz w:val="20"/>
          <w:szCs w:val="20"/>
          <w:color w:val="auto"/>
        </w:rPr>
      </w:pPr>
      <w:r>
        <w:rPr>
          <w:rFonts w:ascii="Times New Roman" w:cs="Times New Roman" w:eastAsia="Times New Roman" w:hAnsi="Times New Roman"/>
          <w:sz w:val="13"/>
          <w:szCs w:val="13"/>
          <w:b w:val="1"/>
          <w:bCs w:val="1"/>
          <w:color w:val="auto"/>
        </w:rPr>
        <w:t>Minimum Guaranteed Interest Rate.</w:t>
      </w:r>
      <w:r>
        <w:rPr>
          <w:rFonts w:ascii="Times New Roman" w:cs="Times New Roman" w:eastAsia="Times New Roman" w:hAnsi="Times New Roman"/>
          <w:sz w:val="13"/>
          <w:szCs w:val="13"/>
          <w:color w:val="auto"/>
        </w:rPr>
        <w:t xml:space="preserve">  The current Minimum Guaranteed Interest Rate will not be less than 1%.</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This interest rate is guaranteed to be a rate not less than the minimum interest rate allowed by state law—see Appendix E. The actual Minimum Guaranteed Interest Rate for your Contract is the amount shown on your Contract Schedule and applies only to amounts in the Fixed Account.</w:t>
      </w:r>
    </w:p>
    <w:p>
      <w:pPr>
        <w:spacing w:after="0" w:line="49" w:lineRule="exact"/>
        <w:rPr>
          <w:sz w:val="20"/>
          <w:szCs w:val="20"/>
          <w:color w:val="auto"/>
        </w:rPr>
      </w:pPr>
    </w:p>
    <w:p>
      <w:pPr>
        <w:jc w:val="both"/>
        <w:ind w:right="3199"/>
        <w:spacing w:after="0" w:line="274" w:lineRule="auto"/>
        <w:rPr>
          <w:sz w:val="20"/>
          <w:szCs w:val="20"/>
          <w:color w:val="auto"/>
        </w:rPr>
      </w:pPr>
      <w:r>
        <w:rPr>
          <w:rFonts w:ascii="Times New Roman" w:cs="Times New Roman" w:eastAsia="Times New Roman" w:hAnsi="Times New Roman"/>
          <w:sz w:val="13"/>
          <w:szCs w:val="13"/>
          <w:b w:val="1"/>
          <w:bCs w:val="1"/>
          <w:color w:val="auto"/>
        </w:rPr>
        <w:t>Minimum Guaranteed Step Rate.</w:t>
      </w:r>
      <w:r>
        <w:rPr>
          <w:rFonts w:ascii="Times New Roman" w:cs="Times New Roman" w:eastAsia="Times New Roman" w:hAnsi="Times New Roman"/>
          <w:sz w:val="13"/>
          <w:szCs w:val="13"/>
          <w:color w:val="auto"/>
        </w:rPr>
        <w:t xml:space="preserve">  The actual Minimum Guaranteed Step Rate for your Contract is the amount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shown on your Contract Schedule, but the rate will not be less than what is shown in the Minimum Guaranteed Step Rates table. See “RATE CREDITING TYPES—Step Rate."</w:t>
      </w:r>
    </w:p>
    <w:p>
      <w:pPr>
        <w:spacing w:after="0" w:line="44" w:lineRule="exact"/>
        <w:rPr>
          <w:sz w:val="20"/>
          <w:szCs w:val="20"/>
          <w:color w:val="auto"/>
        </w:rPr>
      </w:pPr>
    </w:p>
    <w:p>
      <w:pPr>
        <w:jc w:val="both"/>
        <w:ind w:right="3199"/>
        <w:spacing w:after="0" w:line="267" w:lineRule="auto"/>
        <w:rPr>
          <w:sz w:val="20"/>
          <w:szCs w:val="20"/>
          <w:color w:val="auto"/>
        </w:rPr>
      </w:pPr>
      <w:r>
        <w:rPr>
          <w:rFonts w:ascii="Times New Roman" w:cs="Times New Roman" w:eastAsia="Times New Roman" w:hAnsi="Times New Roman"/>
          <w:sz w:val="13"/>
          <w:szCs w:val="13"/>
          <w:b w:val="1"/>
          <w:bCs w:val="1"/>
          <w:color w:val="auto"/>
        </w:rPr>
        <w:t xml:space="preserve">Notice. </w:t>
      </w:r>
      <w:r>
        <w:rPr>
          <w:rFonts w:ascii="Times New Roman" w:cs="Times New Roman" w:eastAsia="Times New Roman" w:hAnsi="Times New Roman"/>
          <w:sz w:val="13"/>
          <w:szCs w:val="13"/>
          <w:color w:val="auto"/>
        </w:rPr>
        <w:t xml:space="preserve">  Any form of communication providing information we need, either in a signed writing or another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manner that we approve in advance. All Notices to us must be sent to our Annuity Service Office and received in Good Order. To be effective for a Business Day, a Notice must be received in Good Order prior to the end of that Business Day.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NYSE.</w:t>
      </w:r>
      <w:r>
        <w:rPr>
          <w:rFonts w:ascii="Times New Roman" w:cs="Times New Roman" w:eastAsia="Times New Roman" w:hAnsi="Times New Roman"/>
          <w:sz w:val="13"/>
          <w:szCs w:val="13"/>
          <w:color w:val="auto"/>
        </w:rPr>
        <w:t xml:space="preserve">   New York Stock Exchange.</w:t>
      </w:r>
    </w:p>
    <w:p>
      <w:pPr>
        <w:spacing w:after="0" w:line="89" w:lineRule="exact"/>
        <w:rPr>
          <w:sz w:val="20"/>
          <w:szCs w:val="20"/>
          <w:color w:val="auto"/>
        </w:rPr>
      </w:pPr>
    </w:p>
    <w:p>
      <w:pPr>
        <w:jc w:val="both"/>
        <w:ind w:right="3199"/>
        <w:spacing w:after="0" w:line="274" w:lineRule="auto"/>
        <w:rPr>
          <w:sz w:val="20"/>
          <w:szCs w:val="20"/>
          <w:color w:val="auto"/>
        </w:rPr>
      </w:pPr>
      <w:r>
        <w:rPr>
          <w:rFonts w:ascii="Times New Roman" w:cs="Times New Roman" w:eastAsia="Times New Roman" w:hAnsi="Times New Roman"/>
          <w:sz w:val="13"/>
          <w:szCs w:val="13"/>
          <w:b w:val="1"/>
          <w:bCs w:val="1"/>
          <w:color w:val="auto"/>
        </w:rPr>
        <w:t>Owner (“you”, “yours”).</w:t>
      </w:r>
      <w:r>
        <w:rPr>
          <w:rFonts w:ascii="Times New Roman" w:cs="Times New Roman" w:eastAsia="Times New Roman" w:hAnsi="Times New Roman"/>
          <w:sz w:val="13"/>
          <w:szCs w:val="13"/>
          <w:color w:val="auto"/>
        </w:rPr>
        <w:t xml:space="preserve">  The person(s) entitled to the ownership rights under the Contract. Subject to our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administrative procedures, we may also permit ownership by a corporation (a type of non-natural person) or certain other legal entities. If Joint Owners are named, all references to Owner shall mean Joint Owners.</w:t>
      </w:r>
    </w:p>
    <w:p>
      <w:pPr>
        <w:spacing w:after="0" w:line="44" w:lineRule="exact"/>
        <w:rPr>
          <w:sz w:val="20"/>
          <w:szCs w:val="20"/>
          <w:color w:val="auto"/>
        </w:rPr>
      </w:pPr>
    </w:p>
    <w:p>
      <w:pPr>
        <w:jc w:val="both"/>
        <w:ind w:right="3199"/>
        <w:spacing w:after="0" w:line="293" w:lineRule="auto"/>
        <w:rPr>
          <w:sz w:val="20"/>
          <w:szCs w:val="20"/>
          <w:color w:val="auto"/>
        </w:rPr>
      </w:pPr>
      <w:r>
        <w:rPr>
          <w:rFonts w:ascii="Times New Roman" w:cs="Times New Roman" w:eastAsia="Times New Roman" w:hAnsi="Times New Roman"/>
          <w:sz w:val="13"/>
          <w:szCs w:val="13"/>
          <w:b w:val="1"/>
          <w:bCs w:val="1"/>
          <w:color w:val="auto"/>
        </w:rPr>
        <w:t xml:space="preserve">Performance Lock. </w:t>
      </w:r>
      <w:r>
        <w:rPr>
          <w:rFonts w:ascii="Times New Roman" w:cs="Times New Roman" w:eastAsia="Times New Roman" w:hAnsi="Times New Roman"/>
          <w:sz w:val="13"/>
          <w:szCs w:val="13"/>
          <w:color w:val="auto"/>
        </w:rPr>
        <w:t>A feature that allows you the option to lock in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Interim Value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 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that is automatically included with your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on the </w:t>
      </w:r>
      <w:r>
        <w:rPr>
          <w:rFonts w:ascii="Times New Roman" w:cs="Times New Roman" w:eastAsia="Times New Roman" w:hAnsi="Times New Roman"/>
          <w:sz w:val="13"/>
          <w:szCs w:val="13"/>
          <w:u w:val="single" w:color="auto"/>
          <w:color w:val="auto"/>
        </w:rPr>
        <w:t>Issue Date</w:t>
      </w:r>
      <w:r>
        <w:rPr>
          <w:rFonts w:ascii="Times New Roman" w:cs="Times New Roman" w:eastAsia="Times New Roman" w:hAnsi="Times New Roman"/>
          <w:sz w:val="13"/>
          <w:szCs w:val="13"/>
          <w:color w:val="auto"/>
        </w:rPr>
        <w:t xml:space="preserve"> for no additional charge.</w:t>
      </w:r>
    </w:p>
    <w:p>
      <w:pPr>
        <w:spacing w:after="0" w:line="42" w:lineRule="exact"/>
        <w:rPr>
          <w:sz w:val="20"/>
          <w:szCs w:val="20"/>
          <w:color w:val="auto"/>
        </w:rPr>
      </w:pPr>
    </w:p>
    <w:p>
      <w:pPr>
        <w:jc w:val="both"/>
        <w:ind w:right="3199"/>
        <w:spacing w:after="0" w:line="274" w:lineRule="auto"/>
        <w:rPr>
          <w:sz w:val="20"/>
          <w:szCs w:val="20"/>
          <w:color w:val="auto"/>
        </w:rPr>
      </w:pPr>
      <w:r>
        <w:rPr>
          <w:rFonts w:ascii="Times New Roman" w:cs="Times New Roman" w:eastAsia="Times New Roman" w:hAnsi="Times New Roman"/>
          <w:sz w:val="13"/>
          <w:szCs w:val="13"/>
          <w:b w:val="1"/>
          <w:bCs w:val="1"/>
          <w:color w:val="auto"/>
        </w:rPr>
        <w:t xml:space="preserve">Performance Lock Value. </w:t>
      </w:r>
      <w:r>
        <w:rPr>
          <w:rFonts w:ascii="Times New Roman" w:cs="Times New Roman" w:eastAsia="Times New Roman" w:hAnsi="Times New Roman"/>
          <w:sz w:val="13"/>
          <w:szCs w:val="13"/>
          <w:color w:val="auto"/>
        </w:rPr>
        <w:t>The value of 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after exercising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Performance Lock</w:t>
      </w:r>
      <w:r>
        <w:rPr>
          <w:rFonts w:ascii="Times New Roman" w:cs="Times New Roman" w:eastAsia="Times New Roman" w:hAnsi="Times New Roman"/>
          <w:sz w:val="13"/>
          <w:szCs w:val="13"/>
          <w:color w:val="auto"/>
        </w:rPr>
        <w:t>.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Performance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Lock Value</w:t>
      </w:r>
      <w:r>
        <w:rPr>
          <w:rFonts w:ascii="Times New Roman" w:cs="Times New Roman" w:eastAsia="Times New Roman" w:hAnsi="Times New Roman"/>
          <w:sz w:val="13"/>
          <w:szCs w:val="13"/>
          <w:color w:val="auto"/>
        </w:rPr>
        <w:t xml:space="preserve"> is equal to the </w:t>
      </w:r>
      <w:r>
        <w:rPr>
          <w:rFonts w:ascii="Times New Roman" w:cs="Times New Roman" w:eastAsia="Times New Roman" w:hAnsi="Times New Roman"/>
          <w:sz w:val="13"/>
          <w:szCs w:val="13"/>
          <w:u w:val="single" w:color="auto"/>
          <w:color w:val="auto"/>
        </w:rPr>
        <w:t>Interim Value</w:t>
      </w:r>
      <w:r>
        <w:rPr>
          <w:rFonts w:ascii="Times New Roman" w:cs="Times New Roman" w:eastAsia="Times New Roman" w:hAnsi="Times New Roman"/>
          <w:sz w:val="13"/>
          <w:szCs w:val="13"/>
          <w:color w:val="auto"/>
        </w:rPr>
        <w:t xml:space="preserve"> at the end of the </w:t>
      </w:r>
      <w:r>
        <w:rPr>
          <w:rFonts w:ascii="Times New Roman" w:cs="Times New Roman" w:eastAsia="Times New Roman" w:hAnsi="Times New Roman"/>
          <w:sz w:val="13"/>
          <w:szCs w:val="13"/>
          <w:u w:val="single" w:color="auto"/>
          <w:color w:val="auto"/>
        </w:rPr>
        <w:t>Business Day</w:t>
      </w:r>
      <w:r>
        <w:rPr>
          <w:rFonts w:ascii="Times New Roman" w:cs="Times New Roman" w:eastAsia="Times New Roman" w:hAnsi="Times New Roman"/>
          <w:sz w:val="13"/>
          <w:szCs w:val="13"/>
          <w:color w:val="auto"/>
        </w:rPr>
        <w:t xml:space="preserve"> that you exercise </w:t>
      </w:r>
      <w:r>
        <w:rPr>
          <w:rFonts w:ascii="Times New Roman" w:cs="Times New Roman" w:eastAsia="Times New Roman" w:hAnsi="Times New Roman"/>
          <w:sz w:val="13"/>
          <w:szCs w:val="13"/>
          <w:u w:val="single" w:color="auto"/>
          <w:color w:val="auto"/>
        </w:rPr>
        <w:t>Performance Lock</w:t>
      </w:r>
      <w:r>
        <w:rPr>
          <w:rFonts w:ascii="Times New Roman" w:cs="Times New Roman" w:eastAsia="Times New Roman" w:hAnsi="Times New Roman"/>
          <w:sz w:val="13"/>
          <w:szCs w:val="13"/>
          <w:color w:val="auto"/>
        </w:rPr>
        <w:t>, reduced by the dollar amount of any subsequent withdrawals9including any applicable Withdrawal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2023110</wp:posOffset>
            </wp:positionH>
            <wp:positionV relativeFrom="paragraph">
              <wp:posOffset>-233045</wp:posOffset>
            </wp:positionV>
            <wp:extent cx="2540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400" cy="6350"/>
                    </a:xfrm>
                    <a:prstGeom prst="rect">
                      <a:avLst/>
                    </a:prstGeom>
                    <a:noFill/>
                  </pic:spPr>
                </pic:pic>
              </a:graphicData>
            </a:graphic>
          </wp:anchor>
        </w:drawing>
      </w:r>
    </w:p>
    <w:p>
      <w:pPr>
        <w:spacing w:after="0" w:line="16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259"/>
          </w:cols>
          <w:pgMar w:left="1200" w:top="1047" w:right="1440" w:bottom="1440" w:gutter="0" w:footer="0" w:header="0"/>
        </w:sectPr>
      </w:pPr>
    </w:p>
    <w:bookmarkStart w:id="9" w:name="page10"/>
    <w:bookmarkEnd w:id="9"/>
    <w:p>
      <w:pPr>
        <w:jc w:val="both"/>
        <w:ind w:right="3199"/>
        <w:spacing w:after="0" w:line="268"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3915" cy="38100"/>
                    </a:xfrm>
                    <a:prstGeom prst="rect">
                      <a:avLst/>
                    </a:prstGeom>
                    <a:noFill/>
                  </pic:spPr>
                </pic:pic>
              </a:graphicData>
            </a:graphic>
          </wp:anchor>
        </w:drawing>
        <w:t>Performance Rate.</w:t>
      </w:r>
      <w:r>
        <w:rPr>
          <w:rFonts w:ascii="Times New Roman" w:cs="Times New Roman" w:eastAsia="Times New Roman" w:hAnsi="Times New Roman"/>
          <w:sz w:val="13"/>
          <w:szCs w:val="13"/>
          <w:color w:val="auto"/>
        </w:rPr>
        <w:t xml:space="preserve">  The rate credited at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Term End Date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and is based on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Index Performance</w:t>
      </w:r>
      <w:r>
        <w:rPr>
          <w:rFonts w:ascii="Times New Roman" w:cs="Times New Roman" w:eastAsia="Times New Roman" w:hAnsi="Times New Roman"/>
          <w:sz w:val="13"/>
          <w:szCs w:val="13"/>
          <w:color w:val="auto"/>
        </w:rPr>
        <w:t>, adjusted for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the applicable </w:t>
      </w:r>
      <w:r>
        <w:rPr>
          <w:rFonts w:ascii="Times New Roman" w:cs="Times New Roman" w:eastAsia="Times New Roman" w:hAnsi="Times New Roman"/>
          <w:sz w:val="13"/>
          <w:szCs w:val="13"/>
          <w:u w:val="single" w:color="auto"/>
          <w:color w:val="auto"/>
        </w:rPr>
        <w:t>Shield Rate</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u w:val="single" w:color="auto"/>
          <w:color w:val="auto"/>
        </w:rPr>
        <w:t>Cap Rate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Step Rate</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Edge Rate</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u w:val="single" w:color="auto"/>
          <w:color w:val="auto"/>
        </w:rPr>
        <w:t>Performance Rate</w:t>
      </w:r>
      <w:r>
        <w:rPr>
          <w:rFonts w:ascii="Times New Roman" w:cs="Times New Roman" w:eastAsia="Times New Roman" w:hAnsi="Times New Roman"/>
          <w:sz w:val="13"/>
          <w:szCs w:val="13"/>
          <w:color w:val="auto"/>
        </w:rPr>
        <w:t xml:space="preserve"> can be positive, zero or negative. At the </w:t>
      </w:r>
      <w:r>
        <w:rPr>
          <w:rFonts w:ascii="Times New Roman" w:cs="Times New Roman" w:eastAsia="Times New Roman" w:hAnsi="Times New Roman"/>
          <w:sz w:val="13"/>
          <w:szCs w:val="13"/>
          <w:u w:val="single" w:color="auto"/>
          <w:color w:val="auto"/>
        </w:rPr>
        <w:t>Term End Date</w:t>
      </w:r>
      <w:r>
        <w:rPr>
          <w:rFonts w:ascii="Times New Roman" w:cs="Times New Roman" w:eastAsia="Times New Roman" w:hAnsi="Times New Roman"/>
          <w:sz w:val="13"/>
          <w:szCs w:val="13"/>
          <w:color w:val="auto"/>
        </w:rPr>
        <w:t xml:space="preserve">, any increase or reduction in the </w:t>
      </w:r>
      <w:r>
        <w:rPr>
          <w:rFonts w:ascii="Times New Roman" w:cs="Times New Roman" w:eastAsia="Times New Roman" w:hAnsi="Times New Roman"/>
          <w:sz w:val="13"/>
          <w:szCs w:val="13"/>
          <w:u w:val="single" w:color="auto"/>
          <w:color w:val="auto"/>
        </w:rPr>
        <w:t>Investment Amount</w:t>
      </w:r>
      <w:r>
        <w:rPr>
          <w:rFonts w:ascii="Times New Roman" w:cs="Times New Roman" w:eastAsia="Times New Roman" w:hAnsi="Times New Roman"/>
          <w:sz w:val="13"/>
          <w:szCs w:val="13"/>
          <w:color w:val="auto"/>
        </w:rPr>
        <w:t xml:space="preserve"> in a particular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is determined by multiplying the </w:t>
      </w:r>
      <w:r>
        <w:rPr>
          <w:rFonts w:ascii="Times New Roman" w:cs="Times New Roman" w:eastAsia="Times New Roman" w:hAnsi="Times New Roman"/>
          <w:sz w:val="13"/>
          <w:szCs w:val="13"/>
          <w:u w:val="single" w:color="auto"/>
          <w:color w:val="auto"/>
        </w:rPr>
        <w:t>Performance Rate</w:t>
      </w:r>
      <w:r>
        <w:rPr>
          <w:rFonts w:ascii="Times New Roman" w:cs="Times New Roman" w:eastAsia="Times New Roman" w:hAnsi="Times New Roman"/>
          <w:sz w:val="13"/>
          <w:szCs w:val="13"/>
          <w:color w:val="auto"/>
        </w:rPr>
        <w:t xml:space="preserve"> by the </w:t>
      </w:r>
      <w:r>
        <w:rPr>
          <w:rFonts w:ascii="Times New Roman" w:cs="Times New Roman" w:eastAsia="Times New Roman" w:hAnsi="Times New Roman"/>
          <w:sz w:val="13"/>
          <w:szCs w:val="13"/>
          <w:u w:val="single" w:color="auto"/>
          <w:color w:val="auto"/>
        </w:rPr>
        <w:t>Investment Amount</w:t>
      </w:r>
      <w:r>
        <w:rPr>
          <w:rFonts w:ascii="Times New Roman" w:cs="Times New Roman" w:eastAsia="Times New Roman" w:hAnsi="Times New Roman"/>
          <w:sz w:val="13"/>
          <w:szCs w:val="13"/>
          <w:color w:val="auto"/>
        </w:rPr>
        <w:t xml:space="preserve"> of the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on the last day of the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-330835</wp:posOffset>
            </wp:positionV>
            <wp:extent cx="3175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750" cy="6350"/>
                    </a:xfrm>
                    <a:prstGeom prst="rect">
                      <a:avLst/>
                    </a:prstGeom>
                    <a:noFill/>
                  </pic:spPr>
                </pic:pic>
              </a:graphicData>
            </a:graphic>
          </wp:anchor>
        </w:drawing>
      </w:r>
    </w:p>
    <w:p>
      <w:pPr>
        <w:spacing w:after="0" w:line="28" w:lineRule="exact"/>
        <w:rPr>
          <w:sz w:val="20"/>
          <w:szCs w:val="20"/>
          <w:color w:val="auto"/>
        </w:rPr>
      </w:pPr>
    </w:p>
    <w:p>
      <w:pPr>
        <w:jc w:val="both"/>
        <w:ind w:right="3199"/>
        <w:spacing w:after="0" w:line="267" w:lineRule="auto"/>
        <w:rPr>
          <w:sz w:val="20"/>
          <w:szCs w:val="20"/>
          <w:color w:val="auto"/>
        </w:rPr>
      </w:pPr>
      <w:r>
        <w:rPr>
          <w:rFonts w:ascii="Times New Roman" w:cs="Times New Roman" w:eastAsia="Times New Roman" w:hAnsi="Times New Roman"/>
          <w:sz w:val="13"/>
          <w:szCs w:val="13"/>
          <w:b w:val="1"/>
          <w:bCs w:val="1"/>
          <w:color w:val="auto"/>
        </w:rPr>
        <w:t>Performance Rate Adjustment.</w:t>
      </w:r>
      <w:r>
        <w:rPr>
          <w:rFonts w:ascii="Times New Roman" w:cs="Times New Roman" w:eastAsia="Times New Roman" w:hAnsi="Times New Roman"/>
          <w:sz w:val="13"/>
          <w:szCs w:val="13"/>
          <w:color w:val="auto"/>
        </w:rPr>
        <w:t xml:space="preserve">  The adjustment made to the Investment Amount for each Shield Option on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Term End Date. This adjustment is based on the Performance Rate. This adjustment can be positive, zero or negative. When the Performance Rate Adjustment is positive we may also refer to this adjustment as “earnings.” When the Performance Rate Adjustment is negative we may also refer to this adjustment as “losses.”</w:t>
      </w:r>
    </w:p>
    <w:p>
      <w:pPr>
        <w:spacing w:after="0" w:line="49" w:lineRule="exact"/>
        <w:rPr>
          <w:sz w:val="20"/>
          <w:szCs w:val="20"/>
          <w:color w:val="auto"/>
        </w:rPr>
      </w:pPr>
    </w:p>
    <w:p>
      <w:pPr>
        <w:jc w:val="both"/>
        <w:ind w:right="3199"/>
        <w:spacing w:after="0" w:line="293" w:lineRule="auto"/>
        <w:rPr>
          <w:sz w:val="20"/>
          <w:szCs w:val="20"/>
          <w:color w:val="auto"/>
        </w:rPr>
      </w:pPr>
      <w:r>
        <w:rPr>
          <w:rFonts w:ascii="Times New Roman" w:cs="Times New Roman" w:eastAsia="Times New Roman" w:hAnsi="Times New Roman"/>
          <w:sz w:val="13"/>
          <w:szCs w:val="13"/>
          <w:b w:val="1"/>
          <w:bCs w:val="1"/>
          <w:color w:val="auto"/>
        </w:rPr>
        <w:t xml:space="preserve">Premium Tax. </w:t>
      </w:r>
      <w:r>
        <w:rPr>
          <w:rFonts w:ascii="Times New Roman" w:cs="Times New Roman" w:eastAsia="Times New Roman" w:hAnsi="Times New Roman"/>
          <w:sz w:val="13"/>
          <w:szCs w:val="13"/>
          <w:color w:val="auto"/>
        </w:rPr>
        <w:t>The amount of tax, if any, charged by the state or municipality. New York state does not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currently assess Premium Taxes on Purchase Payments.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Purchase Payment.</w:t>
      </w:r>
      <w:r>
        <w:rPr>
          <w:rFonts w:ascii="Times New Roman" w:cs="Times New Roman" w:eastAsia="Times New Roman" w:hAnsi="Times New Roman"/>
          <w:sz w:val="13"/>
          <w:szCs w:val="13"/>
          <w:color w:val="auto"/>
        </w:rPr>
        <w:t xml:space="preserve">   The amount paid to us under the Contract as consideration for the benefits it provides.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Rate Crediting Type.</w:t>
      </w:r>
      <w:r>
        <w:rPr>
          <w:rFonts w:ascii="Times New Roman" w:cs="Times New Roman" w:eastAsia="Times New Roman" w:hAnsi="Times New Roman"/>
          <w:sz w:val="13"/>
          <w:szCs w:val="13"/>
          <w:color w:val="auto"/>
        </w:rPr>
        <w:t xml:space="preserve">   Either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Cap Rate</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Step Rate</w:t>
      </w:r>
      <w:r>
        <w:rPr>
          <w:rFonts w:ascii="Times New Roman" w:cs="Times New Roman" w:eastAsia="Times New Roman" w:hAnsi="Times New Roman"/>
          <w:sz w:val="13"/>
          <w:szCs w:val="13"/>
          <w:color w:val="auto"/>
        </w:rPr>
        <w:t>, 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Step Rate Edge</w:t>
      </w:r>
      <w:r>
        <w:rPr>
          <w:rFonts w:ascii="Times New Roman" w:cs="Times New Roman" w:eastAsia="Times New Roman" w:hAnsi="Times New Roman"/>
          <w:sz w:val="13"/>
          <w:szCs w:val="13"/>
          <w:color w:val="auto"/>
        </w:rPr>
        <w:t>.</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RMD.</w:t>
      </w:r>
      <w:r>
        <w:rPr>
          <w:rFonts w:ascii="Times New Roman" w:cs="Times New Roman" w:eastAsia="Times New Roman" w:hAnsi="Times New Roman"/>
          <w:sz w:val="13"/>
          <w:szCs w:val="13"/>
          <w:color w:val="auto"/>
        </w:rPr>
        <w:t xml:space="preserve">   Required Minimum Distribution.</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w:t>
      </w:r>
      <w:r>
        <w:rPr>
          <w:rFonts w:ascii="Times New Roman" w:cs="Times New Roman" w:eastAsia="Times New Roman" w:hAnsi="Times New Roman"/>
          <w:sz w:val="13"/>
          <w:szCs w:val="13"/>
          <w:color w:val="auto"/>
        </w:rPr>
        <w:t xml:space="preserve">   Securities and Exchange Commission.</w:t>
      </w:r>
    </w:p>
    <w:p>
      <w:pPr>
        <w:spacing w:after="0" w:line="8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3"/>
          <w:szCs w:val="13"/>
          <w:b w:val="1"/>
          <w:bCs w:val="1"/>
          <w:color w:val="auto"/>
        </w:rPr>
        <w:t>Separate Account.</w:t>
      </w:r>
      <w:r>
        <w:rPr>
          <w:sz w:val="20"/>
          <w:szCs w:val="20"/>
          <w:color w:val="auto"/>
        </w:rPr>
        <w:tab/>
      </w:r>
      <w:r>
        <w:rPr>
          <w:rFonts w:ascii="Times New Roman" w:cs="Times New Roman" w:eastAsia="Times New Roman" w:hAnsi="Times New Roman"/>
          <w:sz w:val="13"/>
          <w:szCs w:val="13"/>
          <w:color w:val="auto"/>
        </w:rPr>
        <w:t>The separate account is Brighthouse Separate Account SA II.</w:t>
      </w:r>
    </w:p>
    <w:p>
      <w:pPr>
        <w:spacing w:after="0" w:line="89" w:lineRule="exact"/>
        <w:rPr>
          <w:sz w:val="20"/>
          <w:szCs w:val="20"/>
          <w:color w:val="auto"/>
        </w:rPr>
      </w:pPr>
    </w:p>
    <w:p>
      <w:pPr>
        <w:jc w:val="both"/>
        <w:ind w:right="3199"/>
        <w:spacing w:after="0" w:line="271" w:lineRule="auto"/>
        <w:rPr>
          <w:sz w:val="20"/>
          <w:szCs w:val="20"/>
          <w:color w:val="auto"/>
        </w:rPr>
      </w:pPr>
      <w:r>
        <w:rPr>
          <w:rFonts w:ascii="Times New Roman" w:cs="Times New Roman" w:eastAsia="Times New Roman" w:hAnsi="Times New Roman"/>
          <w:sz w:val="13"/>
          <w:szCs w:val="13"/>
          <w:b w:val="1"/>
          <w:bCs w:val="1"/>
          <w:color w:val="auto"/>
        </w:rPr>
        <w:t xml:space="preserve">Shield 10. </w:t>
      </w:r>
      <w:r>
        <w:rPr>
          <w:rFonts w:ascii="Times New Roman" w:cs="Times New Roman" w:eastAsia="Times New Roman" w:hAnsi="Times New Roman"/>
          <w:sz w:val="13"/>
          <w:szCs w:val="13"/>
          <w:color w:val="auto"/>
        </w:rPr>
        <w:t>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provides downside protection through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Shield 10</w:t>
      </w:r>
      <w:r>
        <w:rPr>
          <w:rFonts w:ascii="Times New Roman" w:cs="Times New Roman" w:eastAsia="Times New Roman" w:hAnsi="Times New Roman"/>
          <w:sz w:val="13"/>
          <w:szCs w:val="13"/>
          <w:color w:val="auto"/>
        </w:rPr>
        <w:t>, which is 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Shield Rate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where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negative </w:t>
      </w:r>
      <w:r>
        <w:rPr>
          <w:rFonts w:ascii="Times New Roman" w:cs="Times New Roman" w:eastAsia="Times New Roman" w:hAnsi="Times New Roman"/>
          <w:sz w:val="13"/>
          <w:szCs w:val="13"/>
          <w:u w:val="single" w:color="auto"/>
          <w:color w:val="auto"/>
        </w:rPr>
        <w:t>Index Performance</w:t>
      </w:r>
      <w:r>
        <w:rPr>
          <w:rFonts w:ascii="Times New Roman" w:cs="Times New Roman" w:eastAsia="Times New Roman" w:hAnsi="Times New Roman"/>
          <w:sz w:val="13"/>
          <w:szCs w:val="13"/>
          <w:color w:val="auto"/>
        </w:rPr>
        <w:t xml:space="preserve"> of up to 10% of your </w:t>
      </w:r>
      <w:r>
        <w:rPr>
          <w:rFonts w:ascii="Times New Roman" w:cs="Times New Roman" w:eastAsia="Times New Roman" w:hAnsi="Times New Roman"/>
          <w:sz w:val="13"/>
          <w:szCs w:val="13"/>
          <w:u w:val="single" w:color="auto"/>
          <w:color w:val="auto"/>
        </w:rPr>
        <w:t>Investment Amount</w:t>
      </w:r>
      <w:r>
        <w:rPr>
          <w:rFonts w:ascii="Times New Roman" w:cs="Times New Roman" w:eastAsia="Times New Roman" w:hAnsi="Times New Roman"/>
          <w:sz w:val="13"/>
          <w:szCs w:val="13"/>
          <w:color w:val="auto"/>
        </w:rPr>
        <w:t xml:space="preserve"> is absorbed by us at the </w:t>
      </w:r>
      <w:r>
        <w:rPr>
          <w:rFonts w:ascii="Times New Roman" w:cs="Times New Roman" w:eastAsia="Times New Roman" w:hAnsi="Times New Roman"/>
          <w:sz w:val="13"/>
          <w:szCs w:val="13"/>
          <w:u w:val="single" w:color="auto"/>
          <w:color w:val="auto"/>
        </w:rPr>
        <w:t>Term End Date</w:t>
      </w:r>
      <w:r>
        <w:rPr>
          <w:rFonts w:ascii="Times New Roman" w:cs="Times New Roman" w:eastAsia="Times New Roman" w:hAnsi="Times New Roman"/>
          <w:sz w:val="13"/>
          <w:szCs w:val="13"/>
          <w:color w:val="auto"/>
        </w:rPr>
        <w:t xml:space="preserve">, which would leave you to absorb any remaining negative </w:t>
      </w:r>
      <w:r>
        <w:rPr>
          <w:rFonts w:ascii="Times New Roman" w:cs="Times New Roman" w:eastAsia="Times New Roman" w:hAnsi="Times New Roman"/>
          <w:sz w:val="13"/>
          <w:szCs w:val="13"/>
          <w:u w:val="single" w:color="auto"/>
          <w:color w:val="auto"/>
        </w:rPr>
        <w:t>Index Performance</w:t>
      </w:r>
      <w:r>
        <w:rPr>
          <w:rFonts w:ascii="Times New Roman" w:cs="Times New Roman" w:eastAsia="Times New Roman" w:hAnsi="Times New Roman"/>
          <w:sz w:val="13"/>
          <w:szCs w:val="13"/>
          <w:color w:val="auto"/>
        </w:rPr>
        <w:t xml:space="preserve"> of up to 90% of your </w:t>
      </w:r>
      <w:r>
        <w:rPr>
          <w:rFonts w:ascii="Times New Roman" w:cs="Times New Roman" w:eastAsia="Times New Roman" w:hAnsi="Times New Roman"/>
          <w:sz w:val="13"/>
          <w:szCs w:val="13"/>
          <w:u w:val="single" w:color="auto"/>
          <w:color w:val="auto"/>
        </w:rPr>
        <w:t>Investment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Amount</w:t>
      </w:r>
      <w:r>
        <w:rPr>
          <w:rFonts w:ascii="Times New Roman" w:cs="Times New Roman" w:eastAsia="Times New Roman" w:hAnsi="Times New Roman"/>
          <w:sz w:val="13"/>
          <w:szCs w:val="13"/>
          <w:color w:val="auto"/>
        </w:rPr>
        <w:t>.</w:t>
      </w:r>
    </w:p>
    <w:p>
      <w:pPr>
        <w:spacing w:after="0" w:line="208" w:lineRule="exact"/>
        <w:rPr>
          <w:sz w:val="20"/>
          <w:szCs w:val="20"/>
          <w:color w:val="auto"/>
        </w:rPr>
      </w:pPr>
    </w:p>
    <w:p>
      <w:pPr>
        <w:jc w:val="both"/>
        <w:ind w:right="3179"/>
        <w:spacing w:after="0" w:line="271" w:lineRule="auto"/>
        <w:rPr>
          <w:sz w:val="20"/>
          <w:szCs w:val="20"/>
          <w:color w:val="auto"/>
        </w:rPr>
      </w:pPr>
      <w:r>
        <w:rPr>
          <w:rFonts w:ascii="Times New Roman" w:cs="Times New Roman" w:eastAsia="Times New Roman" w:hAnsi="Times New Roman"/>
          <w:sz w:val="13"/>
          <w:szCs w:val="13"/>
          <w:b w:val="1"/>
          <w:bCs w:val="1"/>
          <w:color w:val="auto"/>
        </w:rPr>
        <w:t xml:space="preserve">Shield 15. </w:t>
      </w:r>
      <w:r>
        <w:rPr>
          <w:rFonts w:ascii="Times New Roman" w:cs="Times New Roman" w:eastAsia="Times New Roman" w:hAnsi="Times New Roman"/>
          <w:sz w:val="13"/>
          <w:szCs w:val="13"/>
          <w:color w:val="auto"/>
        </w:rPr>
        <w:t>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provides downside protection through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Shield 15</w:t>
      </w:r>
      <w:r>
        <w:rPr>
          <w:rFonts w:ascii="Times New Roman" w:cs="Times New Roman" w:eastAsia="Times New Roman" w:hAnsi="Times New Roman"/>
          <w:sz w:val="13"/>
          <w:szCs w:val="13"/>
          <w:color w:val="auto"/>
        </w:rPr>
        <w:t>, which is 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Shield Rate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where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negative </w:t>
      </w:r>
      <w:r>
        <w:rPr>
          <w:rFonts w:ascii="Times New Roman" w:cs="Times New Roman" w:eastAsia="Times New Roman" w:hAnsi="Times New Roman"/>
          <w:sz w:val="13"/>
          <w:szCs w:val="13"/>
          <w:u w:val="single" w:color="auto"/>
          <w:color w:val="auto"/>
        </w:rPr>
        <w:t>Index Performance</w:t>
      </w:r>
      <w:r>
        <w:rPr>
          <w:rFonts w:ascii="Times New Roman" w:cs="Times New Roman" w:eastAsia="Times New Roman" w:hAnsi="Times New Roman"/>
          <w:sz w:val="13"/>
          <w:szCs w:val="13"/>
          <w:color w:val="auto"/>
        </w:rPr>
        <w:t xml:space="preserve"> of up to 15% of your </w:t>
      </w:r>
      <w:r>
        <w:rPr>
          <w:rFonts w:ascii="Times New Roman" w:cs="Times New Roman" w:eastAsia="Times New Roman" w:hAnsi="Times New Roman"/>
          <w:sz w:val="13"/>
          <w:szCs w:val="13"/>
          <w:u w:val="single" w:color="auto"/>
          <w:color w:val="auto"/>
        </w:rPr>
        <w:t>Investment Amount</w:t>
      </w:r>
      <w:r>
        <w:rPr>
          <w:rFonts w:ascii="Times New Roman" w:cs="Times New Roman" w:eastAsia="Times New Roman" w:hAnsi="Times New Roman"/>
          <w:sz w:val="13"/>
          <w:szCs w:val="13"/>
          <w:color w:val="auto"/>
        </w:rPr>
        <w:t xml:space="preserve"> is absorbed by us at the </w:t>
      </w:r>
      <w:r>
        <w:rPr>
          <w:rFonts w:ascii="Times New Roman" w:cs="Times New Roman" w:eastAsia="Times New Roman" w:hAnsi="Times New Roman"/>
          <w:sz w:val="13"/>
          <w:szCs w:val="13"/>
          <w:u w:val="single" w:color="auto"/>
          <w:color w:val="auto"/>
        </w:rPr>
        <w:t>Term End Date</w:t>
      </w:r>
      <w:r>
        <w:rPr>
          <w:rFonts w:ascii="Times New Roman" w:cs="Times New Roman" w:eastAsia="Times New Roman" w:hAnsi="Times New Roman"/>
          <w:sz w:val="13"/>
          <w:szCs w:val="13"/>
          <w:color w:val="auto"/>
        </w:rPr>
        <w:t xml:space="preserve">, which would leave you to absorb any remaining negative </w:t>
      </w:r>
      <w:r>
        <w:rPr>
          <w:rFonts w:ascii="Times New Roman" w:cs="Times New Roman" w:eastAsia="Times New Roman" w:hAnsi="Times New Roman"/>
          <w:sz w:val="13"/>
          <w:szCs w:val="13"/>
          <w:u w:val="single" w:color="auto"/>
          <w:color w:val="auto"/>
        </w:rPr>
        <w:t>Index Performance</w:t>
      </w:r>
      <w:r>
        <w:rPr>
          <w:rFonts w:ascii="Times New Roman" w:cs="Times New Roman" w:eastAsia="Times New Roman" w:hAnsi="Times New Roman"/>
          <w:sz w:val="13"/>
          <w:szCs w:val="13"/>
          <w:color w:val="auto"/>
        </w:rPr>
        <w:t xml:space="preserve"> of up to 85% of your </w:t>
      </w:r>
      <w:r>
        <w:rPr>
          <w:rFonts w:ascii="Times New Roman" w:cs="Times New Roman" w:eastAsia="Times New Roman" w:hAnsi="Times New Roman"/>
          <w:sz w:val="13"/>
          <w:szCs w:val="13"/>
          <w:u w:val="single" w:color="auto"/>
          <w:color w:val="auto"/>
        </w:rPr>
        <w:t>Investment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Amount</w:t>
      </w:r>
      <w:r>
        <w:rPr>
          <w:rFonts w:ascii="Times New Roman" w:cs="Times New Roman" w:eastAsia="Times New Roman" w:hAnsi="Times New Roman"/>
          <w:sz w:val="13"/>
          <w:szCs w:val="13"/>
          <w:color w:val="auto"/>
        </w:rPr>
        <w:t>.</w:t>
      </w:r>
    </w:p>
    <w:p>
      <w:pPr>
        <w:spacing w:after="0" w:line="208" w:lineRule="exact"/>
        <w:rPr>
          <w:sz w:val="20"/>
          <w:szCs w:val="20"/>
          <w:color w:val="auto"/>
        </w:rPr>
      </w:pPr>
    </w:p>
    <w:p>
      <w:pPr>
        <w:jc w:val="both"/>
        <w:ind w:right="3179"/>
        <w:spacing w:after="0" w:line="271" w:lineRule="auto"/>
        <w:rPr>
          <w:sz w:val="20"/>
          <w:szCs w:val="20"/>
          <w:color w:val="auto"/>
        </w:rPr>
      </w:pPr>
      <w:r>
        <w:rPr>
          <w:rFonts w:ascii="Times New Roman" w:cs="Times New Roman" w:eastAsia="Times New Roman" w:hAnsi="Times New Roman"/>
          <w:sz w:val="13"/>
          <w:szCs w:val="13"/>
          <w:b w:val="1"/>
          <w:bCs w:val="1"/>
          <w:color w:val="auto"/>
        </w:rPr>
        <w:t xml:space="preserve">Shield 25. </w:t>
      </w:r>
      <w:r>
        <w:rPr>
          <w:rFonts w:ascii="Times New Roman" w:cs="Times New Roman" w:eastAsia="Times New Roman" w:hAnsi="Times New Roman"/>
          <w:sz w:val="13"/>
          <w:szCs w:val="13"/>
          <w:color w:val="auto"/>
        </w:rPr>
        <w:t>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provides downside protection through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Shield 25</w:t>
      </w:r>
      <w:r>
        <w:rPr>
          <w:rFonts w:ascii="Times New Roman" w:cs="Times New Roman" w:eastAsia="Times New Roman" w:hAnsi="Times New Roman"/>
          <w:sz w:val="13"/>
          <w:szCs w:val="13"/>
          <w:color w:val="auto"/>
        </w:rPr>
        <w:t>, which is 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Shield Rate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where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negative </w:t>
      </w:r>
      <w:r>
        <w:rPr>
          <w:rFonts w:ascii="Times New Roman" w:cs="Times New Roman" w:eastAsia="Times New Roman" w:hAnsi="Times New Roman"/>
          <w:sz w:val="13"/>
          <w:szCs w:val="13"/>
          <w:u w:val="single" w:color="auto"/>
          <w:color w:val="auto"/>
        </w:rPr>
        <w:t>Index Performance</w:t>
      </w:r>
      <w:r>
        <w:rPr>
          <w:rFonts w:ascii="Times New Roman" w:cs="Times New Roman" w:eastAsia="Times New Roman" w:hAnsi="Times New Roman"/>
          <w:sz w:val="13"/>
          <w:szCs w:val="13"/>
          <w:color w:val="auto"/>
        </w:rPr>
        <w:t xml:space="preserve"> of up to 25% of your </w:t>
      </w:r>
      <w:r>
        <w:rPr>
          <w:rFonts w:ascii="Times New Roman" w:cs="Times New Roman" w:eastAsia="Times New Roman" w:hAnsi="Times New Roman"/>
          <w:sz w:val="13"/>
          <w:szCs w:val="13"/>
          <w:u w:val="single" w:color="auto"/>
          <w:color w:val="auto"/>
        </w:rPr>
        <w:t>Investment Amount</w:t>
      </w:r>
      <w:r>
        <w:rPr>
          <w:rFonts w:ascii="Times New Roman" w:cs="Times New Roman" w:eastAsia="Times New Roman" w:hAnsi="Times New Roman"/>
          <w:sz w:val="13"/>
          <w:szCs w:val="13"/>
          <w:color w:val="auto"/>
        </w:rPr>
        <w:t xml:space="preserve"> is absorbed by us at the </w:t>
      </w:r>
      <w:r>
        <w:rPr>
          <w:rFonts w:ascii="Times New Roman" w:cs="Times New Roman" w:eastAsia="Times New Roman" w:hAnsi="Times New Roman"/>
          <w:sz w:val="13"/>
          <w:szCs w:val="13"/>
          <w:u w:val="single" w:color="auto"/>
          <w:color w:val="auto"/>
        </w:rPr>
        <w:t>Term End Date</w:t>
      </w:r>
      <w:r>
        <w:rPr>
          <w:rFonts w:ascii="Times New Roman" w:cs="Times New Roman" w:eastAsia="Times New Roman" w:hAnsi="Times New Roman"/>
          <w:sz w:val="13"/>
          <w:szCs w:val="13"/>
          <w:color w:val="auto"/>
        </w:rPr>
        <w:t xml:space="preserve">, which would leave you to absorb any remaining negative </w:t>
      </w:r>
      <w:r>
        <w:rPr>
          <w:rFonts w:ascii="Times New Roman" w:cs="Times New Roman" w:eastAsia="Times New Roman" w:hAnsi="Times New Roman"/>
          <w:sz w:val="13"/>
          <w:szCs w:val="13"/>
          <w:u w:val="single" w:color="auto"/>
          <w:color w:val="auto"/>
        </w:rPr>
        <w:t>Index Performance</w:t>
      </w:r>
      <w:r>
        <w:rPr>
          <w:rFonts w:ascii="Times New Roman" w:cs="Times New Roman" w:eastAsia="Times New Roman" w:hAnsi="Times New Roman"/>
          <w:sz w:val="13"/>
          <w:szCs w:val="13"/>
          <w:color w:val="auto"/>
        </w:rPr>
        <w:t xml:space="preserve"> of up to 75% of your </w:t>
      </w:r>
      <w:r>
        <w:rPr>
          <w:rFonts w:ascii="Times New Roman" w:cs="Times New Roman" w:eastAsia="Times New Roman" w:hAnsi="Times New Roman"/>
          <w:sz w:val="13"/>
          <w:szCs w:val="13"/>
          <w:u w:val="single" w:color="auto"/>
          <w:color w:val="auto"/>
        </w:rPr>
        <w:t>Investment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Amount</w:t>
      </w:r>
      <w:r>
        <w:rPr>
          <w:rFonts w:ascii="Times New Roman" w:cs="Times New Roman" w:eastAsia="Times New Roman" w:hAnsi="Times New Roman"/>
          <w:sz w:val="13"/>
          <w:szCs w:val="13"/>
          <w:color w:val="auto"/>
        </w:rPr>
        <w:t>.</w:t>
      </w:r>
    </w:p>
    <w:p>
      <w:pPr>
        <w:spacing w:after="0" w:line="208" w:lineRule="exact"/>
        <w:rPr>
          <w:sz w:val="20"/>
          <w:szCs w:val="20"/>
          <w:color w:val="auto"/>
        </w:rPr>
      </w:pPr>
    </w:p>
    <w:p>
      <w:pPr>
        <w:jc w:val="both"/>
        <w:ind w:right="3199"/>
        <w:spacing w:after="0" w:line="266" w:lineRule="auto"/>
        <w:rPr>
          <w:sz w:val="20"/>
          <w:szCs w:val="20"/>
          <w:color w:val="auto"/>
        </w:rPr>
      </w:pPr>
      <w:r>
        <w:rPr>
          <w:rFonts w:ascii="Times New Roman" w:cs="Times New Roman" w:eastAsia="Times New Roman" w:hAnsi="Times New Roman"/>
          <w:sz w:val="13"/>
          <w:szCs w:val="13"/>
          <w:b w:val="1"/>
          <w:bCs w:val="1"/>
          <w:color w:val="auto"/>
        </w:rPr>
        <w:t xml:space="preserve">Shield Rate. </w:t>
      </w:r>
      <w:r>
        <w:rPr>
          <w:rFonts w:ascii="Times New Roman" w:cs="Times New Roman" w:eastAsia="Times New Roman" w:hAnsi="Times New Roman"/>
          <w:sz w:val="13"/>
          <w:szCs w:val="13"/>
          <w:color w:val="auto"/>
        </w:rPr>
        <w:t>A limited buffer where we absorb part of any negative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Index Performance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at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Term End Date</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Any negative </w:t>
      </w:r>
      <w:r>
        <w:rPr>
          <w:rFonts w:ascii="Times New Roman" w:cs="Times New Roman" w:eastAsia="Times New Roman" w:hAnsi="Times New Roman"/>
          <w:sz w:val="13"/>
          <w:szCs w:val="13"/>
          <w:u w:val="single" w:color="auto"/>
          <w:color w:val="auto"/>
        </w:rPr>
        <w:t>Index Performance</w:t>
      </w:r>
      <w:r>
        <w:rPr>
          <w:rFonts w:ascii="Times New Roman" w:cs="Times New Roman" w:eastAsia="Times New Roman" w:hAnsi="Times New Roman"/>
          <w:sz w:val="13"/>
          <w:szCs w:val="13"/>
          <w:color w:val="auto"/>
        </w:rPr>
        <w:t xml:space="preserve"> beyond the </w:t>
      </w:r>
      <w:r>
        <w:rPr>
          <w:rFonts w:ascii="Times New Roman" w:cs="Times New Roman" w:eastAsia="Times New Roman" w:hAnsi="Times New Roman"/>
          <w:sz w:val="13"/>
          <w:szCs w:val="13"/>
          <w:u w:val="single" w:color="auto"/>
          <w:color w:val="auto"/>
        </w:rPr>
        <w:t>Shield Rate</w:t>
      </w:r>
      <w:r>
        <w:rPr>
          <w:rFonts w:ascii="Times New Roman" w:cs="Times New Roman" w:eastAsia="Times New Roman" w:hAnsi="Times New Roman"/>
          <w:sz w:val="13"/>
          <w:szCs w:val="13"/>
          <w:color w:val="auto"/>
        </w:rPr>
        <w:t xml:space="preserve"> will reduce the </w:t>
      </w:r>
      <w:r>
        <w:rPr>
          <w:rFonts w:ascii="Times New Roman" w:cs="Times New Roman" w:eastAsia="Times New Roman" w:hAnsi="Times New Roman"/>
          <w:sz w:val="13"/>
          <w:szCs w:val="13"/>
          <w:u w:val="single" w:color="auto"/>
          <w:color w:val="auto"/>
        </w:rPr>
        <w:t>Investment Amount</w:t>
      </w:r>
      <w:r>
        <w:rPr>
          <w:rFonts w:ascii="Times New Roman" w:cs="Times New Roman" w:eastAsia="Times New Roman" w:hAnsi="Times New Roman"/>
          <w:sz w:val="13"/>
          <w:szCs w:val="13"/>
          <w:color w:val="auto"/>
        </w:rPr>
        <w:t xml:space="preserve"> associated with the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The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u w:val="single" w:color="auto"/>
          <w:color w:val="auto"/>
        </w:rPr>
        <w:t>Shield Rate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may vary between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u w:val="single" w:color="auto"/>
          <w:color w:val="auto"/>
        </w:rPr>
        <w:t>Shield Options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and, unless you have 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u w:val="single" w:color="auto"/>
          <w:color w:val="auto"/>
        </w:rPr>
        <w:t>Shield Option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with</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 xml:space="preserve">a 1-year </w:t>
      </w:r>
      <w:r>
        <w:rPr>
          <w:rFonts w:ascii="Times New Roman" w:cs="Times New Roman" w:eastAsia="Times New Roman" w:hAnsi="Times New Roman"/>
          <w:sz w:val="13"/>
          <w:szCs w:val="13"/>
          <w:b w:val="1"/>
          <w:bCs w:val="1"/>
          <w:u w:val="single" w:color="auto"/>
          <w:color w:val="auto"/>
        </w:rPr>
        <w:t>Term</w:t>
      </w:r>
      <w:r>
        <w:rPr>
          <w:rFonts w:ascii="Times New Roman" w:cs="Times New Roman" w:eastAsia="Times New Roman" w:hAnsi="Times New Roman"/>
          <w:sz w:val="13"/>
          <w:szCs w:val="13"/>
          <w:b w:val="1"/>
          <w:bCs w:val="1"/>
          <w:color w:val="auto"/>
        </w:rPr>
        <w:t>, is not an annual rate</w:t>
      </w:r>
      <w:r>
        <w:rPr>
          <w:rFonts w:ascii="Times New Roman" w:cs="Times New Roman" w:eastAsia="Times New Roman" w:hAnsi="Times New Roman"/>
          <w:sz w:val="13"/>
          <w:szCs w:val="13"/>
          <w:color w:val="auto"/>
        </w:rPr>
        <w:t>. We currently offer the following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Shield Rates</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Shield 10</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Shield 15</w:t>
      </w:r>
      <w:r>
        <w:rPr>
          <w:rFonts w:ascii="Times New Roman" w:cs="Times New Roman" w:eastAsia="Times New Roman" w:hAnsi="Times New Roman"/>
          <w:sz w:val="13"/>
          <w:szCs w:val="13"/>
          <w:color w:val="auto"/>
        </w:rPr>
        <w:t>,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Shield 25</w:t>
      </w:r>
      <w:r>
        <w:rPr>
          <w:rFonts w:ascii="Times New Roman" w:cs="Times New Roman" w:eastAsia="Times New Roman" w:hAnsi="Times New Roman"/>
          <w:sz w:val="13"/>
          <w:szCs w:val="13"/>
          <w:color w:val="auto"/>
        </w:rPr>
        <w:t>.</w:t>
      </w:r>
    </w:p>
    <w:p>
      <w:pPr>
        <w:spacing w:after="0" w:line="210" w:lineRule="exact"/>
        <w:rPr>
          <w:sz w:val="20"/>
          <w:szCs w:val="20"/>
          <w:color w:val="auto"/>
        </w:rPr>
      </w:pPr>
    </w:p>
    <w:p>
      <w:pPr>
        <w:jc w:val="both"/>
        <w:ind w:right="3179"/>
        <w:spacing w:after="0" w:line="274" w:lineRule="auto"/>
        <w:rPr>
          <w:sz w:val="20"/>
          <w:szCs w:val="20"/>
          <w:color w:val="auto"/>
        </w:rPr>
      </w:pPr>
      <w:r>
        <w:rPr>
          <w:rFonts w:ascii="Times New Roman" w:cs="Times New Roman" w:eastAsia="Times New Roman" w:hAnsi="Times New Roman"/>
          <w:sz w:val="13"/>
          <w:szCs w:val="13"/>
          <w:b w:val="1"/>
          <w:bCs w:val="1"/>
          <w:color w:val="auto"/>
        </w:rPr>
        <w:t xml:space="preserve">Shield Option. </w:t>
      </w:r>
      <w:r>
        <w:rPr>
          <w:rFonts w:ascii="Times New Roman" w:cs="Times New Roman" w:eastAsia="Times New Roman" w:hAnsi="Times New Roman"/>
          <w:sz w:val="13"/>
          <w:szCs w:val="13"/>
          <w:color w:val="auto"/>
        </w:rPr>
        <w:t>You may allocate your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Purchase Payment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or transfer your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Investment Amount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to one or more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the available </w:t>
      </w:r>
      <w:r>
        <w:rPr>
          <w:rFonts w:ascii="Times New Roman" w:cs="Times New Roman" w:eastAsia="Times New Roman" w:hAnsi="Times New Roman"/>
          <w:sz w:val="13"/>
          <w:szCs w:val="13"/>
          <w:u w:val="single" w:color="auto"/>
          <w:color w:val="auto"/>
        </w:rPr>
        <w:t>Shield Options</w:t>
      </w:r>
      <w:r>
        <w:rPr>
          <w:rFonts w:ascii="Times New Roman" w:cs="Times New Roman" w:eastAsia="Times New Roman" w:hAnsi="Times New Roman"/>
          <w:sz w:val="13"/>
          <w:szCs w:val="13"/>
          <w:color w:val="auto"/>
        </w:rPr>
        <w:t xml:space="preserve">. Each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offered through this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has an associated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Index</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Shield Rate</w:t>
      </w:r>
      <w:r>
        <w:rPr>
          <w:rFonts w:ascii="Times New Roman" w:cs="Times New Roman" w:eastAsia="Times New Roman" w:hAnsi="Times New Roman"/>
          <w:sz w:val="13"/>
          <w:szCs w:val="13"/>
          <w:color w:val="auto"/>
        </w:rPr>
        <w:t xml:space="preserve"> and a </w:t>
      </w:r>
      <w:r>
        <w:rPr>
          <w:rFonts w:ascii="Times New Roman" w:cs="Times New Roman" w:eastAsia="Times New Roman" w:hAnsi="Times New Roman"/>
          <w:sz w:val="13"/>
          <w:szCs w:val="13"/>
          <w:u w:val="single" w:color="auto"/>
          <w:color w:val="auto"/>
        </w:rPr>
        <w:t>Rate Crediting Type</w:t>
      </w:r>
      <w:r>
        <w:rPr>
          <w:rFonts w:ascii="Times New Roman" w:cs="Times New Roman" w:eastAsia="Times New Roman" w:hAnsi="Times New Roman"/>
          <w:sz w:val="13"/>
          <w:szCs w:val="13"/>
          <w:color w:val="auto"/>
        </w:rPr>
        <w:t>.</w:t>
      </w:r>
    </w:p>
    <w:p>
      <w:pPr>
        <w:spacing w:after="0" w:line="4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3"/>
          <w:szCs w:val="13"/>
          <w:b w:val="1"/>
          <w:bCs w:val="1"/>
          <w:color w:val="auto"/>
        </w:rPr>
        <w:t>Step Rate.</w:t>
      </w:r>
      <w:r>
        <w:rPr>
          <w:sz w:val="20"/>
          <w:szCs w:val="20"/>
          <w:color w:val="auto"/>
        </w:rPr>
        <w:tab/>
      </w:r>
      <w:r>
        <w:rPr>
          <w:rFonts w:ascii="Times New Roman" w:cs="Times New Roman" w:eastAsia="Times New Roman" w:hAnsi="Times New Roman"/>
          <w:sz w:val="13"/>
          <w:szCs w:val="13"/>
          <w:color w:val="auto"/>
        </w:rPr>
        <w:t xml:space="preserve">The rate credited at the </w:t>
      </w:r>
      <w:r>
        <w:rPr>
          <w:rFonts w:ascii="Times New Roman" w:cs="Times New Roman" w:eastAsia="Times New Roman" w:hAnsi="Times New Roman"/>
          <w:sz w:val="13"/>
          <w:szCs w:val="13"/>
          <w:u w:val="single" w:color="auto"/>
          <w:color w:val="auto"/>
        </w:rPr>
        <w:t>Term End Date</w:t>
      </w:r>
      <w:r>
        <w:rPr>
          <w:rFonts w:ascii="Times New Roman" w:cs="Times New Roman" w:eastAsia="Times New Roman" w:hAnsi="Times New Roman"/>
          <w:sz w:val="13"/>
          <w:szCs w:val="13"/>
          <w:color w:val="auto"/>
        </w:rPr>
        <w:t xml:space="preserve"> if the </w:t>
      </w:r>
      <w:r>
        <w:rPr>
          <w:rFonts w:ascii="Times New Roman" w:cs="Times New Roman" w:eastAsia="Times New Roman" w:hAnsi="Times New Roman"/>
          <w:sz w:val="13"/>
          <w:szCs w:val="13"/>
          <w:u w:val="single" w:color="auto"/>
          <w:color w:val="auto"/>
        </w:rPr>
        <w:t>Index Performance</w:t>
      </w:r>
      <w:r>
        <w:rPr>
          <w:rFonts w:ascii="Times New Roman" w:cs="Times New Roman" w:eastAsia="Times New Roman" w:hAnsi="Times New Roman"/>
          <w:sz w:val="13"/>
          <w:szCs w:val="13"/>
          <w:color w:val="auto"/>
        </w:rPr>
        <w:t xml:space="preserve"> is equal to or greater than zero. </w:t>
      </w:r>
      <w:r>
        <w:rPr>
          <w:rFonts w:ascii="Times New Roman" w:cs="Times New Roman" w:eastAsia="Times New Roman" w:hAnsi="Times New Roman"/>
          <w:sz w:val="13"/>
          <w:szCs w:val="13"/>
          <w:b w:val="1"/>
          <w:bCs w:val="1"/>
          <w:color w:val="auto"/>
        </w:rPr>
        <w:t>The</w:t>
      </w:r>
    </w:p>
    <w:p>
      <w:pPr>
        <w:spacing w:after="0" w:line="24" w:lineRule="exact"/>
        <w:rPr>
          <w:sz w:val="20"/>
          <w:szCs w:val="20"/>
          <w:color w:val="auto"/>
        </w:rPr>
      </w:pPr>
    </w:p>
    <w:p>
      <w:pPr>
        <w:jc w:val="both"/>
        <w:ind w:right="3199"/>
        <w:spacing w:after="0" w:line="269" w:lineRule="auto"/>
        <w:rPr>
          <w:sz w:val="20"/>
          <w:szCs w:val="20"/>
          <w:color w:val="auto"/>
        </w:rPr>
      </w:pPr>
      <w:r>
        <w:rPr>
          <w:rFonts w:ascii="Times New Roman" w:cs="Times New Roman" w:eastAsia="Times New Roman" w:hAnsi="Times New Roman"/>
          <w:sz w:val="13"/>
          <w:szCs w:val="13"/>
          <w:b w:val="1"/>
          <w:bCs w:val="1"/>
          <w:u w:val="single" w:color="auto"/>
          <w:color w:val="auto"/>
        </w:rPr>
        <w:t>Step Rate</w:t>
      </w:r>
      <w:r>
        <w:rPr>
          <w:rFonts w:ascii="Times New Roman" w:cs="Times New Roman" w:eastAsia="Times New Roman" w:hAnsi="Times New Roman"/>
          <w:sz w:val="13"/>
          <w:szCs w:val="13"/>
          <w:b w:val="1"/>
          <w:bCs w:val="1"/>
          <w:color w:val="auto"/>
        </w:rPr>
        <w:t xml:space="preserve"> may vary between </w:t>
      </w:r>
      <w:r>
        <w:rPr>
          <w:rFonts w:ascii="Times New Roman" w:cs="Times New Roman" w:eastAsia="Times New Roman" w:hAnsi="Times New Roman"/>
          <w:sz w:val="13"/>
          <w:szCs w:val="13"/>
          <w:b w:val="1"/>
          <w:bCs w:val="1"/>
          <w:u w:val="single" w:color="auto"/>
          <w:color w:val="auto"/>
        </w:rPr>
        <w:t>Shield Options</w:t>
      </w:r>
      <w:r>
        <w:rPr>
          <w:rFonts w:ascii="Times New Roman" w:cs="Times New Roman" w:eastAsia="Times New Roman" w:hAnsi="Times New Roman"/>
          <w:sz w:val="13"/>
          <w:szCs w:val="13"/>
          <w:b w:val="1"/>
          <w:bCs w:val="1"/>
          <w:color w:val="auto"/>
        </w:rPr>
        <w:t xml:space="preserve"> and, unless you have a </w:t>
      </w:r>
      <w:r>
        <w:rPr>
          <w:rFonts w:ascii="Times New Roman" w:cs="Times New Roman" w:eastAsia="Times New Roman" w:hAnsi="Times New Roman"/>
          <w:sz w:val="13"/>
          <w:szCs w:val="13"/>
          <w:b w:val="1"/>
          <w:bCs w:val="1"/>
          <w:u w:val="single" w:color="auto"/>
          <w:color w:val="auto"/>
        </w:rPr>
        <w:t>Shield Option</w:t>
      </w:r>
      <w:r>
        <w:rPr>
          <w:rFonts w:ascii="Times New Roman" w:cs="Times New Roman" w:eastAsia="Times New Roman" w:hAnsi="Times New Roman"/>
          <w:sz w:val="13"/>
          <w:szCs w:val="13"/>
          <w:b w:val="1"/>
          <w:bCs w:val="1"/>
          <w:color w:val="auto"/>
        </w:rPr>
        <w:t xml:space="preserve"> with a 1-year </w:t>
      </w:r>
      <w:r>
        <w:rPr>
          <w:rFonts w:ascii="Times New Roman" w:cs="Times New Roman" w:eastAsia="Times New Roman" w:hAnsi="Times New Roman"/>
          <w:sz w:val="13"/>
          <w:szCs w:val="13"/>
          <w:b w:val="1"/>
          <w:bCs w:val="1"/>
          <w:u w:val="single" w:color="auto"/>
          <w:color w:val="auto"/>
        </w:rPr>
        <w:t>Term</w:t>
      </w:r>
      <w:r>
        <w:rPr>
          <w:rFonts w:ascii="Times New Roman" w:cs="Times New Roman" w:eastAsia="Times New Roman" w:hAnsi="Times New Roman"/>
          <w:sz w:val="13"/>
          <w:szCs w:val="13"/>
          <w:b w:val="1"/>
          <w:bCs w:val="1"/>
          <w:color w:val="auto"/>
        </w:rPr>
        <w:t>, is not an annual rate.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Surrender.</w:t>
      </w:r>
      <w:r>
        <w:rPr>
          <w:rFonts w:ascii="Times New Roman" w:cs="Times New Roman" w:eastAsia="Times New Roman" w:hAnsi="Times New Roman"/>
          <w:sz w:val="13"/>
          <w:szCs w:val="13"/>
          <w:color w:val="auto"/>
        </w:rPr>
        <w:t xml:space="preserve">   A full withdrawal of your Account Value.</w:t>
      </w:r>
    </w:p>
    <w:p>
      <w:pPr>
        <w:spacing w:after="0" w:line="89" w:lineRule="exact"/>
        <w:rPr>
          <w:sz w:val="20"/>
          <w:szCs w:val="20"/>
          <w:color w:val="auto"/>
        </w:rPr>
      </w:pPr>
    </w:p>
    <w:p>
      <w:pPr>
        <w:jc w:val="both"/>
        <w:ind w:right="3199"/>
        <w:spacing w:after="0" w:line="309" w:lineRule="auto"/>
        <w:rPr>
          <w:sz w:val="20"/>
          <w:szCs w:val="20"/>
          <w:color w:val="auto"/>
        </w:rPr>
      </w:pPr>
      <w:r>
        <w:rPr>
          <w:rFonts w:ascii="Times New Roman" w:cs="Times New Roman" w:eastAsia="Times New Roman" w:hAnsi="Times New Roman"/>
          <w:sz w:val="13"/>
          <w:szCs w:val="13"/>
          <w:b w:val="1"/>
          <w:bCs w:val="1"/>
          <w:color w:val="auto"/>
        </w:rPr>
        <w:t xml:space="preserve">Term. </w:t>
      </w:r>
      <w:r>
        <w:rPr>
          <w:rFonts w:ascii="Times New Roman" w:cs="Times New Roman" w:eastAsia="Times New Roman" w:hAnsi="Times New Roman"/>
          <w:sz w:val="13"/>
          <w:szCs w:val="13"/>
          <w:color w:val="auto"/>
        </w:rPr>
        <w:t>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is the number of years that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is in effect. We currently offer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Terms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 1 year, 2</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years, 3 years or 6 years. The initial </w:t>
      </w:r>
      <w:r>
        <w:rPr>
          <w:rFonts w:ascii="Times New Roman" w:cs="Times New Roman" w:eastAsia="Times New Roman" w:hAnsi="Times New Roman"/>
          <w:sz w:val="13"/>
          <w:szCs w:val="13"/>
          <w:u w:val="single" w:color="auto"/>
          <w:color w:val="auto"/>
        </w:rPr>
        <w:t>Term(s)</w:t>
      </w:r>
      <w:r>
        <w:rPr>
          <w:rFonts w:ascii="Times New Roman" w:cs="Times New Roman" w:eastAsia="Times New Roman" w:hAnsi="Times New Roman"/>
          <w:sz w:val="13"/>
          <w:szCs w:val="13"/>
          <w:color w:val="auto"/>
        </w:rPr>
        <w:t xml:space="preserve"> begin on the </w:t>
      </w:r>
      <w:r>
        <w:rPr>
          <w:rFonts w:ascii="Times New Roman" w:cs="Times New Roman" w:eastAsia="Times New Roman" w:hAnsi="Times New Roman"/>
          <w:sz w:val="13"/>
          <w:szCs w:val="13"/>
          <w:u w:val="single" w:color="auto"/>
          <w:color w:val="auto"/>
        </w:rPr>
        <w:t>Issue Date</w:t>
      </w:r>
      <w:r>
        <w:rPr>
          <w:rFonts w:ascii="Times New Roman" w:cs="Times New Roman" w:eastAsia="Times New Roman" w:hAnsi="Times New Roman"/>
          <w:sz w:val="13"/>
          <w:szCs w:val="13"/>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2315210</wp:posOffset>
            </wp:positionH>
            <wp:positionV relativeFrom="paragraph">
              <wp:posOffset>-45720</wp:posOffset>
            </wp:positionV>
            <wp:extent cx="2540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400" cy="635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Term End Date.</w:t>
      </w:r>
      <w:r>
        <w:rPr>
          <w:rFonts w:ascii="Times New Roman" w:cs="Times New Roman" w:eastAsia="Times New Roman" w:hAnsi="Times New Roman"/>
          <w:sz w:val="13"/>
          <w:szCs w:val="13"/>
          <w:color w:val="auto"/>
        </w:rPr>
        <w:t xml:space="preserve">   The Contract Anniversary on which a Shield Option ends.</w:t>
      </w:r>
    </w:p>
    <w:p>
      <w:pPr>
        <w:spacing w:after="0" w:line="89" w:lineRule="exact"/>
        <w:rPr>
          <w:sz w:val="20"/>
          <w:szCs w:val="20"/>
          <w:color w:val="auto"/>
        </w:rPr>
      </w:pPr>
    </w:p>
    <w:p>
      <w:pPr>
        <w:jc w:val="both"/>
        <w:ind w:right="3199"/>
        <w:spacing w:after="0" w:line="274" w:lineRule="auto"/>
        <w:rPr>
          <w:sz w:val="20"/>
          <w:szCs w:val="20"/>
          <w:color w:val="auto"/>
        </w:rPr>
      </w:pPr>
      <w:r>
        <w:rPr>
          <w:rFonts w:ascii="Times New Roman" w:cs="Times New Roman" w:eastAsia="Times New Roman" w:hAnsi="Times New Roman"/>
          <w:sz w:val="13"/>
          <w:szCs w:val="13"/>
          <w:b w:val="1"/>
          <w:bCs w:val="1"/>
          <w:color w:val="auto"/>
        </w:rPr>
        <w:t xml:space="preserve">Term Start Date. </w:t>
      </w:r>
      <w:r>
        <w:rPr>
          <w:rFonts w:ascii="Times New Roman" w:cs="Times New Roman" w:eastAsia="Times New Roman" w:hAnsi="Times New Roman"/>
          <w:sz w:val="13"/>
          <w:szCs w:val="13"/>
          <w:color w:val="auto"/>
        </w:rPr>
        <w:t>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Contract Anniversary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on which 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is established. The initial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Term Start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Date(s)</w:t>
      </w:r>
      <w:r>
        <w:rPr>
          <w:rFonts w:ascii="Times New Roman" w:cs="Times New Roman" w:eastAsia="Times New Roman" w:hAnsi="Times New Roman"/>
          <w:sz w:val="13"/>
          <w:szCs w:val="13"/>
          <w:color w:val="auto"/>
        </w:rPr>
        <w:t xml:space="preserve"> begins on the </w:t>
      </w:r>
      <w:r>
        <w:rPr>
          <w:rFonts w:ascii="Times New Roman" w:cs="Times New Roman" w:eastAsia="Times New Roman" w:hAnsi="Times New Roman"/>
          <w:sz w:val="13"/>
          <w:szCs w:val="13"/>
          <w:u w:val="single" w:color="auto"/>
          <w:color w:val="auto"/>
        </w:rPr>
        <w:t>Issue Date</w:t>
      </w:r>
      <w:r>
        <w:rPr>
          <w:rFonts w:ascii="Times New Roman" w:cs="Times New Roman" w:eastAsia="Times New Roman" w:hAnsi="Times New Roman"/>
          <w:sz w:val="13"/>
          <w:szCs w:val="13"/>
          <w:color w:val="auto"/>
        </w:rPr>
        <w:t xml:space="preserve">, and thereafter, will be the </w:t>
      </w:r>
      <w:r>
        <w:rPr>
          <w:rFonts w:ascii="Times New Roman" w:cs="Times New Roman" w:eastAsia="Times New Roman" w:hAnsi="Times New Roman"/>
          <w:sz w:val="13"/>
          <w:szCs w:val="13"/>
          <w:u w:val="single" w:color="auto"/>
          <w:color w:val="auto"/>
        </w:rPr>
        <w:t>Contract Anniversary</w:t>
      </w:r>
      <w:r>
        <w:rPr>
          <w:rFonts w:ascii="Times New Roman" w:cs="Times New Roman" w:eastAsia="Times New Roman" w:hAnsi="Times New Roman"/>
          <w:sz w:val="13"/>
          <w:szCs w:val="13"/>
          <w:color w:val="auto"/>
        </w:rPr>
        <w:t xml:space="preserve"> coinciding with the duration of the current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color w:val="auto"/>
        </w:rPr>
        <w:t xml:space="preserve"> you have selected.</w:t>
      </w:r>
    </w:p>
    <w:p>
      <w:pPr>
        <w:spacing w:after="0" w:line="44" w:lineRule="exact"/>
        <w:rPr>
          <w:sz w:val="20"/>
          <w:szCs w:val="20"/>
          <w:color w:val="auto"/>
        </w:rPr>
      </w:pPr>
    </w:p>
    <w:p>
      <w:pPr>
        <w:jc w:val="both"/>
        <w:ind w:right="3199"/>
        <w:spacing w:after="0" w:line="274" w:lineRule="auto"/>
        <w:rPr>
          <w:sz w:val="20"/>
          <w:szCs w:val="20"/>
          <w:color w:val="auto"/>
        </w:rPr>
      </w:pPr>
      <w:r>
        <w:rPr>
          <w:rFonts w:ascii="Times New Roman" w:cs="Times New Roman" w:eastAsia="Times New Roman" w:hAnsi="Times New Roman"/>
          <w:sz w:val="13"/>
          <w:szCs w:val="13"/>
          <w:b w:val="1"/>
          <w:bCs w:val="1"/>
          <w:color w:val="auto"/>
        </w:rPr>
        <w:t>Transfer Period.</w:t>
      </w:r>
      <w:r>
        <w:rPr>
          <w:rFonts w:ascii="Times New Roman" w:cs="Times New Roman" w:eastAsia="Times New Roman" w:hAnsi="Times New Roman"/>
          <w:sz w:val="13"/>
          <w:szCs w:val="13"/>
          <w:color w:val="auto"/>
        </w:rPr>
        <w:t xml:space="preserve">  The five (5) calendar days following the Contract Anniversary coinciding with the Term End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Date for each applicable Shield Option and/or the Fixed Account Term End Date for the Fixed Account, during the Accumulation Period.</w:t>
      </w:r>
    </w:p>
    <w:p>
      <w:pPr>
        <w:spacing w:after="0" w:line="44" w:lineRule="exact"/>
        <w:rPr>
          <w:sz w:val="20"/>
          <w:szCs w:val="20"/>
          <w:color w:val="auto"/>
        </w:rPr>
      </w:pPr>
    </w:p>
    <w:p>
      <w:pPr>
        <w:jc w:val="both"/>
        <w:ind w:right="3199"/>
        <w:spacing w:after="0" w:line="293" w:lineRule="auto"/>
        <w:rPr>
          <w:sz w:val="20"/>
          <w:szCs w:val="20"/>
          <w:color w:val="auto"/>
        </w:rPr>
      </w:pPr>
      <w:r>
        <w:rPr>
          <w:rFonts w:ascii="Times New Roman" w:cs="Times New Roman" w:eastAsia="Times New Roman" w:hAnsi="Times New Roman"/>
          <w:sz w:val="13"/>
          <w:szCs w:val="13"/>
          <w:b w:val="1"/>
          <w:bCs w:val="1"/>
          <w:color w:val="auto"/>
        </w:rPr>
        <w:t xml:space="preserve">Withdrawal Charge. </w:t>
      </w:r>
      <w:r>
        <w:rPr>
          <w:rFonts w:ascii="Times New Roman" w:cs="Times New Roman" w:eastAsia="Times New Roman" w:hAnsi="Times New Roman"/>
          <w:sz w:val="13"/>
          <w:szCs w:val="13"/>
          <w:color w:val="auto"/>
        </w:rPr>
        <w:t>A charge applied to the percentage of the amount withdrawn from your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Account Value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a </w:t>
      </w:r>
      <w:r>
        <w:rPr>
          <w:rFonts w:ascii="Times New Roman" w:cs="Times New Roman" w:eastAsia="Times New Roman" w:hAnsi="Times New Roman"/>
          <w:sz w:val="13"/>
          <w:szCs w:val="13"/>
          <w:u w:val="single" w:color="auto"/>
          <w:color w:val="auto"/>
        </w:rPr>
        <w:t>Contract Year</w:t>
      </w:r>
      <w:r>
        <w:rPr>
          <w:rFonts w:ascii="Times New Roman" w:cs="Times New Roman" w:eastAsia="Times New Roman" w:hAnsi="Times New Roman"/>
          <w:sz w:val="13"/>
          <w:szCs w:val="13"/>
          <w:color w:val="auto"/>
        </w:rPr>
        <w:t xml:space="preserve"> in excess of the </w:t>
      </w:r>
      <w:r>
        <w:rPr>
          <w:rFonts w:ascii="Times New Roman" w:cs="Times New Roman" w:eastAsia="Times New Roman" w:hAnsi="Times New Roman"/>
          <w:sz w:val="13"/>
          <w:szCs w:val="13"/>
          <w:u w:val="single" w:color="auto"/>
          <w:color w:val="auto"/>
        </w:rPr>
        <w:t>Free Withdrawal Amount</w:t>
      </w:r>
      <w:r>
        <w:rPr>
          <w:rFonts w:ascii="Times New Roman" w:cs="Times New Roman" w:eastAsia="Times New Roman" w:hAnsi="Times New Roman"/>
          <w:sz w:val="13"/>
          <w:szCs w:val="13"/>
          <w:color w:val="auto"/>
        </w:rPr>
        <w:t>.</w:t>
      </w:r>
    </w:p>
    <w:p>
      <w:pPr>
        <w:spacing w:after="0" w:line="17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259"/>
          </w:cols>
          <w:pgMar w:left="1200" w:top="1047" w:right="1440" w:bottom="1440" w:gutter="0" w:footer="0" w:header="0"/>
        </w:sectPr>
      </w:pPr>
    </w:p>
    <w:bookmarkStart w:id="10" w:name="page11"/>
    <w:bookmarkEnd w:id="10"/>
    <w:p>
      <w:pPr>
        <w:ind w:left="200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3915" cy="38100"/>
                    </a:xfrm>
                    <a:prstGeom prst="rect">
                      <a:avLst/>
                    </a:prstGeom>
                    <a:noFill/>
                  </pic:spPr>
                </pic:pic>
              </a:graphicData>
            </a:graphic>
          </wp:anchor>
        </w:drawing>
        <w:t>OVERVIEW OF THE CONTRACT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About the Contract</w:t>
      </w:r>
    </w:p>
    <w:p>
      <w:pPr>
        <w:spacing w:after="0" w:line="88" w:lineRule="exact"/>
        <w:rPr>
          <w:sz w:val="20"/>
          <w:szCs w:val="20"/>
          <w:color w:val="auto"/>
        </w:rPr>
      </w:pPr>
    </w:p>
    <w:p>
      <w:pPr>
        <w:jc w:val="both"/>
        <w:ind w:right="3199" w:firstLine="265"/>
        <w:spacing w:after="0" w:line="238" w:lineRule="auto"/>
        <w:rPr>
          <w:sz w:val="20"/>
          <w:szCs w:val="20"/>
          <w:color w:val="auto"/>
        </w:rPr>
      </w:pPr>
      <w:r>
        <w:rPr>
          <w:rFonts w:ascii="Times New Roman" w:cs="Times New Roman" w:eastAsia="Times New Roman" w:hAnsi="Times New Roman"/>
          <w:sz w:val="13"/>
          <w:szCs w:val="13"/>
          <w:color w:val="auto"/>
        </w:rPr>
        <w:t>The Brighthouse Shield</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Level II 6-Year Annuity is an individual single premium deferred index-linked annuity contract (the “Contract”) issued by BLNY, that provides for the potential accumulation of retirement</w:t>
      </w:r>
    </w:p>
    <w:tbl>
      <w:tblPr>
        <w:tblLayout w:type="fixed"/>
        <w:tblInd w:w="0" w:type="dxa"/>
        <w:tblCellMar>
          <w:top w:w="0" w:type="dxa"/>
          <w:left w:w="0" w:type="dxa"/>
          <w:bottom w:w="0" w:type="dxa"/>
          <w:right w:w="0" w:type="dxa"/>
        </w:tblCellMar>
      </w:tblPr>
      <w:tr>
        <w:trPr>
          <w:trHeight w:val="129"/>
        </w:trPr>
        <w:tc>
          <w:tcPr>
            <w:tcW w:w="3380" w:type="dxa"/>
            <w:vAlign w:val="bottom"/>
            <w:gridSpan w:val="7"/>
          </w:tcPr>
          <w:p>
            <w:pPr>
              <w:spacing w:after="0" w:line="129" w:lineRule="exact"/>
              <w:rPr>
                <w:sz w:val="20"/>
                <w:szCs w:val="20"/>
                <w:color w:val="auto"/>
              </w:rPr>
            </w:pPr>
            <w:r>
              <w:rPr>
                <w:rFonts w:ascii="Times New Roman" w:cs="Times New Roman" w:eastAsia="Times New Roman" w:hAnsi="Times New Roman"/>
                <w:sz w:val="13"/>
                <w:szCs w:val="13"/>
                <w:color w:val="auto"/>
              </w:rPr>
              <w:t>savings on a tax-deferred basis through investment in the</w:t>
            </w:r>
          </w:p>
        </w:tc>
        <w:tc>
          <w:tcPr>
            <w:tcW w:w="58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Contract’s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40" w:type="dxa"/>
            <w:vAlign w:val="bottom"/>
            <w:gridSpan w:val="6"/>
          </w:tcPr>
          <w:p>
            <w:pPr>
              <w:jc w:val="right"/>
              <w:spacing w:after="0" w:line="129" w:lineRule="exact"/>
              <w:rPr>
                <w:sz w:val="20"/>
                <w:szCs w:val="20"/>
                <w:color w:val="auto"/>
              </w:rPr>
            </w:pPr>
            <w:r>
              <w:rPr>
                <w:rFonts w:ascii="Times New Roman" w:cs="Times New Roman" w:eastAsia="Times New Roman" w:hAnsi="Times New Roman"/>
                <w:sz w:val="13"/>
                <w:szCs w:val="13"/>
                <w:color w:val="auto"/>
              </w:rPr>
              <w:t>Allocation Options, which include</w:t>
            </w: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39"/>
        </w:trPr>
        <w:tc>
          <w:tcPr>
            <w:tcW w:w="30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rPr>
              <w:t>the</w:t>
            </w:r>
          </w:p>
        </w:tc>
        <w:tc>
          <w:tcPr>
            <w:tcW w:w="1740" w:type="dxa"/>
            <w:vAlign w:val="bottom"/>
            <w:gridSpan w:val="3"/>
          </w:tcPr>
          <w:p>
            <w:pPr>
              <w:ind w:left="160"/>
              <w:spacing w:after="0" w:line="139" w:lineRule="exact"/>
              <w:rPr>
                <w:sz w:val="20"/>
                <w:szCs w:val="20"/>
                <w:color w:val="auto"/>
              </w:rPr>
            </w:pPr>
            <w:r>
              <w:rPr>
                <w:rFonts w:ascii="Times New Roman" w:cs="Times New Roman" w:eastAsia="Times New Roman" w:hAnsi="Times New Roman"/>
                <w:sz w:val="13"/>
                <w:szCs w:val="13"/>
                <w:color w:val="auto"/>
              </w:rPr>
              <w:t>Shield Options and the</w:t>
            </w:r>
          </w:p>
        </w:tc>
        <w:tc>
          <w:tcPr>
            <w:tcW w:w="1920" w:type="dxa"/>
            <w:vAlign w:val="bottom"/>
            <w:gridSpan w:val="4"/>
          </w:tcPr>
          <w:p>
            <w:pPr>
              <w:spacing w:after="0" w:line="139" w:lineRule="exact"/>
              <w:rPr>
                <w:sz w:val="20"/>
                <w:szCs w:val="20"/>
                <w:color w:val="auto"/>
              </w:rPr>
            </w:pPr>
            <w:r>
              <w:rPr>
                <w:rFonts w:ascii="Times New Roman" w:cs="Times New Roman" w:eastAsia="Times New Roman" w:hAnsi="Times New Roman"/>
                <w:sz w:val="13"/>
                <w:szCs w:val="13"/>
                <w:color w:val="auto"/>
              </w:rPr>
              <w:t>Fixed Account (if available). The</w:t>
            </w:r>
          </w:p>
        </w:tc>
        <w:tc>
          <w:tcPr>
            <w:tcW w:w="2100" w:type="dxa"/>
            <w:vAlign w:val="bottom"/>
            <w:gridSpan w:val="8"/>
          </w:tcPr>
          <w:p>
            <w:pPr>
              <w:jc w:val="right"/>
              <w:spacing w:after="0" w:line="139" w:lineRule="exact"/>
              <w:rPr>
                <w:sz w:val="20"/>
                <w:szCs w:val="20"/>
                <w:color w:val="auto"/>
              </w:rPr>
            </w:pPr>
            <w:r>
              <w:rPr>
                <w:rFonts w:ascii="Times New Roman" w:cs="Times New Roman" w:eastAsia="Times New Roman" w:hAnsi="Times New Roman"/>
                <w:sz w:val="13"/>
                <w:szCs w:val="13"/>
                <w:color w:val="auto"/>
              </w:rPr>
              <w:t>Contract is designed generally for an</w:t>
            </w:r>
          </w:p>
        </w:tc>
      </w:tr>
      <w:tr>
        <w:trPr>
          <w:trHeight w:val="20"/>
        </w:trPr>
        <w:tc>
          <w:tcPr>
            <w:tcW w:w="460" w:type="dxa"/>
            <w:vAlign w:val="bottom"/>
            <w:gridSpan w:val="2"/>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39"/>
        </w:trPr>
        <w:tc>
          <w:tcPr>
            <w:tcW w:w="2040" w:type="dxa"/>
            <w:vAlign w:val="bottom"/>
            <w:gridSpan w:val="4"/>
          </w:tcPr>
          <w:p>
            <w:pPr>
              <w:spacing w:after="0" w:line="139" w:lineRule="exact"/>
              <w:rPr>
                <w:sz w:val="20"/>
                <w:szCs w:val="20"/>
                <w:color w:val="auto"/>
              </w:rPr>
            </w:pPr>
            <w:r>
              <w:rPr>
                <w:rFonts w:ascii="Times New Roman" w:cs="Times New Roman" w:eastAsia="Times New Roman" w:hAnsi="Times New Roman"/>
                <w:sz w:val="13"/>
                <w:szCs w:val="13"/>
                <w:color w:val="auto"/>
              </w:rPr>
              <w:t>investor who intends to hold the</w:t>
            </w:r>
          </w:p>
        </w:tc>
        <w:tc>
          <w:tcPr>
            <w:tcW w:w="2900" w:type="dxa"/>
            <w:vAlign w:val="bottom"/>
            <w:gridSpan w:val="8"/>
          </w:tcPr>
          <w:p>
            <w:pPr>
              <w:spacing w:after="0" w:line="139" w:lineRule="exact"/>
              <w:rPr>
                <w:sz w:val="20"/>
                <w:szCs w:val="20"/>
                <w:color w:val="auto"/>
              </w:rPr>
            </w:pPr>
            <w:r>
              <w:rPr>
                <w:rFonts w:ascii="Times New Roman" w:cs="Times New Roman" w:eastAsia="Times New Roman" w:hAnsi="Times New Roman"/>
                <w:sz w:val="13"/>
                <w:szCs w:val="13"/>
                <w:color w:val="auto"/>
              </w:rPr>
              <w:t>Contract for a long period of time and then use the</w:t>
            </w:r>
          </w:p>
        </w:tc>
        <w:tc>
          <w:tcPr>
            <w:tcW w:w="1120" w:type="dxa"/>
            <w:vAlign w:val="bottom"/>
            <w:gridSpan w:val="4"/>
          </w:tcPr>
          <w:p>
            <w:pPr>
              <w:jc w:val="right"/>
              <w:spacing w:after="0" w:line="139" w:lineRule="exact"/>
              <w:rPr>
                <w:sz w:val="20"/>
                <w:szCs w:val="20"/>
                <w:color w:val="auto"/>
              </w:rPr>
            </w:pPr>
            <w:r>
              <w:rPr>
                <w:rFonts w:ascii="Times New Roman" w:cs="Times New Roman" w:eastAsia="Times New Roman" w:hAnsi="Times New Roman"/>
                <w:sz w:val="13"/>
                <w:szCs w:val="13"/>
                <w:color w:val="auto"/>
              </w:rPr>
              <w:t>Account Value for</w:t>
            </w: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7" w:lineRule="exact"/>
        <w:rPr>
          <w:sz w:val="20"/>
          <w:szCs w:val="20"/>
          <w:color w:val="auto"/>
        </w:rPr>
      </w:pPr>
    </w:p>
    <w:p>
      <w:pPr>
        <w:jc w:val="both"/>
        <w:ind w:right="3199"/>
        <w:spacing w:after="0" w:line="265" w:lineRule="auto"/>
        <w:rPr>
          <w:sz w:val="20"/>
          <w:szCs w:val="20"/>
          <w:color w:val="auto"/>
        </w:rPr>
      </w:pPr>
      <w:r>
        <w:rPr>
          <w:rFonts w:ascii="Times New Roman" w:cs="Times New Roman" w:eastAsia="Times New Roman" w:hAnsi="Times New Roman"/>
          <w:sz w:val="13"/>
          <w:szCs w:val="13"/>
          <w:color w:val="auto"/>
        </w:rPr>
        <w:t>retirement savings or other long-term investment purposes, and also includes a death benefit which can be used to transfer assets to your beneficiaries. It may not be appropriate for you if you plan to take withdrawals from a</w:t>
      </w:r>
    </w:p>
    <w:p>
      <w:pPr>
        <w:jc w:val="both"/>
        <w:ind w:right="3199" w:firstLine="265"/>
        <w:spacing w:after="0" w:line="254" w:lineRule="auto"/>
        <w:rPr>
          <w:sz w:val="20"/>
          <w:szCs w:val="20"/>
          <w:color w:val="auto"/>
        </w:rPr>
      </w:pP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prior to the </w:t>
      </w:r>
      <w:r>
        <w:rPr>
          <w:rFonts w:ascii="Times New Roman" w:cs="Times New Roman" w:eastAsia="Times New Roman" w:hAnsi="Times New Roman"/>
          <w:sz w:val="13"/>
          <w:szCs w:val="13"/>
          <w:u w:val="single" w:color="auto"/>
          <w:color w:val="auto"/>
        </w:rPr>
        <w:t>Term End Date</w:t>
      </w:r>
      <w:r>
        <w:rPr>
          <w:rFonts w:ascii="Times New Roman" w:cs="Times New Roman" w:eastAsia="Times New Roman" w:hAnsi="Times New Roman"/>
          <w:sz w:val="13"/>
          <w:szCs w:val="13"/>
          <w:color w:val="auto"/>
        </w:rPr>
        <w:t>, especially if you plan to take ongoing withdrawals such as RMDs and withdrawals taken under the systematic withdrawal program. Before you invest, be sure to ask your</w:t>
      </w:r>
    </w:p>
    <w:tbl>
      <w:tblPr>
        <w:tblLayout w:type="fixed"/>
        <w:tblInd w:w="0" w:type="dxa"/>
        <w:tblCellMar>
          <w:top w:w="0" w:type="dxa"/>
          <w:left w:w="0" w:type="dxa"/>
          <w:bottom w:w="0" w:type="dxa"/>
          <w:right w:w="0" w:type="dxa"/>
        </w:tblCellMar>
      </w:tblPr>
      <w:tr>
        <w:trPr>
          <w:trHeight w:val="130"/>
        </w:trPr>
        <w:tc>
          <w:tcPr>
            <w:tcW w:w="1880" w:type="dxa"/>
            <w:vAlign w:val="bottom"/>
            <w:gridSpan w:val="10"/>
          </w:tcPr>
          <w:p>
            <w:pPr>
              <w:spacing w:after="0" w:line="130" w:lineRule="exact"/>
              <w:rPr>
                <w:sz w:val="20"/>
                <w:szCs w:val="20"/>
                <w:color w:val="auto"/>
              </w:rPr>
            </w:pPr>
            <w:r>
              <w:rPr>
                <w:rFonts w:ascii="Times New Roman" w:cs="Times New Roman" w:eastAsia="Times New Roman" w:hAnsi="Times New Roman"/>
                <w:sz w:val="13"/>
                <w:szCs w:val="13"/>
                <w:color w:val="auto"/>
              </w:rPr>
              <w:t>financial professional about the</w:t>
            </w:r>
          </w:p>
        </w:tc>
        <w:tc>
          <w:tcPr>
            <w:tcW w:w="80" w:type="dxa"/>
            <w:vAlign w:val="bottom"/>
          </w:tcPr>
          <w:p>
            <w:pPr>
              <w:spacing w:after="0"/>
              <w:rPr>
                <w:sz w:val="11"/>
                <w:szCs w:val="11"/>
                <w:color w:val="auto"/>
              </w:rPr>
            </w:pPr>
          </w:p>
        </w:tc>
        <w:tc>
          <w:tcPr>
            <w:tcW w:w="3380" w:type="dxa"/>
            <w:vAlign w:val="bottom"/>
            <w:gridSpan w:val="14"/>
          </w:tcPr>
          <w:p>
            <w:pPr>
              <w:spacing w:after="0" w:line="130" w:lineRule="exact"/>
              <w:rPr>
                <w:sz w:val="20"/>
                <w:szCs w:val="20"/>
                <w:color w:val="auto"/>
              </w:rPr>
            </w:pPr>
            <w:r>
              <w:rPr>
                <w:rFonts w:ascii="Times New Roman" w:cs="Times New Roman" w:eastAsia="Times New Roman" w:hAnsi="Times New Roman"/>
                <w:sz w:val="13"/>
                <w:szCs w:val="13"/>
                <w:color w:val="auto"/>
              </w:rPr>
              <w:t>Contract’s features, benefits, risks and fees, and whether the</w:t>
            </w:r>
          </w:p>
        </w:tc>
        <w:tc>
          <w:tcPr>
            <w:tcW w:w="720" w:type="dxa"/>
            <w:vAlign w:val="bottom"/>
            <w:gridSpan w:val="4"/>
          </w:tcPr>
          <w:p>
            <w:pPr>
              <w:jc w:val="right"/>
              <w:spacing w:after="0" w:line="130" w:lineRule="exact"/>
              <w:rPr>
                <w:sz w:val="20"/>
                <w:szCs w:val="20"/>
                <w:color w:val="auto"/>
              </w:rPr>
            </w:pPr>
            <w:r>
              <w:rPr>
                <w:rFonts w:ascii="Times New Roman" w:cs="Times New Roman" w:eastAsia="Times New Roman" w:hAnsi="Times New Roman"/>
                <w:sz w:val="13"/>
                <w:szCs w:val="13"/>
                <w:color w:val="auto"/>
              </w:rPr>
              <w:t>Contract is</w:t>
            </w:r>
          </w:p>
        </w:tc>
      </w:tr>
      <w:tr>
        <w:trPr>
          <w:trHeight w:val="20"/>
        </w:trPr>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3800" w:type="dxa"/>
            <w:vAlign w:val="bottom"/>
            <w:gridSpan w:val="19"/>
          </w:tcPr>
          <w:p>
            <w:pPr>
              <w:spacing w:after="0"/>
              <w:rPr>
                <w:sz w:val="20"/>
                <w:szCs w:val="20"/>
                <w:color w:val="auto"/>
              </w:rPr>
            </w:pPr>
            <w:r>
              <w:rPr>
                <w:rFonts w:ascii="Times New Roman" w:cs="Times New Roman" w:eastAsia="Times New Roman" w:hAnsi="Times New Roman"/>
                <w:sz w:val="13"/>
                <w:szCs w:val="13"/>
                <w:color w:val="auto"/>
              </w:rPr>
              <w:t>appropriate for you based on your financial situation and objectives.</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38"/>
        </w:trPr>
        <w:tc>
          <w:tcPr>
            <w:tcW w:w="260" w:type="dxa"/>
            <w:vAlign w:val="bottom"/>
          </w:tcPr>
          <w:p>
            <w:pPr>
              <w:spacing w:after="0"/>
              <w:rPr>
                <w:sz w:val="20"/>
                <w:szCs w:val="20"/>
                <w:color w:val="auto"/>
              </w:rPr>
            </w:pPr>
          </w:p>
        </w:tc>
        <w:tc>
          <w:tcPr>
            <w:tcW w:w="3540" w:type="dxa"/>
            <w:vAlign w:val="bottom"/>
            <w:gridSpan w:val="18"/>
          </w:tcPr>
          <w:p>
            <w:pPr>
              <w:spacing w:after="0"/>
              <w:rPr>
                <w:sz w:val="20"/>
                <w:szCs w:val="20"/>
                <w:color w:val="auto"/>
              </w:rPr>
            </w:pPr>
            <w:r>
              <w:rPr>
                <w:rFonts w:ascii="Times New Roman" w:cs="Times New Roman" w:eastAsia="Times New Roman" w:hAnsi="Times New Roman"/>
                <w:sz w:val="13"/>
                <w:szCs w:val="13"/>
                <w:color w:val="auto"/>
              </w:rPr>
              <w:t>This version of the Contract is only available in New York state.</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17"/>
        </w:trPr>
        <w:tc>
          <w:tcPr>
            <w:tcW w:w="1880" w:type="dxa"/>
            <w:vAlign w:val="bottom"/>
            <w:gridSpan w:val="10"/>
          </w:tcPr>
          <w:p>
            <w:pPr>
              <w:spacing w:after="0"/>
              <w:rPr>
                <w:sz w:val="20"/>
                <w:szCs w:val="20"/>
                <w:color w:val="auto"/>
              </w:rPr>
            </w:pPr>
            <w:r>
              <w:rPr>
                <w:rFonts w:ascii="Times New Roman" w:cs="Times New Roman" w:eastAsia="Times New Roman" w:hAnsi="Times New Roman"/>
                <w:sz w:val="13"/>
                <w:szCs w:val="13"/>
                <w:b w:val="1"/>
                <w:bCs w:val="1"/>
                <w:color w:val="auto"/>
              </w:rPr>
              <w:t>Phases of the Contract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8"/>
        </w:trPr>
        <w:tc>
          <w:tcPr>
            <w:tcW w:w="26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The</w:t>
            </w:r>
          </w:p>
        </w:tc>
        <w:tc>
          <w:tcPr>
            <w:tcW w:w="160" w:type="dxa"/>
            <w:vAlign w:val="bottom"/>
          </w:tcPr>
          <w:p>
            <w:pPr>
              <w:spacing w:after="0"/>
              <w:rPr>
                <w:sz w:val="18"/>
                <w:szCs w:val="18"/>
                <w:color w:val="auto"/>
              </w:rPr>
            </w:pPr>
          </w:p>
        </w:tc>
        <w:tc>
          <w:tcPr>
            <w:tcW w:w="3560" w:type="dxa"/>
            <w:vAlign w:val="bottom"/>
            <w:gridSpan w:val="18"/>
          </w:tcPr>
          <w:p>
            <w:pPr>
              <w:spacing w:after="0"/>
              <w:rPr>
                <w:sz w:val="20"/>
                <w:szCs w:val="20"/>
                <w:color w:val="auto"/>
              </w:rPr>
            </w:pPr>
            <w:r>
              <w:rPr>
                <w:rFonts w:ascii="Times New Roman" w:cs="Times New Roman" w:eastAsia="Times New Roman" w:hAnsi="Times New Roman"/>
                <w:sz w:val="13"/>
                <w:szCs w:val="13"/>
                <w:color w:val="auto"/>
              </w:rPr>
              <w:t>Contract, like all deferred annuity contracts, has two periods: the</w:t>
            </w:r>
          </w:p>
        </w:tc>
        <w:tc>
          <w:tcPr>
            <w:tcW w:w="220" w:type="dxa"/>
            <w:vAlign w:val="bottom"/>
          </w:tcPr>
          <w:p>
            <w:pPr>
              <w:spacing w:after="0"/>
              <w:rPr>
                <w:sz w:val="18"/>
                <w:szCs w:val="18"/>
                <w:color w:val="auto"/>
              </w:rPr>
            </w:pPr>
          </w:p>
        </w:tc>
        <w:tc>
          <w:tcPr>
            <w:tcW w:w="1520" w:type="dxa"/>
            <w:vAlign w:val="bottom"/>
            <w:gridSpan w:val="7"/>
          </w:tcPr>
          <w:p>
            <w:pPr>
              <w:jc w:val="right"/>
              <w:spacing w:after="0"/>
              <w:rPr>
                <w:sz w:val="20"/>
                <w:szCs w:val="20"/>
                <w:color w:val="auto"/>
              </w:rPr>
            </w:pPr>
            <w:r>
              <w:rPr>
                <w:rFonts w:ascii="Times New Roman" w:cs="Times New Roman" w:eastAsia="Times New Roman" w:hAnsi="Times New Roman"/>
                <w:sz w:val="13"/>
                <w:szCs w:val="13"/>
                <w:color w:val="auto"/>
                <w:w w:val="98"/>
              </w:rPr>
              <w:t>Accumulation Period and the</w:t>
            </w:r>
          </w:p>
        </w:tc>
      </w:tr>
      <w:tr>
        <w:trPr>
          <w:trHeight w:val="20"/>
        </w:trPr>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9"/>
        </w:trPr>
        <w:tc>
          <w:tcPr>
            <w:tcW w:w="260" w:type="dxa"/>
            <w:vAlign w:val="bottom"/>
          </w:tcPr>
          <w:p>
            <w:pPr>
              <w:spacing w:after="0"/>
              <w:rPr>
                <w:sz w:val="12"/>
                <w:szCs w:val="12"/>
                <w:color w:val="auto"/>
              </w:rPr>
            </w:pPr>
          </w:p>
        </w:tc>
        <w:tc>
          <w:tcPr>
            <w:tcW w:w="880" w:type="dxa"/>
            <w:vAlign w:val="bottom"/>
            <w:gridSpan w:val="6"/>
          </w:tcPr>
          <w:p>
            <w:pPr>
              <w:spacing w:after="0" w:line="139" w:lineRule="exact"/>
              <w:rPr>
                <w:sz w:val="20"/>
                <w:szCs w:val="20"/>
                <w:color w:val="auto"/>
              </w:rPr>
            </w:pPr>
            <w:r>
              <w:rPr>
                <w:rFonts w:ascii="Times New Roman" w:cs="Times New Roman" w:eastAsia="Times New Roman" w:hAnsi="Times New Roman"/>
                <w:sz w:val="13"/>
                <w:szCs w:val="13"/>
                <w:color w:val="auto"/>
              </w:rPr>
              <w:t>Annuity Period.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
        </w:trPr>
        <w:tc>
          <w:tcPr>
            <w:tcW w:w="26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7"/>
        </w:trPr>
        <w:tc>
          <w:tcPr>
            <w:tcW w:w="114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Accumulation Period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8"/>
        </w:trPr>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3"/>
                <w:szCs w:val="13"/>
                <w:color w:val="auto"/>
              </w:rPr>
              <w:t>During the</w:t>
            </w:r>
          </w:p>
        </w:tc>
        <w:tc>
          <w:tcPr>
            <w:tcW w:w="20" w:type="dxa"/>
            <w:vAlign w:val="bottom"/>
          </w:tcPr>
          <w:p>
            <w:pPr>
              <w:spacing w:after="0"/>
              <w:rPr>
                <w:sz w:val="18"/>
                <w:szCs w:val="18"/>
                <w:color w:val="auto"/>
              </w:rPr>
            </w:pPr>
          </w:p>
        </w:tc>
        <w:tc>
          <w:tcPr>
            <w:tcW w:w="138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Accumulation Period,</w:t>
            </w:r>
          </w:p>
        </w:tc>
        <w:tc>
          <w:tcPr>
            <w:tcW w:w="80" w:type="dxa"/>
            <w:vAlign w:val="bottom"/>
          </w:tcPr>
          <w:p>
            <w:pPr>
              <w:spacing w:after="0"/>
              <w:rPr>
                <w:sz w:val="18"/>
                <w:szCs w:val="18"/>
                <w:color w:val="auto"/>
              </w:rPr>
            </w:pPr>
          </w:p>
        </w:tc>
        <w:tc>
          <w:tcPr>
            <w:tcW w:w="3460" w:type="dxa"/>
            <w:vAlign w:val="bottom"/>
            <w:gridSpan w:val="14"/>
          </w:tcPr>
          <w:p>
            <w:pPr>
              <w:jc w:val="right"/>
              <w:spacing w:after="0"/>
              <w:rPr>
                <w:sz w:val="20"/>
                <w:szCs w:val="20"/>
                <w:color w:val="auto"/>
              </w:rPr>
            </w:pPr>
            <w:r>
              <w:rPr>
                <w:rFonts w:ascii="Times New Roman" w:cs="Times New Roman" w:eastAsia="Times New Roman" w:hAnsi="Times New Roman"/>
                <w:sz w:val="13"/>
                <w:szCs w:val="13"/>
                <w:color w:val="auto"/>
              </w:rPr>
              <w:t>Account Value accumulates on a tax-deferred basis and is taxed</w:t>
            </w:r>
          </w:p>
        </w:tc>
      </w:tr>
      <w:tr>
        <w:trPr>
          <w:trHeight w:val="20"/>
        </w:trPr>
        <w:tc>
          <w:tcPr>
            <w:tcW w:w="84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r>
      <w:tr>
        <w:trPr>
          <w:trHeight w:val="139"/>
        </w:trPr>
        <w:tc>
          <w:tcPr>
            <w:tcW w:w="3800" w:type="dxa"/>
            <w:vAlign w:val="bottom"/>
            <w:gridSpan w:val="19"/>
          </w:tcPr>
          <w:p>
            <w:pPr>
              <w:spacing w:after="0" w:line="139" w:lineRule="exact"/>
              <w:rPr>
                <w:sz w:val="20"/>
                <w:szCs w:val="20"/>
                <w:color w:val="auto"/>
              </w:rPr>
            </w:pPr>
            <w:r>
              <w:rPr>
                <w:rFonts w:ascii="Times New Roman" w:cs="Times New Roman" w:eastAsia="Times New Roman" w:hAnsi="Times New Roman"/>
                <w:sz w:val="13"/>
                <w:szCs w:val="13"/>
                <w:color w:val="auto"/>
              </w:rPr>
              <w:t>as income when you make a withdrawal. If you make a withdrawal or</w:t>
            </w:r>
          </w:p>
        </w:tc>
        <w:tc>
          <w:tcPr>
            <w:tcW w:w="220" w:type="dxa"/>
            <w:vAlign w:val="bottom"/>
          </w:tcPr>
          <w:p>
            <w:pPr>
              <w:spacing w:after="0"/>
              <w:rPr>
                <w:sz w:val="12"/>
                <w:szCs w:val="12"/>
                <w:color w:val="auto"/>
              </w:rPr>
            </w:pPr>
          </w:p>
        </w:tc>
        <w:tc>
          <w:tcPr>
            <w:tcW w:w="780" w:type="dxa"/>
            <w:vAlign w:val="bottom"/>
            <w:gridSpan w:val="3"/>
          </w:tcPr>
          <w:p>
            <w:pPr>
              <w:spacing w:after="0" w:line="139" w:lineRule="exact"/>
              <w:rPr>
                <w:sz w:val="20"/>
                <w:szCs w:val="20"/>
                <w:color w:val="auto"/>
              </w:rPr>
            </w:pPr>
            <w:r>
              <w:rPr>
                <w:rFonts w:ascii="Times New Roman" w:cs="Times New Roman" w:eastAsia="Times New Roman" w:hAnsi="Times New Roman"/>
                <w:sz w:val="13"/>
                <w:szCs w:val="13"/>
                <w:color w:val="auto"/>
              </w:rPr>
              <w:t>Surrender the</w:t>
            </w:r>
          </w:p>
        </w:tc>
        <w:tc>
          <w:tcPr>
            <w:tcW w:w="1260" w:type="dxa"/>
            <w:vAlign w:val="bottom"/>
            <w:gridSpan w:val="6"/>
          </w:tcPr>
          <w:p>
            <w:pPr>
              <w:jc w:val="right"/>
              <w:spacing w:after="0" w:line="139" w:lineRule="exact"/>
              <w:rPr>
                <w:sz w:val="20"/>
                <w:szCs w:val="20"/>
                <w:color w:val="auto"/>
              </w:rPr>
            </w:pPr>
            <w:r>
              <w:rPr>
                <w:rFonts w:ascii="Times New Roman" w:cs="Times New Roman" w:eastAsia="Times New Roman" w:hAnsi="Times New Roman"/>
                <w:sz w:val="13"/>
                <w:szCs w:val="13"/>
                <w:color w:val="auto"/>
              </w:rPr>
              <w:t>Contract during the</w:t>
            </w:r>
          </w:p>
        </w:tc>
      </w:tr>
      <w:tr>
        <w:trPr>
          <w:trHeight w:val="20"/>
        </w:trPr>
        <w:tc>
          <w:tcPr>
            <w:tcW w:w="2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20" w:type="dxa"/>
            <w:vAlign w:val="bottom"/>
            <w:tcBorders>
              <w:right w:val="single" w:sz="8" w:color="auto"/>
            </w:tcBorders>
            <w:gridSpan w:val="2"/>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80" w:type="dxa"/>
            <w:vAlign w:val="bottom"/>
            <w:tcBorders>
              <w:right w:val="single" w:sz="8" w:color="auto"/>
            </w:tcBorders>
            <w:gridSpan w:val="2"/>
            <w:shd w:val="clear" w:color="auto" w:fill="000000"/>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r>
      <w:tr>
        <w:trPr>
          <w:trHeight w:val="139"/>
        </w:trPr>
        <w:tc>
          <w:tcPr>
            <w:tcW w:w="260" w:type="dxa"/>
            <w:vAlign w:val="bottom"/>
          </w:tcPr>
          <w:p>
            <w:pPr>
              <w:spacing w:after="0"/>
              <w:rPr>
                <w:sz w:val="12"/>
                <w:szCs w:val="12"/>
                <w:color w:val="auto"/>
              </w:rPr>
            </w:pPr>
          </w:p>
        </w:tc>
        <w:tc>
          <w:tcPr>
            <w:tcW w:w="2260" w:type="dxa"/>
            <w:vAlign w:val="bottom"/>
            <w:gridSpan w:val="13"/>
          </w:tcPr>
          <w:p>
            <w:pPr>
              <w:spacing w:after="0" w:line="139" w:lineRule="exact"/>
              <w:rPr>
                <w:sz w:val="20"/>
                <w:szCs w:val="20"/>
                <w:color w:val="auto"/>
              </w:rPr>
            </w:pPr>
            <w:r>
              <w:rPr>
                <w:rFonts w:ascii="Times New Roman" w:cs="Times New Roman" w:eastAsia="Times New Roman" w:hAnsi="Times New Roman"/>
                <w:sz w:val="13"/>
                <w:szCs w:val="13"/>
                <w:color w:val="auto"/>
              </w:rPr>
              <w:t>Accumulation Period, we may assess a</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60" w:type="dxa"/>
            <w:vAlign w:val="bottom"/>
            <w:gridSpan w:val="13"/>
          </w:tcPr>
          <w:p>
            <w:pPr>
              <w:jc w:val="right"/>
              <w:spacing w:after="0" w:line="139" w:lineRule="exact"/>
              <w:rPr>
                <w:sz w:val="20"/>
                <w:szCs w:val="20"/>
                <w:color w:val="auto"/>
              </w:rPr>
            </w:pPr>
            <w:r>
              <w:rPr>
                <w:rFonts w:ascii="Times New Roman" w:cs="Times New Roman" w:eastAsia="Times New Roman" w:hAnsi="Times New Roman"/>
                <w:sz w:val="13"/>
                <w:szCs w:val="13"/>
                <w:color w:val="auto"/>
              </w:rPr>
              <w:t>Withdrawal Charge of up to 7%. Withdrawals (including any</w:t>
            </w:r>
          </w:p>
        </w:tc>
      </w:tr>
      <w:tr>
        <w:trPr>
          <w:trHeight w:val="20"/>
        </w:trPr>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gridSpan w:val="5"/>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2320" w:type="dxa"/>
            <w:vAlign w:val="bottom"/>
            <w:gridSpan w:val="11"/>
          </w:tcPr>
          <w:p>
            <w:pPr>
              <w:spacing w:after="0" w:line="20" w:lineRule="exact"/>
              <w:rPr>
                <w:sz w:val="1"/>
                <w:szCs w:val="1"/>
                <w:color w:val="auto"/>
              </w:rPr>
            </w:pPr>
          </w:p>
        </w:tc>
      </w:tr>
      <w:tr>
        <w:trPr>
          <w:trHeight w:val="139"/>
        </w:trPr>
        <w:tc>
          <w:tcPr>
            <w:tcW w:w="600" w:type="dxa"/>
            <w:vAlign w:val="bottom"/>
            <w:gridSpan w:val="2"/>
          </w:tcPr>
          <w:p>
            <w:pPr>
              <w:spacing w:after="0" w:line="139" w:lineRule="exact"/>
              <w:rPr>
                <w:sz w:val="20"/>
                <w:szCs w:val="20"/>
                <w:color w:val="auto"/>
              </w:rPr>
            </w:pPr>
            <w:r>
              <w:rPr>
                <w:rFonts w:ascii="Times New Roman" w:cs="Times New Roman" w:eastAsia="Times New Roman" w:hAnsi="Times New Roman"/>
                <w:sz w:val="13"/>
                <w:szCs w:val="13"/>
                <w:color w:val="auto"/>
              </w:rPr>
              <w:t>applicable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20" w:type="dxa"/>
            <w:vAlign w:val="bottom"/>
            <w:gridSpan w:val="25"/>
          </w:tcPr>
          <w:p>
            <w:pPr>
              <w:jc w:val="right"/>
              <w:spacing w:after="0" w:line="139" w:lineRule="exact"/>
              <w:rPr>
                <w:sz w:val="20"/>
                <w:szCs w:val="20"/>
                <w:color w:val="auto"/>
              </w:rPr>
            </w:pPr>
            <w:r>
              <w:rPr>
                <w:rFonts w:ascii="Times New Roman" w:cs="Times New Roman" w:eastAsia="Times New Roman" w:hAnsi="Times New Roman"/>
                <w:sz w:val="13"/>
                <w:szCs w:val="13"/>
                <w:color w:val="auto"/>
              </w:rPr>
              <w:t>Withdrawal Charge), depending on the amount and timing, may negatively impact the benefits and</w:t>
            </w:r>
          </w:p>
        </w:tc>
      </w:tr>
      <w:tr>
        <w:trPr>
          <w:trHeight w:val="20"/>
        </w:trPr>
        <w:tc>
          <w:tcPr>
            <w:tcW w:w="6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r>
      <w:tr>
        <w:trPr>
          <w:trHeight w:val="139"/>
        </w:trPr>
        <w:tc>
          <w:tcPr>
            <w:tcW w:w="600" w:type="dxa"/>
            <w:vAlign w:val="bottom"/>
            <w:gridSpan w:val="2"/>
          </w:tcPr>
          <w:p>
            <w:pPr>
              <w:spacing w:after="0" w:line="139" w:lineRule="exact"/>
              <w:rPr>
                <w:sz w:val="20"/>
                <w:szCs w:val="20"/>
                <w:color w:val="auto"/>
              </w:rPr>
            </w:pPr>
            <w:r>
              <w:rPr>
                <w:rFonts w:ascii="Times New Roman" w:cs="Times New Roman" w:eastAsia="Times New Roman" w:hAnsi="Times New Roman"/>
                <w:sz w:val="13"/>
                <w:szCs w:val="13"/>
                <w:color w:val="auto"/>
              </w:rPr>
              <w:t>guarantees</w:t>
            </w:r>
          </w:p>
        </w:tc>
        <w:tc>
          <w:tcPr>
            <w:tcW w:w="540" w:type="dxa"/>
            <w:vAlign w:val="bottom"/>
            <w:gridSpan w:val="5"/>
          </w:tcPr>
          <w:p>
            <w:pPr>
              <w:ind w:left="40"/>
              <w:spacing w:after="0" w:line="139" w:lineRule="exact"/>
              <w:rPr>
                <w:sz w:val="20"/>
                <w:szCs w:val="20"/>
                <w:color w:val="auto"/>
              </w:rPr>
            </w:pPr>
            <w:r>
              <w:rPr>
                <w:rFonts w:ascii="Times New Roman" w:cs="Times New Roman" w:eastAsia="Times New Roman" w:hAnsi="Times New Roman"/>
                <w:sz w:val="13"/>
                <w:szCs w:val="13"/>
                <w:color w:val="auto"/>
              </w:rPr>
              <w:t>provided</w:t>
            </w:r>
          </w:p>
        </w:tc>
        <w:tc>
          <w:tcPr>
            <w:tcW w:w="740" w:type="dxa"/>
            <w:vAlign w:val="bottom"/>
            <w:gridSpan w:val="3"/>
          </w:tcPr>
          <w:p>
            <w:pPr>
              <w:ind w:left="40"/>
              <w:spacing w:after="0" w:line="139" w:lineRule="exact"/>
              <w:rPr>
                <w:sz w:val="20"/>
                <w:szCs w:val="20"/>
                <w:color w:val="auto"/>
              </w:rPr>
            </w:pPr>
            <w:r>
              <w:rPr>
                <w:rFonts w:ascii="Times New Roman" w:cs="Times New Roman" w:eastAsia="Times New Roman" w:hAnsi="Times New Roman"/>
                <w:sz w:val="13"/>
                <w:szCs w:val="13"/>
                <w:color w:val="auto"/>
              </w:rPr>
              <w:t>by your</w:t>
            </w:r>
          </w:p>
        </w:tc>
        <w:tc>
          <w:tcPr>
            <w:tcW w:w="80" w:type="dxa"/>
            <w:vAlign w:val="bottom"/>
          </w:tcPr>
          <w:p>
            <w:pPr>
              <w:spacing w:after="0"/>
              <w:rPr>
                <w:sz w:val="12"/>
                <w:szCs w:val="12"/>
                <w:color w:val="auto"/>
              </w:rPr>
            </w:pPr>
          </w:p>
        </w:tc>
        <w:tc>
          <w:tcPr>
            <w:tcW w:w="560" w:type="dxa"/>
            <w:vAlign w:val="bottom"/>
            <w:gridSpan w:val="3"/>
          </w:tcPr>
          <w:p>
            <w:pPr>
              <w:spacing w:after="0" w:line="139" w:lineRule="exact"/>
              <w:rPr>
                <w:sz w:val="20"/>
                <w:szCs w:val="20"/>
                <w:color w:val="auto"/>
              </w:rPr>
            </w:pPr>
            <w:r>
              <w:rPr>
                <w:rFonts w:ascii="Times New Roman" w:cs="Times New Roman" w:eastAsia="Times New Roman" w:hAnsi="Times New Roman"/>
                <w:sz w:val="13"/>
                <w:szCs w:val="13"/>
                <w:color w:val="auto"/>
              </w:rPr>
              <w:t>Contract.</w:t>
            </w:r>
          </w:p>
        </w:tc>
        <w:tc>
          <w:tcPr>
            <w:tcW w:w="1280" w:type="dxa"/>
            <w:vAlign w:val="bottom"/>
            <w:gridSpan w:val="5"/>
          </w:tcPr>
          <w:p>
            <w:pPr>
              <w:ind w:left="60"/>
              <w:spacing w:after="0" w:line="139" w:lineRule="exact"/>
              <w:rPr>
                <w:sz w:val="20"/>
                <w:szCs w:val="20"/>
                <w:color w:val="auto"/>
              </w:rPr>
            </w:pPr>
            <w:r>
              <w:rPr>
                <w:rFonts w:ascii="Times New Roman" w:cs="Times New Roman" w:eastAsia="Times New Roman" w:hAnsi="Times New Roman"/>
                <w:sz w:val="13"/>
                <w:szCs w:val="13"/>
                <w:color w:val="auto"/>
              </w:rPr>
              <w:t>You should carefully</w:t>
            </w:r>
          </w:p>
        </w:tc>
        <w:tc>
          <w:tcPr>
            <w:tcW w:w="5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3"/>
                <w:szCs w:val="13"/>
                <w:color w:val="auto"/>
              </w:rPr>
              <w:t>consider</w:t>
            </w:r>
          </w:p>
        </w:tc>
        <w:tc>
          <w:tcPr>
            <w:tcW w:w="48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3"/>
                <w:szCs w:val="13"/>
                <w:color w:val="auto"/>
              </w:rPr>
              <w:t>whether</w:t>
            </w:r>
          </w:p>
        </w:tc>
        <w:tc>
          <w:tcPr>
            <w:tcW w:w="1260" w:type="dxa"/>
            <w:vAlign w:val="bottom"/>
            <w:gridSpan w:val="6"/>
          </w:tcPr>
          <w:p>
            <w:pPr>
              <w:jc w:val="right"/>
              <w:spacing w:after="0" w:line="139" w:lineRule="exact"/>
              <w:rPr>
                <w:sz w:val="20"/>
                <w:szCs w:val="20"/>
                <w:color w:val="auto"/>
              </w:rPr>
            </w:pPr>
            <w:r>
              <w:rPr>
                <w:rFonts w:ascii="Times New Roman" w:cs="Times New Roman" w:eastAsia="Times New Roman" w:hAnsi="Times New Roman"/>
                <w:sz w:val="13"/>
                <w:szCs w:val="13"/>
                <w:color w:val="auto"/>
              </w:rPr>
              <w:t>a withdrawal under a</w:t>
            </w: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particular circumstance will have any negative impact to your benefits or guarantees.</w:t>
      </w:r>
    </w:p>
    <w:p>
      <w:pPr>
        <w:spacing w:after="0" w:line="87" w:lineRule="exact"/>
        <w:rPr>
          <w:sz w:val="20"/>
          <w:szCs w:val="20"/>
          <w:color w:val="auto"/>
        </w:rPr>
      </w:pPr>
    </w:p>
    <w:p>
      <w:pPr>
        <w:jc w:val="both"/>
        <w:ind w:right="3199" w:firstLine="265"/>
        <w:spacing w:after="0" w:line="273" w:lineRule="auto"/>
        <w:rPr>
          <w:sz w:val="20"/>
          <w:szCs w:val="20"/>
          <w:color w:val="auto"/>
        </w:rPr>
      </w:pPr>
      <w:r>
        <w:rPr>
          <w:rFonts w:ascii="Times New Roman" w:cs="Times New Roman" w:eastAsia="Times New Roman" w:hAnsi="Times New Roman"/>
          <w:sz w:val="13"/>
          <w:szCs w:val="13"/>
          <w:b w:val="1"/>
          <w:bCs w:val="1"/>
          <w:color w:val="auto"/>
        </w:rPr>
        <w:t xml:space="preserve">To help you accumulate assets during the </w:t>
      </w:r>
      <w:r>
        <w:rPr>
          <w:rFonts w:ascii="Times New Roman" w:cs="Times New Roman" w:eastAsia="Times New Roman" w:hAnsi="Times New Roman"/>
          <w:sz w:val="13"/>
          <w:szCs w:val="13"/>
          <w:b w:val="1"/>
          <w:bCs w:val="1"/>
          <w:u w:val="single" w:color="auto"/>
          <w:color w:val="auto"/>
        </w:rPr>
        <w:t>Accumulation Period</w:t>
      </w:r>
      <w:r>
        <w:rPr>
          <w:rFonts w:ascii="Times New Roman" w:cs="Times New Roman" w:eastAsia="Times New Roman" w:hAnsi="Times New Roman"/>
          <w:sz w:val="13"/>
          <w:szCs w:val="13"/>
          <w:b w:val="1"/>
          <w:bCs w:val="1"/>
          <w:color w:val="auto"/>
        </w:rPr>
        <w:t xml:space="preserve">, you can invest your </w:t>
      </w:r>
      <w:r>
        <w:rPr>
          <w:rFonts w:ascii="Times New Roman" w:cs="Times New Roman" w:eastAsia="Times New Roman" w:hAnsi="Times New Roman"/>
          <w:sz w:val="13"/>
          <w:szCs w:val="13"/>
          <w:b w:val="1"/>
          <w:bCs w:val="1"/>
          <w:u w:val="single" w:color="auto"/>
          <w:color w:val="auto"/>
        </w:rPr>
        <w:t>Purchase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b w:val="1"/>
          <w:bCs w:val="1"/>
          <w:u w:val="single" w:color="auto"/>
          <w:color w:val="auto"/>
        </w:rPr>
        <w:t>Payments</w:t>
      </w:r>
      <w:r>
        <w:rPr>
          <w:rFonts w:ascii="Times New Roman" w:cs="Times New Roman" w:eastAsia="Times New Roman" w:hAnsi="Times New Roman"/>
          <w:sz w:val="13"/>
          <w:szCs w:val="13"/>
          <w:b w:val="1"/>
          <w:bCs w:val="1"/>
          <w:color w:val="auto"/>
        </w:rPr>
        <w:t xml:space="preserve"> and </w:t>
      </w:r>
      <w:r>
        <w:rPr>
          <w:rFonts w:ascii="Times New Roman" w:cs="Times New Roman" w:eastAsia="Times New Roman" w:hAnsi="Times New Roman"/>
          <w:sz w:val="13"/>
          <w:szCs w:val="13"/>
          <w:b w:val="1"/>
          <w:bCs w:val="1"/>
          <w:u w:val="single" w:color="auto"/>
          <w:color w:val="auto"/>
        </w:rPr>
        <w:t>Account Value</w:t>
      </w:r>
      <w:r>
        <w:rPr>
          <w:rFonts w:ascii="Times New Roman" w:cs="Times New Roman" w:eastAsia="Times New Roman" w:hAnsi="Times New Roman"/>
          <w:sz w:val="13"/>
          <w:szCs w:val="13"/>
          <w:b w:val="1"/>
          <w:bCs w:val="1"/>
          <w:color w:val="auto"/>
        </w:rPr>
        <w:t xml:space="preserve"> in the </w:t>
      </w:r>
      <w:r>
        <w:rPr>
          <w:rFonts w:ascii="Times New Roman" w:cs="Times New Roman" w:eastAsia="Times New Roman" w:hAnsi="Times New Roman"/>
          <w:sz w:val="13"/>
          <w:szCs w:val="13"/>
          <w:b w:val="1"/>
          <w:bCs w:val="1"/>
          <w:u w:val="single" w:color="auto"/>
          <w:color w:val="auto"/>
        </w:rPr>
        <w:t>Allocation Options</w:t>
      </w:r>
      <w:r>
        <w:rPr>
          <w:rFonts w:ascii="Times New Roman" w:cs="Times New Roman" w:eastAsia="Times New Roman" w:hAnsi="Times New Roman"/>
          <w:sz w:val="13"/>
          <w:szCs w:val="13"/>
          <w:b w:val="1"/>
          <w:bCs w:val="1"/>
          <w:color w:val="auto"/>
        </w:rPr>
        <w:t xml:space="preserve"> under the </w:t>
      </w:r>
      <w:r>
        <w:rPr>
          <w:rFonts w:ascii="Times New Roman" w:cs="Times New Roman" w:eastAsia="Times New Roman" w:hAnsi="Times New Roman"/>
          <w:sz w:val="13"/>
          <w:szCs w:val="13"/>
          <w:b w:val="1"/>
          <w:bCs w:val="1"/>
          <w:u w:val="single" w:color="auto"/>
          <w:color w:val="auto"/>
        </w:rPr>
        <w:t>Contract</w:t>
      </w:r>
      <w:r>
        <w:rPr>
          <w:rFonts w:ascii="Times New Roman" w:cs="Times New Roman" w:eastAsia="Times New Roman" w:hAnsi="Times New Roman"/>
          <w:sz w:val="13"/>
          <w:szCs w:val="13"/>
          <w:b w:val="1"/>
          <w:bCs w:val="1"/>
          <w:color w:val="auto"/>
        </w:rPr>
        <w:t xml:space="preserve"> , which are (1) the </w:t>
      </w:r>
      <w:r>
        <w:rPr>
          <w:rFonts w:ascii="Times New Roman" w:cs="Times New Roman" w:eastAsia="Times New Roman" w:hAnsi="Times New Roman"/>
          <w:sz w:val="13"/>
          <w:szCs w:val="13"/>
          <w:b w:val="1"/>
          <w:bCs w:val="1"/>
          <w:u w:val="single" w:color="auto"/>
          <w:color w:val="auto"/>
        </w:rPr>
        <w:t>Fixed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b w:val="1"/>
          <w:bCs w:val="1"/>
          <w:u w:val="single" w:color="auto"/>
          <w:color w:val="auto"/>
        </w:rPr>
        <w:t>Account</w:t>
      </w:r>
      <w:r>
        <w:rPr>
          <w:rFonts w:ascii="Times New Roman" w:cs="Times New Roman" w:eastAsia="Times New Roman" w:hAnsi="Times New Roman"/>
          <w:sz w:val="13"/>
          <w:szCs w:val="13"/>
          <w:b w:val="1"/>
          <w:bCs w:val="1"/>
          <w:color w:val="auto"/>
        </w:rPr>
        <w:t xml:space="preserve"> (if available), and (2) the </w:t>
      </w:r>
      <w:r>
        <w:rPr>
          <w:rFonts w:ascii="Times New Roman" w:cs="Times New Roman" w:eastAsia="Times New Roman" w:hAnsi="Times New Roman"/>
          <w:sz w:val="13"/>
          <w:szCs w:val="13"/>
          <w:b w:val="1"/>
          <w:bCs w:val="1"/>
          <w:u w:val="single" w:color="auto"/>
          <w:color w:val="auto"/>
        </w:rPr>
        <w:t>Shield Options</w:t>
      </w:r>
      <w:r>
        <w:rPr>
          <w:rFonts w:ascii="Times New Roman" w:cs="Times New Roman" w:eastAsia="Times New Roman" w:hAnsi="Times New Roman"/>
          <w:sz w:val="13"/>
          <w:szCs w:val="13"/>
          <w:b w:val="1"/>
          <w:bCs w:val="1"/>
          <w:color w:val="auto"/>
        </w:rPr>
        <w:t>. Additional information about each investment option is provided in Appendix A to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2847340</wp:posOffset>
            </wp:positionH>
            <wp:positionV relativeFrom="paragraph">
              <wp:posOffset>-233045</wp:posOffset>
            </wp:positionV>
            <wp:extent cx="43815"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815" cy="6350"/>
                    </a:xfrm>
                    <a:prstGeom prst="rect">
                      <a:avLst/>
                    </a:prstGeom>
                    <a:noFill/>
                  </pic:spPr>
                </pic:pic>
              </a:graphicData>
            </a:graphic>
          </wp:anchor>
        </w:drawing>
      </w:r>
    </w:p>
    <w:p>
      <w:pPr>
        <w:spacing w:after="0" w:line="24" w:lineRule="exact"/>
        <w:rPr>
          <w:sz w:val="20"/>
          <w:szCs w:val="20"/>
          <w:color w:val="auto"/>
        </w:rPr>
      </w:pPr>
    </w:p>
    <w:p>
      <w:pPr>
        <w:jc w:val="both"/>
        <w:ind w:right="3199" w:firstLine="265"/>
        <w:spacing w:after="0" w:line="267" w:lineRule="auto"/>
        <w:rPr>
          <w:sz w:val="20"/>
          <w:szCs w:val="20"/>
          <w:color w:val="auto"/>
        </w:rPr>
      </w:pPr>
      <w:r>
        <w:rPr>
          <w:rFonts w:ascii="Times New Roman" w:cs="Times New Roman" w:eastAsia="Times New Roman" w:hAnsi="Times New Roman"/>
          <w:sz w:val="13"/>
          <w:szCs w:val="13"/>
          <w:b w:val="1"/>
          <w:bCs w:val="1"/>
          <w:color w:val="auto"/>
        </w:rPr>
        <w:t xml:space="preserve">The Fixed Account. </w:t>
      </w:r>
      <w:r>
        <w:rPr>
          <w:rFonts w:ascii="Times New Roman" w:cs="Times New Roman" w:eastAsia="Times New Roman" w:hAnsi="Times New Roman"/>
          <w:sz w:val="13"/>
          <w:szCs w:val="13"/>
          <w:color w:val="auto"/>
        </w:rPr>
        <w:t>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Fixed Account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(if available) guarantees principal and interest. The Minimum</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Guaranteed Interest Rate depends on the date your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is issued and will not be less than 1% annually. Unless you allocate your entire </w:t>
      </w:r>
      <w:r>
        <w:rPr>
          <w:rFonts w:ascii="Times New Roman" w:cs="Times New Roman" w:eastAsia="Times New Roman" w:hAnsi="Times New Roman"/>
          <w:sz w:val="13"/>
          <w:szCs w:val="13"/>
          <w:u w:val="single" w:color="auto"/>
          <w:color w:val="auto"/>
        </w:rPr>
        <w:t>Purchase Payment</w:t>
      </w:r>
      <w:r>
        <w:rPr>
          <w:rFonts w:ascii="Times New Roman" w:cs="Times New Roman" w:eastAsia="Times New Roman" w:hAnsi="Times New Roman"/>
          <w:sz w:val="13"/>
          <w:szCs w:val="13"/>
          <w:color w:val="auto"/>
        </w:rPr>
        <w:t xml:space="preserve"> and earnings to the </w:t>
      </w:r>
      <w:r>
        <w:rPr>
          <w:rFonts w:ascii="Times New Roman" w:cs="Times New Roman" w:eastAsia="Times New Roman" w:hAnsi="Times New Roman"/>
          <w:sz w:val="13"/>
          <w:szCs w:val="13"/>
          <w:u w:val="single" w:color="auto"/>
          <w:color w:val="auto"/>
        </w:rPr>
        <w:t>Fixed Account</w:t>
      </w:r>
      <w:r>
        <w:rPr>
          <w:rFonts w:ascii="Times New Roman" w:cs="Times New Roman" w:eastAsia="Times New Roman" w:hAnsi="Times New Roman"/>
          <w:sz w:val="13"/>
          <w:szCs w:val="13"/>
          <w:color w:val="auto"/>
        </w:rPr>
        <w:t xml:space="preserve">, you may lose money by investing in the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w:t>
      </w:r>
    </w:p>
    <w:p>
      <w:pPr>
        <w:spacing w:after="0" w:line="49" w:lineRule="exact"/>
        <w:rPr>
          <w:sz w:val="20"/>
          <w:szCs w:val="20"/>
          <w:color w:val="auto"/>
        </w:rPr>
      </w:pPr>
    </w:p>
    <w:p>
      <w:pPr>
        <w:jc w:val="both"/>
        <w:ind w:right="3199" w:firstLine="265"/>
        <w:spacing w:after="0" w:line="267" w:lineRule="auto"/>
        <w:rPr>
          <w:sz w:val="20"/>
          <w:szCs w:val="20"/>
          <w:color w:val="auto"/>
        </w:rPr>
      </w:pPr>
      <w:r>
        <w:rPr>
          <w:rFonts w:ascii="Times New Roman" w:cs="Times New Roman" w:eastAsia="Times New Roman" w:hAnsi="Times New Roman"/>
          <w:sz w:val="13"/>
          <w:szCs w:val="13"/>
          <w:b w:val="1"/>
          <w:bCs w:val="1"/>
          <w:color w:val="auto"/>
        </w:rPr>
        <w:t xml:space="preserve">The Shield Options. </w:t>
      </w:r>
      <w:r>
        <w:rPr>
          <w:rFonts w:ascii="Times New Roman" w:cs="Times New Roman" w:eastAsia="Times New Roman" w:hAnsi="Times New Roman"/>
          <w:sz w:val="13"/>
          <w:szCs w:val="13"/>
          <w:color w:val="auto"/>
        </w:rPr>
        <w:t>We currently offer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Shield Options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based 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Indices</w:t>
      </w:r>
      <w:r>
        <w:rPr>
          <w:rFonts w:ascii="Times New Roman" w:cs="Times New Roman" w:eastAsia="Times New Roman" w:hAnsi="Times New Roman"/>
          <w:sz w:val="13"/>
          <w:szCs w:val="13"/>
          <w:color w:val="auto"/>
        </w:rPr>
        <w:t>. Each</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has 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1, 2, 3, or 6 years in length. The various </w:t>
      </w:r>
      <w:r>
        <w:rPr>
          <w:rFonts w:ascii="Times New Roman" w:cs="Times New Roman" w:eastAsia="Times New Roman" w:hAnsi="Times New Roman"/>
          <w:sz w:val="13"/>
          <w:szCs w:val="13"/>
          <w:u w:val="single" w:color="auto"/>
          <w:color w:val="auto"/>
        </w:rPr>
        <w:t>Shield Options</w:t>
      </w:r>
      <w:r>
        <w:rPr>
          <w:rFonts w:ascii="Times New Roman" w:cs="Times New Roman" w:eastAsia="Times New Roman" w:hAnsi="Times New Roman"/>
          <w:sz w:val="13"/>
          <w:szCs w:val="13"/>
          <w:color w:val="auto"/>
        </w:rPr>
        <w:t xml:space="preserve"> permit Owners to receive interest (positive, negative or zero) at the end of each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color w:val="auto"/>
        </w:rPr>
        <w:t xml:space="preserve"> based on the percentage returns of certain Securities </w:t>
      </w:r>
      <w:r>
        <w:rPr>
          <w:rFonts w:ascii="Times New Roman" w:cs="Times New Roman" w:eastAsia="Times New Roman" w:hAnsi="Times New Roman"/>
          <w:sz w:val="13"/>
          <w:szCs w:val="13"/>
          <w:u w:val="single" w:color="auto"/>
          <w:color w:val="auto"/>
        </w:rPr>
        <w:t>Indices</w:t>
      </w:r>
      <w:r>
        <w:rPr>
          <w:rFonts w:ascii="Times New Roman" w:cs="Times New Roman" w:eastAsia="Times New Roman" w:hAnsi="Times New Roman"/>
          <w:sz w:val="13"/>
          <w:szCs w:val="13"/>
          <w:color w:val="auto"/>
        </w:rPr>
        <w:t xml:space="preserve">. You could lose a significant amount of money if the </w:t>
      </w:r>
      <w:r>
        <w:rPr>
          <w:rFonts w:ascii="Times New Roman" w:cs="Times New Roman" w:eastAsia="Times New Roman" w:hAnsi="Times New Roman"/>
          <w:sz w:val="13"/>
          <w:szCs w:val="13"/>
          <w:u w:val="single" w:color="auto"/>
          <w:color w:val="auto"/>
        </w:rPr>
        <w:t>Index</w:t>
      </w:r>
      <w:r>
        <w:rPr>
          <w:rFonts w:ascii="Times New Roman" w:cs="Times New Roman" w:eastAsia="Times New Roman" w:hAnsi="Times New Roman"/>
          <w:sz w:val="13"/>
          <w:szCs w:val="13"/>
          <w:color w:val="auto"/>
        </w:rPr>
        <w:t xml:space="preserve"> declines in value.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0" w:type="dxa"/>
            <w:vAlign w:val="bottom"/>
          </w:tcPr>
          <w:p>
            <w:pPr>
              <w:spacing w:after="0"/>
              <w:rPr>
                <w:sz w:val="12"/>
                <w:szCs w:val="12"/>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3"/>
                <w:szCs w:val="13"/>
                <w:color w:val="auto"/>
              </w:rPr>
              <w:t>The</w:t>
            </w:r>
          </w:p>
        </w:tc>
        <w:tc>
          <w:tcPr>
            <w:tcW w:w="5280" w:type="dxa"/>
            <w:vAlign w:val="bottom"/>
            <w:gridSpan w:val="17"/>
          </w:tcPr>
          <w:p>
            <w:pPr>
              <w:jc w:val="right"/>
              <w:spacing w:after="0"/>
              <w:rPr>
                <w:sz w:val="20"/>
                <w:szCs w:val="20"/>
                <w:color w:val="auto"/>
              </w:rPr>
            </w:pPr>
            <w:r>
              <w:rPr>
                <w:rFonts w:ascii="Times New Roman" w:cs="Times New Roman" w:eastAsia="Times New Roman" w:hAnsi="Times New Roman"/>
                <w:sz w:val="13"/>
                <w:szCs w:val="13"/>
                <w:color w:val="auto"/>
              </w:rPr>
              <w:t>Shield Options offer guarantees against a specified level of negative interest—guarantees we call</w:t>
            </w:r>
          </w:p>
        </w:tc>
      </w:tr>
      <w:tr>
        <w:trPr>
          <w:trHeight w:val="20"/>
        </w:trPr>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39"/>
        </w:trPr>
        <w:tc>
          <w:tcPr>
            <w:tcW w:w="260" w:type="dxa"/>
            <w:vAlign w:val="bottom"/>
          </w:tcPr>
          <w:p>
            <w:pPr>
              <w:spacing w:after="0"/>
              <w:rPr>
                <w:sz w:val="12"/>
                <w:szCs w:val="12"/>
                <w:color w:val="auto"/>
              </w:rPr>
            </w:pPr>
          </w:p>
        </w:tc>
        <w:tc>
          <w:tcPr>
            <w:tcW w:w="1920" w:type="dxa"/>
            <w:vAlign w:val="bottom"/>
            <w:gridSpan w:val="5"/>
          </w:tcPr>
          <w:p>
            <w:pPr>
              <w:spacing w:after="0" w:line="139" w:lineRule="exact"/>
              <w:rPr>
                <w:sz w:val="20"/>
                <w:szCs w:val="20"/>
                <w:color w:val="auto"/>
              </w:rPr>
            </w:pPr>
            <w:r>
              <w:rPr>
                <w:rFonts w:ascii="Times New Roman" w:cs="Times New Roman" w:eastAsia="Times New Roman" w:hAnsi="Times New Roman"/>
                <w:sz w:val="13"/>
                <w:szCs w:val="13"/>
                <w:color w:val="auto"/>
              </w:rPr>
              <w:t>“Shield Rates.” We use the</w:t>
            </w:r>
          </w:p>
        </w:tc>
        <w:tc>
          <w:tcPr>
            <w:tcW w:w="72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3"/>
                <w:szCs w:val="13"/>
                <w:color w:val="auto"/>
              </w:rPr>
              <w:t>Shield Rates</w:t>
            </w:r>
          </w:p>
        </w:tc>
        <w:tc>
          <w:tcPr>
            <w:tcW w:w="540" w:type="dxa"/>
            <w:vAlign w:val="bottom"/>
            <w:gridSpan w:val="2"/>
          </w:tcPr>
          <w:p>
            <w:pPr>
              <w:ind w:left="80"/>
              <w:spacing w:after="0" w:line="139" w:lineRule="exact"/>
              <w:rPr>
                <w:sz w:val="20"/>
                <w:szCs w:val="20"/>
                <w:color w:val="auto"/>
              </w:rPr>
            </w:pPr>
            <w:r>
              <w:rPr>
                <w:rFonts w:ascii="Times New Roman" w:cs="Times New Roman" w:eastAsia="Times New Roman" w:hAnsi="Times New Roman"/>
                <w:sz w:val="13"/>
                <w:szCs w:val="13"/>
                <w:color w:val="auto"/>
              </w:rPr>
              <w:t>to limit</w:t>
            </w:r>
          </w:p>
        </w:tc>
        <w:tc>
          <w:tcPr>
            <w:tcW w:w="780" w:type="dxa"/>
            <w:vAlign w:val="bottom"/>
            <w:gridSpan w:val="3"/>
          </w:tcPr>
          <w:p>
            <w:pPr>
              <w:jc w:val="right"/>
              <w:ind w:right="60"/>
              <w:spacing w:after="0" w:line="139" w:lineRule="exact"/>
              <w:rPr>
                <w:sz w:val="20"/>
                <w:szCs w:val="20"/>
                <w:color w:val="auto"/>
              </w:rPr>
            </w:pPr>
            <w:r>
              <w:rPr>
                <w:rFonts w:ascii="Times New Roman" w:cs="Times New Roman" w:eastAsia="Times New Roman" w:hAnsi="Times New Roman"/>
                <w:sz w:val="13"/>
                <w:szCs w:val="13"/>
                <w:color w:val="auto"/>
              </w:rPr>
              <w:t>the negative</w:t>
            </w:r>
          </w:p>
        </w:tc>
        <w:tc>
          <w:tcPr>
            <w:tcW w:w="280" w:type="dxa"/>
            <w:vAlign w:val="bottom"/>
          </w:tcPr>
          <w:p>
            <w:pPr>
              <w:spacing w:after="0"/>
              <w:rPr>
                <w:sz w:val="12"/>
                <w:szCs w:val="12"/>
                <w:color w:val="auto"/>
              </w:rPr>
            </w:pPr>
          </w:p>
        </w:tc>
        <w:tc>
          <w:tcPr>
            <w:tcW w:w="1560" w:type="dxa"/>
            <w:vAlign w:val="bottom"/>
            <w:gridSpan w:val="4"/>
          </w:tcPr>
          <w:p>
            <w:pPr>
              <w:jc w:val="right"/>
              <w:spacing w:after="0" w:line="139" w:lineRule="exact"/>
              <w:rPr>
                <w:sz w:val="20"/>
                <w:szCs w:val="20"/>
                <w:color w:val="auto"/>
              </w:rPr>
            </w:pPr>
            <w:r>
              <w:rPr>
                <w:rFonts w:ascii="Times New Roman" w:cs="Times New Roman" w:eastAsia="Times New Roman" w:hAnsi="Times New Roman"/>
                <w:sz w:val="13"/>
                <w:szCs w:val="13"/>
                <w:color w:val="auto"/>
              </w:rPr>
              <w:t>Index Performance used in</w:t>
            </w:r>
          </w:p>
        </w:tc>
      </w:tr>
      <w:tr>
        <w:trPr>
          <w:trHeight w:val="20"/>
        </w:trPr>
        <w:tc>
          <w:tcPr>
            <w:tcW w:w="26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39"/>
        </w:trPr>
        <w:tc>
          <w:tcPr>
            <w:tcW w:w="2180" w:type="dxa"/>
            <w:vAlign w:val="bottom"/>
            <w:gridSpan w:val="6"/>
          </w:tcPr>
          <w:p>
            <w:pPr>
              <w:spacing w:after="0" w:line="139" w:lineRule="exact"/>
              <w:rPr>
                <w:sz w:val="20"/>
                <w:szCs w:val="20"/>
                <w:color w:val="auto"/>
              </w:rPr>
            </w:pPr>
            <w:r>
              <w:rPr>
                <w:rFonts w:ascii="Times New Roman" w:cs="Times New Roman" w:eastAsia="Times New Roman" w:hAnsi="Times New Roman"/>
                <w:sz w:val="13"/>
                <w:szCs w:val="13"/>
                <w:color w:val="auto"/>
              </w:rPr>
              <w:t>calculating  the  interest  rate  credited</w:t>
            </w:r>
          </w:p>
        </w:tc>
        <w:tc>
          <w:tcPr>
            <w:tcW w:w="20" w:type="dxa"/>
            <w:vAlign w:val="bottom"/>
          </w:tcPr>
          <w:p>
            <w:pPr>
              <w:spacing w:after="0"/>
              <w:rPr>
                <w:sz w:val="12"/>
                <w:szCs w:val="12"/>
                <w:color w:val="auto"/>
              </w:rPr>
            </w:pPr>
          </w:p>
        </w:tc>
        <w:tc>
          <w:tcPr>
            <w:tcW w:w="70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auto"/>
              </w:rPr>
              <w:t>to  a</w:t>
            </w:r>
          </w:p>
        </w:tc>
        <w:tc>
          <w:tcPr>
            <w:tcW w:w="540" w:type="dxa"/>
            <w:vAlign w:val="bottom"/>
            <w:gridSpan w:val="2"/>
          </w:tcPr>
          <w:p>
            <w:pPr>
              <w:spacing w:after="0" w:line="139" w:lineRule="exact"/>
              <w:rPr>
                <w:sz w:val="20"/>
                <w:szCs w:val="20"/>
                <w:color w:val="auto"/>
              </w:rPr>
            </w:pPr>
            <w:r>
              <w:rPr>
                <w:rFonts w:ascii="Times New Roman" w:cs="Times New Roman" w:eastAsia="Times New Roman" w:hAnsi="Times New Roman"/>
                <w:sz w:val="13"/>
                <w:szCs w:val="13"/>
                <w:color w:val="auto"/>
              </w:rPr>
              <w:t>Shield</w:t>
            </w:r>
          </w:p>
        </w:tc>
        <w:tc>
          <w:tcPr>
            <w:tcW w:w="160" w:type="dxa"/>
            <w:vAlign w:val="bottom"/>
          </w:tcPr>
          <w:p>
            <w:pPr>
              <w:spacing w:after="0"/>
              <w:rPr>
                <w:sz w:val="12"/>
                <w:szCs w:val="12"/>
                <w:color w:val="auto"/>
              </w:rPr>
            </w:pPr>
          </w:p>
        </w:tc>
        <w:tc>
          <w:tcPr>
            <w:tcW w:w="620" w:type="dxa"/>
            <w:vAlign w:val="bottom"/>
            <w:gridSpan w:val="2"/>
          </w:tcPr>
          <w:p>
            <w:pPr>
              <w:jc w:val="right"/>
              <w:ind w:right="60"/>
              <w:spacing w:after="0" w:line="139" w:lineRule="exact"/>
              <w:rPr>
                <w:sz w:val="20"/>
                <w:szCs w:val="20"/>
                <w:color w:val="auto"/>
              </w:rPr>
            </w:pPr>
            <w:r>
              <w:rPr>
                <w:rFonts w:ascii="Times New Roman" w:cs="Times New Roman" w:eastAsia="Times New Roman" w:hAnsi="Times New Roman"/>
                <w:sz w:val="13"/>
                <w:szCs w:val="13"/>
                <w:color w:val="auto"/>
              </w:rPr>
              <w:t>Option  at</w:t>
            </w:r>
          </w:p>
        </w:tc>
        <w:tc>
          <w:tcPr>
            <w:tcW w:w="280" w:type="dxa"/>
            <w:vAlign w:val="bottom"/>
          </w:tcPr>
          <w:p>
            <w:pPr>
              <w:ind w:left="40"/>
              <w:spacing w:after="0" w:line="139" w:lineRule="exact"/>
              <w:rPr>
                <w:sz w:val="20"/>
                <w:szCs w:val="20"/>
                <w:color w:val="auto"/>
              </w:rPr>
            </w:pPr>
            <w:r>
              <w:rPr>
                <w:rFonts w:ascii="Times New Roman" w:cs="Times New Roman" w:eastAsia="Times New Roman" w:hAnsi="Times New Roman"/>
                <w:sz w:val="13"/>
                <w:szCs w:val="13"/>
                <w:color w:val="auto"/>
              </w:rPr>
              <w:t>the</w:t>
            </w:r>
          </w:p>
        </w:tc>
        <w:tc>
          <w:tcPr>
            <w:tcW w:w="300" w:type="dxa"/>
            <w:vAlign w:val="bottom"/>
          </w:tcPr>
          <w:p>
            <w:pPr>
              <w:spacing w:after="0"/>
              <w:rPr>
                <w:sz w:val="12"/>
                <w:szCs w:val="12"/>
                <w:color w:val="auto"/>
              </w:rPr>
            </w:pPr>
          </w:p>
        </w:tc>
        <w:tc>
          <w:tcPr>
            <w:tcW w:w="1260" w:type="dxa"/>
            <w:vAlign w:val="bottom"/>
            <w:gridSpan w:val="3"/>
          </w:tcPr>
          <w:p>
            <w:pPr>
              <w:jc w:val="right"/>
              <w:spacing w:after="0" w:line="139" w:lineRule="exact"/>
              <w:rPr>
                <w:sz w:val="20"/>
                <w:szCs w:val="20"/>
                <w:color w:val="auto"/>
              </w:rPr>
            </w:pPr>
            <w:r>
              <w:rPr>
                <w:rFonts w:ascii="Times New Roman" w:cs="Times New Roman" w:eastAsia="Times New Roman" w:hAnsi="Times New Roman"/>
                <w:sz w:val="13"/>
                <w:szCs w:val="13"/>
                <w:color w:val="auto"/>
              </w:rPr>
              <w:t>Term  End  Date  (the</w:t>
            </w:r>
          </w:p>
        </w:tc>
      </w:tr>
      <w:tr>
        <w:trPr>
          <w:trHeight w:val="139"/>
        </w:trPr>
        <w:tc>
          <w:tcPr>
            <w:tcW w:w="260" w:type="dxa"/>
            <w:vAlign w:val="bottom"/>
          </w:tcPr>
          <w:p>
            <w:pPr>
              <w:spacing w:after="0"/>
              <w:rPr>
                <w:sz w:val="12"/>
                <w:szCs w:val="12"/>
                <w:color w:val="auto"/>
              </w:rPr>
            </w:pPr>
          </w:p>
        </w:tc>
        <w:tc>
          <w:tcPr>
            <w:tcW w:w="1920" w:type="dxa"/>
            <w:vAlign w:val="bottom"/>
            <w:gridSpan w:val="5"/>
          </w:tcPr>
          <w:p>
            <w:pPr>
              <w:spacing w:after="0" w:line="139" w:lineRule="exact"/>
              <w:rPr>
                <w:sz w:val="20"/>
                <w:szCs w:val="20"/>
                <w:color w:val="auto"/>
              </w:rPr>
            </w:pPr>
            <w:r>
              <w:rPr>
                <w:rFonts w:ascii="Times New Roman" w:cs="Times New Roman" w:eastAsia="Times New Roman" w:hAnsi="Times New Roman"/>
                <w:sz w:val="13"/>
                <w:szCs w:val="13"/>
                <w:color w:val="auto"/>
              </w:rPr>
              <w:t>“Performance Rate”).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r>
      <w:tr>
        <w:trPr>
          <w:trHeight w:val="20"/>
        </w:trPr>
        <w:tc>
          <w:tcPr>
            <w:tcW w:w="260" w:type="dxa"/>
            <w:vAlign w:val="bottom"/>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60" w:type="dxa"/>
            <w:vAlign w:val="bottom"/>
            <w:gridSpan w:val="10"/>
          </w:tcPr>
          <w:p>
            <w:pPr>
              <w:spacing w:after="0" w:line="20" w:lineRule="exact"/>
              <w:rPr>
                <w:sz w:val="1"/>
                <w:szCs w:val="1"/>
                <w:color w:val="auto"/>
              </w:rPr>
            </w:pPr>
          </w:p>
        </w:tc>
      </w:tr>
      <w:tr>
        <w:trPr>
          <w:trHeight w:val="218"/>
        </w:trPr>
        <w:tc>
          <w:tcPr>
            <w:tcW w:w="260" w:type="dxa"/>
            <w:vAlign w:val="bottom"/>
          </w:tcPr>
          <w:p>
            <w:pPr>
              <w:spacing w:after="0"/>
              <w:rPr>
                <w:sz w:val="18"/>
                <w:szCs w:val="18"/>
                <w:color w:val="auto"/>
              </w:rPr>
            </w:pPr>
          </w:p>
        </w:tc>
        <w:tc>
          <w:tcPr>
            <w:tcW w:w="192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The protections specified by the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80" w:type="dxa"/>
            <w:vAlign w:val="bottom"/>
            <w:gridSpan w:val="11"/>
          </w:tcPr>
          <w:p>
            <w:pPr>
              <w:jc w:val="right"/>
              <w:spacing w:after="0"/>
              <w:rPr>
                <w:sz w:val="20"/>
                <w:szCs w:val="20"/>
                <w:color w:val="auto"/>
              </w:rPr>
            </w:pPr>
            <w:r>
              <w:rPr>
                <w:rFonts w:ascii="Times New Roman" w:cs="Times New Roman" w:eastAsia="Times New Roman" w:hAnsi="Times New Roman"/>
                <w:sz w:val="13"/>
                <w:szCs w:val="13"/>
                <w:color w:val="auto"/>
              </w:rPr>
              <w:t>Shield Rate and the level of positive investment experience that can be</w:t>
            </w:r>
          </w:p>
        </w:tc>
      </w:tr>
      <w:tr>
        <w:trPr>
          <w:trHeight w:val="20"/>
        </w:trPr>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credited to</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Account Value allowed by the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11"/>
          </w:tcPr>
          <w:p>
            <w:pPr>
              <w:spacing w:after="0"/>
              <w:rPr>
                <w:sz w:val="20"/>
                <w:szCs w:val="20"/>
                <w:color w:val="auto"/>
              </w:rPr>
            </w:pPr>
            <w:r>
              <w:rPr>
                <w:rFonts w:ascii="Times New Roman" w:cs="Times New Roman" w:eastAsia="Times New Roman" w:hAnsi="Times New Roman"/>
                <w:sz w:val="13"/>
                <w:szCs w:val="13"/>
                <w:color w:val="auto"/>
              </w:rPr>
              <w:t>Cap Rate or specified by the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Step Rate or</w:t>
            </w:r>
          </w:p>
        </w:tc>
        <w:tc>
          <w:tcPr>
            <w:tcW w:w="14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6"/>
              </w:rPr>
              <w:t>Edge Rate</w:t>
            </w:r>
          </w:p>
        </w:tc>
      </w:tr>
      <w:tr>
        <w:trPr>
          <w:trHeight w:val="20"/>
        </w:trPr>
        <w:tc>
          <w:tcPr>
            <w:tcW w:w="2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4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149"/>
        </w:trPr>
        <w:tc>
          <w:tcPr>
            <w:tcW w:w="3520" w:type="dxa"/>
            <w:vAlign w:val="bottom"/>
            <w:gridSpan w:val="23"/>
          </w:tcPr>
          <w:p>
            <w:pPr>
              <w:spacing w:after="0"/>
              <w:rPr>
                <w:sz w:val="20"/>
                <w:szCs w:val="20"/>
                <w:color w:val="auto"/>
              </w:rPr>
            </w:pPr>
            <w:r>
              <w:rPr>
                <w:rFonts w:ascii="Times New Roman" w:cs="Times New Roman" w:eastAsia="Times New Roman" w:hAnsi="Times New Roman"/>
                <w:sz w:val="13"/>
                <w:szCs w:val="13"/>
                <w:color w:val="auto"/>
              </w:rPr>
              <w:t>are only fully available for the amounts held until the end of the</w:t>
            </w:r>
          </w:p>
        </w:tc>
        <w:tc>
          <w:tcPr>
            <w:tcW w:w="160" w:type="dxa"/>
            <w:vAlign w:val="bottom"/>
          </w:tcPr>
          <w:p>
            <w:pPr>
              <w:spacing w:after="0"/>
              <w:rPr>
                <w:sz w:val="12"/>
                <w:szCs w:val="12"/>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Term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0"/>
        </w:trPr>
        <w:tc>
          <w:tcPr>
            <w:tcW w:w="2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28"/>
        </w:trPr>
        <w:tc>
          <w:tcPr>
            <w:tcW w:w="260" w:type="dxa"/>
            <w:vAlign w:val="bottom"/>
          </w:tcPr>
          <w:p>
            <w:pPr>
              <w:spacing w:after="0"/>
              <w:rPr>
                <w:sz w:val="19"/>
                <w:szCs w:val="19"/>
                <w:color w:val="auto"/>
              </w:rPr>
            </w:pPr>
          </w:p>
        </w:tc>
        <w:tc>
          <w:tcPr>
            <w:tcW w:w="106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We currently offer</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Shield Rates of</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“Shield 10”), 15% (</w:t>
            </w:r>
          </w:p>
        </w:tc>
        <w:tc>
          <w:tcPr>
            <w:tcW w:w="1500" w:type="dxa"/>
            <w:vAlign w:val="bottom"/>
            <w:gridSpan w:val="7"/>
          </w:tcPr>
          <w:p>
            <w:pPr>
              <w:jc w:val="right"/>
              <w:spacing w:after="0"/>
              <w:rPr>
                <w:sz w:val="20"/>
                <w:szCs w:val="20"/>
                <w:color w:val="auto"/>
              </w:rPr>
            </w:pPr>
            <w:r>
              <w:rPr>
                <w:rFonts w:ascii="Times New Roman" w:cs="Times New Roman" w:eastAsia="Times New Roman" w:hAnsi="Times New Roman"/>
                <w:sz w:val="13"/>
                <w:szCs w:val="13"/>
                <w:color w:val="auto"/>
              </w:rPr>
              <w:t>“Shield 15”), or 25% (</w:t>
            </w:r>
          </w:p>
        </w:tc>
      </w:tr>
      <w:tr>
        <w:trPr>
          <w:trHeight w:val="20"/>
        </w:trPr>
        <w:tc>
          <w:tcPr>
            <w:tcW w:w="2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460" w:type="dxa"/>
            <w:vAlign w:val="bottom"/>
            <w:tcBorders>
              <w:left w:val="single" w:sz="8" w:color="auto"/>
            </w:tcBorders>
            <w:gridSpan w:val="2"/>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right w:val="single" w:sz="8" w:color="auto"/>
            </w:tcBorders>
            <w:gridSpan w:val="2"/>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39"/>
        </w:trPr>
        <w:tc>
          <w:tcPr>
            <w:tcW w:w="260" w:type="dxa"/>
            <w:vAlign w:val="bottom"/>
          </w:tcPr>
          <w:p>
            <w:pPr>
              <w:spacing w:after="0"/>
              <w:rPr>
                <w:sz w:val="12"/>
                <w:szCs w:val="12"/>
                <w:color w:val="auto"/>
              </w:rPr>
            </w:pPr>
          </w:p>
        </w:tc>
        <w:tc>
          <w:tcPr>
            <w:tcW w:w="1060" w:type="dxa"/>
            <w:vAlign w:val="bottom"/>
            <w:gridSpan w:val="5"/>
          </w:tcPr>
          <w:p>
            <w:pPr>
              <w:spacing w:after="0" w:line="139" w:lineRule="exact"/>
              <w:rPr>
                <w:sz w:val="20"/>
                <w:szCs w:val="20"/>
                <w:color w:val="auto"/>
              </w:rPr>
            </w:pPr>
            <w:r>
              <w:rPr>
                <w:rFonts w:ascii="Times New Roman" w:cs="Times New Roman" w:eastAsia="Times New Roman" w:hAnsi="Times New Roman"/>
                <w:sz w:val="13"/>
                <w:szCs w:val="13"/>
                <w:color w:val="auto"/>
              </w:rPr>
              <w:t>“Shield 25”). The</w:t>
            </w:r>
          </w:p>
        </w:tc>
        <w:tc>
          <w:tcPr>
            <w:tcW w:w="200" w:type="dxa"/>
            <w:vAlign w:val="bottom"/>
          </w:tcPr>
          <w:p>
            <w:pPr>
              <w:spacing w:after="0"/>
              <w:rPr>
                <w:sz w:val="12"/>
                <w:szCs w:val="12"/>
                <w:color w:val="auto"/>
              </w:rPr>
            </w:pPr>
          </w:p>
        </w:tc>
        <w:tc>
          <w:tcPr>
            <w:tcW w:w="3300" w:type="dxa"/>
            <w:vAlign w:val="bottom"/>
            <w:gridSpan w:val="23"/>
          </w:tcPr>
          <w:p>
            <w:pPr>
              <w:jc w:val="center"/>
              <w:spacing w:after="0" w:line="139" w:lineRule="exact"/>
              <w:rPr>
                <w:sz w:val="20"/>
                <w:szCs w:val="20"/>
                <w:color w:val="auto"/>
              </w:rPr>
            </w:pPr>
            <w:r>
              <w:rPr>
                <w:rFonts w:ascii="Times New Roman" w:cs="Times New Roman" w:eastAsia="Times New Roman" w:hAnsi="Times New Roman"/>
                <w:sz w:val="13"/>
                <w:szCs w:val="13"/>
                <w:color w:val="auto"/>
              </w:rPr>
              <w:t>Shield Rate is a limited buffer where we absorb any negative</w:t>
            </w:r>
          </w:p>
        </w:tc>
        <w:tc>
          <w:tcPr>
            <w:tcW w:w="1240" w:type="dxa"/>
            <w:vAlign w:val="bottom"/>
            <w:gridSpan w:val="6"/>
          </w:tcPr>
          <w:p>
            <w:pPr>
              <w:jc w:val="right"/>
              <w:spacing w:after="0" w:line="139" w:lineRule="exact"/>
              <w:rPr>
                <w:sz w:val="20"/>
                <w:szCs w:val="20"/>
                <w:color w:val="auto"/>
              </w:rPr>
            </w:pPr>
            <w:r>
              <w:rPr>
                <w:rFonts w:ascii="Times New Roman" w:cs="Times New Roman" w:eastAsia="Times New Roman" w:hAnsi="Times New Roman"/>
                <w:sz w:val="13"/>
                <w:szCs w:val="13"/>
                <w:color w:val="auto"/>
              </w:rPr>
              <w:t>Index Performance</w:t>
            </w:r>
          </w:p>
        </w:tc>
      </w:tr>
      <w:tr>
        <w:trPr>
          <w:trHeight w:val="20"/>
        </w:trPr>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tcBorders>
              <w:right w:val="single" w:sz="8" w:color="auto"/>
            </w:tcBorders>
            <w:gridSpan w:val="2"/>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139"/>
        </w:trPr>
        <w:tc>
          <w:tcPr>
            <w:tcW w:w="460" w:type="dxa"/>
            <w:vAlign w:val="bottom"/>
            <w:gridSpan w:val="2"/>
          </w:tcPr>
          <w:p>
            <w:pPr>
              <w:spacing w:after="0" w:line="139" w:lineRule="exact"/>
              <w:rPr>
                <w:sz w:val="20"/>
                <w:szCs w:val="20"/>
                <w:color w:val="auto"/>
              </w:rPr>
            </w:pPr>
            <w:r>
              <w:rPr>
                <w:rFonts w:ascii="Times New Roman" w:cs="Times New Roman" w:eastAsia="Times New Roman" w:hAnsi="Times New Roman"/>
                <w:sz w:val="13"/>
                <w:szCs w:val="13"/>
                <w:color w:val="auto"/>
              </w:rPr>
              <w:t>on the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5"/>
          </w:tcPr>
          <w:p>
            <w:pPr>
              <w:spacing w:after="0" w:line="139" w:lineRule="exact"/>
              <w:rPr>
                <w:sz w:val="20"/>
                <w:szCs w:val="20"/>
                <w:color w:val="auto"/>
              </w:rPr>
            </w:pPr>
            <w:r>
              <w:rPr>
                <w:rFonts w:ascii="Times New Roman" w:cs="Times New Roman" w:eastAsia="Times New Roman" w:hAnsi="Times New Roman"/>
                <w:sz w:val="13"/>
                <w:szCs w:val="13"/>
                <w:color w:val="auto"/>
              </w:rPr>
              <w:t>Term End Date up</w:t>
            </w:r>
          </w:p>
        </w:tc>
        <w:tc>
          <w:tcPr>
            <w:tcW w:w="700" w:type="dxa"/>
            <w:vAlign w:val="bottom"/>
            <w:gridSpan w:val="4"/>
          </w:tcPr>
          <w:p>
            <w:pPr>
              <w:ind w:left="40"/>
              <w:spacing w:after="0" w:line="139" w:lineRule="exact"/>
              <w:rPr>
                <w:sz w:val="20"/>
                <w:szCs w:val="20"/>
                <w:color w:val="auto"/>
              </w:rPr>
            </w:pPr>
            <w:r>
              <w:rPr>
                <w:rFonts w:ascii="Times New Roman" w:cs="Times New Roman" w:eastAsia="Times New Roman" w:hAnsi="Times New Roman"/>
                <w:sz w:val="13"/>
                <w:szCs w:val="13"/>
                <w:color w:val="auto"/>
              </w:rPr>
              <w:t>to the</w:t>
            </w:r>
          </w:p>
        </w:tc>
        <w:tc>
          <w:tcPr>
            <w:tcW w:w="1020" w:type="dxa"/>
            <w:vAlign w:val="bottom"/>
            <w:gridSpan w:val="10"/>
          </w:tcPr>
          <w:p>
            <w:pPr>
              <w:spacing w:after="0" w:line="139" w:lineRule="exact"/>
              <w:rPr>
                <w:sz w:val="20"/>
                <w:szCs w:val="20"/>
                <w:color w:val="auto"/>
              </w:rPr>
            </w:pPr>
            <w:r>
              <w:rPr>
                <w:rFonts w:ascii="Times New Roman" w:cs="Times New Roman" w:eastAsia="Times New Roman" w:hAnsi="Times New Roman"/>
                <w:sz w:val="13"/>
                <w:szCs w:val="13"/>
                <w:color w:val="auto"/>
              </w:rPr>
              <w:t>Shield Rate. Any</w:t>
            </w:r>
          </w:p>
        </w:tc>
        <w:tc>
          <w:tcPr>
            <w:tcW w:w="800" w:type="dxa"/>
            <w:vAlign w:val="bottom"/>
            <w:gridSpan w:val="4"/>
          </w:tcPr>
          <w:p>
            <w:pPr>
              <w:ind w:left="20"/>
              <w:spacing w:after="0" w:line="139" w:lineRule="exact"/>
              <w:rPr>
                <w:sz w:val="20"/>
                <w:szCs w:val="20"/>
                <w:color w:val="auto"/>
              </w:rPr>
            </w:pPr>
            <w:r>
              <w:rPr>
                <w:rFonts w:ascii="Times New Roman" w:cs="Times New Roman" w:eastAsia="Times New Roman" w:hAnsi="Times New Roman"/>
                <w:sz w:val="13"/>
                <w:szCs w:val="13"/>
                <w:color w:val="auto"/>
              </w:rPr>
              <w:t>negative</w:t>
            </w:r>
          </w:p>
        </w:tc>
        <w:tc>
          <w:tcPr>
            <w:tcW w:w="1060" w:type="dxa"/>
            <w:vAlign w:val="bottom"/>
            <w:gridSpan w:val="6"/>
          </w:tcPr>
          <w:p>
            <w:pPr>
              <w:spacing w:after="0" w:line="139" w:lineRule="exact"/>
              <w:rPr>
                <w:sz w:val="20"/>
                <w:szCs w:val="20"/>
                <w:color w:val="auto"/>
              </w:rPr>
            </w:pPr>
            <w:r>
              <w:rPr>
                <w:rFonts w:ascii="Times New Roman" w:cs="Times New Roman" w:eastAsia="Times New Roman" w:hAnsi="Times New Roman"/>
                <w:sz w:val="13"/>
                <w:szCs w:val="13"/>
                <w:color w:val="auto"/>
              </w:rPr>
              <w:t>Index Performance</w:t>
            </w:r>
          </w:p>
        </w:tc>
        <w:tc>
          <w:tcPr>
            <w:tcW w:w="680" w:type="dxa"/>
            <w:vAlign w:val="bottom"/>
            <w:gridSpan w:val="3"/>
          </w:tcPr>
          <w:p>
            <w:pPr>
              <w:jc w:val="right"/>
              <w:spacing w:after="0" w:line="139" w:lineRule="exact"/>
              <w:rPr>
                <w:sz w:val="20"/>
                <w:szCs w:val="20"/>
                <w:color w:val="auto"/>
              </w:rPr>
            </w:pPr>
            <w:r>
              <w:rPr>
                <w:rFonts w:ascii="Times New Roman" w:cs="Times New Roman" w:eastAsia="Times New Roman" w:hAnsi="Times New Roman"/>
                <w:sz w:val="13"/>
                <w:szCs w:val="13"/>
                <w:color w:val="auto"/>
              </w:rPr>
              <w:t>beyond the</w:t>
            </w:r>
          </w:p>
        </w:tc>
      </w:tr>
      <w:tr>
        <w:trPr>
          <w:trHeight w:val="20"/>
        </w:trPr>
        <w:tc>
          <w:tcPr>
            <w:tcW w:w="2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gridSpan w:val="3"/>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39"/>
        </w:trPr>
        <w:tc>
          <w:tcPr>
            <w:tcW w:w="260" w:type="dxa"/>
            <w:vAlign w:val="bottom"/>
          </w:tcPr>
          <w:p>
            <w:pPr>
              <w:spacing w:after="0"/>
              <w:rPr>
                <w:sz w:val="12"/>
                <w:szCs w:val="12"/>
                <w:color w:val="auto"/>
              </w:rPr>
            </w:pPr>
          </w:p>
        </w:tc>
        <w:tc>
          <w:tcPr>
            <w:tcW w:w="1540" w:type="dxa"/>
            <w:vAlign w:val="bottom"/>
            <w:gridSpan w:val="8"/>
          </w:tcPr>
          <w:p>
            <w:pPr>
              <w:spacing w:after="0" w:line="139" w:lineRule="exact"/>
              <w:rPr>
                <w:sz w:val="20"/>
                <w:szCs w:val="20"/>
                <w:color w:val="auto"/>
              </w:rPr>
            </w:pPr>
            <w:r>
              <w:rPr>
                <w:rFonts w:ascii="Times New Roman" w:cs="Times New Roman" w:eastAsia="Times New Roman" w:hAnsi="Times New Roman"/>
                <w:sz w:val="13"/>
                <w:szCs w:val="13"/>
                <w:color w:val="auto"/>
              </w:rPr>
              <w:t>Shield Rate will reduce the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0" w:type="dxa"/>
            <w:vAlign w:val="bottom"/>
            <w:gridSpan w:val="16"/>
          </w:tcPr>
          <w:p>
            <w:pPr>
              <w:jc w:val="center"/>
              <w:ind w:right="120"/>
              <w:spacing w:after="0" w:line="139" w:lineRule="exact"/>
              <w:rPr>
                <w:sz w:val="20"/>
                <w:szCs w:val="20"/>
                <w:color w:val="auto"/>
              </w:rPr>
            </w:pPr>
            <w:r>
              <w:rPr>
                <w:rFonts w:ascii="Times New Roman" w:cs="Times New Roman" w:eastAsia="Times New Roman" w:hAnsi="Times New Roman"/>
                <w:sz w:val="13"/>
                <w:szCs w:val="13"/>
                <w:color w:val="auto"/>
              </w:rPr>
              <w:t>Investment Amount associated with the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7"/>
          </w:tcPr>
          <w:p>
            <w:pPr>
              <w:jc w:val="right"/>
              <w:spacing w:after="0" w:line="139" w:lineRule="exact"/>
              <w:rPr>
                <w:sz w:val="20"/>
                <w:szCs w:val="20"/>
                <w:color w:val="auto"/>
              </w:rPr>
            </w:pPr>
            <w:r>
              <w:rPr>
                <w:rFonts w:ascii="Times New Roman" w:cs="Times New Roman" w:eastAsia="Times New Roman" w:hAnsi="Times New Roman"/>
                <w:sz w:val="13"/>
                <w:szCs w:val="13"/>
                <w:color w:val="auto"/>
              </w:rPr>
              <w:t>Shield Option. For example,</w:t>
            </w:r>
          </w:p>
        </w:tc>
      </w:tr>
      <w:tr>
        <w:trPr>
          <w:trHeight w:val="20"/>
        </w:trPr>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gridSpan w:val="2"/>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gridSpan w:val="3"/>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39"/>
        </w:trPr>
        <w:tc>
          <w:tcPr>
            <w:tcW w:w="460" w:type="dxa"/>
            <w:vAlign w:val="bottom"/>
            <w:gridSpan w:val="2"/>
          </w:tcPr>
          <w:p>
            <w:pPr>
              <w:spacing w:after="0" w:line="139" w:lineRule="exact"/>
              <w:rPr>
                <w:sz w:val="20"/>
                <w:szCs w:val="20"/>
                <w:color w:val="auto"/>
              </w:rPr>
            </w:pPr>
            <w:r>
              <w:rPr>
                <w:rFonts w:ascii="Times New Roman" w:cs="Times New Roman" w:eastAsia="Times New Roman" w:hAnsi="Times New Roman"/>
                <w:sz w:val="13"/>
                <w:szCs w:val="13"/>
                <w:color w:val="auto"/>
              </w:rPr>
              <w:t>-15%</w:t>
            </w:r>
          </w:p>
        </w:tc>
        <w:tc>
          <w:tcPr>
            <w:tcW w:w="140" w:type="dxa"/>
            <w:vAlign w:val="bottom"/>
          </w:tcPr>
          <w:p>
            <w:pPr>
              <w:spacing w:after="0"/>
              <w:rPr>
                <w:sz w:val="12"/>
                <w:szCs w:val="12"/>
                <w:color w:val="auto"/>
              </w:rPr>
            </w:pPr>
          </w:p>
        </w:tc>
        <w:tc>
          <w:tcPr>
            <w:tcW w:w="1900" w:type="dxa"/>
            <w:vAlign w:val="bottom"/>
            <w:gridSpan w:val="10"/>
          </w:tcPr>
          <w:p>
            <w:pPr>
              <w:jc w:val="center"/>
              <w:ind w:right="160"/>
              <w:spacing w:after="0" w:line="139" w:lineRule="exact"/>
              <w:rPr>
                <w:sz w:val="20"/>
                <w:szCs w:val="20"/>
                <w:color w:val="auto"/>
              </w:rPr>
            </w:pPr>
            <w:r>
              <w:rPr>
                <w:rFonts w:ascii="Times New Roman" w:cs="Times New Roman" w:eastAsia="Times New Roman" w:hAnsi="Times New Roman"/>
                <w:sz w:val="13"/>
                <w:szCs w:val="13"/>
                <w:color w:val="auto"/>
              </w:rPr>
              <w:t>Index Performance with a 10%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14"/>
          </w:tcPr>
          <w:p>
            <w:pPr>
              <w:spacing w:after="0" w:line="139" w:lineRule="exact"/>
              <w:rPr>
                <w:sz w:val="20"/>
                <w:szCs w:val="20"/>
                <w:color w:val="auto"/>
              </w:rPr>
            </w:pPr>
            <w:r>
              <w:rPr>
                <w:rFonts w:ascii="Times New Roman" w:cs="Times New Roman" w:eastAsia="Times New Roman" w:hAnsi="Times New Roman"/>
                <w:sz w:val="13"/>
                <w:szCs w:val="13"/>
                <w:color w:val="auto"/>
              </w:rPr>
              <w:t>Shield Rate will result in a -5%</w:t>
            </w:r>
          </w:p>
        </w:tc>
        <w:tc>
          <w:tcPr>
            <w:tcW w:w="260" w:type="dxa"/>
            <w:vAlign w:val="bottom"/>
          </w:tcPr>
          <w:p>
            <w:pPr>
              <w:spacing w:after="0"/>
              <w:rPr>
                <w:sz w:val="12"/>
                <w:szCs w:val="12"/>
                <w:color w:val="auto"/>
              </w:rPr>
            </w:pPr>
          </w:p>
        </w:tc>
        <w:tc>
          <w:tcPr>
            <w:tcW w:w="1240" w:type="dxa"/>
            <w:vAlign w:val="bottom"/>
            <w:gridSpan w:val="6"/>
          </w:tcPr>
          <w:p>
            <w:pPr>
              <w:jc w:val="right"/>
              <w:spacing w:after="0" w:line="139" w:lineRule="exact"/>
              <w:rPr>
                <w:sz w:val="20"/>
                <w:szCs w:val="20"/>
                <w:color w:val="auto"/>
              </w:rPr>
            </w:pPr>
            <w:r>
              <w:rPr>
                <w:rFonts w:ascii="Times New Roman" w:cs="Times New Roman" w:eastAsia="Times New Roman" w:hAnsi="Times New Roman"/>
                <w:sz w:val="13"/>
                <w:szCs w:val="13"/>
                <w:color w:val="auto"/>
              </w:rPr>
              <w:t>Performance Rate (the</w:t>
            </w:r>
          </w:p>
        </w:tc>
      </w:tr>
      <w:tr>
        <w:trPr>
          <w:trHeight w:val="20"/>
        </w:trPr>
        <w:tc>
          <w:tcPr>
            <w:tcW w:w="600" w:type="dxa"/>
            <w:vAlign w:val="bottom"/>
            <w:gridSpan w:val="3"/>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right w:val="single" w:sz="8" w:color="auto"/>
            </w:tcBorders>
            <w:gridSpan w:val="3"/>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80" w:type="dxa"/>
            <w:vAlign w:val="bottom"/>
            <w:gridSpan w:val="5"/>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39"/>
        </w:trPr>
        <w:tc>
          <w:tcPr>
            <w:tcW w:w="1320" w:type="dxa"/>
            <w:vAlign w:val="bottom"/>
            <w:gridSpan w:val="6"/>
          </w:tcPr>
          <w:p>
            <w:pPr>
              <w:spacing w:after="0" w:line="139" w:lineRule="exact"/>
              <w:rPr>
                <w:sz w:val="20"/>
                <w:szCs w:val="20"/>
                <w:color w:val="auto"/>
              </w:rPr>
            </w:pPr>
            <w:r>
              <w:rPr>
                <w:rFonts w:ascii="Times New Roman" w:cs="Times New Roman" w:eastAsia="Times New Roman" w:hAnsi="Times New Roman"/>
                <w:sz w:val="13"/>
                <w:szCs w:val="13"/>
                <w:color w:val="auto"/>
              </w:rPr>
              <w:t>amount of negative</w:t>
            </w:r>
          </w:p>
        </w:tc>
        <w:tc>
          <w:tcPr>
            <w:tcW w:w="32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auto"/>
              </w:rPr>
              <w:t>Index</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13"/>
          </w:tcPr>
          <w:p>
            <w:pPr>
              <w:spacing w:after="0" w:line="139" w:lineRule="exact"/>
              <w:rPr>
                <w:sz w:val="20"/>
                <w:szCs w:val="20"/>
                <w:color w:val="auto"/>
              </w:rPr>
            </w:pPr>
            <w:r>
              <w:rPr>
                <w:rFonts w:ascii="Times New Roman" w:cs="Times New Roman" w:eastAsia="Times New Roman" w:hAnsi="Times New Roman"/>
                <w:sz w:val="13"/>
                <w:szCs w:val="13"/>
                <w:color w:val="auto"/>
              </w:rPr>
              <w:t>Performance that exceeds the</w:t>
            </w:r>
          </w:p>
        </w:tc>
        <w:tc>
          <w:tcPr>
            <w:tcW w:w="160" w:type="dxa"/>
            <w:vAlign w:val="bottom"/>
          </w:tcPr>
          <w:p>
            <w:pPr>
              <w:spacing w:after="0"/>
              <w:rPr>
                <w:sz w:val="12"/>
                <w:szCs w:val="12"/>
                <w:color w:val="auto"/>
              </w:rPr>
            </w:pPr>
          </w:p>
        </w:tc>
        <w:tc>
          <w:tcPr>
            <w:tcW w:w="2380" w:type="dxa"/>
            <w:vAlign w:val="bottom"/>
            <w:gridSpan w:val="12"/>
          </w:tcPr>
          <w:p>
            <w:pPr>
              <w:jc w:val="right"/>
              <w:spacing w:after="0" w:line="139" w:lineRule="exact"/>
              <w:rPr>
                <w:sz w:val="20"/>
                <w:szCs w:val="20"/>
                <w:color w:val="auto"/>
              </w:rPr>
            </w:pPr>
            <w:r>
              <w:rPr>
                <w:rFonts w:ascii="Times New Roman" w:cs="Times New Roman" w:eastAsia="Times New Roman" w:hAnsi="Times New Roman"/>
                <w:sz w:val="13"/>
                <w:szCs w:val="13"/>
                <w:color w:val="auto"/>
              </w:rPr>
              <w:t>Shield Rate), meaning that we will reduce</w:t>
            </w:r>
          </w:p>
        </w:tc>
      </w:tr>
      <w:tr>
        <w:trPr>
          <w:trHeight w:val="20"/>
        </w:trPr>
        <w:tc>
          <w:tcPr>
            <w:tcW w:w="46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46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39"/>
        </w:trPr>
        <w:tc>
          <w:tcPr>
            <w:tcW w:w="460" w:type="dxa"/>
            <w:vAlign w:val="bottom"/>
            <w:gridSpan w:val="2"/>
          </w:tcPr>
          <w:p>
            <w:pPr>
              <w:spacing w:after="0" w:line="139" w:lineRule="exact"/>
              <w:rPr>
                <w:sz w:val="20"/>
                <w:szCs w:val="20"/>
                <w:color w:val="auto"/>
              </w:rPr>
            </w:pPr>
            <w:r>
              <w:rPr>
                <w:rFonts w:ascii="Times New Roman" w:cs="Times New Roman" w:eastAsia="Times New Roman" w:hAnsi="Times New Roman"/>
                <w:sz w:val="13"/>
                <w:szCs w:val="13"/>
                <w:color w:val="auto"/>
              </w:rPr>
              <w:t>the</w:t>
            </w:r>
          </w:p>
        </w:tc>
        <w:tc>
          <w:tcPr>
            <w:tcW w:w="2360" w:type="dxa"/>
            <w:vAlign w:val="bottom"/>
            <w:gridSpan w:val="15"/>
          </w:tcPr>
          <w:p>
            <w:pPr>
              <w:jc w:val="right"/>
              <w:ind w:right="194"/>
              <w:spacing w:after="0" w:line="139" w:lineRule="exact"/>
              <w:rPr>
                <w:sz w:val="20"/>
                <w:szCs w:val="20"/>
                <w:color w:val="auto"/>
              </w:rPr>
            </w:pPr>
            <w:r>
              <w:rPr>
                <w:rFonts w:ascii="Times New Roman" w:cs="Times New Roman" w:eastAsia="Times New Roman" w:hAnsi="Times New Roman"/>
                <w:sz w:val="13"/>
                <w:szCs w:val="13"/>
                <w:color w:val="auto"/>
              </w:rPr>
              <w:t>Investment Amount associated with the</w:t>
            </w:r>
          </w:p>
        </w:tc>
        <w:tc>
          <w:tcPr>
            <w:tcW w:w="420" w:type="dxa"/>
            <w:vAlign w:val="bottom"/>
            <w:gridSpan w:val="5"/>
          </w:tcPr>
          <w:p>
            <w:pPr>
              <w:ind w:left="20"/>
              <w:spacing w:after="0" w:line="139" w:lineRule="exact"/>
              <w:rPr>
                <w:sz w:val="20"/>
                <w:szCs w:val="20"/>
                <w:color w:val="auto"/>
              </w:rPr>
            </w:pPr>
            <w:r>
              <w:rPr>
                <w:rFonts w:ascii="Times New Roman" w:cs="Times New Roman" w:eastAsia="Times New Roman" w:hAnsi="Times New Roman"/>
                <w:sz w:val="13"/>
                <w:szCs w:val="13"/>
                <w:color w:val="auto"/>
              </w:rPr>
              <w:t>Shield</w:t>
            </w:r>
          </w:p>
        </w:tc>
        <w:tc>
          <w:tcPr>
            <w:tcW w:w="1080" w:type="dxa"/>
            <w:vAlign w:val="bottom"/>
            <w:gridSpan w:val="5"/>
          </w:tcPr>
          <w:p>
            <w:pPr>
              <w:ind w:left="240"/>
              <w:spacing w:after="0" w:line="139" w:lineRule="exact"/>
              <w:rPr>
                <w:sz w:val="20"/>
                <w:szCs w:val="20"/>
                <w:color w:val="auto"/>
              </w:rPr>
            </w:pPr>
            <w:r>
              <w:rPr>
                <w:rFonts w:ascii="Times New Roman" w:cs="Times New Roman" w:eastAsia="Times New Roman" w:hAnsi="Times New Roman"/>
                <w:sz w:val="13"/>
                <w:szCs w:val="13"/>
                <w:color w:val="auto"/>
              </w:rPr>
              <w:t>Option by -5%.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0"/>
        </w:trPr>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2055495</wp:posOffset>
            </wp:positionH>
            <wp:positionV relativeFrom="paragraph">
              <wp:posOffset>-875030</wp:posOffset>
            </wp:positionV>
            <wp:extent cx="25400"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400" cy="6350"/>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-767715</wp:posOffset>
            </wp:positionV>
            <wp:extent cx="25400"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400" cy="6350"/>
                    </a:xfrm>
                    <a:prstGeom prst="rect">
                      <a:avLst/>
                    </a:prstGeom>
                    <a:noFill/>
                  </pic:spPr>
                </pic:pic>
              </a:graphicData>
            </a:graphic>
          </wp:anchor>
        </w:drawing>
      </w:r>
    </w:p>
    <w:p>
      <w:pPr>
        <w:spacing w:after="0" w:line="64" w:lineRule="exact"/>
        <w:rPr>
          <w:sz w:val="20"/>
          <w:szCs w:val="20"/>
          <w:color w:val="auto"/>
        </w:rPr>
      </w:pPr>
    </w:p>
    <w:p>
      <w:pPr>
        <w:jc w:val="both"/>
        <w:ind w:right="3199" w:firstLine="265"/>
        <w:spacing w:after="0" w:line="260" w:lineRule="auto"/>
        <w:rPr>
          <w:sz w:val="20"/>
          <w:szCs w:val="20"/>
          <w:color w:val="auto"/>
        </w:rPr>
      </w:pPr>
      <w:r>
        <w:rPr>
          <w:rFonts w:ascii="Times New Roman" w:cs="Times New Roman" w:eastAsia="Times New Roman" w:hAnsi="Times New Roman"/>
          <w:sz w:val="13"/>
          <w:szCs w:val="13"/>
          <w:b w:val="1"/>
          <w:bCs w:val="1"/>
          <w:color w:val="auto"/>
        </w:rPr>
        <w:t xml:space="preserve">We do not guarantee that there will always be a </w:t>
      </w:r>
      <w:r>
        <w:rPr>
          <w:rFonts w:ascii="Times New Roman" w:cs="Times New Roman" w:eastAsia="Times New Roman" w:hAnsi="Times New Roman"/>
          <w:sz w:val="13"/>
          <w:szCs w:val="13"/>
          <w:b w:val="1"/>
          <w:bCs w:val="1"/>
          <w:u w:val="single" w:color="auto"/>
          <w:color w:val="auto"/>
        </w:rPr>
        <w:t>Shield Option</w:t>
      </w:r>
      <w:r>
        <w:rPr>
          <w:rFonts w:ascii="Times New Roman" w:cs="Times New Roman" w:eastAsia="Times New Roman" w:hAnsi="Times New Roman"/>
          <w:sz w:val="13"/>
          <w:szCs w:val="13"/>
          <w:b w:val="1"/>
          <w:bCs w:val="1"/>
          <w:color w:val="auto"/>
        </w:rPr>
        <w:t xml:space="preserve"> under the </w:t>
      </w:r>
      <w:r>
        <w:rPr>
          <w:rFonts w:ascii="Times New Roman" w:cs="Times New Roman" w:eastAsia="Times New Roman" w:hAnsi="Times New Roman"/>
          <w:sz w:val="13"/>
          <w:szCs w:val="13"/>
          <w:b w:val="1"/>
          <w:bCs w:val="1"/>
          <w:u w:val="single" w:color="auto"/>
          <w:color w:val="auto"/>
        </w:rPr>
        <w:t>Contract</w:t>
      </w:r>
      <w:r>
        <w:rPr>
          <w:rFonts w:ascii="Times New Roman" w:cs="Times New Roman" w:eastAsia="Times New Roman" w:hAnsi="Times New Roman"/>
          <w:sz w:val="13"/>
          <w:szCs w:val="13"/>
          <w:b w:val="1"/>
          <w:bCs w:val="1"/>
          <w:color w:val="auto"/>
        </w:rPr>
        <w:t xml:space="preserve"> that provides this minimum amount of downside protection; however, there will always be at least one </w:t>
      </w:r>
      <w:r>
        <w:rPr>
          <w:rFonts w:ascii="Times New Roman" w:cs="Times New Roman" w:eastAsia="Times New Roman" w:hAnsi="Times New Roman"/>
          <w:sz w:val="13"/>
          <w:szCs w:val="13"/>
          <w:b w:val="1"/>
          <w:bCs w:val="1"/>
          <w:u w:val="single" w:color="auto"/>
          <w:color w:val="auto"/>
        </w:rPr>
        <w:t>Shield Option</w:t>
      </w:r>
      <w:r>
        <w:rPr>
          <w:rFonts w:ascii="Times New Roman" w:cs="Times New Roman" w:eastAsia="Times New Roman" w:hAnsi="Times New Roman"/>
          <w:sz w:val="13"/>
          <w:szCs w:val="13"/>
          <w:b w:val="1"/>
          <w:bCs w:val="1"/>
          <w:color w:val="auto"/>
        </w:rPr>
        <w:t xml:space="preserve"> available, at the </w:t>
      </w:r>
      <w:r>
        <w:rPr>
          <w:rFonts w:ascii="Times New Roman" w:cs="Times New Roman" w:eastAsia="Times New Roman" w:hAnsi="Times New Roman"/>
          <w:sz w:val="13"/>
          <w:szCs w:val="13"/>
          <w:b w:val="1"/>
          <w:bCs w:val="1"/>
          <w:u w:val="single" w:color="auto"/>
          <w:color w:val="auto"/>
        </w:rPr>
        <w:t>Term End Date</w:t>
      </w:r>
      <w:r>
        <w:rPr>
          <w:rFonts w:ascii="Times New Roman" w:cs="Times New Roman" w:eastAsia="Times New Roman" w:hAnsi="Times New Roman"/>
          <w:sz w:val="13"/>
          <w:szCs w:val="13"/>
          <w:b w:val="1"/>
          <w:bCs w:val="1"/>
          <w:color w:val="auto"/>
        </w:rPr>
        <w:t xml:space="preserve">, that offers downside protection, although it may not be substantially similar to one of the currently available </w:t>
      </w:r>
      <w:r>
        <w:rPr>
          <w:rFonts w:ascii="Times New Roman" w:cs="Times New Roman" w:eastAsia="Times New Roman" w:hAnsi="Times New Roman"/>
          <w:sz w:val="13"/>
          <w:szCs w:val="13"/>
          <w:b w:val="1"/>
          <w:bCs w:val="1"/>
          <w:u w:val="single" w:color="auto"/>
          <w:color w:val="auto"/>
        </w:rPr>
        <w:t>Shield Options</w:t>
      </w:r>
      <w:r>
        <w:rPr>
          <w:rFonts w:ascii="Times New Roman" w:cs="Times New Roman" w:eastAsia="Times New Roman" w:hAnsi="Times New Roman"/>
          <w:sz w:val="13"/>
          <w:szCs w:val="13"/>
          <w:b w:val="1"/>
          <w:bCs w:val="1"/>
          <w:color w:val="auto"/>
        </w:rPr>
        <w:t xml:space="preserve">. Consequently, if we were to offer only one </w:t>
      </w:r>
      <w:r>
        <w:rPr>
          <w:rFonts w:ascii="Times New Roman" w:cs="Times New Roman" w:eastAsia="Times New Roman" w:hAnsi="Times New Roman"/>
          <w:sz w:val="13"/>
          <w:szCs w:val="13"/>
          <w:b w:val="1"/>
          <w:bCs w:val="1"/>
          <w:u w:val="single" w:color="auto"/>
          <w:color w:val="auto"/>
        </w:rPr>
        <w:t>Shield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b w:val="1"/>
          <w:bCs w:val="1"/>
          <w:u w:val="single" w:color="auto"/>
          <w:color w:val="auto"/>
        </w:rPr>
        <w:t>Option</w:t>
      </w:r>
      <w:r>
        <w:rPr>
          <w:rFonts w:ascii="Times New Roman" w:cs="Times New Roman" w:eastAsia="Times New Roman" w:hAnsi="Times New Roman"/>
          <w:sz w:val="13"/>
          <w:szCs w:val="13"/>
          <w:b w:val="1"/>
          <w:bCs w:val="1"/>
          <w:color w:val="auto"/>
        </w:rPr>
        <w:t xml:space="preserve">, you would be limited to investing in that one </w:t>
      </w:r>
      <w:r>
        <w:rPr>
          <w:rFonts w:ascii="Times New Roman" w:cs="Times New Roman" w:eastAsia="Times New Roman" w:hAnsi="Times New Roman"/>
          <w:sz w:val="13"/>
          <w:szCs w:val="13"/>
          <w:b w:val="1"/>
          <w:bCs w:val="1"/>
          <w:u w:val="single" w:color="auto"/>
          <w:color w:val="auto"/>
        </w:rPr>
        <w:t>Shield Option</w:t>
      </w:r>
      <w:r>
        <w:rPr>
          <w:rFonts w:ascii="Times New Roman" w:cs="Times New Roman" w:eastAsia="Times New Roman" w:hAnsi="Times New Roman"/>
          <w:sz w:val="13"/>
          <w:szCs w:val="13"/>
          <w:b w:val="1"/>
          <w:bCs w:val="1"/>
          <w:color w:val="auto"/>
        </w:rPr>
        <w:t xml:space="preserve">. If that </w:t>
      </w:r>
      <w:r>
        <w:rPr>
          <w:rFonts w:ascii="Times New Roman" w:cs="Times New Roman" w:eastAsia="Times New Roman" w:hAnsi="Times New Roman"/>
          <w:sz w:val="13"/>
          <w:szCs w:val="13"/>
          <w:b w:val="1"/>
          <w:bCs w:val="1"/>
          <w:u w:val="single" w:color="auto"/>
          <w:color w:val="auto"/>
        </w:rPr>
        <w:t>Shield Option</w:t>
      </w:r>
      <w:r>
        <w:rPr>
          <w:rFonts w:ascii="Times New Roman" w:cs="Times New Roman" w:eastAsia="Times New Roman" w:hAnsi="Times New Roman"/>
          <w:sz w:val="13"/>
          <w:szCs w:val="13"/>
          <w:b w:val="1"/>
          <w:bCs w:val="1"/>
          <w:color w:val="auto"/>
        </w:rPr>
        <w:t xml:space="preserve"> does not meet your investment objectives or financial goals, you could transfer to the </w:t>
      </w:r>
      <w:r>
        <w:rPr>
          <w:rFonts w:ascii="Times New Roman" w:cs="Times New Roman" w:eastAsia="Times New Roman" w:hAnsi="Times New Roman"/>
          <w:sz w:val="13"/>
          <w:szCs w:val="13"/>
          <w:b w:val="1"/>
          <w:bCs w:val="1"/>
          <w:u w:val="single" w:color="auto"/>
          <w:color w:val="auto"/>
        </w:rPr>
        <w:t>Fixed Account</w:t>
      </w:r>
      <w:r>
        <w:rPr>
          <w:rFonts w:ascii="Times New Roman" w:cs="Times New Roman" w:eastAsia="Times New Roman" w:hAnsi="Times New Roman"/>
          <w:sz w:val="13"/>
          <w:szCs w:val="13"/>
          <w:b w:val="1"/>
          <w:bCs w:val="1"/>
          <w:color w:val="auto"/>
        </w:rPr>
        <w:t xml:space="preserve"> (if available at that time and subject to applicable conditions described in the “TRANSFERS” section, including the requirement to remain invested in the </w:t>
      </w:r>
      <w:r>
        <w:rPr>
          <w:rFonts w:ascii="Times New Roman" w:cs="Times New Roman" w:eastAsia="Times New Roman" w:hAnsi="Times New Roman"/>
          <w:sz w:val="13"/>
          <w:szCs w:val="13"/>
          <w:b w:val="1"/>
          <w:bCs w:val="1"/>
          <w:u w:val="single" w:color="auto"/>
          <w:color w:val="auto"/>
        </w:rPr>
        <w:t>Fixed Account</w:t>
      </w:r>
      <w:r>
        <w:rPr>
          <w:rFonts w:ascii="Times New Roman" w:cs="Times New Roman" w:eastAsia="Times New Roman" w:hAnsi="Times New Roman"/>
          <w:sz w:val="13"/>
          <w:szCs w:val="13"/>
          <w:b w:val="1"/>
          <w:bCs w:val="1"/>
          <w:color w:val="auto"/>
        </w:rPr>
        <w:t xml:space="preserve"> until the Fixed Account Term End Date),</w:t>
      </w:r>
    </w:p>
    <w:p>
      <w:pPr>
        <w:spacing w:after="0" w:line="19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259"/>
          </w:cols>
          <w:pgMar w:left="1200" w:top="1047" w:right="1440" w:bottom="1440" w:gutter="0" w:footer="0" w:header="0"/>
        </w:sectPr>
      </w:pPr>
    </w:p>
    <w:bookmarkStart w:id="11" w:name="page12"/>
    <w:bookmarkEnd w:id="11"/>
    <w:p>
      <w:pPr>
        <w:jc w:val="both"/>
        <w:ind w:right="3199"/>
        <w:spacing w:after="0" w:line="274" w:lineRule="auto"/>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3915" cy="38100"/>
                    </a:xfrm>
                    <a:prstGeom prst="rect">
                      <a:avLst/>
                    </a:prstGeom>
                    <a:noFill/>
                  </pic:spPr>
                </pic:pic>
              </a:graphicData>
            </a:graphic>
          </wp:anchor>
        </w:drawing>
        <w:t>Surrender</w:t>
      </w:r>
      <w:r>
        <w:rPr>
          <w:rFonts w:ascii="Times New Roman" w:cs="Times New Roman" w:eastAsia="Times New Roman" w:hAnsi="Times New Roman"/>
          <w:sz w:val="13"/>
          <w:szCs w:val="13"/>
          <w:b w:val="1"/>
          <w:bCs w:val="1"/>
          <w:color w:val="auto"/>
        </w:rPr>
        <w:t xml:space="preserve"> your </w:t>
      </w:r>
      <w:r>
        <w:rPr>
          <w:rFonts w:ascii="Times New Roman" w:cs="Times New Roman" w:eastAsia="Times New Roman" w:hAnsi="Times New Roman"/>
          <w:sz w:val="13"/>
          <w:szCs w:val="13"/>
          <w:b w:val="1"/>
          <w:bCs w:val="1"/>
          <w:u w:val="single" w:color="auto"/>
          <w:color w:val="auto"/>
        </w:rPr>
        <w:t>Contract</w:t>
      </w:r>
      <w:r>
        <w:rPr>
          <w:rFonts w:ascii="Times New Roman" w:cs="Times New Roman" w:eastAsia="Times New Roman" w:hAnsi="Times New Roman"/>
          <w:sz w:val="13"/>
          <w:szCs w:val="13"/>
          <w:b w:val="1"/>
          <w:bCs w:val="1"/>
          <w:color w:val="auto"/>
        </w:rPr>
        <w:t xml:space="preserve"> and/or invest in another investment vehicle. If you </w:t>
      </w:r>
      <w:r>
        <w:rPr>
          <w:rFonts w:ascii="Times New Roman" w:cs="Times New Roman" w:eastAsia="Times New Roman" w:hAnsi="Times New Roman"/>
          <w:sz w:val="13"/>
          <w:szCs w:val="13"/>
          <w:b w:val="1"/>
          <w:bCs w:val="1"/>
          <w:u w:val="single" w:color="auto"/>
          <w:color w:val="auto"/>
        </w:rPr>
        <w:t>Surrender</w:t>
      </w:r>
      <w:r>
        <w:rPr>
          <w:rFonts w:ascii="Times New Roman" w:cs="Times New Roman" w:eastAsia="Times New Roman" w:hAnsi="Times New Roman"/>
          <w:sz w:val="13"/>
          <w:szCs w:val="13"/>
          <w:b w:val="1"/>
          <w:bCs w:val="1"/>
          <w:color w:val="auto"/>
        </w:rPr>
        <w:t xml:space="preserve"> your </w:t>
      </w:r>
      <w:r>
        <w:rPr>
          <w:rFonts w:ascii="Times New Roman" w:cs="Times New Roman" w:eastAsia="Times New Roman" w:hAnsi="Times New Roman"/>
          <w:sz w:val="13"/>
          <w:szCs w:val="13"/>
          <w:b w:val="1"/>
          <w:bCs w:val="1"/>
          <w:u w:val="single" w:color="auto"/>
          <w:color w:val="auto"/>
        </w:rPr>
        <w:t>Contract</w:t>
      </w:r>
      <w:r>
        <w:rPr>
          <w:rFonts w:ascii="Times New Roman" w:cs="Times New Roman" w:eastAsia="Times New Roman" w:hAnsi="Times New Roman"/>
          <w:sz w:val="13"/>
          <w:szCs w:val="13"/>
          <w:b w:val="1"/>
          <w:bCs w:val="1"/>
          <w:color w:val="auto"/>
        </w:rPr>
        <w:t xml:space="preserve">, you might incur taxes, tax penalties, or an </w:t>
      </w:r>
      <w:r>
        <w:rPr>
          <w:rFonts w:ascii="Times New Roman" w:cs="Times New Roman" w:eastAsia="Times New Roman" w:hAnsi="Times New Roman"/>
          <w:sz w:val="13"/>
          <w:szCs w:val="13"/>
          <w:b w:val="1"/>
          <w:bCs w:val="1"/>
          <w:u w:val="single" w:color="auto"/>
          <w:color w:val="auto"/>
        </w:rPr>
        <w:t>Interim Value</w:t>
      </w:r>
      <w:r>
        <w:rPr>
          <w:rFonts w:ascii="Times New Roman" w:cs="Times New Roman" w:eastAsia="Times New Roman" w:hAnsi="Times New Roman"/>
          <w:sz w:val="13"/>
          <w:szCs w:val="13"/>
          <w:b w:val="1"/>
          <w:bCs w:val="1"/>
          <w:color w:val="auto"/>
        </w:rPr>
        <w:t xml:space="preserve"> calculation. If you invest in another investment vehicle, that investment may have different features, fees and risks than your </w:t>
      </w:r>
      <w:r>
        <w:rPr>
          <w:rFonts w:ascii="Times New Roman" w:cs="Times New Roman" w:eastAsia="Times New Roman" w:hAnsi="Times New Roman"/>
          <w:sz w:val="13"/>
          <w:szCs w:val="13"/>
          <w:b w:val="1"/>
          <w:bCs w:val="1"/>
          <w:u w:val="single" w:color="auto"/>
          <w:color w:val="auto"/>
        </w:rPr>
        <w:t>Contract</w:t>
      </w:r>
      <w:r>
        <w:rPr>
          <w:rFonts w:ascii="Times New Roman" w:cs="Times New Roman" w:eastAsia="Times New Roman" w:hAnsi="Times New Roman"/>
          <w:sz w:val="13"/>
          <w:szCs w:val="13"/>
          <w:b w:val="1"/>
          <w:bCs w:val="1"/>
          <w:color w:val="auto"/>
        </w:rPr>
        <w:t>.</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Each</w:t>
            </w:r>
          </w:p>
        </w:tc>
        <w:tc>
          <w:tcPr>
            <w:tcW w:w="280" w:type="dxa"/>
            <w:vAlign w:val="bottom"/>
          </w:tcPr>
          <w:p>
            <w:pPr>
              <w:spacing w:after="0"/>
              <w:rPr>
                <w:sz w:val="12"/>
                <w:szCs w:val="12"/>
                <w:color w:val="auto"/>
              </w:rPr>
            </w:pPr>
          </w:p>
        </w:tc>
        <w:tc>
          <w:tcPr>
            <w:tcW w:w="154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Shield Option also has a</w:t>
            </w:r>
          </w:p>
        </w:tc>
        <w:tc>
          <w:tcPr>
            <w:tcW w:w="180" w:type="dxa"/>
            <w:vAlign w:val="bottom"/>
          </w:tcPr>
          <w:p>
            <w:pPr>
              <w:spacing w:after="0"/>
              <w:rPr>
                <w:sz w:val="12"/>
                <w:szCs w:val="12"/>
                <w:color w:val="auto"/>
              </w:rPr>
            </w:pPr>
          </w:p>
        </w:tc>
        <w:tc>
          <w:tcPr>
            <w:tcW w:w="1480" w:type="dxa"/>
            <w:vAlign w:val="bottom"/>
            <w:gridSpan w:val="9"/>
          </w:tcPr>
          <w:p>
            <w:pPr>
              <w:spacing w:after="0"/>
              <w:rPr>
                <w:sz w:val="20"/>
                <w:szCs w:val="20"/>
                <w:color w:val="auto"/>
              </w:rPr>
            </w:pPr>
            <w:r>
              <w:rPr>
                <w:rFonts w:ascii="Times New Roman" w:cs="Times New Roman" w:eastAsia="Times New Roman" w:hAnsi="Times New Roman"/>
                <w:sz w:val="13"/>
                <w:szCs w:val="13"/>
                <w:color w:val="auto"/>
              </w:rPr>
              <w:t>Rate Crediting Type. The</w:t>
            </w:r>
          </w:p>
        </w:tc>
        <w:tc>
          <w:tcPr>
            <w:tcW w:w="980" w:type="dxa"/>
            <w:vAlign w:val="bottom"/>
            <w:gridSpan w:val="4"/>
          </w:tcPr>
          <w:p>
            <w:pPr>
              <w:ind w:left="280"/>
              <w:spacing w:after="0"/>
              <w:rPr>
                <w:sz w:val="20"/>
                <w:szCs w:val="20"/>
                <w:color w:val="auto"/>
              </w:rPr>
            </w:pPr>
            <w:r>
              <w:rPr>
                <w:rFonts w:ascii="Times New Roman" w:cs="Times New Roman" w:eastAsia="Times New Roman" w:hAnsi="Times New Roman"/>
                <w:sz w:val="13"/>
                <w:szCs w:val="13"/>
                <w:color w:val="auto"/>
              </w:rPr>
              <w:t>Cap Rate,</w:t>
            </w:r>
          </w:p>
        </w:tc>
        <w:tc>
          <w:tcPr>
            <w:tcW w:w="1040" w:type="dxa"/>
            <w:vAlign w:val="bottom"/>
            <w:gridSpan w:val="6"/>
          </w:tcPr>
          <w:p>
            <w:pPr>
              <w:jc w:val="right"/>
              <w:spacing w:after="0"/>
              <w:rPr>
                <w:sz w:val="20"/>
                <w:szCs w:val="20"/>
                <w:color w:val="auto"/>
              </w:rPr>
            </w:pPr>
            <w:r>
              <w:rPr>
                <w:rFonts w:ascii="Times New Roman" w:cs="Times New Roman" w:eastAsia="Times New Roman" w:hAnsi="Times New Roman"/>
                <w:sz w:val="13"/>
                <w:szCs w:val="13"/>
                <w:color w:val="auto"/>
              </w:rPr>
              <w:t>Step Rate, and</w:t>
            </w:r>
          </w:p>
        </w:tc>
      </w:tr>
      <w:tr>
        <w:trPr>
          <w:trHeight w:val="20"/>
        </w:trPr>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9"/>
        </w:trPr>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4"/>
          </w:tcPr>
          <w:p>
            <w:pPr>
              <w:spacing w:after="0" w:line="139" w:lineRule="exact"/>
              <w:rPr>
                <w:sz w:val="20"/>
                <w:szCs w:val="20"/>
                <w:color w:val="auto"/>
              </w:rPr>
            </w:pPr>
            <w:r>
              <w:rPr>
                <w:rFonts w:ascii="Times New Roman" w:cs="Times New Roman" w:eastAsia="Times New Roman" w:hAnsi="Times New Roman"/>
                <w:sz w:val="13"/>
                <w:szCs w:val="13"/>
                <w:color w:val="auto"/>
              </w:rPr>
              <w:t>Step Rate Edge (each, a</w:t>
            </w:r>
          </w:p>
        </w:tc>
        <w:tc>
          <w:tcPr>
            <w:tcW w:w="80" w:type="dxa"/>
            <w:vAlign w:val="bottom"/>
          </w:tcPr>
          <w:p>
            <w:pPr>
              <w:spacing w:after="0"/>
              <w:rPr>
                <w:sz w:val="12"/>
                <w:szCs w:val="12"/>
                <w:color w:val="auto"/>
              </w:rPr>
            </w:pPr>
          </w:p>
        </w:tc>
        <w:tc>
          <w:tcPr>
            <w:tcW w:w="1040" w:type="dxa"/>
            <w:vAlign w:val="bottom"/>
            <w:gridSpan w:val="5"/>
          </w:tcPr>
          <w:p>
            <w:pPr>
              <w:ind w:left="200"/>
              <w:spacing w:after="0" w:line="139" w:lineRule="exact"/>
              <w:rPr>
                <w:sz w:val="20"/>
                <w:szCs w:val="20"/>
                <w:color w:val="auto"/>
              </w:rPr>
            </w:pPr>
            <w:r>
              <w:rPr>
                <w:rFonts w:ascii="Times New Roman" w:cs="Times New Roman" w:eastAsia="Times New Roman" w:hAnsi="Times New Roman"/>
                <w:sz w:val="13"/>
                <w:szCs w:val="13"/>
                <w:color w:val="auto"/>
                <w:w w:val="99"/>
              </w:rPr>
              <w:t>“Rate Crediting</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20" w:type="dxa"/>
            <w:vAlign w:val="bottom"/>
            <w:gridSpan w:val="16"/>
          </w:tcPr>
          <w:p>
            <w:pPr>
              <w:jc w:val="right"/>
              <w:ind w:right="20"/>
              <w:spacing w:after="0" w:line="139" w:lineRule="exact"/>
              <w:rPr>
                <w:sz w:val="20"/>
                <w:szCs w:val="20"/>
                <w:color w:val="auto"/>
              </w:rPr>
            </w:pPr>
            <w:r>
              <w:rPr>
                <w:rFonts w:ascii="Times New Roman" w:cs="Times New Roman" w:eastAsia="Times New Roman" w:hAnsi="Times New Roman"/>
                <w:sz w:val="13"/>
                <w:szCs w:val="13"/>
                <w:color w:val="auto"/>
              </w:rPr>
              <w:t>Type”) are the three ways we offer that you can potentially</w:t>
            </w:r>
          </w:p>
        </w:tc>
      </w:tr>
      <w:tr>
        <w:trPr>
          <w:trHeight w:val="20"/>
        </w:trPr>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9"/>
        </w:trPr>
        <w:tc>
          <w:tcPr>
            <w:tcW w:w="3280" w:type="dxa"/>
            <w:vAlign w:val="bottom"/>
            <w:gridSpan w:val="16"/>
          </w:tcPr>
          <w:p>
            <w:pPr>
              <w:spacing w:after="0" w:line="139" w:lineRule="exact"/>
              <w:rPr>
                <w:sz w:val="20"/>
                <w:szCs w:val="20"/>
                <w:color w:val="auto"/>
              </w:rPr>
            </w:pPr>
            <w:r>
              <w:rPr>
                <w:rFonts w:ascii="Times New Roman" w:cs="Times New Roman" w:eastAsia="Times New Roman" w:hAnsi="Times New Roman"/>
                <w:sz w:val="13"/>
                <w:szCs w:val="13"/>
                <w:color w:val="auto"/>
              </w:rPr>
              <w:t>receive positive interest based on the performance of an</w:t>
            </w:r>
          </w:p>
        </w:tc>
        <w:tc>
          <w:tcPr>
            <w:tcW w:w="1760" w:type="dxa"/>
            <w:vAlign w:val="bottom"/>
            <w:gridSpan w:val="8"/>
          </w:tcPr>
          <w:p>
            <w:pPr>
              <w:spacing w:after="0" w:line="139" w:lineRule="exact"/>
              <w:rPr>
                <w:sz w:val="20"/>
                <w:szCs w:val="20"/>
                <w:color w:val="auto"/>
              </w:rPr>
            </w:pPr>
            <w:r>
              <w:rPr>
                <w:rFonts w:ascii="Times New Roman" w:cs="Times New Roman" w:eastAsia="Times New Roman" w:hAnsi="Times New Roman"/>
                <w:sz w:val="13"/>
                <w:szCs w:val="13"/>
                <w:color w:val="auto"/>
              </w:rPr>
              <w:t>Index. We limit the positive</w:t>
            </w:r>
          </w:p>
        </w:tc>
        <w:tc>
          <w:tcPr>
            <w:tcW w:w="1040" w:type="dxa"/>
            <w:vAlign w:val="bottom"/>
            <w:gridSpan w:val="6"/>
          </w:tcPr>
          <w:p>
            <w:pPr>
              <w:jc w:val="right"/>
              <w:ind w:right="20"/>
              <w:spacing w:after="0" w:line="139" w:lineRule="exact"/>
              <w:rPr>
                <w:sz w:val="20"/>
                <w:szCs w:val="20"/>
                <w:color w:val="auto"/>
              </w:rPr>
            </w:pPr>
            <w:r>
              <w:rPr>
                <w:rFonts w:ascii="Times New Roman" w:cs="Times New Roman" w:eastAsia="Times New Roman" w:hAnsi="Times New Roman"/>
                <w:sz w:val="13"/>
                <w:szCs w:val="13"/>
                <w:color w:val="auto"/>
              </w:rPr>
              <w:t>Index Performance</w:t>
            </w:r>
          </w:p>
        </w:tc>
      </w:tr>
      <w:tr>
        <w:trPr>
          <w:trHeight w:val="20"/>
        </w:trPr>
        <w:tc>
          <w:tcPr>
            <w:tcW w:w="24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139"/>
        </w:trPr>
        <w:tc>
          <w:tcPr>
            <w:tcW w:w="2400" w:type="dxa"/>
            <w:vAlign w:val="bottom"/>
            <w:gridSpan w:val="10"/>
          </w:tcPr>
          <w:p>
            <w:pPr>
              <w:spacing w:after="0" w:line="139" w:lineRule="exact"/>
              <w:rPr>
                <w:sz w:val="20"/>
                <w:szCs w:val="20"/>
                <w:color w:val="auto"/>
              </w:rPr>
            </w:pPr>
            <w:r>
              <w:rPr>
                <w:rFonts w:ascii="Times New Roman" w:cs="Times New Roman" w:eastAsia="Times New Roman" w:hAnsi="Times New Roman"/>
                <w:sz w:val="13"/>
                <w:szCs w:val="13"/>
                <w:color w:val="auto"/>
              </w:rPr>
              <w:t>used in calculating the interest credited to a</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8"/>
          </w:tcPr>
          <w:p>
            <w:pPr>
              <w:spacing w:after="0" w:line="139" w:lineRule="exact"/>
              <w:rPr>
                <w:sz w:val="20"/>
                <w:szCs w:val="20"/>
                <w:color w:val="auto"/>
              </w:rPr>
            </w:pPr>
            <w:r>
              <w:rPr>
                <w:rFonts w:ascii="Times New Roman" w:cs="Times New Roman" w:eastAsia="Times New Roman" w:hAnsi="Times New Roman"/>
                <w:sz w:val="13"/>
                <w:szCs w:val="13"/>
                <w:color w:val="auto"/>
              </w:rPr>
              <w:t>Shield Option at the</w:t>
            </w:r>
          </w:p>
        </w:tc>
        <w:tc>
          <w:tcPr>
            <w:tcW w:w="1500" w:type="dxa"/>
            <w:vAlign w:val="bottom"/>
            <w:gridSpan w:val="6"/>
          </w:tcPr>
          <w:p>
            <w:pPr>
              <w:spacing w:after="0" w:line="139" w:lineRule="exact"/>
              <w:rPr>
                <w:sz w:val="20"/>
                <w:szCs w:val="20"/>
                <w:color w:val="auto"/>
              </w:rPr>
            </w:pPr>
            <w:r>
              <w:rPr>
                <w:rFonts w:ascii="Times New Roman" w:cs="Times New Roman" w:eastAsia="Times New Roman" w:hAnsi="Times New Roman"/>
                <w:sz w:val="13"/>
                <w:szCs w:val="13"/>
                <w:color w:val="auto"/>
              </w:rPr>
              <w:t>Term End Date through the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gridSpan w:val="2"/>
          </w:tcPr>
          <w:p>
            <w:pPr>
              <w:jc w:val="right"/>
              <w:ind w:right="20"/>
              <w:spacing w:after="0" w:line="139" w:lineRule="exact"/>
              <w:rPr>
                <w:sz w:val="20"/>
                <w:szCs w:val="20"/>
                <w:color w:val="auto"/>
              </w:rPr>
            </w:pPr>
            <w:r>
              <w:rPr>
                <w:rFonts w:ascii="Times New Roman" w:cs="Times New Roman" w:eastAsia="Times New Roman" w:hAnsi="Times New Roman"/>
                <w:sz w:val="13"/>
                <w:szCs w:val="13"/>
                <w:color w:val="auto"/>
                <w:w w:val="85"/>
              </w:rPr>
              <w:t>Cap</w:t>
            </w:r>
          </w:p>
        </w:tc>
      </w:tr>
      <w:tr>
        <w:trPr>
          <w:trHeight w:val="20"/>
        </w:trPr>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9"/>
        </w:trPr>
        <w:tc>
          <w:tcPr>
            <w:tcW w:w="580" w:type="dxa"/>
            <w:vAlign w:val="bottom"/>
            <w:gridSpan w:val="3"/>
          </w:tcPr>
          <w:p>
            <w:pPr>
              <w:spacing w:after="0" w:line="139" w:lineRule="exact"/>
              <w:rPr>
                <w:sz w:val="20"/>
                <w:szCs w:val="20"/>
                <w:color w:val="auto"/>
              </w:rPr>
            </w:pPr>
            <w:r>
              <w:rPr>
                <w:rFonts w:ascii="Times New Roman" w:cs="Times New Roman" w:eastAsia="Times New Roman" w:hAnsi="Times New Roman"/>
                <w:sz w:val="13"/>
                <w:szCs w:val="13"/>
                <w:color w:val="auto"/>
              </w:rPr>
              <w:t>Rate,</w:t>
            </w:r>
          </w:p>
        </w:tc>
        <w:tc>
          <w:tcPr>
            <w:tcW w:w="960" w:type="dxa"/>
            <w:vAlign w:val="bottom"/>
            <w:gridSpan w:val="3"/>
          </w:tcPr>
          <w:p>
            <w:pPr>
              <w:spacing w:after="0" w:line="139" w:lineRule="exact"/>
              <w:rPr>
                <w:sz w:val="20"/>
                <w:szCs w:val="20"/>
                <w:color w:val="auto"/>
              </w:rPr>
            </w:pPr>
            <w:r>
              <w:rPr>
                <w:rFonts w:ascii="Times New Roman" w:cs="Times New Roman" w:eastAsia="Times New Roman" w:hAnsi="Times New Roman"/>
                <w:sz w:val="13"/>
                <w:szCs w:val="13"/>
                <w:color w:val="auto"/>
              </w:rPr>
              <w:t>Step Rate, or</w:t>
            </w:r>
          </w:p>
        </w:tc>
        <w:tc>
          <w:tcPr>
            <w:tcW w:w="4020" w:type="dxa"/>
            <w:vAlign w:val="bottom"/>
            <w:gridSpan w:val="20"/>
          </w:tcPr>
          <w:p>
            <w:pPr>
              <w:ind w:left="20"/>
              <w:spacing w:after="0" w:line="139" w:lineRule="exact"/>
              <w:rPr>
                <w:sz w:val="20"/>
                <w:szCs w:val="20"/>
                <w:color w:val="auto"/>
              </w:rPr>
            </w:pPr>
            <w:r>
              <w:rPr>
                <w:rFonts w:ascii="Times New Roman" w:cs="Times New Roman" w:eastAsia="Times New Roman" w:hAnsi="Times New Roman"/>
                <w:sz w:val="13"/>
                <w:szCs w:val="13"/>
                <w:color w:val="auto"/>
              </w:rPr>
              <w:t>Step Rate Edge. Positive interest may be credited up to the specified</w:t>
            </w:r>
          </w:p>
        </w:tc>
        <w:tc>
          <w:tcPr>
            <w:tcW w:w="520" w:type="dxa"/>
            <w:vAlign w:val="bottom"/>
            <w:gridSpan w:val="4"/>
          </w:tcPr>
          <w:p>
            <w:pPr>
              <w:jc w:val="right"/>
              <w:ind w:right="20"/>
              <w:spacing w:after="0" w:line="139" w:lineRule="exact"/>
              <w:rPr>
                <w:sz w:val="20"/>
                <w:szCs w:val="20"/>
                <w:color w:val="auto"/>
              </w:rPr>
            </w:pPr>
            <w:r>
              <w:rPr>
                <w:rFonts w:ascii="Times New Roman" w:cs="Times New Roman" w:eastAsia="Times New Roman" w:hAnsi="Times New Roman"/>
                <w:sz w:val="13"/>
                <w:szCs w:val="13"/>
                <w:color w:val="auto"/>
                <w:w w:val="99"/>
              </w:rPr>
              <w:t>Cap Rate</w:t>
            </w:r>
          </w:p>
        </w:tc>
      </w:tr>
      <w:tr>
        <w:trPr>
          <w:trHeight w:val="20"/>
        </w:trPr>
        <w:tc>
          <w:tcPr>
            <w:tcW w:w="24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9"/>
        </w:trPr>
        <w:tc>
          <w:tcPr>
            <w:tcW w:w="1540" w:type="dxa"/>
            <w:vAlign w:val="bottom"/>
            <w:gridSpan w:val="6"/>
          </w:tcPr>
          <w:p>
            <w:pPr>
              <w:spacing w:after="0" w:line="139" w:lineRule="exact"/>
              <w:rPr>
                <w:sz w:val="20"/>
                <w:szCs w:val="20"/>
                <w:color w:val="auto"/>
              </w:rPr>
            </w:pPr>
            <w:r>
              <w:rPr>
                <w:rFonts w:ascii="Times New Roman" w:cs="Times New Roman" w:eastAsia="Times New Roman" w:hAnsi="Times New Roman"/>
                <w:sz w:val="13"/>
                <w:szCs w:val="13"/>
                <w:color w:val="auto"/>
              </w:rPr>
              <w:t>or equal to the specified</w:t>
            </w:r>
          </w:p>
        </w:tc>
        <w:tc>
          <w:tcPr>
            <w:tcW w:w="80" w:type="dxa"/>
            <w:vAlign w:val="bottom"/>
          </w:tcPr>
          <w:p>
            <w:pPr>
              <w:spacing w:after="0"/>
              <w:rPr>
                <w:sz w:val="12"/>
                <w:szCs w:val="12"/>
                <w:color w:val="auto"/>
              </w:rPr>
            </w:pPr>
          </w:p>
        </w:tc>
        <w:tc>
          <w:tcPr>
            <w:tcW w:w="780" w:type="dxa"/>
            <w:vAlign w:val="bottom"/>
            <w:gridSpan w:val="3"/>
          </w:tcPr>
          <w:p>
            <w:pPr>
              <w:spacing w:after="0" w:line="139" w:lineRule="exact"/>
              <w:rPr>
                <w:sz w:val="20"/>
                <w:szCs w:val="20"/>
                <w:color w:val="auto"/>
              </w:rPr>
            </w:pPr>
            <w:r>
              <w:rPr>
                <w:rFonts w:ascii="Times New Roman" w:cs="Times New Roman" w:eastAsia="Times New Roman" w:hAnsi="Times New Roman"/>
                <w:sz w:val="13"/>
                <w:szCs w:val="13"/>
                <w:color w:val="auto"/>
              </w:rPr>
              <w:t>Step Rate or</w:t>
            </w:r>
          </w:p>
        </w:tc>
        <w:tc>
          <w:tcPr>
            <w:tcW w:w="880" w:type="dxa"/>
            <w:vAlign w:val="bottom"/>
            <w:gridSpan w:val="6"/>
          </w:tcPr>
          <w:p>
            <w:pPr>
              <w:ind w:left="120"/>
              <w:spacing w:after="0" w:line="139" w:lineRule="exact"/>
              <w:rPr>
                <w:sz w:val="20"/>
                <w:szCs w:val="20"/>
                <w:color w:val="auto"/>
              </w:rPr>
            </w:pPr>
            <w:r>
              <w:rPr>
                <w:rFonts w:ascii="Times New Roman" w:cs="Times New Roman" w:eastAsia="Times New Roman" w:hAnsi="Times New Roman"/>
                <w:sz w:val="13"/>
                <w:szCs w:val="13"/>
                <w:color w:val="auto"/>
              </w:rPr>
              <w:t>Edge Rate.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left="420" w:right="3259" w:hanging="157"/>
        <w:spacing w:after="0" w:line="271" w:lineRule="auto"/>
        <w:tabs>
          <w:tab w:leader="none" w:pos="4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w:t>
      </w:r>
      <w:r>
        <w:rPr>
          <w:rFonts w:ascii="Times New Roman" w:cs="Times New Roman" w:eastAsia="Times New Roman" w:hAnsi="Times New Roman"/>
          <w:sz w:val="13"/>
          <w:szCs w:val="13"/>
          <w:u w:val="single" w:color="auto"/>
          <w:color w:val="auto"/>
        </w:rPr>
        <w:t>Cap Rate</w:t>
      </w:r>
      <w:r>
        <w:rPr>
          <w:rFonts w:ascii="Times New Roman" w:cs="Times New Roman" w:eastAsia="Times New Roman" w:hAnsi="Times New Roman"/>
          <w:sz w:val="13"/>
          <w:szCs w:val="13"/>
          <w:color w:val="auto"/>
        </w:rPr>
        <w:t xml:space="preserve"> is the maximum rate that may be credited at the </w:t>
      </w:r>
      <w:r>
        <w:rPr>
          <w:rFonts w:ascii="Times New Roman" w:cs="Times New Roman" w:eastAsia="Times New Roman" w:hAnsi="Times New Roman"/>
          <w:sz w:val="13"/>
          <w:szCs w:val="13"/>
          <w:u w:val="single" w:color="auto"/>
          <w:color w:val="auto"/>
        </w:rPr>
        <w:t>Term End Date</w:t>
      </w:r>
      <w:r>
        <w:rPr>
          <w:rFonts w:ascii="Times New Roman" w:cs="Times New Roman" w:eastAsia="Times New Roman" w:hAnsi="Times New Roman"/>
          <w:sz w:val="13"/>
          <w:szCs w:val="13"/>
          <w:color w:val="auto"/>
        </w:rPr>
        <w:t xml:space="preserve"> based on </w:t>
      </w:r>
      <w:r>
        <w:rPr>
          <w:rFonts w:ascii="Times New Roman" w:cs="Times New Roman" w:eastAsia="Times New Roman" w:hAnsi="Times New Roman"/>
          <w:sz w:val="13"/>
          <w:szCs w:val="13"/>
          <w:u w:val="single" w:color="auto"/>
          <w:color w:val="auto"/>
        </w:rPr>
        <w:t>Index</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Performance</w:t>
      </w:r>
      <w:r>
        <w:rPr>
          <w:rFonts w:ascii="Times New Roman" w:cs="Times New Roman" w:eastAsia="Times New Roman" w:hAnsi="Times New Roman"/>
          <w:sz w:val="13"/>
          <w:szCs w:val="13"/>
          <w:color w:val="auto"/>
        </w:rPr>
        <w:t xml:space="preserve">. For example, if you invest in a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with a 10% </w:t>
      </w:r>
      <w:r>
        <w:rPr>
          <w:rFonts w:ascii="Times New Roman" w:cs="Times New Roman" w:eastAsia="Times New Roman" w:hAnsi="Times New Roman"/>
          <w:sz w:val="13"/>
          <w:szCs w:val="13"/>
          <w:u w:val="single" w:color="auto"/>
          <w:color w:val="auto"/>
        </w:rPr>
        <w:t>Cap Rate</w:t>
      </w:r>
      <w:r>
        <w:rPr>
          <w:rFonts w:ascii="Times New Roman" w:cs="Times New Roman" w:eastAsia="Times New Roman" w:hAnsi="Times New Roman"/>
          <w:sz w:val="13"/>
          <w:szCs w:val="13"/>
          <w:color w:val="auto"/>
        </w:rPr>
        <w:t xml:space="preserve"> , and the </w:t>
      </w:r>
      <w:r>
        <w:rPr>
          <w:rFonts w:ascii="Times New Roman" w:cs="Times New Roman" w:eastAsia="Times New Roman" w:hAnsi="Times New Roman"/>
          <w:sz w:val="13"/>
          <w:szCs w:val="13"/>
          <w:u w:val="single" w:color="auto"/>
          <w:color w:val="auto"/>
        </w:rPr>
        <w:t>Index</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Performance</w:t>
      </w:r>
      <w:r>
        <w:rPr>
          <w:rFonts w:ascii="Times New Roman" w:cs="Times New Roman" w:eastAsia="Times New Roman" w:hAnsi="Times New Roman"/>
          <w:sz w:val="13"/>
          <w:szCs w:val="13"/>
          <w:color w:val="auto"/>
        </w:rPr>
        <w:t xml:space="preserve"> is 15% at the end of the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color w:val="auto"/>
        </w:rPr>
        <w:t xml:space="preserve"> , the </w:t>
      </w:r>
      <w:r>
        <w:rPr>
          <w:rFonts w:ascii="Times New Roman" w:cs="Times New Roman" w:eastAsia="Times New Roman" w:hAnsi="Times New Roman"/>
          <w:sz w:val="13"/>
          <w:szCs w:val="13"/>
          <w:u w:val="single" w:color="auto"/>
          <w:color w:val="auto"/>
        </w:rPr>
        <w:t>Performance Rate</w:t>
      </w:r>
      <w:r>
        <w:rPr>
          <w:rFonts w:ascii="Times New Roman" w:cs="Times New Roman" w:eastAsia="Times New Roman" w:hAnsi="Times New Roman"/>
          <w:sz w:val="13"/>
          <w:szCs w:val="13"/>
          <w:color w:val="auto"/>
        </w:rPr>
        <w:t xml:space="preserve"> will be 10% (the </w:t>
      </w:r>
      <w:r>
        <w:rPr>
          <w:rFonts w:ascii="Times New Roman" w:cs="Times New Roman" w:eastAsia="Times New Roman" w:hAnsi="Times New Roman"/>
          <w:sz w:val="13"/>
          <w:szCs w:val="13"/>
          <w:u w:val="single" w:color="auto"/>
          <w:color w:val="auto"/>
        </w:rPr>
        <w:t>Index Performance</w:t>
      </w:r>
      <w:r>
        <w:rPr>
          <w:rFonts w:ascii="Times New Roman" w:cs="Times New Roman" w:eastAsia="Times New Roman" w:hAnsi="Times New Roman"/>
          <w:sz w:val="13"/>
          <w:szCs w:val="13"/>
          <w:color w:val="auto"/>
        </w:rPr>
        <w:t xml:space="preserve"> up to the </w:t>
      </w:r>
      <w:r>
        <w:rPr>
          <w:rFonts w:ascii="Times New Roman" w:cs="Times New Roman" w:eastAsia="Times New Roman" w:hAnsi="Times New Roman"/>
          <w:sz w:val="13"/>
          <w:szCs w:val="13"/>
          <w:u w:val="single" w:color="auto"/>
          <w:color w:val="auto"/>
        </w:rPr>
        <w:t>Cap Rate</w:t>
      </w:r>
      <w:r>
        <w:rPr>
          <w:rFonts w:ascii="Times New Roman" w:cs="Times New Roman" w:eastAsia="Times New Roman" w:hAnsi="Times New Roman"/>
          <w:sz w:val="13"/>
          <w:szCs w:val="13"/>
          <w:color w:val="auto"/>
        </w:rPr>
        <w:t xml:space="preserve">), meaning that we will increase the </w:t>
      </w:r>
      <w:r>
        <w:rPr>
          <w:rFonts w:ascii="Times New Roman" w:cs="Times New Roman" w:eastAsia="Times New Roman" w:hAnsi="Times New Roman"/>
          <w:sz w:val="13"/>
          <w:szCs w:val="13"/>
          <w:u w:val="single" w:color="auto"/>
          <w:color w:val="auto"/>
        </w:rPr>
        <w:t>Investment Amount</w:t>
      </w:r>
      <w:r>
        <w:rPr>
          <w:rFonts w:ascii="Times New Roman" w:cs="Times New Roman" w:eastAsia="Times New Roman" w:hAnsi="Times New Roman"/>
          <w:sz w:val="13"/>
          <w:szCs w:val="13"/>
          <w:color w:val="auto"/>
        </w:rPr>
        <w:t xml:space="preserve"> associated with the </w:t>
      </w:r>
      <w:r>
        <w:rPr>
          <w:rFonts w:ascii="Times New Roman" w:cs="Times New Roman" w:eastAsia="Times New Roman" w:hAnsi="Times New Roman"/>
          <w:sz w:val="13"/>
          <w:szCs w:val="13"/>
          <w:u w:val="single" w:color="auto"/>
          <w:color w:val="auto"/>
        </w:rPr>
        <w:t>Shield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Option</w:t>
      </w:r>
      <w:r>
        <w:rPr>
          <w:rFonts w:ascii="Times New Roman" w:cs="Times New Roman" w:eastAsia="Times New Roman" w:hAnsi="Times New Roman"/>
          <w:sz w:val="13"/>
          <w:szCs w:val="13"/>
          <w:color w:val="auto"/>
        </w:rPr>
        <w:t xml:space="preserve"> by 10%.</w:t>
      </w:r>
    </w:p>
    <w:p>
      <w:pPr>
        <w:spacing w:after="0" w:line="48" w:lineRule="exact"/>
        <w:rPr>
          <w:rFonts w:ascii="Times New Roman" w:cs="Times New Roman" w:eastAsia="Times New Roman" w:hAnsi="Times New Roman"/>
          <w:sz w:val="13"/>
          <w:szCs w:val="13"/>
          <w:color w:val="auto"/>
        </w:rPr>
      </w:pPr>
    </w:p>
    <w:p>
      <w:pPr>
        <w:jc w:val="both"/>
        <w:ind w:left="420" w:right="3259" w:hanging="157"/>
        <w:spacing w:after="0" w:line="277" w:lineRule="auto"/>
        <w:tabs>
          <w:tab w:leader="none" w:pos="4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w:t>
      </w:r>
      <w:r>
        <w:rPr>
          <w:rFonts w:ascii="Times New Roman" w:cs="Times New Roman" w:eastAsia="Times New Roman" w:hAnsi="Times New Roman"/>
          <w:sz w:val="13"/>
          <w:szCs w:val="13"/>
          <w:u w:val="single" w:color="auto"/>
          <w:color w:val="auto"/>
        </w:rPr>
        <w:t>Step Rate</w:t>
      </w:r>
      <w:r>
        <w:rPr>
          <w:rFonts w:ascii="Times New Roman" w:cs="Times New Roman" w:eastAsia="Times New Roman" w:hAnsi="Times New Roman"/>
          <w:sz w:val="13"/>
          <w:szCs w:val="13"/>
          <w:color w:val="auto"/>
        </w:rPr>
        <w:t xml:space="preserve"> is the rate credited at the </w:t>
      </w:r>
      <w:r>
        <w:rPr>
          <w:rFonts w:ascii="Times New Roman" w:cs="Times New Roman" w:eastAsia="Times New Roman" w:hAnsi="Times New Roman"/>
          <w:sz w:val="13"/>
          <w:szCs w:val="13"/>
          <w:u w:val="single" w:color="auto"/>
          <w:color w:val="auto"/>
        </w:rPr>
        <w:t>Term End Date</w:t>
      </w:r>
      <w:r>
        <w:rPr>
          <w:rFonts w:ascii="Times New Roman" w:cs="Times New Roman" w:eastAsia="Times New Roman" w:hAnsi="Times New Roman"/>
          <w:sz w:val="13"/>
          <w:szCs w:val="13"/>
          <w:color w:val="auto"/>
        </w:rPr>
        <w:t xml:space="preserve"> if the </w:t>
      </w:r>
      <w:r>
        <w:rPr>
          <w:rFonts w:ascii="Times New Roman" w:cs="Times New Roman" w:eastAsia="Times New Roman" w:hAnsi="Times New Roman"/>
          <w:sz w:val="13"/>
          <w:szCs w:val="13"/>
          <w:u w:val="single" w:color="auto"/>
          <w:color w:val="auto"/>
        </w:rPr>
        <w:t>Index Performance</w:t>
      </w:r>
      <w:r>
        <w:rPr>
          <w:rFonts w:ascii="Times New Roman" w:cs="Times New Roman" w:eastAsia="Times New Roman" w:hAnsi="Times New Roman"/>
          <w:sz w:val="13"/>
          <w:szCs w:val="13"/>
          <w:color w:val="auto"/>
        </w:rPr>
        <w:t xml:space="preserve"> is equal to or greater than zero. For example, if you invest in a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with an 8% </w:t>
      </w:r>
      <w:r>
        <w:rPr>
          <w:rFonts w:ascii="Times New Roman" w:cs="Times New Roman" w:eastAsia="Times New Roman" w:hAnsi="Times New Roman"/>
          <w:sz w:val="13"/>
          <w:szCs w:val="13"/>
          <w:u w:val="single" w:color="auto"/>
          <w:color w:val="auto"/>
        </w:rPr>
        <w:t>Step Rate</w:t>
      </w:r>
      <w:r>
        <w:rPr>
          <w:rFonts w:ascii="Times New Roman" w:cs="Times New Roman" w:eastAsia="Times New Roman" w:hAnsi="Times New Roman"/>
          <w:sz w:val="13"/>
          <w:szCs w:val="13"/>
          <w:color w:val="auto"/>
        </w:rPr>
        <w:t xml:space="preserve"> , and the </w:t>
      </w:r>
      <w:r>
        <w:rPr>
          <w:rFonts w:ascii="Times New Roman" w:cs="Times New Roman" w:eastAsia="Times New Roman" w:hAnsi="Times New Roman"/>
          <w:sz w:val="13"/>
          <w:szCs w:val="13"/>
          <w:u w:val="single" w:color="auto"/>
          <w:color w:val="auto"/>
        </w:rPr>
        <w:t>Index</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Performance</w:t>
      </w:r>
      <w:r>
        <w:rPr>
          <w:rFonts w:ascii="Times New Roman" w:cs="Times New Roman" w:eastAsia="Times New Roman" w:hAnsi="Times New Roman"/>
          <w:sz w:val="13"/>
          <w:szCs w:val="13"/>
          <w:color w:val="auto"/>
        </w:rPr>
        <w:t xml:space="preserve"> is 15% at the end of the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color w:val="auto"/>
        </w:rPr>
        <w:t xml:space="preserve"> , the </w:t>
      </w:r>
      <w:r>
        <w:rPr>
          <w:rFonts w:ascii="Times New Roman" w:cs="Times New Roman" w:eastAsia="Times New Roman" w:hAnsi="Times New Roman"/>
          <w:sz w:val="13"/>
          <w:szCs w:val="13"/>
          <w:u w:val="single" w:color="auto"/>
          <w:color w:val="auto"/>
        </w:rPr>
        <w:t>Performance Rate</w:t>
      </w:r>
      <w:r>
        <w:rPr>
          <w:rFonts w:ascii="Times New Roman" w:cs="Times New Roman" w:eastAsia="Times New Roman" w:hAnsi="Times New Roman"/>
          <w:sz w:val="13"/>
          <w:szCs w:val="13"/>
          <w:color w:val="auto"/>
        </w:rPr>
        <w:t xml:space="preserve"> will be 8% (the </w:t>
      </w:r>
      <w:r>
        <w:rPr>
          <w:rFonts w:ascii="Times New Roman" w:cs="Times New Roman" w:eastAsia="Times New Roman" w:hAnsi="Times New Roman"/>
          <w:sz w:val="13"/>
          <w:szCs w:val="13"/>
          <w:u w:val="single" w:color="auto"/>
          <w:color w:val="auto"/>
        </w:rPr>
        <w:t>Step Rate</w:t>
      </w:r>
      <w:r>
        <w:rPr>
          <w:rFonts w:ascii="Times New Roman" w:cs="Times New Roman" w:eastAsia="Times New Roman" w:hAnsi="Times New Roman"/>
          <w:sz w:val="13"/>
          <w:szCs w:val="13"/>
          <w:color w:val="auto"/>
        </w:rPr>
        <w:t xml:space="preserve">), meaning that we will increase the </w:t>
      </w:r>
      <w:r>
        <w:rPr>
          <w:rFonts w:ascii="Times New Roman" w:cs="Times New Roman" w:eastAsia="Times New Roman" w:hAnsi="Times New Roman"/>
          <w:sz w:val="13"/>
          <w:szCs w:val="13"/>
          <w:u w:val="single" w:color="auto"/>
          <w:color w:val="auto"/>
        </w:rPr>
        <w:t>Investment Amount</w:t>
      </w:r>
      <w:r>
        <w:rPr>
          <w:rFonts w:ascii="Times New Roman" w:cs="Times New Roman" w:eastAsia="Times New Roman" w:hAnsi="Times New Roman"/>
          <w:sz w:val="13"/>
          <w:szCs w:val="13"/>
          <w:color w:val="auto"/>
        </w:rPr>
        <w:t xml:space="preserve"> associated with the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by 8%.</w:t>
      </w:r>
    </w:p>
    <w:p>
      <w:pPr>
        <w:spacing w:after="0" w:line="43" w:lineRule="exact"/>
        <w:rPr>
          <w:rFonts w:ascii="Times New Roman" w:cs="Times New Roman" w:eastAsia="Times New Roman" w:hAnsi="Times New Roman"/>
          <w:sz w:val="13"/>
          <w:szCs w:val="13"/>
          <w:color w:val="auto"/>
        </w:rPr>
      </w:pPr>
    </w:p>
    <w:p>
      <w:pPr>
        <w:jc w:val="both"/>
        <w:ind w:left="420" w:right="3259" w:hanging="157"/>
        <w:spacing w:after="0" w:line="264" w:lineRule="auto"/>
        <w:tabs>
          <w:tab w:leader="none" w:pos="4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For </w:t>
      </w:r>
      <w:r>
        <w:rPr>
          <w:rFonts w:ascii="Times New Roman" w:cs="Times New Roman" w:eastAsia="Times New Roman" w:hAnsi="Times New Roman"/>
          <w:sz w:val="13"/>
          <w:szCs w:val="13"/>
          <w:u w:val="single" w:color="auto"/>
          <w:color w:val="auto"/>
        </w:rPr>
        <w:t>Shield Options</w:t>
      </w:r>
      <w:r>
        <w:rPr>
          <w:rFonts w:ascii="Times New Roman" w:cs="Times New Roman" w:eastAsia="Times New Roman" w:hAnsi="Times New Roman"/>
          <w:sz w:val="13"/>
          <w:szCs w:val="13"/>
          <w:color w:val="auto"/>
        </w:rPr>
        <w:t xml:space="preserve"> with </w:t>
      </w:r>
      <w:r>
        <w:rPr>
          <w:rFonts w:ascii="Times New Roman" w:cs="Times New Roman" w:eastAsia="Times New Roman" w:hAnsi="Times New Roman"/>
          <w:sz w:val="13"/>
          <w:szCs w:val="13"/>
          <w:u w:val="single" w:color="auto"/>
          <w:color w:val="auto"/>
        </w:rPr>
        <w:t>Step Rate Edge</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u w:val="single" w:color="auto"/>
          <w:color w:val="auto"/>
        </w:rPr>
        <w:t>Edge Rate</w:t>
      </w:r>
      <w:r>
        <w:rPr>
          <w:rFonts w:ascii="Times New Roman" w:cs="Times New Roman" w:eastAsia="Times New Roman" w:hAnsi="Times New Roman"/>
          <w:sz w:val="13"/>
          <w:szCs w:val="13"/>
          <w:color w:val="auto"/>
        </w:rPr>
        <w:t xml:space="preserve"> is the rate credited at the </w:t>
      </w:r>
      <w:r>
        <w:rPr>
          <w:rFonts w:ascii="Times New Roman" w:cs="Times New Roman" w:eastAsia="Times New Roman" w:hAnsi="Times New Roman"/>
          <w:sz w:val="13"/>
          <w:szCs w:val="13"/>
          <w:u w:val="single" w:color="auto"/>
          <w:color w:val="auto"/>
        </w:rPr>
        <w:t>Term End Date</w:t>
      </w:r>
      <w:r>
        <w:rPr>
          <w:rFonts w:ascii="Times New Roman" w:cs="Times New Roman" w:eastAsia="Times New Roman" w:hAnsi="Times New Roman"/>
          <w:sz w:val="13"/>
          <w:szCs w:val="13"/>
          <w:color w:val="auto"/>
        </w:rPr>
        <w:t xml:space="preserve"> if the </w:t>
      </w:r>
      <w:r>
        <w:rPr>
          <w:rFonts w:ascii="Times New Roman" w:cs="Times New Roman" w:eastAsia="Times New Roman" w:hAnsi="Times New Roman"/>
          <w:sz w:val="13"/>
          <w:szCs w:val="13"/>
          <w:u w:val="single" w:color="auto"/>
          <w:color w:val="auto"/>
        </w:rPr>
        <w:t>Index</w:t>
      </w:r>
      <w:r>
        <w:rPr>
          <w:rFonts w:ascii="Times New Roman" w:cs="Times New Roman" w:eastAsia="Times New Roman" w:hAnsi="Times New Roman"/>
          <w:sz w:val="13"/>
          <w:szCs w:val="13"/>
          <w:color w:val="auto"/>
        </w:rPr>
        <w:t xml:space="preserve"> Performance is equal to or greater than the </w:t>
      </w:r>
      <w:r>
        <w:rPr>
          <w:rFonts w:ascii="Times New Roman" w:cs="Times New Roman" w:eastAsia="Times New Roman" w:hAnsi="Times New Roman"/>
          <w:sz w:val="13"/>
          <w:szCs w:val="13"/>
          <w:u w:val="single" w:color="auto"/>
          <w:color w:val="auto"/>
        </w:rPr>
        <w:t>Shield Rate</w:t>
      </w:r>
      <w:r>
        <w:rPr>
          <w:rFonts w:ascii="Times New Roman" w:cs="Times New Roman" w:eastAsia="Times New Roman" w:hAnsi="Times New Roman"/>
          <w:sz w:val="13"/>
          <w:szCs w:val="13"/>
          <w:color w:val="auto"/>
        </w:rPr>
        <w:t xml:space="preserve">. For example, if you invest in a </w:t>
      </w:r>
      <w:r>
        <w:rPr>
          <w:rFonts w:ascii="Times New Roman" w:cs="Times New Roman" w:eastAsia="Times New Roman" w:hAnsi="Times New Roman"/>
          <w:sz w:val="13"/>
          <w:szCs w:val="13"/>
          <w:u w:val="single" w:color="auto"/>
          <w:color w:val="auto"/>
        </w:rPr>
        <w:t>Shield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Option</w:t>
      </w:r>
      <w:r>
        <w:rPr>
          <w:rFonts w:ascii="Times New Roman" w:cs="Times New Roman" w:eastAsia="Times New Roman" w:hAnsi="Times New Roman"/>
          <w:sz w:val="13"/>
          <w:szCs w:val="13"/>
          <w:color w:val="auto"/>
        </w:rPr>
        <w:t xml:space="preserve"> with a 10% </w:t>
      </w:r>
      <w:r>
        <w:rPr>
          <w:rFonts w:ascii="Times New Roman" w:cs="Times New Roman" w:eastAsia="Times New Roman" w:hAnsi="Times New Roman"/>
          <w:sz w:val="13"/>
          <w:szCs w:val="13"/>
          <w:u w:val="single" w:color="auto"/>
          <w:color w:val="auto"/>
        </w:rPr>
        <w:t>Shield Rate</w:t>
      </w:r>
      <w:r>
        <w:rPr>
          <w:rFonts w:ascii="Times New Roman" w:cs="Times New Roman" w:eastAsia="Times New Roman" w:hAnsi="Times New Roman"/>
          <w:sz w:val="13"/>
          <w:szCs w:val="13"/>
          <w:color w:val="auto"/>
        </w:rPr>
        <w:t xml:space="preserve"> and a 7% </w:t>
      </w:r>
      <w:r>
        <w:rPr>
          <w:rFonts w:ascii="Times New Roman" w:cs="Times New Roman" w:eastAsia="Times New Roman" w:hAnsi="Times New Roman"/>
          <w:sz w:val="13"/>
          <w:szCs w:val="13"/>
          <w:u w:val="single" w:color="auto"/>
          <w:color w:val="auto"/>
        </w:rPr>
        <w:t>Edge Rate</w:t>
      </w:r>
      <w:r>
        <w:rPr>
          <w:rFonts w:ascii="Times New Roman" w:cs="Times New Roman" w:eastAsia="Times New Roman" w:hAnsi="Times New Roman"/>
          <w:sz w:val="13"/>
          <w:szCs w:val="13"/>
          <w:color w:val="auto"/>
        </w:rPr>
        <w:t xml:space="preserve">, and the </w:t>
      </w:r>
      <w:r>
        <w:rPr>
          <w:rFonts w:ascii="Times New Roman" w:cs="Times New Roman" w:eastAsia="Times New Roman" w:hAnsi="Times New Roman"/>
          <w:sz w:val="13"/>
          <w:szCs w:val="13"/>
          <w:u w:val="single" w:color="auto"/>
          <w:color w:val="auto"/>
        </w:rPr>
        <w:t>Index Performance</w:t>
      </w:r>
      <w:r>
        <w:rPr>
          <w:rFonts w:ascii="Times New Roman" w:cs="Times New Roman" w:eastAsia="Times New Roman" w:hAnsi="Times New Roman"/>
          <w:sz w:val="13"/>
          <w:szCs w:val="13"/>
          <w:color w:val="auto"/>
        </w:rPr>
        <w:t xml:space="preserve"> at the end of the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color w:val="auto"/>
        </w:rPr>
        <w:t xml:space="preserve"> is 3% (</w:t>
      </w:r>
      <w:r>
        <w:rPr>
          <w:rFonts w:ascii="Times New Roman" w:cs="Times New Roman" w:eastAsia="Times New Roman" w:hAnsi="Times New Roman"/>
          <w:sz w:val="13"/>
          <w:szCs w:val="13"/>
          <w:u w:val="single" w:color="auto"/>
          <w:color w:val="auto"/>
        </w:rPr>
        <w:t>Index Performance</w:t>
      </w:r>
      <w:r>
        <w:rPr>
          <w:rFonts w:ascii="Times New Roman" w:cs="Times New Roman" w:eastAsia="Times New Roman" w:hAnsi="Times New Roman"/>
          <w:sz w:val="13"/>
          <w:szCs w:val="13"/>
          <w:color w:val="auto"/>
        </w:rPr>
        <w:t xml:space="preserve"> greater than the </w:t>
      </w:r>
      <w:r>
        <w:rPr>
          <w:rFonts w:ascii="Times New Roman" w:cs="Times New Roman" w:eastAsia="Times New Roman" w:hAnsi="Times New Roman"/>
          <w:sz w:val="13"/>
          <w:szCs w:val="13"/>
          <w:u w:val="single" w:color="auto"/>
          <w:color w:val="auto"/>
        </w:rPr>
        <w:t>Shield Rate</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u w:val="single" w:color="auto"/>
          <w:color w:val="auto"/>
        </w:rPr>
        <w:t>Performance Rate</w:t>
      </w:r>
      <w:r>
        <w:rPr>
          <w:rFonts w:ascii="Times New Roman" w:cs="Times New Roman" w:eastAsia="Times New Roman" w:hAnsi="Times New Roman"/>
          <w:sz w:val="13"/>
          <w:szCs w:val="13"/>
          <w:color w:val="auto"/>
        </w:rPr>
        <w:t xml:space="preserve"> will equal the </w:t>
      </w:r>
      <w:r>
        <w:rPr>
          <w:rFonts w:ascii="Times New Roman" w:cs="Times New Roman" w:eastAsia="Times New Roman" w:hAnsi="Times New Roman"/>
          <w:sz w:val="13"/>
          <w:szCs w:val="13"/>
          <w:u w:val="single" w:color="auto"/>
          <w:color w:val="auto"/>
        </w:rPr>
        <w:t>Edge Rate</w:t>
      </w:r>
      <w:r>
        <w:rPr>
          <w:rFonts w:ascii="Times New Roman" w:cs="Times New Roman" w:eastAsia="Times New Roman" w:hAnsi="Times New Roman"/>
          <w:sz w:val="13"/>
          <w:szCs w:val="13"/>
          <w:color w:val="auto"/>
        </w:rPr>
        <w:t xml:space="preserve">, or 7%. This means that we will increase the </w:t>
      </w:r>
      <w:r>
        <w:rPr>
          <w:rFonts w:ascii="Times New Roman" w:cs="Times New Roman" w:eastAsia="Times New Roman" w:hAnsi="Times New Roman"/>
          <w:sz w:val="13"/>
          <w:szCs w:val="13"/>
          <w:u w:val="single" w:color="auto"/>
          <w:color w:val="auto"/>
        </w:rPr>
        <w:t>Investment Amount</w:t>
      </w:r>
      <w:r>
        <w:rPr>
          <w:rFonts w:ascii="Times New Roman" w:cs="Times New Roman" w:eastAsia="Times New Roman" w:hAnsi="Times New Roman"/>
          <w:sz w:val="13"/>
          <w:szCs w:val="13"/>
          <w:color w:val="auto"/>
        </w:rPr>
        <w:t xml:space="preserve"> associated with the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by 7%. Similarly, if the </w:t>
      </w:r>
      <w:r>
        <w:rPr>
          <w:rFonts w:ascii="Times New Roman" w:cs="Times New Roman" w:eastAsia="Times New Roman" w:hAnsi="Times New Roman"/>
          <w:sz w:val="13"/>
          <w:szCs w:val="13"/>
          <w:u w:val="single" w:color="auto"/>
          <w:color w:val="auto"/>
        </w:rPr>
        <w:t>Index Performance</w:t>
      </w:r>
      <w:r>
        <w:rPr>
          <w:rFonts w:ascii="Times New Roman" w:cs="Times New Roman" w:eastAsia="Times New Roman" w:hAnsi="Times New Roman"/>
          <w:sz w:val="13"/>
          <w:szCs w:val="13"/>
          <w:color w:val="auto"/>
        </w:rPr>
        <w:t xml:space="preserve"> is -10% ( </w:t>
      </w:r>
      <w:r>
        <w:rPr>
          <w:rFonts w:ascii="Times New Roman" w:cs="Times New Roman" w:eastAsia="Times New Roman" w:hAnsi="Times New Roman"/>
          <w:sz w:val="13"/>
          <w:szCs w:val="13"/>
          <w:u w:val="single" w:color="auto"/>
          <w:color w:val="auto"/>
        </w:rPr>
        <w:t>Index</w:t>
      </w:r>
      <w:r>
        <w:rPr>
          <w:rFonts w:ascii="Times New Roman" w:cs="Times New Roman" w:eastAsia="Times New Roman" w:hAnsi="Times New Roman"/>
          <w:sz w:val="13"/>
          <w:szCs w:val="13"/>
          <w:color w:val="auto"/>
        </w:rPr>
        <w:t xml:space="preserve"> Performance equal to the </w:t>
      </w:r>
      <w:r>
        <w:rPr>
          <w:rFonts w:ascii="Times New Roman" w:cs="Times New Roman" w:eastAsia="Times New Roman" w:hAnsi="Times New Roman"/>
          <w:sz w:val="13"/>
          <w:szCs w:val="13"/>
          <w:u w:val="single" w:color="auto"/>
          <w:color w:val="auto"/>
        </w:rPr>
        <w:t>Shield Rate</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u w:val="single" w:color="auto"/>
          <w:color w:val="auto"/>
        </w:rPr>
        <w:t>Performance Rate</w:t>
      </w:r>
      <w:r>
        <w:rPr>
          <w:rFonts w:ascii="Times New Roman" w:cs="Times New Roman" w:eastAsia="Times New Roman" w:hAnsi="Times New Roman"/>
          <w:sz w:val="13"/>
          <w:szCs w:val="13"/>
          <w:color w:val="auto"/>
        </w:rPr>
        <w:t xml:space="preserve"> will also equal the </w:t>
      </w:r>
      <w:r>
        <w:rPr>
          <w:rFonts w:ascii="Times New Roman" w:cs="Times New Roman" w:eastAsia="Times New Roman" w:hAnsi="Times New Roman"/>
          <w:sz w:val="13"/>
          <w:szCs w:val="13"/>
          <w:u w:val="single" w:color="auto"/>
          <w:color w:val="auto"/>
        </w:rPr>
        <w:t>Edge Rate</w:t>
      </w:r>
      <w:r>
        <w:rPr>
          <w:rFonts w:ascii="Times New Roman" w:cs="Times New Roman" w:eastAsia="Times New Roman" w:hAnsi="Times New Roman"/>
          <w:sz w:val="13"/>
          <w:szCs w:val="13"/>
          <w:color w:val="auto"/>
        </w:rPr>
        <w:t xml:space="preserve">, or 7%. On the other hand, if the </w:t>
      </w:r>
      <w:r>
        <w:rPr>
          <w:rFonts w:ascii="Times New Roman" w:cs="Times New Roman" w:eastAsia="Times New Roman" w:hAnsi="Times New Roman"/>
          <w:sz w:val="13"/>
          <w:szCs w:val="13"/>
          <w:u w:val="single" w:color="auto"/>
          <w:color w:val="auto"/>
        </w:rPr>
        <w:t>Index Performance</w:t>
      </w:r>
      <w:r>
        <w:rPr>
          <w:rFonts w:ascii="Times New Roman" w:cs="Times New Roman" w:eastAsia="Times New Roman" w:hAnsi="Times New Roman"/>
          <w:sz w:val="13"/>
          <w:szCs w:val="13"/>
          <w:color w:val="auto"/>
        </w:rPr>
        <w:t xml:space="preserve"> is -15% ( </w:t>
      </w:r>
      <w:r>
        <w:rPr>
          <w:rFonts w:ascii="Times New Roman" w:cs="Times New Roman" w:eastAsia="Times New Roman" w:hAnsi="Times New Roman"/>
          <w:sz w:val="13"/>
          <w:szCs w:val="13"/>
          <w:u w:val="single" w:color="auto"/>
          <w:color w:val="auto"/>
        </w:rPr>
        <w:t>Index Performance</w:t>
      </w:r>
      <w:r>
        <w:rPr>
          <w:rFonts w:ascii="Times New Roman" w:cs="Times New Roman" w:eastAsia="Times New Roman" w:hAnsi="Times New Roman"/>
          <w:sz w:val="13"/>
          <w:szCs w:val="13"/>
          <w:color w:val="auto"/>
        </w:rPr>
        <w:t xml:space="preserve"> less than the </w:t>
      </w:r>
      <w:r>
        <w:rPr>
          <w:rFonts w:ascii="Times New Roman" w:cs="Times New Roman" w:eastAsia="Times New Roman" w:hAnsi="Times New Roman"/>
          <w:sz w:val="13"/>
          <w:szCs w:val="13"/>
          <w:u w:val="single" w:color="auto"/>
          <w:color w:val="auto"/>
        </w:rPr>
        <w:t>Shield Rate</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u w:val="single" w:color="auto"/>
          <w:color w:val="auto"/>
        </w:rPr>
        <w:t>Performance Rate</w:t>
      </w:r>
      <w:r>
        <w:rPr>
          <w:rFonts w:ascii="Times New Roman" w:cs="Times New Roman" w:eastAsia="Times New Roman" w:hAnsi="Times New Roman"/>
          <w:sz w:val="13"/>
          <w:szCs w:val="13"/>
          <w:color w:val="auto"/>
        </w:rPr>
        <w:t xml:space="preserve"> will equal -5% (the negative </w:t>
      </w:r>
      <w:r>
        <w:rPr>
          <w:rFonts w:ascii="Times New Roman" w:cs="Times New Roman" w:eastAsia="Times New Roman" w:hAnsi="Times New Roman"/>
          <w:sz w:val="13"/>
          <w:szCs w:val="13"/>
          <w:u w:val="single" w:color="auto"/>
          <w:color w:val="auto"/>
        </w:rPr>
        <w:t>Index Performance</w:t>
      </w:r>
      <w:r>
        <w:rPr>
          <w:rFonts w:ascii="Times New Roman" w:cs="Times New Roman" w:eastAsia="Times New Roman" w:hAnsi="Times New Roman"/>
          <w:sz w:val="13"/>
          <w:szCs w:val="13"/>
          <w:color w:val="auto"/>
        </w:rPr>
        <w:t xml:space="preserve"> in excess of the </w:t>
      </w:r>
      <w:r>
        <w:rPr>
          <w:rFonts w:ascii="Times New Roman" w:cs="Times New Roman" w:eastAsia="Times New Roman" w:hAnsi="Times New Roman"/>
          <w:sz w:val="13"/>
          <w:szCs w:val="13"/>
          <w:u w:val="single" w:color="auto"/>
          <w:color w:val="auto"/>
        </w:rPr>
        <w:t>Shield Rate</w:t>
      </w:r>
      <w:r>
        <w:rPr>
          <w:rFonts w:ascii="Times New Roman" w:cs="Times New Roman" w:eastAsia="Times New Roman" w:hAnsi="Times New Roman"/>
          <w:sz w:val="13"/>
          <w:szCs w:val="13"/>
          <w:color w:val="auto"/>
        </w:rPr>
        <w:t xml:space="preserve"> ). This means that we will decrease the </w:t>
      </w:r>
      <w:r>
        <w:rPr>
          <w:rFonts w:ascii="Times New Roman" w:cs="Times New Roman" w:eastAsia="Times New Roman" w:hAnsi="Times New Roman"/>
          <w:sz w:val="13"/>
          <w:szCs w:val="13"/>
          <w:u w:val="single" w:color="auto"/>
          <w:color w:val="auto"/>
        </w:rPr>
        <w:t>Investment</w:t>
      </w:r>
      <w:r>
        <w:rPr>
          <w:rFonts w:ascii="Times New Roman" w:cs="Times New Roman" w:eastAsia="Times New Roman" w:hAnsi="Times New Roman"/>
          <w:sz w:val="13"/>
          <w:szCs w:val="13"/>
          <w:color w:val="auto"/>
        </w:rPr>
        <w:t xml:space="preserve"> Amount associated with the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by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-1879600</wp:posOffset>
            </wp:positionV>
            <wp:extent cx="43815"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815" cy="6350"/>
                    </a:xfrm>
                    <a:prstGeom prst="rect">
                      <a:avLst/>
                    </a:prstGeom>
                    <a:noFill/>
                  </pic:spPr>
                </pic:pic>
              </a:graphicData>
            </a:graphic>
          </wp:anchor>
        </w:drawing>
        <w:drawing>
          <wp:anchor simplePos="0" relativeHeight="251657728" behindDoc="1" locked="0" layoutInCell="0" allowOverlap="1">
            <wp:simplePos x="0" y="0"/>
            <wp:positionH relativeFrom="column">
              <wp:posOffset>1732280</wp:posOffset>
            </wp:positionH>
            <wp:positionV relativeFrom="paragraph">
              <wp:posOffset>-1772285</wp:posOffset>
            </wp:positionV>
            <wp:extent cx="2540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400" cy="6350"/>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-1772285</wp:posOffset>
            </wp:positionV>
            <wp:extent cx="25400"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400" cy="63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-1312545</wp:posOffset>
            </wp:positionV>
            <wp:extent cx="43815"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3815" cy="6350"/>
                    </a:xfrm>
                    <a:prstGeom prst="rect">
                      <a:avLst/>
                    </a:prstGeom>
                    <a:noFill/>
                  </pic:spPr>
                </pic:pic>
              </a:graphicData>
            </a:graphic>
          </wp:anchor>
        </w:drawing>
        <w:drawing>
          <wp:anchor simplePos="0" relativeHeight="251657728" behindDoc="1" locked="0" layoutInCell="0" allowOverlap="1">
            <wp:simplePos x="0" y="0"/>
            <wp:positionH relativeFrom="column">
              <wp:posOffset>1732280</wp:posOffset>
            </wp:positionH>
            <wp:positionV relativeFrom="paragraph">
              <wp:posOffset>-1205230</wp:posOffset>
            </wp:positionV>
            <wp:extent cx="2540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400" cy="6350"/>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-1205230</wp:posOffset>
            </wp:positionV>
            <wp:extent cx="2540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400" cy="6350"/>
                    </a:xfrm>
                    <a:prstGeom prst="rect">
                      <a:avLst/>
                    </a:prstGeom>
                    <a:noFill/>
                  </pic:spPr>
                </pic:pic>
              </a:graphicData>
            </a:graphic>
          </wp:anchor>
        </w:drawing>
        <w:drawing>
          <wp:anchor simplePos="0" relativeHeight="251657728" behindDoc="1" locked="0" layoutInCell="0" allowOverlap="1">
            <wp:simplePos x="0" y="0"/>
            <wp:positionH relativeFrom="column">
              <wp:posOffset>1314450</wp:posOffset>
            </wp:positionH>
            <wp:positionV relativeFrom="paragraph">
              <wp:posOffset>-745490</wp:posOffset>
            </wp:positionV>
            <wp:extent cx="25400"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400" cy="6350"/>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-436880</wp:posOffset>
            </wp:positionV>
            <wp:extent cx="50165"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0165" cy="6350"/>
                    </a:xfrm>
                    <a:prstGeom prst="rect">
                      <a:avLst/>
                    </a:prstGeom>
                    <a:noFill/>
                  </pic:spPr>
                </pic:pic>
              </a:graphicData>
            </a:graphic>
          </wp:anchor>
        </w:drawing>
        <w:drawing>
          <wp:anchor simplePos="0" relativeHeight="251657728" behindDoc="1" locked="0" layoutInCell="0" allowOverlap="1">
            <wp:simplePos x="0" y="0"/>
            <wp:positionH relativeFrom="column">
              <wp:posOffset>498475</wp:posOffset>
            </wp:positionH>
            <wp:positionV relativeFrom="paragraph">
              <wp:posOffset>-229235</wp:posOffset>
            </wp:positionV>
            <wp:extent cx="25400"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400" cy="6350"/>
                    </a:xfrm>
                    <a:prstGeom prst="rect">
                      <a:avLst/>
                    </a:prstGeom>
                    <a:noFill/>
                  </pic:spPr>
                </pic:pic>
              </a:graphicData>
            </a:graphic>
          </wp:anchor>
        </w:drawing>
      </w:r>
    </w:p>
    <w:p>
      <w:pPr>
        <w:spacing w:after="0" w:line="32" w:lineRule="exact"/>
        <w:rPr>
          <w:sz w:val="20"/>
          <w:szCs w:val="20"/>
          <w:color w:val="auto"/>
        </w:rPr>
      </w:pPr>
    </w:p>
    <w:p>
      <w:pPr>
        <w:jc w:val="both"/>
        <w:ind w:right="3199" w:firstLine="265"/>
        <w:spacing w:after="0" w:line="272" w:lineRule="auto"/>
        <w:rPr>
          <w:sz w:val="20"/>
          <w:szCs w:val="20"/>
          <w:color w:val="auto"/>
        </w:rPr>
      </w:pPr>
      <w:r>
        <w:rPr>
          <w:rFonts w:ascii="Times New Roman" w:cs="Times New Roman" w:eastAsia="Times New Roman" w:hAnsi="Times New Roman"/>
          <w:sz w:val="13"/>
          <w:szCs w:val="13"/>
          <w:u w:val="single" w:color="auto"/>
          <w:color w:val="auto"/>
        </w:rPr>
        <w:t>Shield Options</w:t>
      </w:r>
      <w:r>
        <w:rPr>
          <w:rFonts w:ascii="Times New Roman" w:cs="Times New Roman" w:eastAsia="Times New Roman" w:hAnsi="Times New Roman"/>
          <w:sz w:val="13"/>
          <w:szCs w:val="13"/>
          <w:color w:val="auto"/>
        </w:rPr>
        <w:t xml:space="preserve"> with a </w:t>
      </w:r>
      <w:r>
        <w:rPr>
          <w:rFonts w:ascii="Times New Roman" w:cs="Times New Roman" w:eastAsia="Times New Roman" w:hAnsi="Times New Roman"/>
          <w:sz w:val="13"/>
          <w:szCs w:val="13"/>
          <w:u w:val="single" w:color="auto"/>
          <w:color w:val="auto"/>
        </w:rPr>
        <w:t>Cap Rate</w:t>
      </w:r>
      <w:r>
        <w:rPr>
          <w:rFonts w:ascii="Times New Roman" w:cs="Times New Roman" w:eastAsia="Times New Roman" w:hAnsi="Times New Roman"/>
          <w:sz w:val="13"/>
          <w:szCs w:val="13"/>
          <w:color w:val="auto"/>
        </w:rPr>
        <w:t xml:space="preserve"> are described in the </w:t>
      </w:r>
      <w:r>
        <w:rPr>
          <w:rFonts w:ascii="Times New Roman" w:cs="Times New Roman" w:eastAsia="Times New Roman" w:hAnsi="Times New Roman"/>
          <w:sz w:val="13"/>
          <w:szCs w:val="13"/>
          <w:u w:val="single" w:color="auto"/>
          <w:color w:val="auto"/>
        </w:rPr>
        <w:t>Cap Rate Shield Option</w:t>
      </w:r>
      <w:r>
        <w:rPr>
          <w:rFonts w:ascii="Times New Roman" w:cs="Times New Roman" w:eastAsia="Times New Roman" w:hAnsi="Times New Roman"/>
          <w:sz w:val="13"/>
          <w:szCs w:val="13"/>
          <w:color w:val="auto"/>
        </w:rPr>
        <w:t xml:space="preserve"> Rider attached to your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Shield Options</w:t>
      </w:r>
      <w:r>
        <w:rPr>
          <w:rFonts w:ascii="Times New Roman" w:cs="Times New Roman" w:eastAsia="Times New Roman" w:hAnsi="Times New Roman"/>
          <w:sz w:val="13"/>
          <w:szCs w:val="13"/>
          <w:color w:val="auto"/>
        </w:rPr>
        <w:t xml:space="preserve"> with a </w:t>
      </w:r>
      <w:r>
        <w:rPr>
          <w:rFonts w:ascii="Times New Roman" w:cs="Times New Roman" w:eastAsia="Times New Roman" w:hAnsi="Times New Roman"/>
          <w:sz w:val="13"/>
          <w:szCs w:val="13"/>
          <w:u w:val="single" w:color="auto"/>
          <w:color w:val="auto"/>
        </w:rPr>
        <w:t>Step Rate</w:t>
      </w:r>
      <w:r>
        <w:rPr>
          <w:rFonts w:ascii="Times New Roman" w:cs="Times New Roman" w:eastAsia="Times New Roman" w:hAnsi="Times New Roman"/>
          <w:sz w:val="13"/>
          <w:szCs w:val="13"/>
          <w:color w:val="auto"/>
        </w:rPr>
        <w:t xml:space="preserve"> are described in the </w:t>
      </w:r>
      <w:r>
        <w:rPr>
          <w:rFonts w:ascii="Times New Roman" w:cs="Times New Roman" w:eastAsia="Times New Roman" w:hAnsi="Times New Roman"/>
          <w:sz w:val="13"/>
          <w:szCs w:val="13"/>
          <w:u w:val="single" w:color="auto"/>
          <w:color w:val="auto"/>
        </w:rPr>
        <w:t>Step Rate Shield Option</w:t>
      </w:r>
      <w:r>
        <w:rPr>
          <w:rFonts w:ascii="Times New Roman" w:cs="Times New Roman" w:eastAsia="Times New Roman" w:hAnsi="Times New Roman"/>
          <w:sz w:val="13"/>
          <w:szCs w:val="13"/>
          <w:color w:val="auto"/>
        </w:rPr>
        <w:t xml:space="preserve"> Rider attached to your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u w:val="single" w:color="auto"/>
          <w:color w:val="auto"/>
        </w:rPr>
        <w:t>Shield Options</w:t>
      </w:r>
      <w:r>
        <w:rPr>
          <w:rFonts w:ascii="Times New Roman" w:cs="Times New Roman" w:eastAsia="Times New Roman" w:hAnsi="Times New Roman"/>
          <w:sz w:val="13"/>
          <w:szCs w:val="13"/>
          <w:color w:val="auto"/>
        </w:rPr>
        <w:t xml:space="preserve"> with </w:t>
      </w:r>
      <w:r>
        <w:rPr>
          <w:rFonts w:ascii="Times New Roman" w:cs="Times New Roman" w:eastAsia="Times New Roman" w:hAnsi="Times New Roman"/>
          <w:sz w:val="13"/>
          <w:szCs w:val="13"/>
          <w:u w:val="single" w:color="auto"/>
          <w:color w:val="auto"/>
        </w:rPr>
        <w:t>Step Rate Edge</w:t>
      </w:r>
      <w:r>
        <w:rPr>
          <w:rFonts w:ascii="Times New Roman" w:cs="Times New Roman" w:eastAsia="Times New Roman" w:hAnsi="Times New Roman"/>
          <w:sz w:val="13"/>
          <w:szCs w:val="13"/>
          <w:color w:val="auto"/>
        </w:rPr>
        <w:t xml:space="preserve"> are described in the </w:t>
      </w:r>
      <w:r>
        <w:rPr>
          <w:rFonts w:ascii="Times New Roman" w:cs="Times New Roman" w:eastAsia="Times New Roman" w:hAnsi="Times New Roman"/>
          <w:sz w:val="13"/>
          <w:szCs w:val="13"/>
          <w:u w:val="single" w:color="auto"/>
          <w:color w:val="auto"/>
        </w:rPr>
        <w:t>Step Rate Edge Shield Option</w:t>
      </w:r>
      <w:r>
        <w:rPr>
          <w:rFonts w:ascii="Times New Roman" w:cs="Times New Roman" w:eastAsia="Times New Roman" w:hAnsi="Times New Roman"/>
          <w:sz w:val="13"/>
          <w:szCs w:val="13"/>
          <w:color w:val="auto"/>
        </w:rPr>
        <w:t xml:space="preserve"> Rider attached to your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1253490</wp:posOffset>
            </wp:positionH>
            <wp:positionV relativeFrom="paragraph">
              <wp:posOffset>-132080</wp:posOffset>
            </wp:positionV>
            <wp:extent cx="3175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750" cy="635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0" w:type="dxa"/>
            <w:vAlign w:val="bottom"/>
          </w:tcPr>
          <w:p>
            <w:pPr>
              <w:spacing w:after="0"/>
              <w:rPr>
                <w:sz w:val="12"/>
                <w:szCs w:val="12"/>
                <w:color w:val="auto"/>
              </w:rPr>
            </w:pPr>
          </w:p>
        </w:tc>
        <w:tc>
          <w:tcPr>
            <w:tcW w:w="46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New</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Cap Rates ,</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8"/>
          </w:tcPr>
          <w:p>
            <w:pPr>
              <w:jc w:val="center"/>
              <w:spacing w:after="0"/>
              <w:rPr>
                <w:sz w:val="20"/>
                <w:szCs w:val="20"/>
                <w:color w:val="auto"/>
              </w:rPr>
            </w:pPr>
            <w:r>
              <w:rPr>
                <w:rFonts w:ascii="Times New Roman" w:cs="Times New Roman" w:eastAsia="Times New Roman" w:hAnsi="Times New Roman"/>
                <w:sz w:val="13"/>
                <w:szCs w:val="13"/>
                <w:color w:val="auto"/>
              </w:rPr>
              <w:t>Step Rates , and</w:t>
            </w:r>
          </w:p>
        </w:tc>
        <w:tc>
          <w:tcPr>
            <w:tcW w:w="160" w:type="dxa"/>
            <w:vAlign w:val="bottom"/>
          </w:tcPr>
          <w:p>
            <w:pPr>
              <w:spacing w:after="0"/>
              <w:rPr>
                <w:sz w:val="12"/>
                <w:szCs w:val="12"/>
                <w:color w:val="auto"/>
              </w:rPr>
            </w:pPr>
          </w:p>
        </w:tc>
        <w:tc>
          <w:tcPr>
            <w:tcW w:w="2540" w:type="dxa"/>
            <w:vAlign w:val="bottom"/>
            <w:gridSpan w:val="22"/>
          </w:tcPr>
          <w:p>
            <w:pPr>
              <w:ind w:left="80"/>
              <w:spacing w:after="0"/>
              <w:rPr>
                <w:sz w:val="20"/>
                <w:szCs w:val="20"/>
                <w:color w:val="auto"/>
              </w:rPr>
            </w:pPr>
            <w:r>
              <w:rPr>
                <w:rFonts w:ascii="Times New Roman" w:cs="Times New Roman" w:eastAsia="Times New Roman" w:hAnsi="Times New Roman"/>
                <w:sz w:val="13"/>
                <w:szCs w:val="13"/>
                <w:color w:val="auto"/>
              </w:rPr>
              <w:t>Edge Rates are declared for each subsequent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82"/>
              </w:rPr>
              <w:t>Term,</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340" w:type="dxa"/>
            <w:vAlign w:val="bottom"/>
            <w:gridSpan w:val="28"/>
          </w:tcPr>
          <w:p>
            <w:pPr>
              <w:spacing w:after="0" w:line="139" w:lineRule="exact"/>
              <w:rPr>
                <w:sz w:val="20"/>
                <w:szCs w:val="20"/>
                <w:color w:val="auto"/>
              </w:rPr>
            </w:pPr>
            <w:r>
              <w:rPr>
                <w:rFonts w:ascii="Times New Roman" w:cs="Times New Roman" w:eastAsia="Times New Roman" w:hAnsi="Times New Roman"/>
                <w:sz w:val="13"/>
                <w:szCs w:val="13"/>
                <w:color w:val="auto"/>
              </w:rPr>
              <w:t>subject  to  the  minimum  guaranteed  rates  for  each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2"/>
          </w:tcPr>
          <w:p>
            <w:pPr>
              <w:jc w:val="right"/>
              <w:ind w:right="120"/>
              <w:spacing w:after="0" w:line="139" w:lineRule="exact"/>
              <w:rPr>
                <w:sz w:val="20"/>
                <w:szCs w:val="20"/>
                <w:color w:val="auto"/>
              </w:rPr>
            </w:pPr>
            <w:r>
              <w:rPr>
                <w:rFonts w:ascii="Times New Roman" w:cs="Times New Roman" w:eastAsia="Times New Roman" w:hAnsi="Times New Roman"/>
                <w:sz w:val="13"/>
                <w:szCs w:val="13"/>
                <w:color w:val="auto"/>
                <w:w w:val="83"/>
              </w:rPr>
              <w:t>Rate</w:t>
            </w:r>
          </w:p>
        </w:tc>
        <w:tc>
          <w:tcPr>
            <w:tcW w:w="2000" w:type="dxa"/>
            <w:vAlign w:val="bottom"/>
            <w:gridSpan w:val="20"/>
          </w:tcPr>
          <w:p>
            <w:pPr>
              <w:jc w:val="right"/>
              <w:spacing w:after="0" w:line="139" w:lineRule="exact"/>
              <w:rPr>
                <w:sz w:val="20"/>
                <w:szCs w:val="20"/>
                <w:color w:val="auto"/>
              </w:rPr>
            </w:pPr>
            <w:r>
              <w:rPr>
                <w:rFonts w:ascii="Times New Roman" w:cs="Times New Roman" w:eastAsia="Times New Roman" w:hAnsi="Times New Roman"/>
                <w:sz w:val="13"/>
                <w:szCs w:val="13"/>
                <w:color w:val="auto"/>
              </w:rPr>
              <w:t xml:space="preserve">Crediting  Type.  </w:t>
            </w:r>
            <w:r>
              <w:rPr>
                <w:rFonts w:ascii="Times New Roman" w:cs="Times New Roman" w:eastAsia="Times New Roman" w:hAnsi="Times New Roman"/>
                <w:sz w:val="13"/>
                <w:szCs w:val="13"/>
                <w:b w:val="1"/>
                <w:bCs w:val="1"/>
                <w:color w:val="auto"/>
              </w:rPr>
              <w:t>The  Minimum</w:t>
            </w:r>
          </w:p>
        </w:tc>
        <w:tc>
          <w:tcPr>
            <w:tcW w:w="0" w:type="dxa"/>
            <w:vAlign w:val="bottom"/>
          </w:tcPr>
          <w:p>
            <w:pPr>
              <w:spacing w:after="0"/>
              <w:rPr>
                <w:sz w:val="1"/>
                <w:szCs w:val="1"/>
                <w:color w:val="auto"/>
              </w:rPr>
            </w:pPr>
          </w:p>
        </w:tc>
      </w:tr>
      <w:tr>
        <w:trPr>
          <w:trHeight w:val="20"/>
        </w:trPr>
        <w:tc>
          <w:tcPr>
            <w:tcW w:w="720" w:type="dxa"/>
            <w:vAlign w:val="bottom"/>
            <w:gridSpan w:val="6"/>
            <w:vMerge w:val="restart"/>
          </w:tcPr>
          <w:p>
            <w:pPr>
              <w:spacing w:after="0"/>
              <w:rPr>
                <w:sz w:val="20"/>
                <w:szCs w:val="20"/>
                <w:color w:val="auto"/>
              </w:rPr>
            </w:pPr>
            <w:r>
              <w:rPr>
                <w:rFonts w:ascii="Times New Roman" w:cs="Times New Roman" w:eastAsia="Times New Roman" w:hAnsi="Times New Roman"/>
                <w:sz w:val="13"/>
                <w:szCs w:val="13"/>
                <w:b w:val="1"/>
                <w:bCs w:val="1"/>
                <w:color w:val="auto"/>
              </w:rPr>
              <w:t>Guaranteed</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12"/>
            <w:vMerge w:val="restart"/>
          </w:tcPr>
          <w:p>
            <w:pPr>
              <w:spacing w:after="0"/>
              <w:rPr>
                <w:sz w:val="20"/>
                <w:szCs w:val="20"/>
                <w:color w:val="auto"/>
              </w:rPr>
            </w:pPr>
            <w:r>
              <w:rPr>
                <w:rFonts w:ascii="Times New Roman" w:cs="Times New Roman" w:eastAsia="Times New Roman" w:hAnsi="Times New Roman"/>
                <w:sz w:val="13"/>
                <w:szCs w:val="13"/>
                <w:b w:val="1"/>
                <w:bCs w:val="1"/>
                <w:color w:val="auto"/>
              </w:rPr>
              <w:t>Cap Rate for your</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right w:val="single" w:sz="8" w:color="auto"/>
            </w:tcBorders>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100" w:type="dxa"/>
            <w:vAlign w:val="bottom"/>
            <w:gridSpan w:val="13"/>
            <w:vMerge w:val="restart"/>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Contract Schedule</w:t>
            </w:r>
          </w:p>
        </w:tc>
        <w:tc>
          <w:tcPr>
            <w:tcW w:w="0" w:type="dxa"/>
            <w:vAlign w:val="bottom"/>
          </w:tcPr>
          <w:p>
            <w:pPr>
              <w:spacing w:after="0" w:line="20" w:lineRule="exact"/>
              <w:rPr>
                <w:sz w:val="1"/>
                <w:szCs w:val="1"/>
                <w:color w:val="auto"/>
              </w:rPr>
            </w:pPr>
          </w:p>
        </w:tc>
      </w:tr>
      <w:tr>
        <w:trPr>
          <w:trHeight w:val="139"/>
        </w:trPr>
        <w:tc>
          <w:tcPr>
            <w:tcW w:w="72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12"/>
            <w:vMerge w:val="continue"/>
          </w:tcPr>
          <w:p>
            <w:pPr>
              <w:spacing w:after="0"/>
              <w:rPr>
                <w:sz w:val="12"/>
                <w:szCs w:val="12"/>
                <w:color w:val="auto"/>
              </w:rPr>
            </w:pPr>
          </w:p>
        </w:tc>
        <w:tc>
          <w:tcPr>
            <w:tcW w:w="2380" w:type="dxa"/>
            <w:vAlign w:val="bottom"/>
            <w:gridSpan w:val="19"/>
          </w:tcPr>
          <w:p>
            <w:pPr>
              <w:ind w:left="80"/>
              <w:spacing w:after="0" w:line="139" w:lineRule="exact"/>
              <w:rPr>
                <w:sz w:val="20"/>
                <w:szCs w:val="20"/>
                <w:color w:val="auto"/>
              </w:rPr>
            </w:pPr>
            <w:r>
              <w:rPr>
                <w:rFonts w:ascii="Times New Roman" w:cs="Times New Roman" w:eastAsia="Times New Roman" w:hAnsi="Times New Roman"/>
                <w:sz w:val="13"/>
                <w:szCs w:val="13"/>
                <w:b w:val="1"/>
                <w:bCs w:val="1"/>
                <w:color w:val="auto"/>
              </w:rPr>
              <w:t>Contract is the amount shown on your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1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320" w:type="dxa"/>
            <w:vAlign w:val="bottom"/>
            <w:gridSpan w:val="12"/>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and may vary by</w:t>
            </w:r>
          </w:p>
        </w:tc>
        <w:tc>
          <w:tcPr>
            <w:tcW w:w="2740" w:type="dxa"/>
            <w:vAlign w:val="bottom"/>
            <w:gridSpan w:val="23"/>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Shield Rate, but will not be less than 3.5% for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18"/>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Shield Options with a 1-Year</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60" w:type="dxa"/>
            <w:vAlign w:val="bottom"/>
            <w:gridSpan w:val="11"/>
            <w:vMerge w:val="restart"/>
          </w:tcPr>
          <w:p>
            <w:pPr>
              <w:spacing w:after="0"/>
              <w:rPr>
                <w:sz w:val="20"/>
                <w:szCs w:val="20"/>
                <w:color w:val="auto"/>
              </w:rPr>
            </w:pPr>
            <w:r>
              <w:rPr>
                <w:rFonts w:ascii="Times New Roman" w:cs="Times New Roman" w:eastAsia="Times New Roman" w:hAnsi="Times New Roman"/>
                <w:sz w:val="13"/>
                <w:szCs w:val="13"/>
                <w:b w:val="1"/>
                <w:bCs w:val="1"/>
                <w:color w:val="auto"/>
              </w:rPr>
              <w:t>Term, 13.5% for</w:t>
            </w: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60" w:type="dxa"/>
            <w:vAlign w:val="bottom"/>
          </w:tcPr>
          <w:p>
            <w:pPr>
              <w:spacing w:after="0"/>
              <w:rPr>
                <w:sz w:val="12"/>
                <w:szCs w:val="12"/>
                <w:color w:val="auto"/>
              </w:rPr>
            </w:pPr>
          </w:p>
        </w:tc>
        <w:tc>
          <w:tcPr>
            <w:tcW w:w="1060" w:type="dxa"/>
            <w:vAlign w:val="bottom"/>
            <w:gridSpan w:val="11"/>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60" w:type="dxa"/>
            <w:vAlign w:val="bottom"/>
            <w:gridSpan w:val="14"/>
          </w:tcPr>
          <w:p>
            <w:pPr>
              <w:ind w:left="20"/>
              <w:spacing w:after="0" w:line="139" w:lineRule="exact"/>
              <w:rPr>
                <w:sz w:val="20"/>
                <w:szCs w:val="20"/>
                <w:color w:val="auto"/>
              </w:rPr>
            </w:pPr>
            <w:r>
              <w:rPr>
                <w:rFonts w:ascii="Times New Roman" w:cs="Times New Roman" w:eastAsia="Times New Roman" w:hAnsi="Times New Roman"/>
                <w:sz w:val="13"/>
                <w:szCs w:val="13"/>
                <w:b w:val="1"/>
                <w:bCs w:val="1"/>
                <w:color w:val="auto"/>
              </w:rPr>
              <w:t>Shield Options with a 3-Year</w:t>
            </w:r>
          </w:p>
        </w:tc>
        <w:tc>
          <w:tcPr>
            <w:tcW w:w="40" w:type="dxa"/>
            <w:vAlign w:val="bottom"/>
          </w:tcPr>
          <w:p>
            <w:pPr>
              <w:spacing w:after="0"/>
              <w:rPr>
                <w:sz w:val="12"/>
                <w:szCs w:val="12"/>
                <w:color w:val="auto"/>
              </w:rPr>
            </w:pPr>
          </w:p>
        </w:tc>
        <w:tc>
          <w:tcPr>
            <w:tcW w:w="1320" w:type="dxa"/>
            <w:vAlign w:val="bottom"/>
            <w:gridSpan w:val="11"/>
          </w:tcPr>
          <w:p>
            <w:pPr>
              <w:ind w:left="40"/>
              <w:spacing w:after="0" w:line="139" w:lineRule="exact"/>
              <w:rPr>
                <w:sz w:val="20"/>
                <w:szCs w:val="20"/>
                <w:color w:val="auto"/>
              </w:rPr>
            </w:pPr>
            <w:r>
              <w:rPr>
                <w:rFonts w:ascii="Times New Roman" w:cs="Times New Roman" w:eastAsia="Times New Roman" w:hAnsi="Times New Roman"/>
                <w:sz w:val="13"/>
                <w:szCs w:val="13"/>
                <w:b w:val="1"/>
                <w:bCs w:val="1"/>
                <w:color w:val="auto"/>
              </w:rPr>
              <w:t>Term and 21% for</w:t>
            </w:r>
          </w:p>
        </w:tc>
        <w:tc>
          <w:tcPr>
            <w:tcW w:w="1360" w:type="dxa"/>
            <w:vAlign w:val="bottom"/>
            <w:gridSpan w:val="15"/>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Shield Options with a</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Borders>
              <w:right w:val="single" w:sz="8" w:color="auto"/>
            </w:tcBorders>
            <w:gridSpan w:val="2"/>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60" w:type="dxa"/>
            <w:vAlign w:val="bottom"/>
            <w:gridSpan w:val="4"/>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6-Year</w:t>
            </w:r>
          </w:p>
        </w:tc>
        <w:tc>
          <w:tcPr>
            <w:tcW w:w="20" w:type="dxa"/>
            <w:vAlign w:val="bottom"/>
          </w:tcPr>
          <w:p>
            <w:pPr>
              <w:spacing w:after="0"/>
              <w:rPr>
                <w:sz w:val="12"/>
                <w:szCs w:val="12"/>
                <w:color w:val="auto"/>
              </w:rPr>
            </w:pPr>
          </w:p>
        </w:tc>
        <w:tc>
          <w:tcPr>
            <w:tcW w:w="2160" w:type="dxa"/>
            <w:vAlign w:val="bottom"/>
            <w:gridSpan w:val="19"/>
          </w:tcPr>
          <w:p>
            <w:pPr>
              <w:ind w:left="100"/>
              <w:spacing w:after="0" w:line="139" w:lineRule="exact"/>
              <w:rPr>
                <w:sz w:val="20"/>
                <w:szCs w:val="20"/>
                <w:color w:val="auto"/>
              </w:rPr>
            </w:pPr>
            <w:r>
              <w:rPr>
                <w:rFonts w:ascii="Times New Roman" w:cs="Times New Roman" w:eastAsia="Times New Roman" w:hAnsi="Times New Roman"/>
                <w:sz w:val="13"/>
                <w:szCs w:val="13"/>
                <w:b w:val="1"/>
                <w:bCs w:val="1"/>
                <w:color w:val="auto"/>
              </w:rPr>
              <w:t>Term. The Minimum Guaranteed</w:t>
            </w:r>
          </w:p>
        </w:tc>
        <w:tc>
          <w:tcPr>
            <w:tcW w:w="160" w:type="dxa"/>
            <w:vAlign w:val="bottom"/>
          </w:tcPr>
          <w:p>
            <w:pPr>
              <w:spacing w:after="0"/>
              <w:rPr>
                <w:sz w:val="12"/>
                <w:szCs w:val="12"/>
                <w:color w:val="auto"/>
              </w:rPr>
            </w:pPr>
          </w:p>
        </w:tc>
        <w:tc>
          <w:tcPr>
            <w:tcW w:w="1160" w:type="dxa"/>
            <w:vAlign w:val="bottom"/>
            <w:gridSpan w:val="10"/>
          </w:tcPr>
          <w:p>
            <w:pPr>
              <w:jc w:val="center"/>
              <w:ind w:right="80"/>
              <w:spacing w:after="0" w:line="139" w:lineRule="exact"/>
              <w:rPr>
                <w:sz w:val="20"/>
                <w:szCs w:val="20"/>
                <w:color w:val="auto"/>
              </w:rPr>
            </w:pPr>
            <w:r>
              <w:rPr>
                <w:rFonts w:ascii="Times New Roman" w:cs="Times New Roman" w:eastAsia="Times New Roman" w:hAnsi="Times New Roman"/>
                <w:sz w:val="13"/>
                <w:szCs w:val="13"/>
                <w:b w:val="1"/>
                <w:bCs w:val="1"/>
                <w:color w:val="auto"/>
              </w:rPr>
              <w:t>Step Rate for your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18"/>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Contract is the amount shown</w:t>
            </w:r>
          </w:p>
        </w:tc>
        <w:tc>
          <w:tcPr>
            <w:tcW w:w="0" w:type="dxa"/>
            <w:vAlign w:val="bottom"/>
          </w:tcPr>
          <w:p>
            <w:pPr>
              <w:spacing w:after="0"/>
              <w:rPr>
                <w:sz w:val="1"/>
                <w:szCs w:val="1"/>
                <w:color w:val="auto"/>
              </w:rPr>
            </w:pPr>
          </w:p>
        </w:tc>
      </w:tr>
      <w:tr>
        <w:trPr>
          <w:trHeight w:val="20"/>
        </w:trPr>
        <w:tc>
          <w:tcPr>
            <w:tcW w:w="56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rPr>
              <w:t>on your</w:t>
            </w: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less</w:t>
            </w:r>
          </w:p>
        </w:tc>
        <w:tc>
          <w:tcPr>
            <w:tcW w:w="26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w w:val="94"/>
              </w:rPr>
              <w:t>than</w:t>
            </w:r>
          </w:p>
        </w:tc>
        <w:tc>
          <w:tcPr>
            <w:tcW w:w="3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4.5%</w:t>
            </w:r>
          </w:p>
        </w:tc>
        <w:tc>
          <w:tcPr>
            <w:tcW w:w="0" w:type="dxa"/>
            <w:vAlign w:val="bottom"/>
          </w:tcPr>
          <w:p>
            <w:pPr>
              <w:spacing w:after="0" w:line="20" w:lineRule="exact"/>
              <w:rPr>
                <w:sz w:val="1"/>
                <w:szCs w:val="1"/>
                <w:color w:val="auto"/>
              </w:rPr>
            </w:pPr>
          </w:p>
        </w:tc>
      </w:tr>
      <w:tr>
        <w:trPr>
          <w:trHeight w:val="139"/>
        </w:trPr>
        <w:tc>
          <w:tcPr>
            <w:tcW w:w="56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5"/>
          </w:tcPr>
          <w:p>
            <w:pPr>
              <w:jc w:val="right"/>
              <w:ind w:right="20"/>
              <w:spacing w:after="0" w:line="139" w:lineRule="exact"/>
              <w:rPr>
                <w:sz w:val="20"/>
                <w:szCs w:val="20"/>
                <w:color w:val="auto"/>
              </w:rPr>
            </w:pPr>
            <w:r>
              <w:rPr>
                <w:rFonts w:ascii="Times New Roman" w:cs="Times New Roman" w:eastAsia="Times New Roman" w:hAnsi="Times New Roman"/>
                <w:sz w:val="13"/>
                <w:szCs w:val="13"/>
                <w:b w:val="1"/>
                <w:bCs w:val="1"/>
                <w:color w:val="auto"/>
                <w:w w:val="96"/>
              </w:rPr>
              <w:t>Contract</w:t>
            </w:r>
          </w:p>
        </w:tc>
        <w:tc>
          <w:tcPr>
            <w:tcW w:w="2020" w:type="dxa"/>
            <w:vAlign w:val="bottom"/>
            <w:gridSpan w:val="16"/>
          </w:tcPr>
          <w:p>
            <w:pPr>
              <w:jc w:val="center"/>
              <w:ind w:right="260"/>
              <w:spacing w:after="0" w:line="139" w:lineRule="exact"/>
              <w:rPr>
                <w:sz w:val="20"/>
                <w:szCs w:val="20"/>
                <w:color w:val="auto"/>
              </w:rPr>
            </w:pPr>
            <w:r>
              <w:rPr>
                <w:rFonts w:ascii="Times New Roman" w:cs="Times New Roman" w:eastAsia="Times New Roman" w:hAnsi="Times New Roman"/>
                <w:sz w:val="13"/>
                <w:szCs w:val="13"/>
                <w:b w:val="1"/>
                <w:bCs w:val="1"/>
                <w:color w:val="auto"/>
              </w:rPr>
              <w:t>Schedule and may vary by</w:t>
            </w:r>
          </w:p>
        </w:tc>
        <w:tc>
          <w:tcPr>
            <w:tcW w:w="40" w:type="dxa"/>
            <w:vAlign w:val="bottom"/>
          </w:tcPr>
          <w:p>
            <w:pPr>
              <w:spacing w:after="0"/>
              <w:rPr>
                <w:sz w:val="12"/>
                <w:szCs w:val="12"/>
                <w:color w:val="auto"/>
              </w:rPr>
            </w:pPr>
          </w:p>
        </w:tc>
        <w:tc>
          <w:tcPr>
            <w:tcW w:w="980" w:type="dxa"/>
            <w:vAlign w:val="bottom"/>
            <w:gridSpan w:val="8"/>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Shield Rate, but</w:t>
            </w:r>
          </w:p>
        </w:tc>
        <w:tc>
          <w:tcPr>
            <w:tcW w:w="340" w:type="dxa"/>
            <w:vAlign w:val="bottom"/>
            <w:gridSpan w:val="3"/>
          </w:tcPr>
          <w:p>
            <w:pPr>
              <w:ind w:left="60"/>
              <w:spacing w:after="0" w:line="139" w:lineRule="exact"/>
              <w:rPr>
                <w:sz w:val="20"/>
                <w:szCs w:val="20"/>
                <w:color w:val="auto"/>
              </w:rPr>
            </w:pPr>
            <w:r>
              <w:rPr>
                <w:rFonts w:ascii="Times New Roman" w:cs="Times New Roman" w:eastAsia="Times New Roman" w:hAnsi="Times New Roman"/>
                <w:sz w:val="13"/>
                <w:szCs w:val="13"/>
                <w:b w:val="1"/>
                <w:bCs w:val="1"/>
                <w:color w:val="auto"/>
              </w:rPr>
              <w:t>will</w:t>
            </w:r>
          </w:p>
        </w:tc>
        <w:tc>
          <w:tcPr>
            <w:tcW w:w="460" w:type="dxa"/>
            <w:vAlign w:val="bottom"/>
            <w:gridSpan w:val="5"/>
          </w:tcPr>
          <w:p>
            <w:pPr>
              <w:jc w:val="right"/>
              <w:ind w:right="60"/>
              <w:spacing w:after="0" w:line="139" w:lineRule="exact"/>
              <w:rPr>
                <w:sz w:val="20"/>
                <w:szCs w:val="20"/>
                <w:color w:val="auto"/>
              </w:rPr>
            </w:pPr>
            <w:r>
              <w:rPr>
                <w:rFonts w:ascii="Times New Roman" w:cs="Times New Roman" w:eastAsia="Times New Roman" w:hAnsi="Times New Roman"/>
                <w:sz w:val="13"/>
                <w:szCs w:val="13"/>
                <w:b w:val="1"/>
                <w:bCs w:val="1"/>
                <w:color w:val="auto"/>
              </w:rPr>
              <w:t>not be</w:t>
            </w:r>
          </w:p>
        </w:tc>
        <w:tc>
          <w:tcPr>
            <w:tcW w:w="280" w:type="dxa"/>
            <w:vAlign w:val="bottom"/>
            <w:gridSpan w:val="2"/>
            <w:vMerge w:val="continue"/>
          </w:tcPr>
          <w:p>
            <w:pPr>
              <w:spacing w:after="0"/>
              <w:rPr>
                <w:sz w:val="12"/>
                <w:szCs w:val="12"/>
                <w:color w:val="auto"/>
              </w:rPr>
            </w:pPr>
          </w:p>
        </w:tc>
        <w:tc>
          <w:tcPr>
            <w:tcW w:w="260" w:type="dxa"/>
            <w:vAlign w:val="bottom"/>
            <w:gridSpan w:val="4"/>
            <w:vMerge w:val="continue"/>
          </w:tcPr>
          <w:p>
            <w:pPr>
              <w:spacing w:after="0"/>
              <w:rPr>
                <w:sz w:val="12"/>
                <w:szCs w:val="12"/>
                <w:color w:val="auto"/>
              </w:rPr>
            </w:pPr>
          </w:p>
        </w:tc>
        <w:tc>
          <w:tcPr>
            <w:tcW w:w="3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for</w:t>
            </w: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rPr>
              <w:t>Term and</w:t>
            </w:r>
          </w:p>
        </w:tc>
        <w:tc>
          <w:tcPr>
            <w:tcW w:w="4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9"/>
            <w:vMerge w:val="restart"/>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Shield Options</w:t>
            </w:r>
          </w:p>
        </w:tc>
        <w:tc>
          <w:tcPr>
            <w:tcW w:w="60" w:type="dxa"/>
            <w:vAlign w:val="bottom"/>
          </w:tcPr>
          <w:p>
            <w:pPr>
              <w:spacing w:after="0" w:line="20" w:lineRule="exact"/>
              <w:rPr>
                <w:sz w:val="1"/>
                <w:szCs w:val="1"/>
                <w:color w:val="auto"/>
              </w:rPr>
            </w:pPr>
          </w:p>
        </w:tc>
        <w:tc>
          <w:tcPr>
            <w:tcW w:w="480" w:type="dxa"/>
            <w:vAlign w:val="bottom"/>
            <w:gridSpan w:val="5"/>
            <w:vMerge w:val="restart"/>
          </w:tcPr>
          <w:p>
            <w:pPr>
              <w:spacing w:after="0"/>
              <w:rPr>
                <w:sz w:val="20"/>
                <w:szCs w:val="20"/>
                <w:color w:val="auto"/>
              </w:rPr>
            </w:pPr>
            <w:r>
              <w:rPr>
                <w:rFonts w:ascii="Times New Roman" w:cs="Times New Roman" w:eastAsia="Times New Roman" w:hAnsi="Times New Roman"/>
                <w:sz w:val="13"/>
                <w:szCs w:val="13"/>
                <w:b w:val="1"/>
                <w:bCs w:val="1"/>
                <w:color w:val="auto"/>
              </w:rPr>
              <w:t>with a</w:t>
            </w:r>
          </w:p>
        </w:tc>
        <w:tc>
          <w:tcPr>
            <w:tcW w:w="3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88"/>
              </w:rPr>
              <w:t>2-Year</w:t>
            </w:r>
          </w:p>
        </w:tc>
        <w:tc>
          <w:tcPr>
            <w:tcW w:w="0" w:type="dxa"/>
            <w:vAlign w:val="bottom"/>
          </w:tcPr>
          <w:p>
            <w:pPr>
              <w:spacing w:after="0" w:line="20" w:lineRule="exact"/>
              <w:rPr>
                <w:sz w:val="1"/>
                <w:szCs w:val="1"/>
                <w:color w:val="auto"/>
              </w:rPr>
            </w:pPr>
          </w:p>
        </w:tc>
      </w:tr>
      <w:tr>
        <w:trPr>
          <w:trHeight w:val="139"/>
        </w:trPr>
        <w:tc>
          <w:tcPr>
            <w:tcW w:w="2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8"/>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w w:val="97"/>
              </w:rPr>
              <w:t>Shield Options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6"/>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with a 1-Year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4"/>
            <w:vMerge w:val="continue"/>
          </w:tcPr>
          <w:p>
            <w:pPr>
              <w:spacing w:after="0"/>
              <w:rPr>
                <w:sz w:val="12"/>
                <w:szCs w:val="12"/>
                <w:color w:val="auto"/>
              </w:rPr>
            </w:pPr>
          </w:p>
        </w:tc>
        <w:tc>
          <w:tcPr>
            <w:tcW w:w="300" w:type="dxa"/>
            <w:vAlign w:val="bottom"/>
            <w:gridSpan w:val="4"/>
          </w:tcPr>
          <w:p>
            <w:pPr>
              <w:jc w:val="right"/>
              <w:ind w:right="14"/>
              <w:spacing w:after="0" w:line="139" w:lineRule="exact"/>
              <w:rPr>
                <w:sz w:val="20"/>
                <w:szCs w:val="20"/>
                <w:color w:val="auto"/>
              </w:rPr>
            </w:pPr>
            <w:r>
              <w:rPr>
                <w:rFonts w:ascii="Times New Roman" w:cs="Times New Roman" w:eastAsia="Times New Roman" w:hAnsi="Times New Roman"/>
                <w:sz w:val="13"/>
                <w:szCs w:val="13"/>
                <w:b w:val="1"/>
                <w:bCs w:val="1"/>
                <w:color w:val="auto"/>
              </w:rPr>
              <w:t>9%</w:t>
            </w:r>
          </w:p>
        </w:tc>
        <w:tc>
          <w:tcPr>
            <w:tcW w:w="420" w:type="dxa"/>
            <w:vAlign w:val="bottom"/>
            <w:gridSpan w:val="3"/>
          </w:tcPr>
          <w:p>
            <w:pPr>
              <w:jc w:val="right"/>
              <w:ind w:right="260"/>
              <w:spacing w:after="0" w:line="139" w:lineRule="exact"/>
              <w:rPr>
                <w:sz w:val="20"/>
                <w:szCs w:val="20"/>
                <w:color w:val="auto"/>
              </w:rPr>
            </w:pPr>
            <w:r>
              <w:rPr>
                <w:rFonts w:ascii="Times New Roman" w:cs="Times New Roman" w:eastAsia="Times New Roman" w:hAnsi="Times New Roman"/>
                <w:sz w:val="13"/>
                <w:szCs w:val="13"/>
                <w:b w:val="1"/>
                <w:bCs w:val="1"/>
                <w:color w:val="auto"/>
                <w:w w:val="84"/>
              </w:rPr>
              <w:t>for</w:t>
            </w:r>
          </w:p>
        </w:tc>
        <w:tc>
          <w:tcPr>
            <w:tcW w:w="160" w:type="dxa"/>
            <w:vAlign w:val="bottom"/>
          </w:tcPr>
          <w:p>
            <w:pPr>
              <w:spacing w:after="0"/>
              <w:rPr>
                <w:sz w:val="12"/>
                <w:szCs w:val="12"/>
                <w:color w:val="auto"/>
              </w:rPr>
            </w:pPr>
          </w:p>
        </w:tc>
        <w:tc>
          <w:tcPr>
            <w:tcW w:w="940" w:type="dxa"/>
            <w:vAlign w:val="bottom"/>
            <w:gridSpan w:val="9"/>
            <w:vMerge w:val="continue"/>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5"/>
            <w:vMerge w:val="continue"/>
          </w:tcPr>
          <w:p>
            <w:pPr>
              <w:spacing w:after="0"/>
              <w:rPr>
                <w:sz w:val="12"/>
                <w:szCs w:val="12"/>
                <w:color w:val="auto"/>
              </w:rPr>
            </w:pPr>
          </w:p>
        </w:tc>
        <w:tc>
          <w:tcPr>
            <w:tcW w:w="3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80" w:type="dxa"/>
            <w:vAlign w:val="bottom"/>
            <w:gridSpan w:val="5"/>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6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60" w:type="dxa"/>
            <w:vAlign w:val="bottom"/>
          </w:tcPr>
          <w:p>
            <w:pPr>
              <w:spacing w:after="0"/>
              <w:rPr>
                <w:sz w:val="12"/>
                <w:szCs w:val="12"/>
                <w:color w:val="auto"/>
              </w:rPr>
            </w:pPr>
          </w:p>
        </w:tc>
        <w:tc>
          <w:tcPr>
            <w:tcW w:w="2060" w:type="dxa"/>
            <w:vAlign w:val="bottom"/>
            <w:gridSpan w:val="20"/>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Term. The Minimum Guaranteed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12"/>
          </w:tcPr>
          <w:p>
            <w:pPr>
              <w:jc w:val="right"/>
              <w:ind w:right="360"/>
              <w:spacing w:after="0" w:line="139" w:lineRule="exact"/>
              <w:rPr>
                <w:sz w:val="20"/>
                <w:szCs w:val="20"/>
                <w:color w:val="auto"/>
              </w:rPr>
            </w:pPr>
            <w:r>
              <w:rPr>
                <w:rFonts w:ascii="Times New Roman" w:cs="Times New Roman" w:eastAsia="Times New Roman" w:hAnsi="Times New Roman"/>
                <w:sz w:val="13"/>
                <w:szCs w:val="13"/>
                <w:b w:val="1"/>
                <w:bCs w:val="1"/>
                <w:color w:val="auto"/>
              </w:rPr>
              <w:t>Edge Rate for your</w:t>
            </w:r>
          </w:p>
        </w:tc>
        <w:tc>
          <w:tcPr>
            <w:tcW w:w="2000" w:type="dxa"/>
            <w:vAlign w:val="bottom"/>
            <w:gridSpan w:val="20"/>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Contract is the amount shown on</w:t>
            </w: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2"/>
              </w:rPr>
              <w:t>your</w:t>
            </w: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5"/>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Contract</w:t>
            </w:r>
          </w:p>
        </w:tc>
        <w:tc>
          <w:tcPr>
            <w:tcW w:w="160" w:type="dxa"/>
            <w:vAlign w:val="bottom"/>
            <w:gridSpan w:val="2"/>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5"/>
            <w:vMerge w:val="restart"/>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not be</w:t>
            </w:r>
          </w:p>
        </w:tc>
        <w:tc>
          <w:tcPr>
            <w:tcW w:w="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less</w:t>
            </w:r>
          </w:p>
        </w:tc>
        <w:tc>
          <w:tcPr>
            <w:tcW w:w="620" w:type="dxa"/>
            <w:vAlign w:val="bottom"/>
            <w:gridSpan w:val="8"/>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than 4.5%</w:t>
            </w:r>
          </w:p>
        </w:tc>
        <w:tc>
          <w:tcPr>
            <w:tcW w:w="0" w:type="dxa"/>
            <w:vAlign w:val="bottom"/>
          </w:tcPr>
          <w:p>
            <w:pPr>
              <w:spacing w:after="0" w:line="20" w:lineRule="exact"/>
              <w:rPr>
                <w:sz w:val="1"/>
                <w:szCs w:val="1"/>
                <w:color w:val="auto"/>
              </w:rPr>
            </w:pPr>
          </w:p>
        </w:tc>
      </w:tr>
      <w:tr>
        <w:trPr>
          <w:trHeight w:val="139"/>
        </w:trPr>
        <w:tc>
          <w:tcPr>
            <w:tcW w:w="2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5"/>
            <w:vMerge w:val="continue"/>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15"/>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Schedule and may vary by</w:t>
            </w:r>
          </w:p>
        </w:tc>
        <w:tc>
          <w:tcPr>
            <w:tcW w:w="40" w:type="dxa"/>
            <w:vAlign w:val="bottom"/>
          </w:tcPr>
          <w:p>
            <w:pPr>
              <w:spacing w:after="0"/>
              <w:rPr>
                <w:sz w:val="12"/>
                <w:szCs w:val="12"/>
                <w:color w:val="auto"/>
              </w:rPr>
            </w:pPr>
          </w:p>
        </w:tc>
        <w:tc>
          <w:tcPr>
            <w:tcW w:w="980" w:type="dxa"/>
            <w:vAlign w:val="bottom"/>
            <w:gridSpan w:val="8"/>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Shield Rate, but</w:t>
            </w:r>
          </w:p>
        </w:tc>
        <w:tc>
          <w:tcPr>
            <w:tcW w:w="340" w:type="dxa"/>
            <w:vAlign w:val="bottom"/>
            <w:gridSpan w:val="3"/>
          </w:tcPr>
          <w:p>
            <w:pPr>
              <w:ind w:left="80"/>
              <w:spacing w:after="0" w:line="139" w:lineRule="exact"/>
              <w:rPr>
                <w:sz w:val="20"/>
                <w:szCs w:val="20"/>
                <w:color w:val="auto"/>
              </w:rPr>
            </w:pPr>
            <w:r>
              <w:rPr>
                <w:rFonts w:ascii="Times New Roman" w:cs="Times New Roman" w:eastAsia="Times New Roman" w:hAnsi="Times New Roman"/>
                <w:sz w:val="13"/>
                <w:szCs w:val="13"/>
                <w:b w:val="1"/>
                <w:bCs w:val="1"/>
                <w:color w:val="auto"/>
              </w:rPr>
              <w:t>will</w:t>
            </w:r>
          </w:p>
        </w:tc>
        <w:tc>
          <w:tcPr>
            <w:tcW w:w="460" w:type="dxa"/>
            <w:vAlign w:val="bottom"/>
            <w:gridSpan w:val="5"/>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62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for</w:t>
            </w: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gridSpan w:val="5"/>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gridSpan w:val="2"/>
          </w:tcPr>
          <w:p>
            <w:pPr>
              <w:spacing w:after="0" w:line="20" w:lineRule="exact"/>
              <w:rPr>
                <w:sz w:val="1"/>
                <w:szCs w:val="1"/>
                <w:color w:val="auto"/>
              </w:rPr>
            </w:pPr>
          </w:p>
        </w:tc>
        <w:tc>
          <w:tcPr>
            <w:tcW w:w="200" w:type="dxa"/>
            <w:vAlign w:val="bottom"/>
            <w:tcBorders>
              <w:right w:val="single" w:sz="8" w:color="auto"/>
            </w:tcBorders>
            <w:gridSpan w:val="3"/>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5"/>
            <w:vMerge w:val="restart"/>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w w:val="93"/>
              </w:rPr>
              <w:t>Term.</w:t>
            </w:r>
          </w:p>
        </w:tc>
        <w:tc>
          <w:tcPr>
            <w:tcW w:w="0" w:type="dxa"/>
            <w:vAlign w:val="bottom"/>
          </w:tcPr>
          <w:p>
            <w:pPr>
              <w:spacing w:after="0" w:line="20" w:lineRule="exact"/>
              <w:rPr>
                <w:sz w:val="1"/>
                <w:szCs w:val="1"/>
                <w:color w:val="auto"/>
              </w:rPr>
            </w:pPr>
          </w:p>
        </w:tc>
      </w:tr>
      <w:tr>
        <w:trPr>
          <w:trHeight w:val="139"/>
        </w:trPr>
        <w:tc>
          <w:tcPr>
            <w:tcW w:w="2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60" w:type="dxa"/>
            <w:vAlign w:val="bottom"/>
            <w:gridSpan w:val="18"/>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Shield Options with a 1-Year</w:t>
            </w:r>
          </w:p>
        </w:tc>
        <w:tc>
          <w:tcPr>
            <w:tcW w:w="100" w:type="dxa"/>
            <w:vAlign w:val="bottom"/>
          </w:tcPr>
          <w:p>
            <w:pPr>
              <w:spacing w:after="0"/>
              <w:rPr>
                <w:sz w:val="12"/>
                <w:szCs w:val="12"/>
                <w:color w:val="auto"/>
              </w:rPr>
            </w:pPr>
          </w:p>
        </w:tc>
        <w:tc>
          <w:tcPr>
            <w:tcW w:w="1220" w:type="dxa"/>
            <w:vAlign w:val="bottom"/>
            <w:gridSpan w:val="10"/>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Term and 9% for</w:t>
            </w:r>
          </w:p>
        </w:tc>
        <w:tc>
          <w:tcPr>
            <w:tcW w:w="80" w:type="dxa"/>
            <w:vAlign w:val="bottom"/>
          </w:tcPr>
          <w:p>
            <w:pPr>
              <w:spacing w:after="0"/>
              <w:rPr>
                <w:sz w:val="12"/>
                <w:szCs w:val="12"/>
                <w:color w:val="auto"/>
              </w:rPr>
            </w:pPr>
          </w:p>
        </w:tc>
        <w:tc>
          <w:tcPr>
            <w:tcW w:w="1720" w:type="dxa"/>
            <w:vAlign w:val="bottom"/>
            <w:gridSpan w:val="14"/>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Shield Options with a 2-Year</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8"/>
            <w:shd w:val="clear" w:color="auto" w:fill="000000"/>
          </w:tcPr>
          <w:p>
            <w:pPr>
              <w:spacing w:after="0" w:line="20" w:lineRule="exact"/>
              <w:rPr>
                <w:sz w:val="1"/>
                <w:szCs w:val="1"/>
                <w:color w:val="auto"/>
              </w:rPr>
            </w:pPr>
          </w:p>
        </w:tc>
        <w:tc>
          <w:tcPr>
            <w:tcW w:w="360" w:type="dxa"/>
            <w:vAlign w:val="bottom"/>
            <w:tcBorders>
              <w:left w:val="single" w:sz="8" w:color="auto"/>
            </w:tcBorders>
            <w:gridSpan w:val="5"/>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60" w:type="dxa"/>
            <w:vAlign w:val="bottom"/>
          </w:tcPr>
          <w:p>
            <w:pPr>
              <w:spacing w:after="0"/>
              <w:rPr>
                <w:sz w:val="18"/>
                <w:szCs w:val="18"/>
                <w:color w:val="auto"/>
              </w:rPr>
            </w:pPr>
          </w:p>
        </w:tc>
        <w:tc>
          <w:tcPr>
            <w:tcW w:w="3080" w:type="dxa"/>
            <w:vAlign w:val="bottom"/>
            <w:gridSpan w:val="27"/>
          </w:tcPr>
          <w:p>
            <w:pPr>
              <w:spacing w:after="0"/>
              <w:rPr>
                <w:sz w:val="20"/>
                <w:szCs w:val="20"/>
                <w:color w:val="auto"/>
              </w:rPr>
            </w:pPr>
            <w:r>
              <w:rPr>
                <w:rFonts w:ascii="Times New Roman" w:cs="Times New Roman" w:eastAsia="Times New Roman" w:hAnsi="Times New Roman"/>
                <w:sz w:val="13"/>
                <w:szCs w:val="13"/>
                <w:color w:val="auto"/>
              </w:rPr>
              <w:t>There are two ways you may find out what the renewal</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color w:val="auto"/>
                <w:w w:val="92"/>
              </w:rPr>
              <w:t>Cap Rates,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8"/>
          </w:tcPr>
          <w:p>
            <w:pPr>
              <w:jc w:val="right"/>
              <w:spacing w:after="0"/>
              <w:rPr>
                <w:sz w:val="20"/>
                <w:szCs w:val="20"/>
                <w:color w:val="auto"/>
              </w:rPr>
            </w:pPr>
            <w:r>
              <w:rPr>
                <w:rFonts w:ascii="Times New Roman" w:cs="Times New Roman" w:eastAsia="Times New Roman" w:hAnsi="Times New Roman"/>
                <w:sz w:val="13"/>
                <w:szCs w:val="13"/>
                <w:color w:val="auto"/>
                <w:w w:val="96"/>
              </w:rPr>
              <w:t>Step Rates, and</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7"/>
          </w:tcPr>
          <w:p>
            <w:pPr>
              <w:jc w:val="right"/>
              <w:spacing w:after="0"/>
              <w:rPr>
                <w:sz w:val="20"/>
                <w:szCs w:val="20"/>
                <w:color w:val="auto"/>
              </w:rPr>
            </w:pPr>
            <w:r>
              <w:rPr>
                <w:rFonts w:ascii="Times New Roman" w:cs="Times New Roman" w:eastAsia="Times New Roman" w:hAnsi="Times New Roman"/>
                <w:sz w:val="13"/>
                <w:szCs w:val="13"/>
                <w:color w:val="auto"/>
                <w:w w:val="98"/>
              </w:rPr>
              <w:t>Edge Rates</w:t>
            </w: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86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60" w:type="dxa"/>
            <w:vAlign w:val="bottom"/>
            <w:tcBorders>
              <w:right w:val="single" w:sz="8" w:color="auto"/>
            </w:tcBorders>
            <w:gridSpan w:val="4"/>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320" w:type="dxa"/>
            <w:vAlign w:val="bottom"/>
            <w:gridSpan w:val="12"/>
          </w:tcPr>
          <w:p>
            <w:pPr>
              <w:spacing w:after="0" w:line="139" w:lineRule="exact"/>
              <w:rPr>
                <w:sz w:val="20"/>
                <w:szCs w:val="20"/>
                <w:color w:val="auto"/>
              </w:rPr>
            </w:pPr>
            <w:r>
              <w:rPr>
                <w:rFonts w:ascii="Times New Roman" w:cs="Times New Roman" w:eastAsia="Times New Roman" w:hAnsi="Times New Roman"/>
                <w:sz w:val="13"/>
                <w:szCs w:val="13"/>
                <w:color w:val="auto"/>
              </w:rPr>
              <w:t>will be for a subsequent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gridSpan w:val="19"/>
          </w:tcPr>
          <w:p>
            <w:pPr>
              <w:jc w:val="right"/>
              <w:ind w:right="160"/>
              <w:spacing w:after="0" w:line="139" w:lineRule="exact"/>
              <w:rPr>
                <w:sz w:val="20"/>
                <w:szCs w:val="20"/>
                <w:color w:val="auto"/>
              </w:rPr>
            </w:pPr>
            <w:r>
              <w:rPr>
                <w:rFonts w:ascii="Times New Roman" w:cs="Times New Roman" w:eastAsia="Times New Roman" w:hAnsi="Times New Roman"/>
                <w:sz w:val="13"/>
                <w:szCs w:val="13"/>
                <w:color w:val="auto"/>
              </w:rPr>
              <w:t>Term. Thirty (30) days before the current</w:t>
            </w:r>
          </w:p>
        </w:tc>
        <w:tc>
          <w:tcPr>
            <w:tcW w:w="160" w:type="dxa"/>
            <w:vAlign w:val="bottom"/>
          </w:tcPr>
          <w:p>
            <w:pPr>
              <w:spacing w:after="0"/>
              <w:rPr>
                <w:sz w:val="12"/>
                <w:szCs w:val="12"/>
                <w:color w:val="auto"/>
              </w:rPr>
            </w:pPr>
          </w:p>
        </w:tc>
        <w:tc>
          <w:tcPr>
            <w:tcW w:w="1840" w:type="dxa"/>
            <w:vAlign w:val="bottom"/>
            <w:gridSpan w:val="19"/>
          </w:tcPr>
          <w:p>
            <w:pPr>
              <w:jc w:val="right"/>
              <w:spacing w:after="0" w:line="139" w:lineRule="exact"/>
              <w:rPr>
                <w:sz w:val="20"/>
                <w:szCs w:val="20"/>
                <w:color w:val="auto"/>
              </w:rPr>
            </w:pPr>
            <w:r>
              <w:rPr>
                <w:rFonts w:ascii="Times New Roman" w:cs="Times New Roman" w:eastAsia="Times New Roman" w:hAnsi="Times New Roman"/>
                <w:sz w:val="13"/>
                <w:szCs w:val="13"/>
                <w:color w:val="auto"/>
              </w:rPr>
              <w:t>Term expires, we will send you a</w:t>
            </w: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860" w:type="dxa"/>
            <w:vAlign w:val="bottom"/>
            <w:gridSpan w:val="9"/>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440" w:type="dxa"/>
            <w:vAlign w:val="bottom"/>
            <w:gridSpan w:val="47"/>
          </w:tcPr>
          <w:p>
            <w:pPr>
              <w:spacing w:after="0" w:line="139" w:lineRule="exact"/>
              <w:rPr>
                <w:sz w:val="20"/>
                <w:szCs w:val="20"/>
                <w:color w:val="auto"/>
              </w:rPr>
            </w:pPr>
            <w:r>
              <w:rPr>
                <w:rFonts w:ascii="Times New Roman" w:cs="Times New Roman" w:eastAsia="Times New Roman" w:hAnsi="Times New Roman"/>
                <w:sz w:val="13"/>
                <w:szCs w:val="13"/>
                <w:color w:val="auto"/>
              </w:rPr>
              <w:t>notification, written or electronic depending on your selected preferences, indicating your maturing</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bottom w:val="single" w:sz="8" w:color="auto"/>
            </w:tcBorders>
            <w:gridSpan w:val="3"/>
          </w:tcPr>
          <w:p>
            <w:pPr>
              <w:jc w:val="right"/>
              <w:spacing w:after="0" w:line="139" w:lineRule="exact"/>
              <w:rPr>
                <w:sz w:val="20"/>
                <w:szCs w:val="20"/>
                <w:color w:val="auto"/>
              </w:rPr>
            </w:pPr>
            <w:r>
              <w:rPr>
                <w:rFonts w:ascii="Times New Roman" w:cs="Times New Roman" w:eastAsia="Times New Roman" w:hAnsi="Times New Roman"/>
                <w:sz w:val="13"/>
                <w:szCs w:val="13"/>
                <w:color w:val="auto"/>
                <w:w w:val="96"/>
              </w:rPr>
              <w:t>Shield</w:t>
            </w:r>
          </w:p>
        </w:tc>
        <w:tc>
          <w:tcPr>
            <w:tcW w:w="0" w:type="dxa"/>
            <w:vAlign w:val="bottom"/>
          </w:tcPr>
          <w:p>
            <w:pPr>
              <w:spacing w:after="0"/>
              <w:rPr>
                <w:sz w:val="1"/>
                <w:szCs w:val="1"/>
                <w:color w:val="auto"/>
              </w:rPr>
            </w:pPr>
          </w:p>
        </w:tc>
      </w:tr>
      <w:tr>
        <w:trPr>
          <w:trHeight w:val="149"/>
        </w:trPr>
        <w:tc>
          <w:tcPr>
            <w:tcW w:w="2740" w:type="dxa"/>
            <w:vAlign w:val="bottom"/>
            <w:gridSpan w:val="24"/>
          </w:tcPr>
          <w:p>
            <w:pPr>
              <w:spacing w:after="0"/>
              <w:rPr>
                <w:sz w:val="20"/>
                <w:szCs w:val="20"/>
                <w:color w:val="auto"/>
              </w:rPr>
            </w:pPr>
            <w:r>
              <w:rPr>
                <w:rFonts w:ascii="Times New Roman" w:cs="Times New Roman" w:eastAsia="Times New Roman" w:hAnsi="Times New Roman"/>
                <w:sz w:val="13"/>
                <w:szCs w:val="13"/>
                <w:color w:val="auto"/>
              </w:rPr>
              <w:t>Options and how you can obtain the different</w:t>
            </w:r>
          </w:p>
        </w:tc>
        <w:tc>
          <w:tcPr>
            <w:tcW w:w="1620" w:type="dxa"/>
            <w:vAlign w:val="bottom"/>
            <w:gridSpan w:val="13"/>
          </w:tcPr>
          <w:p>
            <w:pPr>
              <w:jc w:val="right"/>
              <w:spacing w:after="0"/>
              <w:rPr>
                <w:sz w:val="20"/>
                <w:szCs w:val="20"/>
                <w:color w:val="auto"/>
              </w:rPr>
            </w:pPr>
            <w:r>
              <w:rPr>
                <w:rFonts w:ascii="Times New Roman" w:cs="Times New Roman" w:eastAsia="Times New Roman" w:hAnsi="Times New Roman"/>
                <w:sz w:val="13"/>
                <w:szCs w:val="13"/>
                <w:color w:val="auto"/>
                <w:w w:val="98"/>
              </w:rPr>
              <w:t>Shield Options available at the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16"/>
          </w:tcPr>
          <w:p>
            <w:pPr>
              <w:jc w:val="right"/>
              <w:spacing w:after="0"/>
              <w:rPr>
                <w:sz w:val="20"/>
                <w:szCs w:val="20"/>
                <w:color w:val="auto"/>
              </w:rPr>
            </w:pPr>
            <w:r>
              <w:rPr>
                <w:rFonts w:ascii="Times New Roman" w:cs="Times New Roman" w:eastAsia="Times New Roman" w:hAnsi="Times New Roman"/>
                <w:sz w:val="13"/>
                <w:szCs w:val="13"/>
                <w:color w:val="auto"/>
              </w:rPr>
              <w:t>Term End Date , including</w:t>
            </w:r>
          </w:p>
        </w:tc>
        <w:tc>
          <w:tcPr>
            <w:tcW w:w="0" w:type="dxa"/>
            <w:vAlign w:val="bottom"/>
          </w:tcPr>
          <w:p>
            <w:pPr>
              <w:spacing w:after="0"/>
              <w:rPr>
                <w:sz w:val="1"/>
                <w:szCs w:val="1"/>
                <w:color w:val="auto"/>
              </w:rPr>
            </w:pPr>
          </w:p>
        </w:tc>
      </w:tr>
      <w:tr>
        <w:trPr>
          <w:trHeight w:val="20"/>
        </w:trPr>
        <w:tc>
          <w:tcPr>
            <w:tcW w:w="42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360" w:type="dxa"/>
            <w:vAlign w:val="bottom"/>
            <w:tcBorders>
              <w:left w:val="single" w:sz="8" w:color="auto"/>
              <w:right w:val="single" w:sz="8" w:color="auto"/>
            </w:tcBorders>
            <w:gridSpan w:val="4"/>
            <w:shd w:val="clear" w:color="auto" w:fill="000000"/>
          </w:tcPr>
          <w:p>
            <w:pPr>
              <w:spacing w:after="0" w:line="20" w:lineRule="exact"/>
              <w:rPr>
                <w:sz w:val="1"/>
                <w:szCs w:val="1"/>
                <w:color w:val="auto"/>
              </w:rPr>
            </w:pPr>
          </w:p>
        </w:tc>
        <w:tc>
          <w:tcPr>
            <w:tcW w:w="1200" w:type="dxa"/>
            <w:vAlign w:val="bottom"/>
            <w:tcBorders>
              <w:right w:val="single" w:sz="8" w:color="auto"/>
            </w:tcBorders>
            <w:gridSpan w:val="9"/>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20" w:type="dxa"/>
            <w:vAlign w:val="bottom"/>
            <w:gridSpan w:val="2"/>
          </w:tcPr>
          <w:p>
            <w:pPr>
              <w:spacing w:after="0" w:line="139" w:lineRule="exact"/>
              <w:rPr>
                <w:sz w:val="20"/>
                <w:szCs w:val="20"/>
                <w:color w:val="auto"/>
              </w:rPr>
            </w:pPr>
            <w:r>
              <w:rPr>
                <w:rFonts w:ascii="Times New Roman" w:cs="Times New Roman" w:eastAsia="Times New Roman" w:hAnsi="Times New Roman"/>
                <w:sz w:val="13"/>
                <w:szCs w:val="13"/>
                <w:color w:val="auto"/>
                <w:w w:val="97"/>
              </w:rPr>
              <w:t>the new</w:t>
            </w:r>
          </w:p>
        </w:tc>
        <w:tc>
          <w:tcPr>
            <w:tcW w:w="1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6"/>
          </w:tcPr>
          <w:p>
            <w:pPr>
              <w:jc w:val="right"/>
              <w:ind w:right="20"/>
              <w:spacing w:after="0" w:line="139" w:lineRule="exact"/>
              <w:rPr>
                <w:sz w:val="20"/>
                <w:szCs w:val="20"/>
                <w:color w:val="auto"/>
              </w:rPr>
            </w:pPr>
            <w:r>
              <w:rPr>
                <w:rFonts w:ascii="Times New Roman" w:cs="Times New Roman" w:eastAsia="Times New Roman" w:hAnsi="Times New Roman"/>
                <w:sz w:val="13"/>
                <w:szCs w:val="13"/>
                <w:color w:val="auto"/>
                <w:w w:val="99"/>
              </w:rPr>
              <w:t>Cap Rates,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6"/>
          </w:tcPr>
          <w:p>
            <w:pPr>
              <w:ind w:left="100"/>
              <w:spacing w:after="0" w:line="139" w:lineRule="exact"/>
              <w:rPr>
                <w:sz w:val="20"/>
                <w:szCs w:val="20"/>
                <w:color w:val="auto"/>
              </w:rPr>
            </w:pPr>
            <w:r>
              <w:rPr>
                <w:rFonts w:ascii="Times New Roman" w:cs="Times New Roman" w:eastAsia="Times New Roman" w:hAnsi="Times New Roman"/>
                <w:sz w:val="13"/>
                <w:szCs w:val="13"/>
                <w:color w:val="auto"/>
              </w:rPr>
              <w:t>Step Rates,</w:t>
            </w:r>
          </w:p>
        </w:tc>
        <w:tc>
          <w:tcPr>
            <w:tcW w:w="100" w:type="dxa"/>
            <w:vAlign w:val="bottom"/>
          </w:tcPr>
          <w:p>
            <w:pPr>
              <w:spacing w:after="0"/>
              <w:rPr>
                <w:sz w:val="12"/>
                <w:szCs w:val="12"/>
                <w:color w:val="auto"/>
              </w:rPr>
            </w:pPr>
          </w:p>
        </w:tc>
        <w:tc>
          <w:tcPr>
            <w:tcW w:w="2280" w:type="dxa"/>
            <w:vAlign w:val="bottom"/>
            <w:gridSpan w:val="18"/>
          </w:tcPr>
          <w:p>
            <w:pPr>
              <w:ind w:left="100"/>
              <w:spacing w:after="0" w:line="139" w:lineRule="exact"/>
              <w:rPr>
                <w:sz w:val="20"/>
                <w:szCs w:val="20"/>
                <w:color w:val="auto"/>
              </w:rPr>
            </w:pPr>
            <w:r>
              <w:rPr>
                <w:rFonts w:ascii="Times New Roman" w:cs="Times New Roman" w:eastAsia="Times New Roman" w:hAnsi="Times New Roman"/>
                <w:sz w:val="13"/>
                <w:szCs w:val="13"/>
                <w:color w:val="auto"/>
              </w:rPr>
              <w:t>Edge Rates, and the interest rate for the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12"/>
          </w:tcPr>
          <w:p>
            <w:pPr>
              <w:jc w:val="right"/>
              <w:spacing w:after="0" w:line="139" w:lineRule="exact"/>
              <w:rPr>
                <w:sz w:val="20"/>
                <w:szCs w:val="20"/>
                <w:color w:val="auto"/>
              </w:rPr>
            </w:pPr>
            <w:r>
              <w:rPr>
                <w:rFonts w:ascii="Times New Roman" w:cs="Times New Roman" w:eastAsia="Times New Roman" w:hAnsi="Times New Roman"/>
                <w:sz w:val="13"/>
                <w:szCs w:val="13"/>
                <w:color w:val="auto"/>
              </w:rPr>
              <w:t>Fixed Account. You</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3458845</wp:posOffset>
            </wp:positionH>
            <wp:positionV relativeFrom="paragraph">
              <wp:posOffset>-106680</wp:posOffset>
            </wp:positionV>
            <wp:extent cx="2540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400" cy="63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color w:val="auto"/>
        </w:rPr>
        <w:t>may also access our website at https://www.brighthousefinancial.com/products/rates/ where at least two months of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80" w:type="dxa"/>
            <w:vAlign w:val="bottom"/>
            <w:gridSpan w:val="9"/>
          </w:tcPr>
          <w:p>
            <w:pPr>
              <w:spacing w:after="0"/>
              <w:rPr>
                <w:sz w:val="20"/>
                <w:szCs w:val="20"/>
                <w:color w:val="auto"/>
              </w:rPr>
            </w:pPr>
            <w:r>
              <w:rPr>
                <w:rFonts w:ascii="Times New Roman" w:cs="Times New Roman" w:eastAsia="Times New Roman" w:hAnsi="Times New Roman"/>
                <w:sz w:val="13"/>
                <w:szCs w:val="13"/>
                <w:color w:val="auto"/>
              </w:rPr>
              <w:t>renewal rates for the</w:t>
            </w:r>
          </w:p>
        </w:tc>
        <w:tc>
          <w:tcPr>
            <w:tcW w:w="20" w:type="dxa"/>
            <w:vAlign w:val="bottom"/>
          </w:tcPr>
          <w:p>
            <w:pPr>
              <w:spacing w:after="0"/>
              <w:rPr>
                <w:sz w:val="12"/>
                <w:szCs w:val="12"/>
                <w:color w:val="auto"/>
              </w:rPr>
            </w:pPr>
          </w:p>
        </w:tc>
        <w:tc>
          <w:tcPr>
            <w:tcW w:w="290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Rate Crediting Types and the interest rate for the</w:t>
            </w:r>
          </w:p>
        </w:tc>
        <w:tc>
          <w:tcPr>
            <w:tcW w:w="1760" w:type="dxa"/>
            <w:vAlign w:val="bottom"/>
            <w:gridSpan w:val="9"/>
          </w:tcPr>
          <w:p>
            <w:pPr>
              <w:jc w:val="right"/>
              <w:spacing w:after="0"/>
              <w:rPr>
                <w:sz w:val="20"/>
                <w:szCs w:val="20"/>
                <w:color w:val="auto"/>
              </w:rPr>
            </w:pPr>
            <w:r>
              <w:rPr>
                <w:rFonts w:ascii="Times New Roman" w:cs="Times New Roman" w:eastAsia="Times New Roman" w:hAnsi="Times New Roman"/>
                <w:sz w:val="13"/>
                <w:szCs w:val="13"/>
                <w:color w:val="auto"/>
              </w:rPr>
              <w:t>Fixed Account are posted – i.e.,</w:t>
            </w:r>
          </w:p>
        </w:tc>
      </w:tr>
      <w:tr>
        <w:trPr>
          <w:trHeight w:val="20"/>
        </w:trPr>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39"/>
        </w:trPr>
        <w:tc>
          <w:tcPr>
            <w:tcW w:w="2800" w:type="dxa"/>
            <w:vAlign w:val="bottom"/>
            <w:gridSpan w:val="19"/>
          </w:tcPr>
          <w:p>
            <w:pPr>
              <w:spacing w:after="0" w:line="139" w:lineRule="exact"/>
              <w:rPr>
                <w:sz w:val="20"/>
                <w:szCs w:val="20"/>
                <w:color w:val="auto"/>
              </w:rPr>
            </w:pPr>
            <w:r>
              <w:rPr>
                <w:rFonts w:ascii="Times New Roman" w:cs="Times New Roman" w:eastAsia="Times New Roman" w:hAnsi="Times New Roman"/>
                <w:sz w:val="13"/>
                <w:szCs w:val="13"/>
                <w:color w:val="auto"/>
              </w:rPr>
              <w:t>for the current month and the following month. See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40" w:type="dxa"/>
            <w:vAlign w:val="bottom"/>
            <w:gridSpan w:val="13"/>
          </w:tcPr>
          <w:p>
            <w:pPr>
              <w:jc w:val="right"/>
              <w:ind w:right="240"/>
              <w:spacing w:after="0" w:line="139" w:lineRule="exact"/>
              <w:rPr>
                <w:sz w:val="20"/>
                <w:szCs w:val="20"/>
                <w:color w:val="auto"/>
              </w:rPr>
            </w:pPr>
            <w:r>
              <w:rPr>
                <w:rFonts w:ascii="Times New Roman" w:cs="Times New Roman" w:eastAsia="Times New Roman" w:hAnsi="Times New Roman"/>
                <w:sz w:val="13"/>
                <w:szCs w:val="13"/>
                <w:color w:val="auto"/>
                <w:w w:val="99"/>
              </w:rPr>
              <w:t>“RATE CREDITING TYPES” for more information.</w:t>
            </w:r>
          </w:p>
        </w:tc>
      </w:tr>
      <w:tr>
        <w:trPr>
          <w:trHeight w:val="20"/>
        </w:trPr>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8"/>
        </w:trPr>
        <w:tc>
          <w:tcPr>
            <w:tcW w:w="240" w:type="dxa"/>
            <w:vAlign w:val="bottom"/>
          </w:tcPr>
          <w:p>
            <w:pPr>
              <w:spacing w:after="0"/>
              <w:rPr>
                <w:sz w:val="18"/>
                <w:szCs w:val="18"/>
                <w:color w:val="auto"/>
              </w:rPr>
            </w:pPr>
          </w:p>
        </w:tc>
        <w:tc>
          <w:tcPr>
            <w:tcW w:w="56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For each</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11"/>
          </w:tcPr>
          <w:p>
            <w:pPr>
              <w:spacing w:after="0"/>
              <w:rPr>
                <w:sz w:val="20"/>
                <w:szCs w:val="20"/>
                <w:color w:val="auto"/>
              </w:rPr>
            </w:pPr>
            <w:r>
              <w:rPr>
                <w:rFonts w:ascii="Times New Roman" w:cs="Times New Roman" w:eastAsia="Times New Roman" w:hAnsi="Times New Roman"/>
                <w:sz w:val="13"/>
                <w:szCs w:val="13"/>
                <w:color w:val="auto"/>
              </w:rPr>
              <w:t>Shield Option, you select the</w:t>
            </w:r>
          </w:p>
        </w:tc>
        <w:tc>
          <w:tcPr>
            <w:tcW w:w="90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auto"/>
              </w:rPr>
              <w:t>Term, the</w:t>
            </w:r>
          </w:p>
        </w:tc>
        <w:tc>
          <w:tcPr>
            <w:tcW w:w="190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Shield Rate and which Securities</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4"/>
              </w:rPr>
              <w:t>Index</w:t>
            </w:r>
          </w:p>
        </w:tc>
      </w:tr>
      <w:tr>
        <w:trPr>
          <w:trHeight w:val="20"/>
        </w:trPr>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139"/>
        </w:trPr>
        <w:tc>
          <w:tcPr>
            <w:tcW w:w="2120" w:type="dxa"/>
            <w:vAlign w:val="bottom"/>
            <w:gridSpan w:val="16"/>
          </w:tcPr>
          <w:p>
            <w:pPr>
              <w:spacing w:after="0" w:line="139" w:lineRule="exact"/>
              <w:rPr>
                <w:sz w:val="20"/>
                <w:szCs w:val="20"/>
                <w:color w:val="auto"/>
              </w:rPr>
            </w:pPr>
            <w:r>
              <w:rPr>
                <w:rFonts w:ascii="Times New Roman" w:cs="Times New Roman" w:eastAsia="Times New Roman" w:hAnsi="Times New Roman"/>
                <w:sz w:val="13"/>
                <w:szCs w:val="13"/>
                <w:color w:val="auto"/>
              </w:rPr>
              <w:t>you want the performance of your</w:t>
            </w:r>
          </w:p>
        </w:tc>
        <w:tc>
          <w:tcPr>
            <w:tcW w:w="3000" w:type="dxa"/>
            <w:vAlign w:val="bottom"/>
            <w:gridSpan w:val="12"/>
          </w:tcPr>
          <w:p>
            <w:pPr>
              <w:spacing w:after="0" w:line="139" w:lineRule="exact"/>
              <w:rPr>
                <w:sz w:val="20"/>
                <w:szCs w:val="20"/>
                <w:color w:val="auto"/>
              </w:rPr>
            </w:pPr>
            <w:r>
              <w:rPr>
                <w:rFonts w:ascii="Times New Roman" w:cs="Times New Roman" w:eastAsia="Times New Roman" w:hAnsi="Times New Roman"/>
                <w:sz w:val="13"/>
                <w:szCs w:val="13"/>
                <w:color w:val="auto"/>
              </w:rPr>
              <w:t>Contract to be based on. For example, if you select</w:t>
            </w:r>
          </w:p>
        </w:tc>
        <w:tc>
          <w:tcPr>
            <w:tcW w:w="940" w:type="dxa"/>
            <w:vAlign w:val="bottom"/>
            <w:gridSpan w:val="6"/>
          </w:tcPr>
          <w:p>
            <w:pPr>
              <w:jc w:val="right"/>
              <w:spacing w:after="0" w:line="139" w:lineRule="exact"/>
              <w:rPr>
                <w:sz w:val="20"/>
                <w:szCs w:val="20"/>
                <w:color w:val="auto"/>
              </w:rPr>
            </w:pPr>
            <w:r>
              <w:rPr>
                <w:rFonts w:ascii="Times New Roman" w:cs="Times New Roman" w:eastAsia="Times New Roman" w:hAnsi="Times New Roman"/>
                <w:sz w:val="13"/>
                <w:szCs w:val="13"/>
                <w:color w:val="auto"/>
              </w:rPr>
              <w:t>Shield 10 with a</w:t>
            </w:r>
          </w:p>
        </w:tc>
      </w:tr>
      <w:tr>
        <w:trPr>
          <w:trHeight w:val="20"/>
        </w:trPr>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39"/>
        </w:trPr>
        <w:tc>
          <w:tcPr>
            <w:tcW w:w="580" w:type="dxa"/>
            <w:vAlign w:val="bottom"/>
            <w:gridSpan w:val="3"/>
          </w:tcPr>
          <w:p>
            <w:pPr>
              <w:spacing w:after="0" w:line="139" w:lineRule="exact"/>
              <w:rPr>
                <w:sz w:val="20"/>
                <w:szCs w:val="20"/>
                <w:color w:val="auto"/>
              </w:rPr>
            </w:pPr>
            <w:r>
              <w:rPr>
                <w:rFonts w:ascii="Times New Roman" w:cs="Times New Roman" w:eastAsia="Times New Roman" w:hAnsi="Times New Roman"/>
                <w:sz w:val="13"/>
                <w:szCs w:val="13"/>
                <w:color w:val="auto"/>
              </w:rPr>
              <w:t>1-Year</w:t>
            </w:r>
          </w:p>
        </w:tc>
        <w:tc>
          <w:tcPr>
            <w:tcW w:w="80" w:type="dxa"/>
            <w:vAlign w:val="bottom"/>
          </w:tcPr>
          <w:p>
            <w:pPr>
              <w:spacing w:after="0"/>
              <w:rPr>
                <w:sz w:val="12"/>
                <w:szCs w:val="12"/>
                <w:color w:val="auto"/>
              </w:rPr>
            </w:pPr>
          </w:p>
        </w:tc>
        <w:tc>
          <w:tcPr>
            <w:tcW w:w="3040" w:type="dxa"/>
            <w:vAlign w:val="bottom"/>
            <w:gridSpan w:val="19"/>
          </w:tcPr>
          <w:p>
            <w:pPr>
              <w:spacing w:after="0" w:line="139" w:lineRule="exact"/>
              <w:rPr>
                <w:sz w:val="20"/>
                <w:szCs w:val="20"/>
                <w:color w:val="auto"/>
              </w:rPr>
            </w:pPr>
            <w:r>
              <w:rPr>
                <w:rFonts w:ascii="Times New Roman" w:cs="Times New Roman" w:eastAsia="Times New Roman" w:hAnsi="Times New Roman"/>
                <w:sz w:val="13"/>
                <w:szCs w:val="13"/>
                <w:color w:val="auto"/>
              </w:rPr>
              <w:t>Term, you may also select whether you want your</w:t>
            </w:r>
          </w:p>
        </w:tc>
        <w:tc>
          <w:tcPr>
            <w:tcW w:w="1900" w:type="dxa"/>
            <w:vAlign w:val="bottom"/>
            <w:gridSpan w:val="7"/>
          </w:tcPr>
          <w:p>
            <w:pPr>
              <w:spacing w:after="0" w:line="139" w:lineRule="exact"/>
              <w:rPr>
                <w:sz w:val="20"/>
                <w:szCs w:val="20"/>
                <w:color w:val="auto"/>
              </w:rPr>
            </w:pPr>
            <w:r>
              <w:rPr>
                <w:rFonts w:ascii="Times New Roman" w:cs="Times New Roman" w:eastAsia="Times New Roman" w:hAnsi="Times New Roman"/>
                <w:sz w:val="13"/>
                <w:szCs w:val="13"/>
                <w:color w:val="auto"/>
              </w:rPr>
              <w:t>Contract performance based on the</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3"/>
                <w:szCs w:val="13"/>
                <w:color w:val="auto"/>
              </w:rPr>
              <w:t>Cap</w:t>
            </w:r>
          </w:p>
        </w:tc>
      </w:tr>
      <w:tr>
        <w:trPr>
          <w:trHeight w:val="20"/>
        </w:trPr>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Borders>
              <w:right w:val="single" w:sz="8" w:color="auto"/>
            </w:tcBorders>
            <w:gridSpan w:val="8"/>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139"/>
        </w:trPr>
        <w:tc>
          <w:tcPr>
            <w:tcW w:w="580" w:type="dxa"/>
            <w:vAlign w:val="bottom"/>
            <w:gridSpan w:val="3"/>
          </w:tcPr>
          <w:p>
            <w:pPr>
              <w:spacing w:after="0" w:line="139" w:lineRule="exact"/>
              <w:rPr>
                <w:sz w:val="20"/>
                <w:szCs w:val="20"/>
                <w:color w:val="auto"/>
              </w:rPr>
            </w:pPr>
            <w:r>
              <w:rPr>
                <w:rFonts w:ascii="Times New Roman" w:cs="Times New Roman" w:eastAsia="Times New Roman" w:hAnsi="Times New Roman"/>
                <w:sz w:val="13"/>
                <w:szCs w:val="13"/>
                <w:color w:val="auto"/>
              </w:rPr>
              <w:t>Rate,</w:t>
            </w:r>
          </w:p>
        </w:tc>
        <w:tc>
          <w:tcPr>
            <w:tcW w:w="800" w:type="dxa"/>
            <w:vAlign w:val="bottom"/>
            <w:gridSpan w:val="6"/>
          </w:tcPr>
          <w:p>
            <w:pPr>
              <w:spacing w:after="0" w:line="139" w:lineRule="exact"/>
              <w:rPr>
                <w:sz w:val="20"/>
                <w:szCs w:val="20"/>
                <w:color w:val="auto"/>
              </w:rPr>
            </w:pPr>
            <w:r>
              <w:rPr>
                <w:rFonts w:ascii="Times New Roman" w:cs="Times New Roman" w:eastAsia="Times New Roman" w:hAnsi="Times New Roman"/>
                <w:sz w:val="13"/>
                <w:szCs w:val="13"/>
                <w:color w:val="auto"/>
              </w:rPr>
              <w:t>Step Rate, or</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40" w:type="dxa"/>
            <w:vAlign w:val="bottom"/>
            <w:gridSpan w:val="12"/>
          </w:tcPr>
          <w:p>
            <w:pPr>
              <w:spacing w:after="0" w:line="139" w:lineRule="exact"/>
              <w:rPr>
                <w:sz w:val="20"/>
                <w:szCs w:val="20"/>
                <w:color w:val="auto"/>
              </w:rPr>
            </w:pPr>
            <w:r>
              <w:rPr>
                <w:rFonts w:ascii="Times New Roman" w:cs="Times New Roman" w:eastAsia="Times New Roman" w:hAnsi="Times New Roman"/>
                <w:sz w:val="13"/>
                <w:szCs w:val="13"/>
                <w:color w:val="auto"/>
              </w:rPr>
              <w:t>Edge Rate, when applicable.</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97"/>
        </w:trPr>
        <w:tc>
          <w:tcPr>
            <w:tcW w:w="8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3"/>
                <w:szCs w:val="13"/>
                <w:color w:val="auto"/>
              </w:rPr>
              <w:t>Annuity Period</w:t>
            </w:r>
          </w:p>
        </w:tc>
        <w:tc>
          <w:tcPr>
            <w:tcW w:w="56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8"/>
        </w:trPr>
        <w:tc>
          <w:tcPr>
            <w:tcW w:w="240" w:type="dxa"/>
            <w:vAlign w:val="bottom"/>
          </w:tcPr>
          <w:p>
            <w:pPr>
              <w:spacing w:after="0"/>
              <w:rPr>
                <w:sz w:val="18"/>
                <w:szCs w:val="18"/>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The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0" w:type="dxa"/>
            <w:vAlign w:val="bottom"/>
            <w:gridSpan w:val="25"/>
          </w:tcPr>
          <w:p>
            <w:pPr>
              <w:jc w:val="center"/>
              <w:ind w:right="300"/>
              <w:spacing w:after="0"/>
              <w:rPr>
                <w:sz w:val="20"/>
                <w:szCs w:val="20"/>
                <w:color w:val="auto"/>
              </w:rPr>
            </w:pPr>
            <w:r>
              <w:rPr>
                <w:rFonts w:ascii="Times New Roman" w:cs="Times New Roman" w:eastAsia="Times New Roman" w:hAnsi="Times New Roman"/>
                <w:sz w:val="13"/>
                <w:szCs w:val="13"/>
                <w:color w:val="auto"/>
              </w:rPr>
              <w:t>Annuity Period occurs when you or a designated payee begin receiving regular</w:t>
            </w: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Annuity</w:t>
            </w:r>
          </w:p>
        </w:tc>
      </w:tr>
      <w:tr>
        <w:trPr>
          <w:trHeight w:val="20"/>
        </w:trPr>
        <w:tc>
          <w:tcPr>
            <w:tcW w:w="5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80" w:type="dxa"/>
            <w:vAlign w:val="bottom"/>
            <w:gridSpan w:val="4"/>
            <w:shd w:val="clear" w:color="auto" w:fill="000000"/>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139"/>
        </w:trPr>
        <w:tc>
          <w:tcPr>
            <w:tcW w:w="1380" w:type="dxa"/>
            <w:vAlign w:val="bottom"/>
            <w:gridSpan w:val="9"/>
          </w:tcPr>
          <w:p>
            <w:pPr>
              <w:spacing w:after="0" w:line="139" w:lineRule="exact"/>
              <w:rPr>
                <w:sz w:val="20"/>
                <w:szCs w:val="20"/>
                <w:color w:val="auto"/>
              </w:rPr>
            </w:pPr>
            <w:r>
              <w:rPr>
                <w:rFonts w:ascii="Times New Roman" w:cs="Times New Roman" w:eastAsia="Times New Roman" w:hAnsi="Times New Roman"/>
                <w:sz w:val="13"/>
                <w:szCs w:val="13"/>
                <w:color w:val="auto"/>
              </w:rPr>
              <w:t>Payments from your</w:t>
            </w:r>
          </w:p>
        </w:tc>
        <w:tc>
          <w:tcPr>
            <w:tcW w:w="740" w:type="dxa"/>
            <w:vAlign w:val="bottom"/>
            <w:gridSpan w:val="7"/>
          </w:tcPr>
          <w:p>
            <w:pPr>
              <w:spacing w:after="0" w:line="139" w:lineRule="exact"/>
              <w:rPr>
                <w:sz w:val="20"/>
                <w:szCs w:val="20"/>
                <w:color w:val="auto"/>
              </w:rPr>
            </w:pPr>
            <w:r>
              <w:rPr>
                <w:rFonts w:ascii="Times New Roman" w:cs="Times New Roman" w:eastAsia="Times New Roman" w:hAnsi="Times New Roman"/>
                <w:sz w:val="13"/>
                <w:szCs w:val="13"/>
                <w:color w:val="auto"/>
              </w:rPr>
              <w:t>Contract.</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387"/>
        </w:trPr>
        <w:tc>
          <w:tcPr>
            <w:tcW w:w="2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9259"/>
          </w:cols>
          <w:pgMar w:left="1200" w:top="1047" w:right="1440" w:bottom="1440" w:gutter="0" w:footer="0" w:header="0"/>
        </w:sectPr>
      </w:pPr>
    </w:p>
    <w:bookmarkStart w:id="12" w:name="page13"/>
    <w:bookmarkEnd w:id="12"/>
    <w:p>
      <w:pPr>
        <w:jc w:val="both"/>
        <w:ind w:right="3199" w:firstLine="265"/>
        <w:spacing w:after="0" w:line="26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3915" cy="38100"/>
                    </a:xfrm>
                    <a:prstGeom prst="rect">
                      <a:avLst/>
                    </a:prstGeom>
                    <a:noFill/>
                  </pic:spPr>
                </pic:pic>
              </a:graphicData>
            </a:graphic>
          </wp:anchor>
        </w:drawing>
        <w:t>You may withdraw a portion or all of your Account Value at any time until you commence the Annuity Period, subject to a Withdrawal Charge and applicable taxes, as well as an Interim Value calculation if you have not exercised Performance Lock on a Shield Option and amounts are removed from the Shield Option during a</w:t>
      </w:r>
    </w:p>
    <w:tbl>
      <w:tblPr>
        <w:tblLayout w:type="fixed"/>
        <w:tblInd w:w="0" w:type="dxa"/>
        <w:tblCellMar>
          <w:top w:w="0" w:type="dxa"/>
          <w:left w:w="0" w:type="dxa"/>
          <w:bottom w:w="0" w:type="dxa"/>
          <w:right w:w="0" w:type="dxa"/>
        </w:tblCellMar>
      </w:tblPr>
      <w:tr>
        <w:trPr>
          <w:trHeight w:val="130"/>
        </w:trPr>
        <w:tc>
          <w:tcPr>
            <w:tcW w:w="4840" w:type="dxa"/>
            <w:vAlign w:val="bottom"/>
            <w:gridSpan w:val="10"/>
          </w:tcPr>
          <w:p>
            <w:pPr>
              <w:spacing w:after="0" w:line="131" w:lineRule="exact"/>
              <w:rPr>
                <w:sz w:val="20"/>
                <w:szCs w:val="20"/>
                <w:color w:val="auto"/>
              </w:rPr>
            </w:pPr>
            <w:r>
              <w:rPr>
                <w:rFonts w:ascii="Times New Roman" w:cs="Times New Roman" w:eastAsia="Times New Roman" w:hAnsi="Times New Roman"/>
                <w:sz w:val="13"/>
                <w:szCs w:val="13"/>
                <w:color w:val="auto"/>
              </w:rPr>
              <w:t>Term. All benefits, including death benefits, terminate without value at the start of the</w:t>
            </w:r>
          </w:p>
        </w:tc>
        <w:tc>
          <w:tcPr>
            <w:tcW w:w="200" w:type="dxa"/>
            <w:vAlign w:val="bottom"/>
          </w:tcPr>
          <w:p>
            <w:pPr>
              <w:spacing w:after="0"/>
              <w:rPr>
                <w:sz w:val="11"/>
                <w:szCs w:val="11"/>
                <w:color w:val="auto"/>
              </w:rPr>
            </w:pPr>
          </w:p>
        </w:tc>
        <w:tc>
          <w:tcPr>
            <w:tcW w:w="102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Annuity Period. In</w:t>
            </w:r>
          </w:p>
        </w:tc>
      </w:tr>
      <w:tr>
        <w:trPr>
          <w:trHeight w:val="20"/>
        </w:trPr>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39"/>
        </w:trPr>
        <w:tc>
          <w:tcPr>
            <w:tcW w:w="1180" w:type="dxa"/>
            <w:vAlign w:val="bottom"/>
            <w:gridSpan w:val="3"/>
          </w:tcPr>
          <w:p>
            <w:pPr>
              <w:spacing w:after="0" w:line="139" w:lineRule="exact"/>
              <w:rPr>
                <w:sz w:val="20"/>
                <w:szCs w:val="20"/>
                <w:color w:val="auto"/>
              </w:rPr>
            </w:pPr>
            <w:r>
              <w:rPr>
                <w:rFonts w:ascii="Times New Roman" w:cs="Times New Roman" w:eastAsia="Times New Roman" w:hAnsi="Times New Roman"/>
                <w:sz w:val="13"/>
                <w:szCs w:val="13"/>
                <w:color w:val="auto"/>
              </w:rPr>
              <w:t>addition, once the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3"/>
          </w:tcPr>
          <w:p>
            <w:pPr>
              <w:spacing w:after="0" w:line="139" w:lineRule="exact"/>
              <w:rPr>
                <w:sz w:val="20"/>
                <w:szCs w:val="20"/>
                <w:color w:val="auto"/>
              </w:rPr>
            </w:pPr>
            <w:r>
              <w:rPr>
                <w:rFonts w:ascii="Times New Roman" w:cs="Times New Roman" w:eastAsia="Times New Roman" w:hAnsi="Times New Roman"/>
                <w:sz w:val="13"/>
                <w:szCs w:val="13"/>
                <w:color w:val="auto"/>
              </w:rPr>
              <w:t>Annuity Period begins,</w:t>
            </w:r>
          </w:p>
        </w:tc>
        <w:tc>
          <w:tcPr>
            <w:tcW w:w="208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3"/>
                <w:szCs w:val="13"/>
                <w:color w:val="auto"/>
              </w:rPr>
              <w:t>you generally may no longer take</w:t>
            </w:r>
          </w:p>
        </w:tc>
        <w:tc>
          <w:tcPr>
            <w:tcW w:w="1220" w:type="dxa"/>
            <w:vAlign w:val="bottom"/>
            <w:gridSpan w:val="3"/>
          </w:tcPr>
          <w:p>
            <w:pPr>
              <w:jc w:val="right"/>
              <w:spacing w:after="0" w:line="139" w:lineRule="exact"/>
              <w:rPr>
                <w:sz w:val="20"/>
                <w:szCs w:val="20"/>
                <w:color w:val="auto"/>
              </w:rPr>
            </w:pPr>
            <w:r>
              <w:rPr>
                <w:rFonts w:ascii="Times New Roman" w:cs="Times New Roman" w:eastAsia="Times New Roman" w:hAnsi="Times New Roman"/>
                <w:sz w:val="13"/>
                <w:szCs w:val="13"/>
                <w:color w:val="auto"/>
              </w:rPr>
              <w:t>withdrawals from or</w:t>
            </w:r>
          </w:p>
        </w:tc>
      </w:tr>
      <w:tr>
        <w:trPr>
          <w:trHeight w:val="20"/>
        </w:trPr>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r>
      <w:tr>
        <w:trPr>
          <w:trHeight w:val="139"/>
        </w:trPr>
        <w:tc>
          <w:tcPr>
            <w:tcW w:w="260" w:type="dxa"/>
            <w:vAlign w:val="bottom"/>
          </w:tcPr>
          <w:p>
            <w:pPr>
              <w:spacing w:after="0"/>
              <w:rPr>
                <w:sz w:val="12"/>
                <w:szCs w:val="12"/>
                <w:color w:val="auto"/>
              </w:rPr>
            </w:pPr>
          </w:p>
        </w:tc>
        <w:tc>
          <w:tcPr>
            <w:tcW w:w="920" w:type="dxa"/>
            <w:vAlign w:val="bottom"/>
            <w:gridSpan w:val="2"/>
          </w:tcPr>
          <w:p>
            <w:pPr>
              <w:spacing w:after="0" w:line="139" w:lineRule="exact"/>
              <w:rPr>
                <w:sz w:val="20"/>
                <w:szCs w:val="20"/>
                <w:color w:val="auto"/>
              </w:rPr>
            </w:pPr>
            <w:r>
              <w:rPr>
                <w:rFonts w:ascii="Times New Roman" w:cs="Times New Roman" w:eastAsia="Times New Roman" w:hAnsi="Times New Roman"/>
                <w:sz w:val="13"/>
                <w:szCs w:val="13"/>
                <w:color w:val="auto"/>
              </w:rPr>
              <w:t>Surrender the</w:t>
            </w:r>
          </w:p>
        </w:tc>
        <w:tc>
          <w:tcPr>
            <w:tcW w:w="4880" w:type="dxa"/>
            <w:vAlign w:val="bottom"/>
            <w:gridSpan w:val="10"/>
          </w:tcPr>
          <w:p>
            <w:pPr>
              <w:jc w:val="right"/>
              <w:spacing w:after="0" w:line="139" w:lineRule="exact"/>
              <w:rPr>
                <w:sz w:val="20"/>
                <w:szCs w:val="20"/>
                <w:color w:val="auto"/>
              </w:rPr>
            </w:pPr>
            <w:r>
              <w:rPr>
                <w:rFonts w:ascii="Times New Roman" w:cs="Times New Roman" w:eastAsia="Times New Roman" w:hAnsi="Times New Roman"/>
                <w:sz w:val="13"/>
                <w:szCs w:val="13"/>
                <w:color w:val="auto"/>
              </w:rPr>
              <w:t>Contract. Depending on the annuity option you elect, any remaining guarantee may be</w:t>
            </w:r>
          </w:p>
        </w:tc>
      </w:tr>
      <w:tr>
        <w:trPr>
          <w:trHeight w:val="20"/>
        </w:trPr>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9"/>
        </w:trPr>
        <w:tc>
          <w:tcPr>
            <w:tcW w:w="276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paid to your beneficiary (or beneficiaries).</w:t>
            </w:r>
          </w:p>
        </w:tc>
        <w:tc>
          <w:tcPr>
            <w:tcW w:w="5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317"/>
        </w:trPr>
        <w:tc>
          <w:tcPr>
            <w:tcW w:w="11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Contract Features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8"/>
        </w:trPr>
        <w:tc>
          <w:tcPr>
            <w:tcW w:w="260" w:type="dxa"/>
            <w:vAlign w:val="bottom"/>
          </w:tcPr>
          <w:p>
            <w:pPr>
              <w:spacing w:after="0"/>
              <w:rPr>
                <w:sz w:val="18"/>
                <w:szCs w:val="18"/>
                <w:color w:val="auto"/>
              </w:rPr>
            </w:pPr>
          </w:p>
        </w:tc>
        <w:tc>
          <w:tcPr>
            <w:tcW w:w="250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The following is a brief description of the</w:t>
            </w:r>
          </w:p>
        </w:tc>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Contract’s primary features.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
        </w:trPr>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84" w:lineRule="exact"/>
        <w:rPr>
          <w:sz w:val="20"/>
          <w:szCs w:val="20"/>
          <w:color w:val="auto"/>
        </w:rPr>
      </w:pPr>
    </w:p>
    <w:p>
      <w:pPr>
        <w:jc w:val="both"/>
        <w:ind w:right="3199" w:firstLine="265"/>
        <w:spacing w:after="0" w:line="267" w:lineRule="auto"/>
        <w:rPr>
          <w:sz w:val="20"/>
          <w:szCs w:val="20"/>
          <w:color w:val="auto"/>
        </w:rPr>
      </w:pPr>
      <w:r>
        <w:rPr>
          <w:rFonts w:ascii="Times New Roman" w:cs="Times New Roman" w:eastAsia="Times New Roman" w:hAnsi="Times New Roman"/>
          <w:sz w:val="13"/>
          <w:szCs w:val="13"/>
          <w:b w:val="1"/>
          <w:bCs w:val="1"/>
          <w:color w:val="auto"/>
        </w:rPr>
        <w:t xml:space="preserve">Accessing Your Money. </w:t>
      </w:r>
      <w:r>
        <w:rPr>
          <w:rFonts w:ascii="Times New Roman" w:cs="Times New Roman" w:eastAsia="Times New Roman" w:hAnsi="Times New Roman"/>
          <w:sz w:val="13"/>
          <w:szCs w:val="13"/>
          <w:color w:val="auto"/>
        </w:rPr>
        <w:t>Before you annuitize, you can withdraw money from your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at any time. If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you take a withdrawal (including systematic withdrawals), you may have to pay a </w:t>
      </w:r>
      <w:r>
        <w:rPr>
          <w:rFonts w:ascii="Times New Roman" w:cs="Times New Roman" w:eastAsia="Times New Roman" w:hAnsi="Times New Roman"/>
          <w:sz w:val="13"/>
          <w:szCs w:val="13"/>
          <w:u w:val="single" w:color="auto"/>
          <w:color w:val="auto"/>
        </w:rPr>
        <w:t>Withdrawal Charge</w:t>
      </w:r>
      <w:r>
        <w:rPr>
          <w:rFonts w:ascii="Times New Roman" w:cs="Times New Roman" w:eastAsia="Times New Roman" w:hAnsi="Times New Roman"/>
          <w:sz w:val="13"/>
          <w:szCs w:val="13"/>
          <w:color w:val="auto"/>
        </w:rPr>
        <w:t xml:space="preserve"> and/or income taxes, including a tax penalty if you are younger than age 59½. Withdrawals from the </w:t>
      </w:r>
      <w:r>
        <w:rPr>
          <w:rFonts w:ascii="Times New Roman" w:cs="Times New Roman" w:eastAsia="Times New Roman" w:hAnsi="Times New Roman"/>
          <w:sz w:val="13"/>
          <w:szCs w:val="13"/>
          <w:u w:val="single" w:color="auto"/>
          <w:color w:val="auto"/>
        </w:rPr>
        <w:t>Shield Options</w:t>
      </w:r>
      <w:r>
        <w:rPr>
          <w:rFonts w:ascii="Times New Roman" w:cs="Times New Roman" w:eastAsia="Times New Roman" w:hAnsi="Times New Roman"/>
          <w:sz w:val="13"/>
          <w:szCs w:val="13"/>
          <w:color w:val="auto"/>
        </w:rPr>
        <w:t xml:space="preserve"> prior to the </w:t>
      </w:r>
      <w:r>
        <w:rPr>
          <w:rFonts w:ascii="Times New Roman" w:cs="Times New Roman" w:eastAsia="Times New Roman" w:hAnsi="Times New Roman"/>
          <w:sz w:val="13"/>
          <w:szCs w:val="13"/>
          <w:u w:val="single" w:color="auto"/>
          <w:color w:val="auto"/>
        </w:rPr>
        <w:t>Term End Date</w:t>
      </w:r>
      <w:r>
        <w:rPr>
          <w:rFonts w:ascii="Times New Roman" w:cs="Times New Roman" w:eastAsia="Times New Roman" w:hAnsi="Times New Roman"/>
          <w:sz w:val="13"/>
          <w:szCs w:val="13"/>
          <w:color w:val="auto"/>
        </w:rPr>
        <w:t xml:space="preserve"> will be based on an </w:t>
      </w:r>
      <w:r>
        <w:rPr>
          <w:rFonts w:ascii="Times New Roman" w:cs="Times New Roman" w:eastAsia="Times New Roman" w:hAnsi="Times New Roman"/>
          <w:sz w:val="13"/>
          <w:szCs w:val="13"/>
          <w:u w:val="single" w:color="auto"/>
          <w:color w:val="auto"/>
        </w:rPr>
        <w:t>Interim Value</w:t>
      </w:r>
      <w:r>
        <w:rPr>
          <w:rFonts w:ascii="Times New Roman" w:cs="Times New Roman" w:eastAsia="Times New Roman" w:hAnsi="Times New Roman"/>
          <w:sz w:val="13"/>
          <w:szCs w:val="13"/>
          <w:color w:val="auto"/>
        </w:rPr>
        <w:t xml:space="preserve"> calculation.</w:t>
      </w:r>
    </w:p>
    <w:p>
      <w:pPr>
        <w:spacing w:after="0" w:line="49" w:lineRule="exact"/>
        <w:rPr>
          <w:sz w:val="20"/>
          <w:szCs w:val="20"/>
          <w:color w:val="auto"/>
        </w:rPr>
      </w:pPr>
    </w:p>
    <w:p>
      <w:pPr>
        <w:jc w:val="both"/>
        <w:ind w:right="3199" w:firstLine="265"/>
        <w:spacing w:after="0" w:line="274" w:lineRule="auto"/>
        <w:rPr>
          <w:sz w:val="20"/>
          <w:szCs w:val="20"/>
          <w:color w:val="auto"/>
        </w:rPr>
      </w:pPr>
      <w:r>
        <w:rPr>
          <w:rFonts w:ascii="Times New Roman" w:cs="Times New Roman" w:eastAsia="Times New Roman" w:hAnsi="Times New Roman"/>
          <w:sz w:val="13"/>
          <w:szCs w:val="13"/>
          <w:b w:val="1"/>
          <w:bCs w:val="1"/>
          <w:color w:val="auto"/>
        </w:rPr>
        <w:t xml:space="preserve">Tax Treatment. </w:t>
      </w:r>
      <w:r>
        <w:rPr>
          <w:rFonts w:ascii="Times New Roman" w:cs="Times New Roman" w:eastAsia="Times New Roman" w:hAnsi="Times New Roman"/>
          <w:sz w:val="13"/>
          <w:szCs w:val="13"/>
          <w:color w:val="auto"/>
        </w:rPr>
        <w:t>You can transfer money among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Allocation Options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without tax implications,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earnings (if any) on your investments are generally tax-deferred. You are only subject to taxes upon: (1) making a withdrawal; (2) receiving a payment from us; or (3) payment of a death benefit.</w:t>
      </w:r>
    </w:p>
    <w:p>
      <w:pPr>
        <w:spacing w:after="0" w:line="44" w:lineRule="exact"/>
        <w:rPr>
          <w:sz w:val="20"/>
          <w:szCs w:val="20"/>
          <w:color w:val="auto"/>
        </w:rPr>
      </w:pPr>
    </w:p>
    <w:p>
      <w:pPr>
        <w:jc w:val="both"/>
        <w:ind w:right="3199" w:firstLine="265"/>
        <w:spacing w:after="0" w:line="293" w:lineRule="auto"/>
        <w:rPr>
          <w:sz w:val="20"/>
          <w:szCs w:val="20"/>
          <w:color w:val="auto"/>
        </w:rPr>
      </w:pPr>
      <w:r>
        <w:rPr>
          <w:rFonts w:ascii="Times New Roman" w:cs="Times New Roman" w:eastAsia="Times New Roman" w:hAnsi="Times New Roman"/>
          <w:sz w:val="13"/>
          <w:szCs w:val="13"/>
          <w:b w:val="1"/>
          <w:bCs w:val="1"/>
          <w:color w:val="auto"/>
        </w:rPr>
        <w:t xml:space="preserve">Death Benefit. </w:t>
      </w:r>
      <w:r>
        <w:rPr>
          <w:rFonts w:ascii="Times New Roman" w:cs="Times New Roman" w:eastAsia="Times New Roman" w:hAnsi="Times New Roman"/>
          <w:sz w:val="13"/>
          <w:szCs w:val="13"/>
          <w:color w:val="auto"/>
        </w:rPr>
        <w:t>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includes, at no additional cost, a standard death benefit that will pay a death</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benefit to your beneficiary(ies) if you die during the </w:t>
      </w:r>
      <w:r>
        <w:rPr>
          <w:rFonts w:ascii="Times New Roman" w:cs="Times New Roman" w:eastAsia="Times New Roman" w:hAnsi="Times New Roman"/>
          <w:sz w:val="13"/>
          <w:szCs w:val="13"/>
          <w:u w:val="single" w:color="auto"/>
          <w:color w:val="auto"/>
        </w:rPr>
        <w:t>Accumulation Period</w:t>
      </w:r>
      <w:r>
        <w:rPr>
          <w:rFonts w:ascii="Times New Roman" w:cs="Times New Roman" w:eastAsia="Times New Roman" w:hAnsi="Times New Roman"/>
          <w:sz w:val="13"/>
          <w:szCs w:val="13"/>
          <w:color w:val="auto"/>
        </w:rPr>
        <w:t>.</w:t>
      </w:r>
    </w:p>
    <w:p>
      <w:pPr>
        <w:spacing w:after="0" w:line="32" w:lineRule="exact"/>
        <w:rPr>
          <w:sz w:val="20"/>
          <w:szCs w:val="20"/>
          <w:color w:val="auto"/>
        </w:rPr>
      </w:pPr>
    </w:p>
    <w:p>
      <w:pPr>
        <w:jc w:val="both"/>
        <w:ind w:right="3199" w:firstLine="265"/>
        <w:spacing w:after="0" w:line="293" w:lineRule="auto"/>
        <w:rPr>
          <w:sz w:val="20"/>
          <w:szCs w:val="20"/>
          <w:color w:val="auto"/>
        </w:rPr>
      </w:pPr>
      <w:r>
        <w:rPr>
          <w:rFonts w:ascii="Times New Roman" w:cs="Times New Roman" w:eastAsia="Times New Roman" w:hAnsi="Times New Roman"/>
          <w:sz w:val="13"/>
          <w:szCs w:val="13"/>
          <w:b w:val="1"/>
          <w:bCs w:val="1"/>
          <w:color w:val="auto"/>
        </w:rPr>
        <w:t xml:space="preserve">Annuity Options. </w:t>
      </w:r>
      <w:r>
        <w:rPr>
          <w:rFonts w:ascii="Times New Roman" w:cs="Times New Roman" w:eastAsia="Times New Roman" w:hAnsi="Times New Roman"/>
          <w:sz w:val="13"/>
          <w:szCs w:val="13"/>
          <w:color w:val="auto"/>
        </w:rPr>
        <w:t>Like all annuity contracts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offers a range of annuity options, which provide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Annuity Payments</w:t>
      </w:r>
      <w:r>
        <w:rPr>
          <w:rFonts w:ascii="Times New Roman" w:cs="Times New Roman" w:eastAsia="Times New Roman" w:hAnsi="Times New Roman"/>
          <w:sz w:val="13"/>
          <w:szCs w:val="13"/>
          <w:color w:val="auto"/>
        </w:rPr>
        <w:t xml:space="preserve"> for your lifetime.</w:t>
      </w:r>
    </w:p>
    <w:p>
      <w:pPr>
        <w:spacing w:after="0" w:line="32" w:lineRule="exact"/>
        <w:rPr>
          <w:sz w:val="20"/>
          <w:szCs w:val="20"/>
          <w:color w:val="auto"/>
        </w:rPr>
      </w:pPr>
    </w:p>
    <w:p>
      <w:pPr>
        <w:jc w:val="both"/>
        <w:ind w:right="3199" w:firstLine="265"/>
        <w:spacing w:after="0" w:line="261" w:lineRule="auto"/>
        <w:rPr>
          <w:sz w:val="20"/>
          <w:szCs w:val="20"/>
          <w:color w:val="auto"/>
        </w:rPr>
      </w:pPr>
      <w:r>
        <w:rPr>
          <w:rFonts w:ascii="Times New Roman" w:cs="Times New Roman" w:eastAsia="Times New Roman" w:hAnsi="Times New Roman"/>
          <w:sz w:val="13"/>
          <w:szCs w:val="13"/>
          <w:b w:val="1"/>
          <w:bCs w:val="1"/>
          <w:color w:val="auto"/>
        </w:rPr>
        <w:t xml:space="preserve">Performance Lock. </w:t>
      </w:r>
      <w:r>
        <w:rPr>
          <w:rFonts w:ascii="Times New Roman" w:cs="Times New Roman" w:eastAsia="Times New Roman" w:hAnsi="Times New Roman"/>
          <w:sz w:val="13"/>
          <w:szCs w:val="13"/>
          <w:color w:val="auto"/>
        </w:rPr>
        <w:t>Each</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comes with</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Performance Lock</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at no additional charge, which</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allows you the option to lock the </w:t>
      </w:r>
      <w:r>
        <w:rPr>
          <w:rFonts w:ascii="Times New Roman" w:cs="Times New Roman" w:eastAsia="Times New Roman" w:hAnsi="Times New Roman"/>
          <w:sz w:val="13"/>
          <w:szCs w:val="13"/>
          <w:u w:val="single" w:color="auto"/>
          <w:color w:val="auto"/>
        </w:rPr>
        <w:t>Interim Value</w:t>
      </w:r>
      <w:r>
        <w:rPr>
          <w:rFonts w:ascii="Times New Roman" w:cs="Times New Roman" w:eastAsia="Times New Roman" w:hAnsi="Times New Roman"/>
          <w:sz w:val="13"/>
          <w:szCs w:val="13"/>
          <w:color w:val="auto"/>
        </w:rPr>
        <w:t xml:space="preserve">, not the </w:t>
      </w:r>
      <w:r>
        <w:rPr>
          <w:rFonts w:ascii="Times New Roman" w:cs="Times New Roman" w:eastAsia="Times New Roman" w:hAnsi="Times New Roman"/>
          <w:sz w:val="13"/>
          <w:szCs w:val="13"/>
          <w:u w:val="single" w:color="auto"/>
          <w:color w:val="auto"/>
        </w:rPr>
        <w:t>Index Performance</w:t>
      </w:r>
      <w:r>
        <w:rPr>
          <w:rFonts w:ascii="Times New Roman" w:cs="Times New Roman" w:eastAsia="Times New Roman" w:hAnsi="Times New Roman"/>
          <w:sz w:val="13"/>
          <w:szCs w:val="13"/>
          <w:color w:val="auto"/>
        </w:rPr>
        <w:t xml:space="preserve"> , of your </w:t>
      </w:r>
      <w:r>
        <w:rPr>
          <w:rFonts w:ascii="Times New Roman" w:cs="Times New Roman" w:eastAsia="Times New Roman" w:hAnsi="Times New Roman"/>
          <w:sz w:val="13"/>
          <w:szCs w:val="13"/>
          <w:u w:val="single" w:color="auto"/>
          <w:color w:val="auto"/>
        </w:rPr>
        <w:t>Shield Option(s)</w:t>
      </w:r>
      <w:r>
        <w:rPr>
          <w:rFonts w:ascii="Times New Roman" w:cs="Times New Roman" w:eastAsia="Times New Roman" w:hAnsi="Times New Roman"/>
          <w:sz w:val="13"/>
          <w:szCs w:val="13"/>
          <w:color w:val="auto"/>
        </w:rPr>
        <w:t xml:space="preserve"> once during each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color w:val="auto"/>
        </w:rPr>
        <w:t xml:space="preserve"> prior to the </w:t>
      </w:r>
      <w:r>
        <w:rPr>
          <w:rFonts w:ascii="Times New Roman" w:cs="Times New Roman" w:eastAsia="Times New Roman" w:hAnsi="Times New Roman"/>
          <w:sz w:val="13"/>
          <w:szCs w:val="13"/>
          <w:u w:val="single" w:color="auto"/>
          <w:color w:val="auto"/>
        </w:rPr>
        <w:t>Term End Date</w:t>
      </w:r>
      <w:r>
        <w:rPr>
          <w:rFonts w:ascii="Times New Roman" w:cs="Times New Roman" w:eastAsia="Times New Roman" w:hAnsi="Times New Roman"/>
          <w:sz w:val="13"/>
          <w:szCs w:val="13"/>
          <w:color w:val="auto"/>
        </w:rPr>
        <w:t xml:space="preserve">. If you lock the </w:t>
      </w:r>
      <w:r>
        <w:rPr>
          <w:rFonts w:ascii="Times New Roman" w:cs="Times New Roman" w:eastAsia="Times New Roman" w:hAnsi="Times New Roman"/>
          <w:sz w:val="13"/>
          <w:szCs w:val="13"/>
          <w:u w:val="single" w:color="auto"/>
          <w:color w:val="auto"/>
        </w:rPr>
        <w:t>Interim Value</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u w:val="single" w:color="auto"/>
          <w:color w:val="auto"/>
        </w:rPr>
        <w:t>Performance Lock Value</w:t>
      </w:r>
      <w:r>
        <w:rPr>
          <w:rFonts w:ascii="Times New Roman" w:cs="Times New Roman" w:eastAsia="Times New Roman" w:hAnsi="Times New Roman"/>
          <w:sz w:val="13"/>
          <w:szCs w:val="13"/>
          <w:color w:val="auto"/>
        </w:rPr>
        <w:t xml:space="preserve"> will be used as the value of that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for the remainder of the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color w:val="auto"/>
        </w:rPr>
        <w:t xml:space="preserve">, and the value of the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will not change due to positive or negative </w:t>
      </w:r>
      <w:r>
        <w:rPr>
          <w:rFonts w:ascii="Times New Roman" w:cs="Times New Roman" w:eastAsia="Times New Roman" w:hAnsi="Times New Roman"/>
          <w:sz w:val="13"/>
          <w:szCs w:val="13"/>
          <w:u w:val="single" w:color="auto"/>
          <w:color w:val="auto"/>
        </w:rPr>
        <w:t>Index Performance</w:t>
      </w:r>
      <w:r>
        <w:rPr>
          <w:rFonts w:ascii="Times New Roman" w:cs="Times New Roman" w:eastAsia="Times New Roman" w:hAnsi="Times New Roman"/>
          <w:sz w:val="13"/>
          <w:szCs w:val="13"/>
          <w:color w:val="auto"/>
        </w:rPr>
        <w:t xml:space="preserve"> for the remainder of the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color w:val="auto"/>
        </w:rPr>
        <w:t xml:space="preserve">. There are significant risks associated with exercising the </w:t>
      </w:r>
      <w:r>
        <w:rPr>
          <w:rFonts w:ascii="Times New Roman" w:cs="Times New Roman" w:eastAsia="Times New Roman" w:hAnsi="Times New Roman"/>
          <w:sz w:val="13"/>
          <w:szCs w:val="13"/>
          <w:u w:val="single" w:color="auto"/>
          <w:color w:val="auto"/>
        </w:rPr>
        <w:t>Performance Lock</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u w:val="single" w:color="auto"/>
          <w:color w:val="auto"/>
        </w:rPr>
        <w:t>Interim Value</w:t>
      </w:r>
      <w:r>
        <w:rPr>
          <w:rFonts w:ascii="Times New Roman" w:cs="Times New Roman" w:eastAsia="Times New Roman" w:hAnsi="Times New Roman"/>
          <w:sz w:val="13"/>
          <w:szCs w:val="13"/>
          <w:color w:val="auto"/>
        </w:rPr>
        <w:t xml:space="preserve"> calculated on the day you exercise the </w:t>
      </w:r>
      <w:r>
        <w:rPr>
          <w:rFonts w:ascii="Times New Roman" w:cs="Times New Roman" w:eastAsia="Times New Roman" w:hAnsi="Times New Roman"/>
          <w:sz w:val="13"/>
          <w:szCs w:val="13"/>
          <w:u w:val="single" w:color="auto"/>
          <w:color w:val="auto"/>
        </w:rPr>
        <w:t>Performance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Lock</w:t>
      </w:r>
      <w:r>
        <w:rPr>
          <w:rFonts w:ascii="Times New Roman" w:cs="Times New Roman" w:eastAsia="Times New Roman" w:hAnsi="Times New Roman"/>
          <w:sz w:val="13"/>
          <w:szCs w:val="13"/>
          <w:color w:val="auto"/>
        </w:rPr>
        <w:t xml:space="preserve"> may be less than the </w:t>
      </w:r>
      <w:r>
        <w:rPr>
          <w:rFonts w:ascii="Times New Roman" w:cs="Times New Roman" w:eastAsia="Times New Roman" w:hAnsi="Times New Roman"/>
          <w:sz w:val="13"/>
          <w:szCs w:val="13"/>
          <w:u w:val="single" w:color="auto"/>
          <w:color w:val="auto"/>
        </w:rPr>
        <w:t>Investment Amount</w:t>
      </w:r>
      <w:r>
        <w:rPr>
          <w:rFonts w:ascii="Times New Roman" w:cs="Times New Roman" w:eastAsia="Times New Roman" w:hAnsi="Times New Roman"/>
          <w:sz w:val="13"/>
          <w:szCs w:val="13"/>
          <w:color w:val="auto"/>
        </w:rPr>
        <w:t xml:space="preserve">, even if the current </w:t>
      </w:r>
      <w:r>
        <w:rPr>
          <w:rFonts w:ascii="Times New Roman" w:cs="Times New Roman" w:eastAsia="Times New Roman" w:hAnsi="Times New Roman"/>
          <w:sz w:val="13"/>
          <w:szCs w:val="13"/>
          <w:u w:val="single" w:color="auto"/>
          <w:color w:val="auto"/>
        </w:rPr>
        <w:t>Index Value</w:t>
      </w:r>
      <w:r>
        <w:rPr>
          <w:rFonts w:ascii="Times New Roman" w:cs="Times New Roman" w:eastAsia="Times New Roman" w:hAnsi="Times New Roman"/>
          <w:sz w:val="13"/>
          <w:szCs w:val="13"/>
          <w:color w:val="auto"/>
        </w:rPr>
        <w:t xml:space="preserve"> is higher than it was on the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Start Date</w:t>
      </w:r>
      <w:r>
        <w:rPr>
          <w:rFonts w:ascii="Times New Roman" w:cs="Times New Roman" w:eastAsia="Times New Roman" w:hAnsi="Times New Roman"/>
          <w:sz w:val="13"/>
          <w:szCs w:val="13"/>
          <w:color w:val="auto"/>
        </w:rPr>
        <w:t xml:space="preserve"> . A negative </w:t>
      </w:r>
      <w:r>
        <w:rPr>
          <w:rFonts w:ascii="Times New Roman" w:cs="Times New Roman" w:eastAsia="Times New Roman" w:hAnsi="Times New Roman"/>
          <w:sz w:val="13"/>
          <w:szCs w:val="13"/>
          <w:u w:val="single" w:color="auto"/>
          <w:color w:val="auto"/>
        </w:rPr>
        <w:t>Interim Value</w:t>
      </w:r>
      <w:r>
        <w:rPr>
          <w:rFonts w:ascii="Times New Roman" w:cs="Times New Roman" w:eastAsia="Times New Roman" w:hAnsi="Times New Roman"/>
          <w:sz w:val="13"/>
          <w:szCs w:val="13"/>
          <w:color w:val="auto"/>
        </w:rPr>
        <w:t xml:space="preserve"> could result in loss beyond the protection of the </w:t>
      </w:r>
      <w:r>
        <w:rPr>
          <w:rFonts w:ascii="Times New Roman" w:cs="Times New Roman" w:eastAsia="Times New Roman" w:hAnsi="Times New Roman"/>
          <w:sz w:val="13"/>
          <w:szCs w:val="13"/>
          <w:u w:val="single" w:color="auto"/>
          <w:color w:val="auto"/>
        </w:rPr>
        <w:t>Shield Rate</w:t>
      </w:r>
      <w:r>
        <w:rPr>
          <w:rFonts w:ascii="Times New Roman" w:cs="Times New Roman" w:eastAsia="Times New Roman" w:hAnsi="Times New Roman"/>
          <w:sz w:val="13"/>
          <w:szCs w:val="13"/>
          <w:color w:val="auto"/>
        </w:rPr>
        <w:t xml:space="preserve">, and, in extreme circumstances, you could lose up to 100% of the value of the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3291205</wp:posOffset>
            </wp:positionH>
            <wp:positionV relativeFrom="paragraph">
              <wp:posOffset>-528320</wp:posOffset>
            </wp:positionV>
            <wp:extent cx="3175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750" cy="635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Additional Services and Features.</w:t>
      </w:r>
    </w:p>
    <w:p>
      <w:pPr>
        <w:spacing w:after="0" w:line="99" w:lineRule="exact"/>
        <w:rPr>
          <w:sz w:val="20"/>
          <w:szCs w:val="20"/>
          <w:color w:val="auto"/>
        </w:rPr>
      </w:pPr>
    </w:p>
    <w:p>
      <w:pPr>
        <w:ind w:left="420" w:right="3259" w:hanging="157"/>
        <w:spacing w:after="0" w:line="293" w:lineRule="auto"/>
        <w:tabs>
          <w:tab w:leader="none" w:pos="4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u w:val="single" w:color="auto"/>
          <w:color w:val="auto"/>
        </w:rPr>
        <w:t>Free Withdrawal Amount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Free Withdrawal Amount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is the portion of your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Account Value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that you</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may withdraw each </w:t>
      </w:r>
      <w:r>
        <w:rPr>
          <w:rFonts w:ascii="Times New Roman" w:cs="Times New Roman" w:eastAsia="Times New Roman" w:hAnsi="Times New Roman"/>
          <w:sz w:val="13"/>
          <w:szCs w:val="13"/>
          <w:u w:val="single" w:color="auto"/>
          <w:color w:val="auto"/>
        </w:rPr>
        <w:t>Contract Year</w:t>
      </w:r>
      <w:r>
        <w:rPr>
          <w:rFonts w:ascii="Times New Roman" w:cs="Times New Roman" w:eastAsia="Times New Roman" w:hAnsi="Times New Roman"/>
          <w:sz w:val="13"/>
          <w:szCs w:val="13"/>
          <w:color w:val="auto"/>
        </w:rPr>
        <w:t xml:space="preserve"> without incurring </w:t>
      </w:r>
      <w:r>
        <w:rPr>
          <w:rFonts w:ascii="Times New Roman" w:cs="Times New Roman" w:eastAsia="Times New Roman" w:hAnsi="Times New Roman"/>
          <w:sz w:val="13"/>
          <w:szCs w:val="13"/>
          <w:u w:val="single" w:color="auto"/>
          <w:color w:val="auto"/>
        </w:rPr>
        <w:t>Withdrawal Charges</w:t>
      </w:r>
      <w:r>
        <w:rPr>
          <w:rFonts w:ascii="Times New Roman" w:cs="Times New Roman" w:eastAsia="Times New Roman" w:hAnsi="Times New Roman"/>
          <w:sz w:val="13"/>
          <w:szCs w:val="13"/>
          <w:color w:val="auto"/>
        </w:rPr>
        <w:t>.</w:t>
      </w:r>
    </w:p>
    <w:p>
      <w:pPr>
        <w:spacing w:after="0" w:line="31" w:lineRule="exact"/>
        <w:rPr>
          <w:rFonts w:ascii="Times New Roman" w:cs="Times New Roman" w:eastAsia="Times New Roman" w:hAnsi="Times New Roman"/>
          <w:sz w:val="13"/>
          <w:szCs w:val="13"/>
          <w:color w:val="auto"/>
        </w:rPr>
      </w:pPr>
    </w:p>
    <w:p>
      <w:pPr>
        <w:jc w:val="both"/>
        <w:ind w:left="420" w:right="3259" w:hanging="157"/>
        <w:spacing w:after="0" w:line="260" w:lineRule="auto"/>
        <w:tabs>
          <w:tab w:leader="none" w:pos="4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Systematic Withdrawal Program. </w:t>
      </w:r>
      <w:r>
        <w:rPr>
          <w:rFonts w:ascii="Times New Roman" w:cs="Times New Roman" w:eastAsia="Times New Roman" w:hAnsi="Times New Roman"/>
          <w:sz w:val="13"/>
          <w:szCs w:val="13"/>
          <w:color w:val="auto"/>
        </w:rPr>
        <w:t>You may elect the Systematic Withdrawal Program to provide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automated processing of amounts withdrawn from your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subject to program terms. For automated processing of Required Minimum Distribution (RMD) amounts withdrawn from an IRA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or qualified annuity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you may elect this program in any </w:t>
      </w:r>
      <w:r>
        <w:rPr>
          <w:rFonts w:ascii="Times New Roman" w:cs="Times New Roman" w:eastAsia="Times New Roman" w:hAnsi="Times New Roman"/>
          <w:sz w:val="13"/>
          <w:szCs w:val="13"/>
          <w:u w:val="single" w:color="auto"/>
          <w:color w:val="auto"/>
        </w:rPr>
        <w:t>Contract Year</w:t>
      </w:r>
      <w:r>
        <w:rPr>
          <w:rFonts w:ascii="Times New Roman" w:cs="Times New Roman" w:eastAsia="Times New Roman" w:hAnsi="Times New Roman"/>
          <w:sz w:val="13"/>
          <w:szCs w:val="13"/>
          <w:color w:val="auto"/>
        </w:rPr>
        <w:t xml:space="preserve">. However, for automated processing of amounts withdrawn for purposes other than RMDs, you may elect this program after the first </w:t>
      </w:r>
      <w:r>
        <w:rPr>
          <w:rFonts w:ascii="Times New Roman" w:cs="Times New Roman" w:eastAsia="Times New Roman" w:hAnsi="Times New Roman"/>
          <w:sz w:val="13"/>
          <w:szCs w:val="13"/>
          <w:u w:val="single" w:color="auto"/>
          <w:color w:val="auto"/>
        </w:rPr>
        <w:t>Contract Year</w:t>
      </w:r>
      <w:r>
        <w:rPr>
          <w:rFonts w:ascii="Times New Roman" w:cs="Times New Roman" w:eastAsia="Times New Roman" w:hAnsi="Times New Roman"/>
          <w:sz w:val="13"/>
          <w:szCs w:val="13"/>
          <w:color w:val="auto"/>
        </w:rPr>
        <w:t xml:space="preserve"> for up to 10% of your </w:t>
      </w:r>
      <w:r>
        <w:rPr>
          <w:rFonts w:ascii="Times New Roman" w:cs="Times New Roman" w:eastAsia="Times New Roman" w:hAnsi="Times New Roman"/>
          <w:sz w:val="13"/>
          <w:szCs w:val="13"/>
          <w:u w:val="single" w:color="auto"/>
          <w:color w:val="auto"/>
        </w:rPr>
        <w:t>Account Value</w:t>
      </w:r>
      <w:r>
        <w:rPr>
          <w:rFonts w:ascii="Times New Roman" w:cs="Times New Roman" w:eastAsia="Times New Roman" w:hAnsi="Times New Roman"/>
          <w:sz w:val="13"/>
          <w:szCs w:val="13"/>
          <w:color w:val="auto"/>
        </w:rPr>
        <w:t xml:space="preserve"> as of the prior </w:t>
      </w:r>
      <w:r>
        <w:rPr>
          <w:rFonts w:ascii="Times New Roman" w:cs="Times New Roman" w:eastAsia="Times New Roman" w:hAnsi="Times New Roman"/>
          <w:sz w:val="13"/>
          <w:szCs w:val="13"/>
          <w:u w:val="single" w:color="auto"/>
          <w:color w:val="auto"/>
        </w:rPr>
        <w:t>Contract Anniversary</w:t>
      </w:r>
      <w:r>
        <w:rPr>
          <w:rFonts w:ascii="Times New Roman" w:cs="Times New Roman" w:eastAsia="Times New Roman" w:hAnsi="Times New Roman"/>
          <w:sz w:val="13"/>
          <w:szCs w:val="13"/>
          <w:color w:val="auto"/>
        </w:rPr>
        <w:t xml:space="preserve">. We do not assess a charge for this program. If you have not exercised </w:t>
      </w:r>
      <w:r>
        <w:rPr>
          <w:rFonts w:ascii="Times New Roman" w:cs="Times New Roman" w:eastAsia="Times New Roman" w:hAnsi="Times New Roman"/>
          <w:sz w:val="13"/>
          <w:szCs w:val="13"/>
          <w:u w:val="single" w:color="auto"/>
          <w:color w:val="auto"/>
        </w:rPr>
        <w:t>Performance</w:t>
      </w:r>
      <w:r>
        <w:rPr>
          <w:rFonts w:ascii="Times New Roman" w:cs="Times New Roman" w:eastAsia="Times New Roman" w:hAnsi="Times New Roman"/>
          <w:sz w:val="13"/>
          <w:szCs w:val="13"/>
          <w:color w:val="auto"/>
        </w:rPr>
        <w:t xml:space="preserve"> Lock, each withdrawal under the program, if taken from the </w:t>
      </w:r>
      <w:r>
        <w:rPr>
          <w:rFonts w:ascii="Times New Roman" w:cs="Times New Roman" w:eastAsia="Times New Roman" w:hAnsi="Times New Roman"/>
          <w:sz w:val="13"/>
          <w:szCs w:val="13"/>
          <w:u w:val="single" w:color="auto"/>
          <w:color w:val="auto"/>
        </w:rPr>
        <w:t>Shield Options</w:t>
      </w:r>
      <w:r>
        <w:rPr>
          <w:rFonts w:ascii="Times New Roman" w:cs="Times New Roman" w:eastAsia="Times New Roman" w:hAnsi="Times New Roman"/>
          <w:sz w:val="13"/>
          <w:szCs w:val="13"/>
          <w:color w:val="auto"/>
        </w:rPr>
        <w:t xml:space="preserve"> during a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color w:val="auto"/>
        </w:rPr>
        <w:t xml:space="preserve">, will be based on </w:t>
      </w:r>
      <w:r>
        <w:rPr>
          <w:rFonts w:ascii="Times New Roman" w:cs="Times New Roman" w:eastAsia="Times New Roman" w:hAnsi="Times New Roman"/>
          <w:sz w:val="13"/>
          <w:szCs w:val="13"/>
          <w:u w:val="single" w:color="auto"/>
          <w:color w:val="auto"/>
        </w:rPr>
        <w:t>Interim</w:t>
      </w:r>
      <w:r>
        <w:rPr>
          <w:rFonts w:ascii="Times New Roman" w:cs="Times New Roman" w:eastAsia="Times New Roman" w:hAnsi="Times New Roman"/>
          <w:sz w:val="13"/>
          <w:szCs w:val="13"/>
          <w:color w:val="auto"/>
        </w:rPr>
        <w:t xml:space="preserve"> Values, and will cause a proportionate reduction to the </w:t>
      </w:r>
      <w:r>
        <w:rPr>
          <w:rFonts w:ascii="Times New Roman" w:cs="Times New Roman" w:eastAsia="Times New Roman" w:hAnsi="Times New Roman"/>
          <w:sz w:val="13"/>
          <w:szCs w:val="13"/>
          <w:u w:val="single" w:color="auto"/>
          <w:color w:val="auto"/>
        </w:rPr>
        <w:t>Investment Amount</w:t>
      </w:r>
      <w:r>
        <w:rPr>
          <w:rFonts w:ascii="Times New Roman" w:cs="Times New Roman" w:eastAsia="Times New Roman" w:hAnsi="Times New Roman"/>
          <w:sz w:val="13"/>
          <w:szCs w:val="13"/>
          <w:color w:val="auto"/>
        </w:rPr>
        <w:t xml:space="preserve"> for each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If you have exercised </w:t>
      </w:r>
      <w:r>
        <w:rPr>
          <w:rFonts w:ascii="Times New Roman" w:cs="Times New Roman" w:eastAsia="Times New Roman" w:hAnsi="Times New Roman"/>
          <w:sz w:val="13"/>
          <w:szCs w:val="13"/>
          <w:u w:val="single" w:color="auto"/>
          <w:color w:val="auto"/>
        </w:rPr>
        <w:t>Performance Lock</w:t>
      </w:r>
      <w:r>
        <w:rPr>
          <w:rFonts w:ascii="Times New Roman" w:cs="Times New Roman" w:eastAsia="Times New Roman" w:hAnsi="Times New Roman"/>
          <w:sz w:val="13"/>
          <w:szCs w:val="13"/>
          <w:color w:val="auto"/>
        </w:rPr>
        <w:t xml:space="preserve"> and then take a withdrawal from the </w:t>
      </w:r>
      <w:r>
        <w:rPr>
          <w:rFonts w:ascii="Times New Roman" w:cs="Times New Roman" w:eastAsia="Times New Roman" w:hAnsi="Times New Roman"/>
          <w:sz w:val="13"/>
          <w:szCs w:val="13"/>
          <w:u w:val="single" w:color="auto"/>
          <w:color w:val="auto"/>
        </w:rPr>
        <w:t>Shield Options</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u w:val="single" w:color="auto"/>
          <w:color w:val="auto"/>
        </w:rPr>
        <w:t>Performance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Lock Value</w:t>
      </w:r>
      <w:r>
        <w:rPr>
          <w:rFonts w:ascii="Times New Roman" w:cs="Times New Roman" w:eastAsia="Times New Roman" w:hAnsi="Times New Roman"/>
          <w:sz w:val="13"/>
          <w:szCs w:val="13"/>
          <w:color w:val="auto"/>
        </w:rPr>
        <w:t xml:space="preserve"> for that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will be reduced by the dollar amount of each withdrawal.</w:t>
      </w:r>
    </w:p>
    <w:p>
      <w:pPr>
        <w:spacing w:after="0" w:line="53" w:lineRule="exact"/>
        <w:rPr>
          <w:rFonts w:ascii="Times New Roman" w:cs="Times New Roman" w:eastAsia="Times New Roman" w:hAnsi="Times New Roman"/>
          <w:sz w:val="13"/>
          <w:szCs w:val="13"/>
          <w:color w:val="auto"/>
        </w:rPr>
      </w:pPr>
    </w:p>
    <w:p>
      <w:pPr>
        <w:ind w:left="420" w:right="3259" w:hanging="157"/>
        <w:spacing w:after="0" w:line="293" w:lineRule="auto"/>
        <w:tabs>
          <w:tab w:leader="none" w:pos="4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Electronic Delivery. </w:t>
      </w:r>
      <w:r>
        <w:rPr>
          <w:rFonts w:ascii="Times New Roman" w:cs="Times New Roman" w:eastAsia="Times New Roman" w:hAnsi="Times New Roman"/>
          <w:sz w:val="13"/>
          <w:szCs w:val="13"/>
          <w:color w:val="auto"/>
        </w:rPr>
        <w:t>As 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Contract Owner</w:t>
      </w:r>
      <w:r>
        <w:rPr>
          <w:rFonts w:ascii="Times New Roman" w:cs="Times New Roman" w:eastAsia="Times New Roman" w:hAnsi="Times New Roman"/>
          <w:sz w:val="13"/>
          <w:szCs w:val="13"/>
          <w:color w:val="auto"/>
        </w:rPr>
        <w:t>, you may elect to receive electronic delivery of current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prospectuses related to this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as well as other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related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2249805</wp:posOffset>
            </wp:positionH>
            <wp:positionV relativeFrom="paragraph">
              <wp:posOffset>-1557020</wp:posOffset>
            </wp:positionV>
            <wp:extent cx="2540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400" cy="6350"/>
                    </a:xfrm>
                    <a:prstGeom prst="rect">
                      <a:avLst/>
                    </a:prstGeom>
                    <a:noFill/>
                  </pic:spPr>
                </pic:pic>
              </a:graphicData>
            </a:graphic>
          </wp:anchor>
        </w:drawing>
        <w:drawing>
          <wp:anchor simplePos="0" relativeHeight="251657728" behindDoc="1" locked="0" layoutInCell="0" allowOverlap="1">
            <wp:simplePos x="0" y="0"/>
            <wp:positionH relativeFrom="column">
              <wp:posOffset>2512060</wp:posOffset>
            </wp:positionH>
            <wp:positionV relativeFrom="paragraph">
              <wp:posOffset>-795020</wp:posOffset>
            </wp:positionV>
            <wp:extent cx="3175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750" cy="6350"/>
                    </a:xfrm>
                    <a:prstGeom prst="rect">
                      <a:avLst/>
                    </a:prstGeom>
                    <a:noFill/>
                  </pic:spPr>
                </pic:pic>
              </a:graphicData>
            </a:graphic>
          </wp:anchor>
        </w:drawing>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5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Contract Adjustment</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8"/>
        </w:trPr>
        <w:tc>
          <w:tcPr>
            <w:tcW w:w="3780" w:type="dxa"/>
            <w:vAlign w:val="bottom"/>
            <w:gridSpan w:val="10"/>
          </w:tcPr>
          <w:p>
            <w:pPr>
              <w:ind w:left="260"/>
              <w:spacing w:after="0"/>
              <w:rPr>
                <w:sz w:val="20"/>
                <w:szCs w:val="20"/>
                <w:color w:val="auto"/>
              </w:rPr>
            </w:pPr>
            <w:r>
              <w:rPr>
                <w:rFonts w:ascii="Times New Roman" w:cs="Times New Roman" w:eastAsia="Times New Roman" w:hAnsi="Times New Roman"/>
                <w:sz w:val="13"/>
                <w:szCs w:val="13"/>
                <w:color w:val="auto"/>
              </w:rPr>
              <w:t>You could lose a significant amount of money due to the</w:t>
            </w:r>
          </w:p>
        </w:tc>
        <w:tc>
          <w:tcPr>
            <w:tcW w:w="2280" w:type="dxa"/>
            <w:vAlign w:val="bottom"/>
            <w:gridSpan w:val="7"/>
          </w:tcPr>
          <w:p>
            <w:pPr>
              <w:jc w:val="right"/>
              <w:spacing w:after="0"/>
              <w:rPr>
                <w:sz w:val="20"/>
                <w:szCs w:val="20"/>
                <w:color w:val="auto"/>
              </w:rPr>
            </w:pPr>
            <w:r>
              <w:rPr>
                <w:rFonts w:ascii="Times New Roman" w:cs="Times New Roman" w:eastAsia="Times New Roman" w:hAnsi="Times New Roman"/>
                <w:sz w:val="13"/>
                <w:szCs w:val="13"/>
                <w:color w:val="auto"/>
              </w:rPr>
              <w:t>Interim Value calculation if amounts are</w:t>
            </w: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39"/>
        </w:trPr>
        <w:tc>
          <w:tcPr>
            <w:tcW w:w="104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rPr>
              <w:t>removed from a</w:t>
            </w:r>
          </w:p>
        </w:tc>
        <w:tc>
          <w:tcPr>
            <w:tcW w:w="100" w:type="dxa"/>
            <w:vAlign w:val="bottom"/>
          </w:tcPr>
          <w:p>
            <w:pPr>
              <w:spacing w:after="0"/>
              <w:rPr>
                <w:sz w:val="12"/>
                <w:szCs w:val="12"/>
                <w:color w:val="auto"/>
              </w:rPr>
            </w:pPr>
          </w:p>
        </w:tc>
        <w:tc>
          <w:tcPr>
            <w:tcW w:w="38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rPr>
              <w:t>Shield</w:t>
            </w:r>
          </w:p>
        </w:tc>
        <w:tc>
          <w:tcPr>
            <w:tcW w:w="260" w:type="dxa"/>
            <w:vAlign w:val="bottom"/>
          </w:tcPr>
          <w:p>
            <w:pPr>
              <w:spacing w:after="0"/>
              <w:rPr>
                <w:sz w:val="12"/>
                <w:szCs w:val="12"/>
                <w:color w:val="auto"/>
              </w:rPr>
            </w:pPr>
          </w:p>
        </w:tc>
        <w:tc>
          <w:tcPr>
            <w:tcW w:w="1280" w:type="dxa"/>
            <w:vAlign w:val="bottom"/>
            <w:gridSpan w:val="4"/>
          </w:tcPr>
          <w:p>
            <w:pPr>
              <w:spacing w:after="0" w:line="139" w:lineRule="exact"/>
              <w:rPr>
                <w:sz w:val="20"/>
                <w:szCs w:val="20"/>
                <w:color w:val="auto"/>
              </w:rPr>
            </w:pPr>
            <w:r>
              <w:rPr>
                <w:rFonts w:ascii="Times New Roman" w:cs="Times New Roman" w:eastAsia="Times New Roman" w:hAnsi="Times New Roman"/>
                <w:sz w:val="13"/>
                <w:szCs w:val="13"/>
                <w:color w:val="auto"/>
              </w:rPr>
              <w:t>Option or from the</w:t>
            </w:r>
          </w:p>
        </w:tc>
        <w:tc>
          <w:tcPr>
            <w:tcW w:w="1860" w:type="dxa"/>
            <w:vAlign w:val="bottom"/>
            <w:gridSpan w:val="7"/>
          </w:tcPr>
          <w:p>
            <w:pPr>
              <w:spacing w:after="0" w:line="139" w:lineRule="exact"/>
              <w:rPr>
                <w:sz w:val="20"/>
                <w:szCs w:val="20"/>
                <w:color w:val="auto"/>
              </w:rPr>
            </w:pPr>
            <w:r>
              <w:rPr>
                <w:rFonts w:ascii="Times New Roman" w:cs="Times New Roman" w:eastAsia="Times New Roman" w:hAnsi="Times New Roman"/>
                <w:sz w:val="13"/>
                <w:szCs w:val="13"/>
                <w:color w:val="auto"/>
              </w:rPr>
              <w:t>Contract prior to the end of a</w:t>
            </w:r>
          </w:p>
        </w:tc>
        <w:tc>
          <w:tcPr>
            <w:tcW w:w="11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3"/>
                <w:szCs w:val="13"/>
                <w:color w:val="auto"/>
                <w:w w:val="98"/>
              </w:rPr>
              <w:t>Term. If you have not</w:t>
            </w: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39"/>
        </w:trPr>
        <w:tc>
          <w:tcPr>
            <w:tcW w:w="104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rPr>
              <w:t>exercised the</w:t>
            </w:r>
          </w:p>
        </w:tc>
        <w:tc>
          <w:tcPr>
            <w:tcW w:w="1660" w:type="dxa"/>
            <w:vAlign w:val="bottom"/>
            <w:gridSpan w:val="6"/>
          </w:tcPr>
          <w:p>
            <w:pPr>
              <w:spacing w:after="0" w:line="139" w:lineRule="exact"/>
              <w:rPr>
                <w:sz w:val="20"/>
                <w:szCs w:val="20"/>
                <w:color w:val="auto"/>
              </w:rPr>
            </w:pPr>
            <w:r>
              <w:rPr>
                <w:rFonts w:ascii="Times New Roman" w:cs="Times New Roman" w:eastAsia="Times New Roman" w:hAnsi="Times New Roman"/>
                <w:sz w:val="13"/>
                <w:szCs w:val="13"/>
                <w:color w:val="auto"/>
              </w:rPr>
              <w:t>Performance Lock on a</w:t>
            </w:r>
          </w:p>
        </w:tc>
        <w:tc>
          <w:tcPr>
            <w:tcW w:w="1080" w:type="dxa"/>
            <w:vAlign w:val="bottom"/>
            <w:gridSpan w:val="3"/>
          </w:tcPr>
          <w:p>
            <w:pPr>
              <w:spacing w:after="0" w:line="139" w:lineRule="exact"/>
              <w:rPr>
                <w:sz w:val="20"/>
                <w:szCs w:val="20"/>
                <w:color w:val="auto"/>
              </w:rPr>
            </w:pPr>
            <w:r>
              <w:rPr>
                <w:rFonts w:ascii="Times New Roman" w:cs="Times New Roman" w:eastAsia="Times New Roman" w:hAnsi="Times New Roman"/>
                <w:sz w:val="13"/>
                <w:szCs w:val="13"/>
                <w:color w:val="auto"/>
              </w:rPr>
              <w:t>Shield Option, the</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gridSpan w:val="5"/>
          </w:tcPr>
          <w:p>
            <w:pPr>
              <w:jc w:val="right"/>
              <w:spacing w:after="0" w:line="139" w:lineRule="exact"/>
              <w:rPr>
                <w:sz w:val="20"/>
                <w:szCs w:val="20"/>
                <w:color w:val="auto"/>
              </w:rPr>
            </w:pPr>
            <w:r>
              <w:rPr>
                <w:rFonts w:ascii="Times New Roman" w:cs="Times New Roman" w:eastAsia="Times New Roman" w:hAnsi="Times New Roman"/>
                <w:sz w:val="13"/>
                <w:szCs w:val="13"/>
                <w:color w:val="auto"/>
              </w:rPr>
              <w:t>Interim Value is the amount that is</w:t>
            </w:r>
          </w:p>
        </w:tc>
      </w:tr>
      <w:tr>
        <w:trPr>
          <w:trHeight w:val="20"/>
        </w:trPr>
        <w:tc>
          <w:tcPr>
            <w:tcW w:w="1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available for annuitization, death benefit payments, withdrawals (including RMDs and systematic withdrawals),</w:t>
      </w:r>
    </w:p>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149"/>
        </w:trPr>
        <w:tc>
          <w:tcPr>
            <w:tcW w:w="9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Surrenders, and</w:t>
            </w:r>
          </w:p>
        </w:tc>
        <w:tc>
          <w:tcPr>
            <w:tcW w:w="1880" w:type="dxa"/>
            <w:vAlign w:val="bottom"/>
            <w:gridSpan w:val="3"/>
          </w:tcPr>
          <w:p>
            <w:pPr>
              <w:jc w:val="right"/>
              <w:ind w:right="594"/>
              <w:spacing w:after="0"/>
              <w:rPr>
                <w:sz w:val="20"/>
                <w:szCs w:val="20"/>
                <w:color w:val="auto"/>
              </w:rPr>
            </w:pPr>
            <w:r>
              <w:rPr>
                <w:rFonts w:ascii="Times New Roman" w:cs="Times New Roman" w:eastAsia="Times New Roman" w:hAnsi="Times New Roman"/>
                <w:sz w:val="13"/>
                <w:szCs w:val="13"/>
                <w:color w:val="auto"/>
              </w:rPr>
              <w:t>Performance Lock.  </w:t>
            </w:r>
          </w:p>
        </w:tc>
      </w:tr>
      <w:tr>
        <w:trPr>
          <w:trHeight w:val="387"/>
        </w:trPr>
        <w:tc>
          <w:tcPr>
            <w:tcW w:w="5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r>
    </w:tbl>
    <w:p>
      <w:pPr>
        <w:sectPr>
          <w:pgSz w:w="11900" w:h="16838" w:orient="portrait"/>
          <w:cols w:equalWidth="0" w:num="1">
            <w:col w:w="9259"/>
          </w:cols>
          <w:pgMar w:left="1200" w:top="1049" w:right="1440" w:bottom="1440" w:gutter="0" w:footer="0" w:header="0"/>
        </w:sectPr>
      </w:pPr>
    </w:p>
    <w:bookmarkStart w:id="13" w:name="page14"/>
    <w:bookmarkEnd w:id="13"/>
    <w:p>
      <w:pPr>
        <w:ind w:left="50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3915" cy="38100"/>
                    </a:xfrm>
                    <a:prstGeom prst="rect">
                      <a:avLst/>
                    </a:prstGeom>
                    <a:noFill/>
                  </pic:spPr>
                </pic:pic>
              </a:graphicData>
            </a:graphic>
          </wp:anchor>
        </w:drawing>
        <w:t>IMPORTANT INFORMATION YOU SHOULD CONSIDER ABOUT THE CONTRACT</w:t>
      </w:r>
    </w:p>
    <w:p>
      <w:pPr>
        <w:spacing w:after="0" w:line="39" w:lineRule="exact"/>
        <w:rPr>
          <w:sz w:val="20"/>
          <w:szCs w:val="20"/>
          <w:color w:val="auto"/>
        </w:rPr>
      </w:pPr>
    </w:p>
    <w:tbl>
      <w:tblPr>
        <w:tblLayout w:type="fixed"/>
        <w:tblInd w:w="10" w:type="dxa"/>
        <w:tblCellMar>
          <w:top w:w="0" w:type="dxa"/>
          <w:left w:w="0" w:type="dxa"/>
          <w:bottom w:w="0" w:type="dxa"/>
          <w:right w:w="0" w:type="dxa"/>
        </w:tblCellMar>
      </w:tblPr>
      <w:tr>
        <w:trPr>
          <w:trHeight w:val="179"/>
        </w:trPr>
        <w:tc>
          <w:tcPr>
            <w:tcW w:w="1520" w:type="dxa"/>
            <w:vAlign w:val="bottom"/>
            <w:tcBorders>
              <w:top w:val="single" w:sz="8" w:color="auto"/>
              <w:left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3280" w:type="dxa"/>
            <w:vAlign w:val="bottom"/>
            <w:tcBorders>
              <w:top w:val="single" w:sz="8" w:color="auto"/>
              <w:right w:val="single" w:sz="8" w:color="auto"/>
            </w:tcBorders>
            <w:gridSpan w:val="13"/>
          </w:tcPr>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Fees, Expenses and Adjustments</w:t>
            </w:r>
          </w:p>
        </w:tc>
        <w:tc>
          <w:tcPr>
            <w:tcW w:w="60" w:type="dxa"/>
            <w:vAlign w:val="bottom"/>
            <w:tcBorders>
              <w:top w:val="single" w:sz="8" w:color="auto"/>
            </w:tcBorders>
          </w:tcPr>
          <w:p>
            <w:pPr>
              <w:spacing w:after="0"/>
              <w:rPr>
                <w:sz w:val="15"/>
                <w:szCs w:val="15"/>
                <w:color w:val="auto"/>
              </w:rPr>
            </w:pPr>
          </w:p>
        </w:tc>
        <w:tc>
          <w:tcPr>
            <w:tcW w:w="1220" w:type="dxa"/>
            <w:vAlign w:val="bottom"/>
            <w:tcBorders>
              <w:top w:val="single" w:sz="8" w:color="auto"/>
              <w:right w:val="single" w:sz="8" w:color="auto"/>
            </w:tcBorders>
            <w:gridSpan w:val="5"/>
          </w:tcPr>
          <w:p>
            <w:pPr>
              <w:ind w:left="260"/>
              <w:spacing w:after="0"/>
              <w:rPr>
                <w:sz w:val="20"/>
                <w:szCs w:val="20"/>
                <w:color w:val="auto"/>
              </w:rPr>
            </w:pPr>
            <w:r>
              <w:rPr>
                <w:rFonts w:ascii="Times New Roman" w:cs="Times New Roman" w:eastAsia="Times New Roman" w:hAnsi="Times New Roman"/>
                <w:sz w:val="13"/>
                <w:szCs w:val="13"/>
                <w:b w:val="1"/>
                <w:bCs w:val="1"/>
                <w:color w:val="auto"/>
              </w:rPr>
              <w:t>Location in</w:t>
            </w:r>
          </w:p>
        </w:tc>
        <w:tc>
          <w:tcPr>
            <w:tcW w:w="0" w:type="dxa"/>
            <w:vAlign w:val="bottom"/>
          </w:tcPr>
          <w:p>
            <w:pPr>
              <w:spacing w:after="0"/>
              <w:rPr>
                <w:sz w:val="1"/>
                <w:szCs w:val="1"/>
                <w:color w:val="auto"/>
              </w:rPr>
            </w:pPr>
          </w:p>
        </w:tc>
      </w:tr>
      <w:tr>
        <w:trPr>
          <w:trHeight w:val="184"/>
        </w:trPr>
        <w:tc>
          <w:tcPr>
            <w:tcW w:w="1520" w:type="dxa"/>
            <w:vAlign w:val="bottom"/>
            <w:tcBorders>
              <w:left w:val="single" w:sz="8" w:color="auto"/>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20" w:type="dxa"/>
            <w:vAlign w:val="bottom"/>
            <w:tcBorders>
              <w:bottom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3"/>
                <w:szCs w:val="13"/>
                <w:b w:val="1"/>
                <w:bCs w:val="1"/>
                <w:color w:val="auto"/>
              </w:rPr>
              <w:t>the Prospectus</w:t>
            </w:r>
          </w:p>
        </w:tc>
        <w:tc>
          <w:tcPr>
            <w:tcW w:w="0" w:type="dxa"/>
            <w:vAlign w:val="bottom"/>
          </w:tcPr>
          <w:p>
            <w:pPr>
              <w:spacing w:after="0"/>
              <w:rPr>
                <w:sz w:val="1"/>
                <w:szCs w:val="1"/>
                <w:color w:val="auto"/>
              </w:rPr>
            </w:pPr>
          </w:p>
        </w:tc>
      </w:tr>
      <w:tr>
        <w:trPr>
          <w:trHeight w:val="154"/>
        </w:trPr>
        <w:tc>
          <w:tcPr>
            <w:tcW w:w="1520" w:type="dxa"/>
            <w:vAlign w:val="bottom"/>
            <w:tcBorders>
              <w:left w:val="single" w:sz="8" w:color="auto"/>
              <w:right w:val="single" w:sz="8" w:color="auto"/>
            </w:tcBorders>
            <w:shd w:val="clear" w:color="auto" w:fill="F0FFFF"/>
          </w:tcPr>
          <w:p>
            <w:pPr>
              <w:ind w:left="40"/>
              <w:spacing w:after="0"/>
              <w:rPr>
                <w:sz w:val="20"/>
                <w:szCs w:val="20"/>
                <w:color w:val="auto"/>
              </w:rPr>
            </w:pPr>
            <w:r>
              <w:rPr>
                <w:rFonts w:ascii="Times New Roman" w:cs="Times New Roman" w:eastAsia="Times New Roman" w:hAnsi="Times New Roman"/>
                <w:sz w:val="13"/>
                <w:szCs w:val="13"/>
                <w:b w:val="1"/>
                <w:bCs w:val="1"/>
                <w:color w:val="auto"/>
              </w:rPr>
              <w:t>Are There Charges or</w:t>
            </w:r>
          </w:p>
        </w:tc>
        <w:tc>
          <w:tcPr>
            <w:tcW w:w="80" w:type="dxa"/>
            <w:vAlign w:val="bottom"/>
            <w:shd w:val="clear" w:color="auto" w:fill="F0FFFF"/>
          </w:tcPr>
          <w:p>
            <w:pPr>
              <w:spacing w:after="0"/>
              <w:rPr>
                <w:sz w:val="13"/>
                <w:szCs w:val="13"/>
                <w:color w:val="auto"/>
              </w:rPr>
            </w:pPr>
          </w:p>
        </w:tc>
        <w:tc>
          <w:tcPr>
            <w:tcW w:w="4320" w:type="dxa"/>
            <w:vAlign w:val="bottom"/>
            <w:tcBorders>
              <w:right w:val="single" w:sz="8" w:color="auto"/>
            </w:tcBorders>
            <w:gridSpan w:val="15"/>
            <w:shd w:val="clear" w:color="auto" w:fill="F0FFFF"/>
          </w:tcPr>
          <w:p>
            <w:pPr>
              <w:spacing w:after="0"/>
              <w:rPr>
                <w:sz w:val="20"/>
                <w:szCs w:val="20"/>
                <w:color w:val="auto"/>
              </w:rPr>
            </w:pPr>
            <w:r>
              <w:rPr>
                <w:rFonts w:ascii="Times New Roman" w:cs="Times New Roman" w:eastAsia="Times New Roman" w:hAnsi="Times New Roman"/>
                <w:sz w:val="13"/>
                <w:szCs w:val="13"/>
                <w:b w:val="1"/>
                <w:bCs w:val="1"/>
                <w:color w:val="auto"/>
              </w:rPr>
              <w:t>Yes.</w:t>
            </w:r>
          </w:p>
        </w:tc>
        <w:tc>
          <w:tcPr>
            <w:tcW w:w="60" w:type="dxa"/>
            <w:vAlign w:val="bottom"/>
            <w:shd w:val="clear" w:color="auto" w:fill="F0FFFF"/>
          </w:tcPr>
          <w:p>
            <w:pPr>
              <w:spacing w:after="0"/>
              <w:rPr>
                <w:sz w:val="13"/>
                <w:szCs w:val="13"/>
                <w:color w:val="auto"/>
              </w:rPr>
            </w:pPr>
          </w:p>
        </w:tc>
        <w:tc>
          <w:tcPr>
            <w:tcW w:w="1220" w:type="dxa"/>
            <w:vAlign w:val="bottom"/>
            <w:tcBorders>
              <w:right w:val="single" w:sz="8" w:color="auto"/>
            </w:tcBorders>
            <w:gridSpan w:val="5"/>
            <w:shd w:val="clear" w:color="auto" w:fill="F0FFFF"/>
          </w:tcPr>
          <w:p>
            <w:pPr>
              <w:spacing w:after="0"/>
              <w:rPr>
                <w:sz w:val="20"/>
                <w:szCs w:val="20"/>
                <w:color w:val="auto"/>
              </w:rPr>
            </w:pPr>
            <w:r>
              <w:rPr>
                <w:rFonts w:ascii="Times New Roman" w:cs="Times New Roman" w:eastAsia="Times New Roman" w:hAnsi="Times New Roman"/>
                <w:sz w:val="13"/>
                <w:szCs w:val="13"/>
                <w:b w:val="1"/>
                <w:bCs w:val="1"/>
                <w:color w:val="auto"/>
              </w:rPr>
              <w:t>FEE TABLE</w:t>
            </w:r>
          </w:p>
        </w:tc>
        <w:tc>
          <w:tcPr>
            <w:tcW w:w="0" w:type="dxa"/>
            <w:vAlign w:val="bottom"/>
          </w:tcPr>
          <w:p>
            <w:pPr>
              <w:spacing w:after="0"/>
              <w:rPr>
                <w:sz w:val="1"/>
                <w:szCs w:val="1"/>
                <w:color w:val="auto"/>
              </w:rPr>
            </w:pPr>
          </w:p>
        </w:tc>
      </w:tr>
      <w:tr>
        <w:trPr>
          <w:trHeight w:val="154"/>
        </w:trPr>
        <w:tc>
          <w:tcPr>
            <w:tcW w:w="1520" w:type="dxa"/>
            <w:vAlign w:val="bottom"/>
            <w:tcBorders>
              <w:left w:val="single" w:sz="8" w:color="auto"/>
              <w:right w:val="single" w:sz="8" w:color="auto"/>
            </w:tcBorders>
            <w:shd w:val="clear" w:color="auto" w:fill="F0FFFF"/>
          </w:tcPr>
          <w:p>
            <w:pPr>
              <w:ind w:left="40"/>
              <w:spacing w:after="0"/>
              <w:rPr>
                <w:sz w:val="20"/>
                <w:szCs w:val="20"/>
                <w:color w:val="auto"/>
              </w:rPr>
            </w:pPr>
            <w:r>
              <w:rPr>
                <w:rFonts w:ascii="Times New Roman" w:cs="Times New Roman" w:eastAsia="Times New Roman" w:hAnsi="Times New Roman"/>
                <w:sz w:val="13"/>
                <w:szCs w:val="13"/>
                <w:b w:val="1"/>
                <w:bCs w:val="1"/>
                <w:color w:val="auto"/>
              </w:rPr>
              <w:t>Adjustments for Early</w:t>
            </w:r>
          </w:p>
        </w:tc>
        <w:tc>
          <w:tcPr>
            <w:tcW w:w="80" w:type="dxa"/>
            <w:vAlign w:val="bottom"/>
            <w:shd w:val="clear" w:color="auto" w:fill="F0FFFF"/>
          </w:tcPr>
          <w:p>
            <w:pPr>
              <w:spacing w:after="0"/>
              <w:rPr>
                <w:sz w:val="13"/>
                <w:szCs w:val="13"/>
                <w:color w:val="auto"/>
              </w:rPr>
            </w:pPr>
          </w:p>
        </w:tc>
        <w:tc>
          <w:tcPr>
            <w:tcW w:w="4320" w:type="dxa"/>
            <w:vAlign w:val="bottom"/>
            <w:tcBorders>
              <w:right w:val="single" w:sz="8" w:color="auto"/>
            </w:tcBorders>
            <w:gridSpan w:val="15"/>
            <w:shd w:val="clear" w:color="auto" w:fill="F0FFFF"/>
          </w:tcPr>
          <w:p>
            <w:pPr>
              <w:spacing w:after="0"/>
              <w:rPr>
                <w:sz w:val="20"/>
                <w:szCs w:val="20"/>
                <w:color w:val="auto"/>
              </w:rPr>
            </w:pPr>
            <w:r>
              <w:rPr>
                <w:rFonts w:ascii="Times New Roman" w:cs="Times New Roman" w:eastAsia="Times New Roman" w:hAnsi="Times New Roman"/>
                <w:sz w:val="13"/>
                <w:szCs w:val="13"/>
                <w:color w:val="auto"/>
              </w:rPr>
              <w:t>If you withdraw money from the Contract within the first 6 full Contract Years</w:t>
            </w:r>
          </w:p>
        </w:tc>
        <w:tc>
          <w:tcPr>
            <w:tcW w:w="60" w:type="dxa"/>
            <w:vAlign w:val="bottom"/>
            <w:shd w:val="clear" w:color="auto" w:fill="F0FFFF"/>
          </w:tcPr>
          <w:p>
            <w:pPr>
              <w:spacing w:after="0"/>
              <w:rPr>
                <w:sz w:val="13"/>
                <w:szCs w:val="13"/>
                <w:color w:val="auto"/>
              </w:rPr>
            </w:pPr>
          </w:p>
        </w:tc>
        <w:tc>
          <w:tcPr>
            <w:tcW w:w="1220" w:type="dxa"/>
            <w:vAlign w:val="bottom"/>
            <w:tcBorders>
              <w:right w:val="single" w:sz="8" w:color="auto"/>
            </w:tcBorders>
            <w:gridSpan w:val="5"/>
            <w:shd w:val="clear" w:color="auto" w:fill="F0FFFF"/>
          </w:tcPr>
          <w:p>
            <w:pPr>
              <w:spacing w:after="0"/>
              <w:rPr>
                <w:sz w:val="20"/>
                <w:szCs w:val="20"/>
                <w:color w:val="auto"/>
              </w:rPr>
            </w:pPr>
            <w:r>
              <w:rPr>
                <w:rFonts w:ascii="Times New Roman" w:cs="Times New Roman" w:eastAsia="Times New Roman" w:hAnsi="Times New Roman"/>
                <w:sz w:val="13"/>
                <w:szCs w:val="13"/>
                <w:b w:val="1"/>
                <w:bCs w:val="1"/>
                <w:color w:val="auto"/>
              </w:rPr>
              <w:t> </w:t>
            </w:r>
          </w:p>
        </w:tc>
        <w:tc>
          <w:tcPr>
            <w:tcW w:w="0" w:type="dxa"/>
            <w:vAlign w:val="bottom"/>
          </w:tcPr>
          <w:p>
            <w:pPr>
              <w:spacing w:after="0"/>
              <w:rPr>
                <w:sz w:val="1"/>
                <w:szCs w:val="1"/>
                <w:color w:val="auto"/>
              </w:rPr>
            </w:pPr>
          </w:p>
        </w:tc>
      </w:tr>
      <w:tr>
        <w:trPr>
          <w:trHeight w:val="20"/>
        </w:trPr>
        <w:tc>
          <w:tcPr>
            <w:tcW w:w="1520" w:type="dxa"/>
            <w:vAlign w:val="bottom"/>
            <w:tcBorders>
              <w:left w:val="single" w:sz="8" w:color="auto"/>
              <w:right w:val="single" w:sz="8" w:color="auto"/>
            </w:tcBorders>
            <w:vMerge w:val="restart"/>
            <w:shd w:val="clear" w:color="auto" w:fill="F0FFFF"/>
          </w:tcPr>
          <w:p>
            <w:pPr>
              <w:ind w:left="40"/>
              <w:spacing w:after="0"/>
              <w:rPr>
                <w:sz w:val="20"/>
                <w:szCs w:val="20"/>
                <w:color w:val="auto"/>
              </w:rPr>
            </w:pPr>
            <w:r>
              <w:rPr>
                <w:rFonts w:ascii="Times New Roman" w:cs="Times New Roman" w:eastAsia="Times New Roman" w:hAnsi="Times New Roman"/>
                <w:sz w:val="13"/>
                <w:szCs w:val="13"/>
                <w:b w:val="1"/>
                <w:bCs w:val="1"/>
                <w:color w:val="auto"/>
              </w:rPr>
              <w:t>Withdrawals?</w:t>
            </w:r>
          </w:p>
        </w:tc>
        <w:tc>
          <w:tcPr>
            <w:tcW w:w="80" w:type="dxa"/>
            <w:vAlign w:val="bottom"/>
            <w:shd w:val="clear" w:color="auto" w:fill="F0FFFF"/>
          </w:tcPr>
          <w:p>
            <w:pPr>
              <w:spacing w:after="0" w:line="20" w:lineRule="exact"/>
              <w:rPr>
                <w:sz w:val="1"/>
                <w:szCs w:val="1"/>
                <w:color w:val="auto"/>
              </w:rPr>
            </w:pPr>
          </w:p>
        </w:tc>
        <w:tc>
          <w:tcPr>
            <w:tcW w:w="560" w:type="dxa"/>
            <w:vAlign w:val="bottom"/>
            <w:tcBorders>
              <w:right w:val="single" w:sz="8" w:color="F0FFFF"/>
            </w:tcBorders>
            <w:shd w:val="clear" w:color="auto" w:fill="F0FFFF"/>
          </w:tcPr>
          <w:p>
            <w:pPr>
              <w:spacing w:after="0" w:line="20" w:lineRule="exact"/>
              <w:rPr>
                <w:sz w:val="1"/>
                <w:szCs w:val="1"/>
                <w:color w:val="auto"/>
              </w:rPr>
            </w:pPr>
          </w:p>
        </w:tc>
        <w:tc>
          <w:tcPr>
            <w:tcW w:w="48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tcBorders>
              <w:right w:val="single" w:sz="8" w:color="auto"/>
            </w:tcBorders>
            <w:shd w:val="clear" w:color="auto" w:fill="F0FFFF"/>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500" w:type="dxa"/>
            <w:vAlign w:val="bottom"/>
            <w:tcBorders>
              <w:left w:val="single" w:sz="8" w:color="F0FFFF"/>
              <w:right w:val="single" w:sz="8" w:color="auto"/>
            </w:tcBorders>
            <w:shd w:val="clear" w:color="auto" w:fill="F0FFFF"/>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60" w:type="dxa"/>
            <w:vAlign w:val="bottom"/>
            <w:vMerge w:val="restart"/>
            <w:shd w:val="clear" w:color="auto" w:fill="F0FFFF"/>
          </w:tcPr>
          <w:p>
            <w:pPr>
              <w:spacing w:after="0" w:line="20" w:lineRule="exact"/>
              <w:rPr>
                <w:sz w:val="1"/>
                <w:szCs w:val="1"/>
                <w:color w:val="auto"/>
              </w:rPr>
            </w:pPr>
          </w:p>
        </w:tc>
        <w:tc>
          <w:tcPr>
            <w:tcW w:w="1220" w:type="dxa"/>
            <w:vAlign w:val="bottom"/>
            <w:tcBorders>
              <w:right w:val="single" w:sz="8" w:color="auto"/>
            </w:tcBorders>
            <w:gridSpan w:val="5"/>
            <w:vMerge w:val="restart"/>
            <w:shd w:val="clear" w:color="auto" w:fill="F0FFFF"/>
          </w:tcPr>
          <w:p>
            <w:pPr>
              <w:spacing w:after="0"/>
              <w:rPr>
                <w:sz w:val="20"/>
                <w:szCs w:val="20"/>
                <w:color w:val="auto"/>
              </w:rPr>
            </w:pPr>
            <w:r>
              <w:rPr>
                <w:rFonts w:ascii="Times New Roman" w:cs="Times New Roman" w:eastAsia="Times New Roman" w:hAnsi="Times New Roman"/>
                <w:sz w:val="13"/>
                <w:szCs w:val="13"/>
                <w:b w:val="1"/>
                <w:bCs w:val="1"/>
                <w:color w:val="auto"/>
              </w:rPr>
              <w:t>CHARGES,</w:t>
            </w:r>
          </w:p>
        </w:tc>
        <w:tc>
          <w:tcPr>
            <w:tcW w:w="0" w:type="dxa"/>
            <w:vAlign w:val="bottom"/>
          </w:tcPr>
          <w:p>
            <w:pPr>
              <w:spacing w:after="0" w:line="20" w:lineRule="exact"/>
              <w:rPr>
                <w:sz w:val="1"/>
                <w:szCs w:val="1"/>
                <w:color w:val="auto"/>
              </w:rPr>
            </w:pPr>
          </w:p>
        </w:tc>
      </w:tr>
      <w:tr>
        <w:trPr>
          <w:trHeight w:val="139"/>
        </w:trPr>
        <w:tc>
          <w:tcPr>
            <w:tcW w:w="1520" w:type="dxa"/>
            <w:vAlign w:val="bottom"/>
            <w:tcBorders>
              <w:left w:val="single" w:sz="8" w:color="auto"/>
              <w:right w:val="single" w:sz="8" w:color="auto"/>
            </w:tcBorders>
            <w:vMerge w:val="continue"/>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4320" w:type="dxa"/>
            <w:vAlign w:val="bottom"/>
            <w:tcBorders>
              <w:right w:val="single" w:sz="8" w:color="auto"/>
            </w:tcBorders>
            <w:gridSpan w:val="15"/>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after the Issue Date of your Contract, you may be assessed a Withdrawal</w:t>
            </w:r>
          </w:p>
        </w:tc>
        <w:tc>
          <w:tcPr>
            <w:tcW w:w="60" w:type="dxa"/>
            <w:vAlign w:val="bottom"/>
            <w:vMerge w:val="continue"/>
            <w:shd w:val="clear" w:color="auto" w:fill="F0FFFF"/>
          </w:tcPr>
          <w:p>
            <w:pPr>
              <w:spacing w:after="0"/>
              <w:rPr>
                <w:sz w:val="12"/>
                <w:szCs w:val="12"/>
                <w:color w:val="auto"/>
              </w:rPr>
            </w:pPr>
          </w:p>
        </w:tc>
        <w:tc>
          <w:tcPr>
            <w:tcW w:w="1220" w:type="dxa"/>
            <w:vAlign w:val="bottom"/>
            <w:tcBorders>
              <w:right w:val="single" w:sz="8" w:color="auto"/>
            </w:tcBorders>
            <w:gridSpan w:val="5"/>
            <w:vMerge w:val="continue"/>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2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560" w:type="dxa"/>
            <w:vAlign w:val="bottom"/>
            <w:tcBorders>
              <w:right w:val="single" w:sz="8" w:color="auto"/>
            </w:tcBorders>
            <w:shd w:val="clear" w:color="auto" w:fill="F0FFFF"/>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280" w:type="dxa"/>
            <w:vAlign w:val="bottom"/>
            <w:tcBorders>
              <w:right w:val="single" w:sz="8" w:color="auto"/>
            </w:tcBorders>
            <w:shd w:val="clear" w:color="auto" w:fill="F0FFFF"/>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F0FFFF"/>
            </w:tcBorders>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500" w:type="dxa"/>
            <w:vAlign w:val="bottom"/>
            <w:tcBorders>
              <w:left w:val="single" w:sz="8" w:color="F0FFFF"/>
              <w:right w:val="single" w:sz="8" w:color="auto"/>
            </w:tcBorders>
            <w:shd w:val="clear" w:color="auto" w:fill="F0FFFF"/>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60" w:type="dxa"/>
            <w:vAlign w:val="bottom"/>
            <w:vMerge w:val="restart"/>
            <w:shd w:val="clear" w:color="auto" w:fill="F0FFFF"/>
          </w:tcPr>
          <w:p>
            <w:pPr>
              <w:spacing w:after="0" w:line="20" w:lineRule="exact"/>
              <w:rPr>
                <w:sz w:val="1"/>
                <w:szCs w:val="1"/>
                <w:color w:val="auto"/>
              </w:rPr>
            </w:pPr>
          </w:p>
        </w:tc>
        <w:tc>
          <w:tcPr>
            <w:tcW w:w="1220" w:type="dxa"/>
            <w:vAlign w:val="bottom"/>
            <w:tcBorders>
              <w:right w:val="single" w:sz="8" w:color="auto"/>
            </w:tcBorders>
            <w:gridSpan w:val="5"/>
            <w:vMerge w:val="restart"/>
            <w:shd w:val="clear" w:color="auto" w:fill="F0FFFF"/>
          </w:tcPr>
          <w:p>
            <w:pPr>
              <w:spacing w:after="0"/>
              <w:rPr>
                <w:sz w:val="20"/>
                <w:szCs w:val="20"/>
                <w:color w:val="auto"/>
              </w:rPr>
            </w:pPr>
            <w:r>
              <w:rPr>
                <w:rFonts w:ascii="Times New Roman" w:cs="Times New Roman" w:eastAsia="Times New Roman" w:hAnsi="Times New Roman"/>
                <w:sz w:val="13"/>
                <w:szCs w:val="13"/>
                <w:b w:val="1"/>
                <w:bCs w:val="1"/>
                <w:color w:val="auto"/>
              </w:rPr>
              <w:t>FEES, AND</w:t>
            </w:r>
          </w:p>
        </w:tc>
        <w:tc>
          <w:tcPr>
            <w:tcW w:w="0" w:type="dxa"/>
            <w:vAlign w:val="bottom"/>
          </w:tcPr>
          <w:p>
            <w:pPr>
              <w:spacing w:after="0" w:line="20" w:lineRule="exact"/>
              <w:rPr>
                <w:sz w:val="1"/>
                <w:szCs w:val="1"/>
                <w:color w:val="auto"/>
              </w:rPr>
            </w:pPr>
          </w:p>
        </w:tc>
      </w:tr>
      <w:tr>
        <w:trPr>
          <w:trHeight w:val="139"/>
        </w:trPr>
        <w:tc>
          <w:tcPr>
            <w:tcW w:w="1520" w:type="dxa"/>
            <w:vAlign w:val="bottom"/>
            <w:tcBorders>
              <w:left w:val="single" w:sz="8" w:color="auto"/>
              <w:right w:val="single" w:sz="8" w:color="auto"/>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4320" w:type="dxa"/>
            <w:vAlign w:val="bottom"/>
            <w:tcBorders>
              <w:right w:val="single" w:sz="8" w:color="auto"/>
            </w:tcBorders>
            <w:gridSpan w:val="15"/>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Charge of up to 7% of the amount withdrawn in excess of the Free Withdrawal</w:t>
            </w:r>
          </w:p>
        </w:tc>
        <w:tc>
          <w:tcPr>
            <w:tcW w:w="60" w:type="dxa"/>
            <w:vAlign w:val="bottom"/>
            <w:vMerge w:val="continue"/>
            <w:shd w:val="clear" w:color="auto" w:fill="F0FFFF"/>
          </w:tcPr>
          <w:p>
            <w:pPr>
              <w:spacing w:after="0"/>
              <w:rPr>
                <w:sz w:val="12"/>
                <w:szCs w:val="12"/>
                <w:color w:val="auto"/>
              </w:rPr>
            </w:pPr>
          </w:p>
        </w:tc>
        <w:tc>
          <w:tcPr>
            <w:tcW w:w="1220" w:type="dxa"/>
            <w:vAlign w:val="bottom"/>
            <w:tcBorders>
              <w:right w:val="single" w:sz="8" w:color="auto"/>
            </w:tcBorders>
            <w:gridSpan w:val="5"/>
            <w:vMerge w:val="continue"/>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2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60" w:type="dxa"/>
            <w:vAlign w:val="bottom"/>
            <w:tcBorders>
              <w:right w:val="single" w:sz="8" w:color="F0FFFF"/>
            </w:tcBorders>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500" w:type="dxa"/>
            <w:vAlign w:val="bottom"/>
            <w:tcBorders>
              <w:left w:val="single" w:sz="8" w:color="F0FFFF"/>
              <w:right w:val="single" w:sz="8" w:color="auto"/>
            </w:tcBorders>
            <w:shd w:val="clear" w:color="auto" w:fill="F0FFFF"/>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60" w:type="dxa"/>
            <w:vAlign w:val="bottom"/>
            <w:vMerge w:val="restart"/>
            <w:shd w:val="clear" w:color="auto" w:fill="F0FFFF"/>
          </w:tcPr>
          <w:p>
            <w:pPr>
              <w:spacing w:after="0" w:line="20" w:lineRule="exact"/>
              <w:rPr>
                <w:sz w:val="1"/>
                <w:szCs w:val="1"/>
                <w:color w:val="auto"/>
              </w:rPr>
            </w:pPr>
          </w:p>
        </w:tc>
        <w:tc>
          <w:tcPr>
            <w:tcW w:w="1220" w:type="dxa"/>
            <w:vAlign w:val="bottom"/>
            <w:tcBorders>
              <w:right w:val="single" w:sz="8" w:color="auto"/>
            </w:tcBorders>
            <w:gridSpan w:val="5"/>
            <w:vMerge w:val="restart"/>
            <w:shd w:val="clear" w:color="auto" w:fill="F0FFFF"/>
          </w:tcPr>
          <w:p>
            <w:pPr>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0" w:type="dxa"/>
            <w:vAlign w:val="bottom"/>
          </w:tcPr>
          <w:p>
            <w:pPr>
              <w:spacing w:after="0" w:line="20" w:lineRule="exact"/>
              <w:rPr>
                <w:sz w:val="1"/>
                <w:szCs w:val="1"/>
                <w:color w:val="auto"/>
              </w:rPr>
            </w:pPr>
          </w:p>
        </w:tc>
      </w:tr>
      <w:tr>
        <w:trPr>
          <w:trHeight w:val="139"/>
        </w:trPr>
        <w:tc>
          <w:tcPr>
            <w:tcW w:w="1520" w:type="dxa"/>
            <w:vAlign w:val="bottom"/>
            <w:tcBorders>
              <w:left w:val="single" w:sz="8" w:color="auto"/>
              <w:right w:val="single" w:sz="8" w:color="auto"/>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4320" w:type="dxa"/>
            <w:vAlign w:val="bottom"/>
            <w:tcBorders>
              <w:right w:val="single" w:sz="8" w:color="auto"/>
            </w:tcBorders>
            <w:gridSpan w:val="15"/>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Amount, declining to 0% over that time period.</w:t>
            </w:r>
          </w:p>
        </w:tc>
        <w:tc>
          <w:tcPr>
            <w:tcW w:w="60" w:type="dxa"/>
            <w:vAlign w:val="bottom"/>
            <w:vMerge w:val="continue"/>
            <w:shd w:val="clear" w:color="auto" w:fill="F0FFFF"/>
          </w:tcPr>
          <w:p>
            <w:pPr>
              <w:spacing w:after="0"/>
              <w:rPr>
                <w:sz w:val="12"/>
                <w:szCs w:val="12"/>
                <w:color w:val="auto"/>
              </w:rPr>
            </w:pPr>
          </w:p>
        </w:tc>
        <w:tc>
          <w:tcPr>
            <w:tcW w:w="1220" w:type="dxa"/>
            <w:vAlign w:val="bottom"/>
            <w:tcBorders>
              <w:right w:val="single" w:sz="8" w:color="auto"/>
            </w:tcBorders>
            <w:gridSpan w:val="5"/>
            <w:vMerge w:val="continue"/>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2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60" w:type="dxa"/>
            <w:vAlign w:val="bottom"/>
            <w:tcBorders>
              <w:right w:val="single" w:sz="8" w:color="F0FFFF"/>
            </w:tcBorders>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50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60" w:type="dxa"/>
            <w:vAlign w:val="bottom"/>
            <w:vMerge w:val="restart"/>
            <w:shd w:val="clear" w:color="auto" w:fill="F0FFFF"/>
          </w:tcPr>
          <w:p>
            <w:pPr>
              <w:spacing w:after="0" w:line="20" w:lineRule="exact"/>
              <w:rPr>
                <w:sz w:val="1"/>
                <w:szCs w:val="1"/>
                <w:color w:val="auto"/>
              </w:rPr>
            </w:pPr>
          </w:p>
        </w:tc>
        <w:tc>
          <w:tcPr>
            <w:tcW w:w="1220" w:type="dxa"/>
            <w:vAlign w:val="bottom"/>
            <w:tcBorders>
              <w:right w:val="single" w:sz="8" w:color="auto"/>
            </w:tcBorders>
            <w:gridSpan w:val="5"/>
            <w:vMerge w:val="restart"/>
            <w:shd w:val="clear" w:color="auto" w:fill="F0FFFF"/>
          </w:tcPr>
          <w:p>
            <w:pPr>
              <w:spacing w:after="0"/>
              <w:rPr>
                <w:sz w:val="20"/>
                <w:szCs w:val="20"/>
                <w:color w:val="auto"/>
              </w:rPr>
            </w:pPr>
            <w:r>
              <w:rPr>
                <w:rFonts w:ascii="Times New Roman" w:cs="Times New Roman" w:eastAsia="Times New Roman" w:hAnsi="Times New Roman"/>
                <w:sz w:val="13"/>
                <w:szCs w:val="13"/>
                <w:b w:val="1"/>
                <w:bCs w:val="1"/>
                <w:color w:val="auto"/>
              </w:rPr>
              <w:t> </w:t>
            </w:r>
          </w:p>
        </w:tc>
        <w:tc>
          <w:tcPr>
            <w:tcW w:w="0" w:type="dxa"/>
            <w:vAlign w:val="bottom"/>
          </w:tcPr>
          <w:p>
            <w:pPr>
              <w:spacing w:after="0" w:line="20" w:lineRule="exact"/>
              <w:rPr>
                <w:sz w:val="1"/>
                <w:szCs w:val="1"/>
                <w:color w:val="auto"/>
              </w:rPr>
            </w:pPr>
          </w:p>
        </w:tc>
      </w:tr>
      <w:tr>
        <w:trPr>
          <w:trHeight w:val="139"/>
        </w:trPr>
        <w:tc>
          <w:tcPr>
            <w:tcW w:w="1520" w:type="dxa"/>
            <w:vAlign w:val="bottom"/>
            <w:tcBorders>
              <w:left w:val="single" w:sz="8" w:color="auto"/>
              <w:right w:val="single" w:sz="8" w:color="auto"/>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4320" w:type="dxa"/>
            <w:vAlign w:val="bottom"/>
            <w:tcBorders>
              <w:right w:val="single" w:sz="8" w:color="auto"/>
            </w:tcBorders>
            <w:gridSpan w:val="15"/>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For example, if you make a withdrawal, you could pay a Withdrawal Charge of</w:t>
            </w:r>
          </w:p>
        </w:tc>
        <w:tc>
          <w:tcPr>
            <w:tcW w:w="60" w:type="dxa"/>
            <w:vAlign w:val="bottom"/>
            <w:vMerge w:val="continue"/>
            <w:shd w:val="clear" w:color="auto" w:fill="F0FFFF"/>
          </w:tcPr>
          <w:p>
            <w:pPr>
              <w:spacing w:after="0"/>
              <w:rPr>
                <w:sz w:val="12"/>
                <w:szCs w:val="12"/>
                <w:color w:val="auto"/>
              </w:rPr>
            </w:pPr>
          </w:p>
        </w:tc>
        <w:tc>
          <w:tcPr>
            <w:tcW w:w="1220" w:type="dxa"/>
            <w:vAlign w:val="bottom"/>
            <w:tcBorders>
              <w:right w:val="single" w:sz="8" w:color="auto"/>
            </w:tcBorders>
            <w:gridSpan w:val="5"/>
            <w:vMerge w:val="continue"/>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2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560" w:type="dxa"/>
            <w:vAlign w:val="bottom"/>
            <w:tcBorders>
              <w:right w:val="single" w:sz="8" w:color="F0FFFF"/>
            </w:tcBorders>
            <w:shd w:val="clear" w:color="auto" w:fill="F0FFFF"/>
          </w:tcPr>
          <w:p>
            <w:pPr>
              <w:spacing w:after="0" w:line="20" w:lineRule="exact"/>
              <w:rPr>
                <w:sz w:val="1"/>
                <w:szCs w:val="1"/>
                <w:color w:val="auto"/>
              </w:rPr>
            </w:pPr>
          </w:p>
        </w:tc>
        <w:tc>
          <w:tcPr>
            <w:tcW w:w="48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60" w:type="dxa"/>
            <w:vAlign w:val="bottom"/>
            <w:tcBorders>
              <w:right w:val="single" w:sz="8" w:color="F0FFFF"/>
            </w:tcBorders>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5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60" w:type="dxa"/>
            <w:vAlign w:val="bottom"/>
            <w:vMerge w:val="restart"/>
            <w:shd w:val="clear" w:color="auto" w:fill="F0FFFF"/>
          </w:tcPr>
          <w:p>
            <w:pPr>
              <w:spacing w:after="0" w:line="20" w:lineRule="exact"/>
              <w:rPr>
                <w:sz w:val="1"/>
                <w:szCs w:val="1"/>
                <w:color w:val="auto"/>
              </w:rPr>
            </w:pPr>
          </w:p>
        </w:tc>
        <w:tc>
          <w:tcPr>
            <w:tcW w:w="1100" w:type="dxa"/>
            <w:vAlign w:val="bottom"/>
            <w:gridSpan w:val="4"/>
            <w:vMerge w:val="restart"/>
            <w:shd w:val="clear" w:color="auto" w:fill="F0FFFF"/>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INTERIM VALUE</w:t>
            </w:r>
          </w:p>
        </w:tc>
        <w:tc>
          <w:tcPr>
            <w:tcW w:w="120" w:type="dxa"/>
            <w:vAlign w:val="bottom"/>
            <w:tcBorders>
              <w:right w:val="single" w:sz="8" w:color="auto"/>
            </w:tcBorders>
            <w:vMerge w:val="restart"/>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520" w:type="dxa"/>
            <w:vAlign w:val="bottom"/>
            <w:tcBorders>
              <w:left w:val="single" w:sz="8" w:color="auto"/>
              <w:bottom w:val="single" w:sz="8" w:color="F0FFFF"/>
              <w:right w:val="single" w:sz="8" w:color="auto"/>
            </w:tcBorders>
            <w:shd w:val="clear" w:color="auto" w:fill="F0FFFF"/>
          </w:tcPr>
          <w:p>
            <w:pPr>
              <w:spacing w:after="0"/>
              <w:rPr>
                <w:sz w:val="9"/>
                <w:szCs w:val="9"/>
                <w:color w:val="auto"/>
              </w:rPr>
            </w:pPr>
          </w:p>
        </w:tc>
        <w:tc>
          <w:tcPr>
            <w:tcW w:w="80" w:type="dxa"/>
            <w:vAlign w:val="bottom"/>
            <w:tcBorders>
              <w:bottom w:val="single" w:sz="8" w:color="F0FFFF"/>
            </w:tcBorders>
            <w:shd w:val="clear" w:color="auto" w:fill="F0FFFF"/>
          </w:tcPr>
          <w:p>
            <w:pPr>
              <w:spacing w:after="0"/>
              <w:rPr>
                <w:sz w:val="9"/>
                <w:szCs w:val="9"/>
                <w:color w:val="auto"/>
              </w:rPr>
            </w:pPr>
          </w:p>
        </w:tc>
        <w:tc>
          <w:tcPr>
            <w:tcW w:w="4320" w:type="dxa"/>
            <w:vAlign w:val="bottom"/>
            <w:tcBorders>
              <w:bottom w:val="single" w:sz="8" w:color="F0FFFF"/>
              <w:right w:val="single" w:sz="8" w:color="auto"/>
            </w:tcBorders>
            <w:gridSpan w:val="15"/>
            <w:vMerge w:val="restart"/>
            <w:shd w:val="clear" w:color="auto" w:fill="F0FFFF"/>
          </w:tcPr>
          <w:p>
            <w:pPr>
              <w:spacing w:after="0"/>
              <w:rPr>
                <w:sz w:val="20"/>
                <w:szCs w:val="20"/>
                <w:color w:val="auto"/>
              </w:rPr>
            </w:pPr>
            <w:r>
              <w:rPr>
                <w:rFonts w:ascii="Times New Roman" w:cs="Times New Roman" w:eastAsia="Times New Roman" w:hAnsi="Times New Roman"/>
                <w:sz w:val="13"/>
                <w:szCs w:val="13"/>
                <w:color w:val="auto"/>
              </w:rPr>
              <w:t>up to $7,000 on a $100,000 investment. This loss will be greater if there is a</w:t>
            </w:r>
          </w:p>
        </w:tc>
        <w:tc>
          <w:tcPr>
            <w:tcW w:w="60" w:type="dxa"/>
            <w:vAlign w:val="bottom"/>
            <w:tcBorders>
              <w:bottom w:val="single" w:sz="8" w:color="F0FFFF"/>
            </w:tcBorders>
            <w:vMerge w:val="continue"/>
            <w:shd w:val="clear" w:color="auto" w:fill="F0FFFF"/>
          </w:tcPr>
          <w:p>
            <w:pPr>
              <w:spacing w:after="0"/>
              <w:rPr>
                <w:sz w:val="9"/>
                <w:szCs w:val="9"/>
                <w:color w:val="auto"/>
              </w:rPr>
            </w:pPr>
          </w:p>
        </w:tc>
        <w:tc>
          <w:tcPr>
            <w:tcW w:w="1100" w:type="dxa"/>
            <w:vAlign w:val="bottom"/>
            <w:tcBorders>
              <w:bottom w:val="single" w:sz="8" w:color="auto"/>
            </w:tcBorders>
            <w:gridSpan w:val="4"/>
            <w:vMerge w:val="continue"/>
            <w:shd w:val="clear" w:color="auto" w:fill="F0FFFF"/>
          </w:tcPr>
          <w:p>
            <w:pPr>
              <w:spacing w:after="0"/>
              <w:rPr>
                <w:sz w:val="9"/>
                <w:szCs w:val="9"/>
                <w:color w:val="auto"/>
              </w:rPr>
            </w:pPr>
          </w:p>
        </w:tc>
        <w:tc>
          <w:tcPr>
            <w:tcW w:w="120" w:type="dxa"/>
            <w:vAlign w:val="bottom"/>
            <w:tcBorders>
              <w:bottom w:val="single" w:sz="8" w:color="F0FFFF"/>
              <w:right w:val="single" w:sz="8" w:color="auto"/>
            </w:tcBorders>
            <w:vMerge w:val="continue"/>
            <w:shd w:val="clear" w:color="auto" w:fill="F0FFFF"/>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520" w:type="dxa"/>
            <w:vAlign w:val="bottom"/>
            <w:tcBorders>
              <w:left w:val="single" w:sz="8" w:color="auto"/>
              <w:right w:val="single" w:sz="8" w:color="auto"/>
            </w:tcBorders>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4320" w:type="dxa"/>
            <w:vAlign w:val="bottom"/>
            <w:tcBorders>
              <w:right w:val="single" w:sz="8" w:color="auto"/>
            </w:tcBorders>
            <w:gridSpan w:val="15"/>
            <w:vMerge w:val="continue"/>
            <w:shd w:val="clear" w:color="auto" w:fill="F0FFFF"/>
          </w:tcPr>
          <w:p>
            <w:pPr>
              <w:spacing w:after="0"/>
              <w:rPr>
                <w:sz w:val="2"/>
                <w:szCs w:val="2"/>
                <w:color w:val="auto"/>
              </w:rPr>
            </w:pPr>
          </w:p>
        </w:tc>
        <w:tc>
          <w:tcPr>
            <w:tcW w:w="60" w:type="dxa"/>
            <w:vAlign w:val="bottom"/>
            <w:shd w:val="clear" w:color="auto" w:fill="F0FFFF"/>
          </w:tcPr>
          <w:p>
            <w:pPr>
              <w:spacing w:after="0"/>
              <w:rPr>
                <w:sz w:val="2"/>
                <w:szCs w:val="2"/>
                <w:color w:val="auto"/>
              </w:rPr>
            </w:pPr>
          </w:p>
        </w:tc>
        <w:tc>
          <w:tcPr>
            <w:tcW w:w="1220" w:type="dxa"/>
            <w:vAlign w:val="bottom"/>
            <w:tcBorders>
              <w:right w:val="single" w:sz="8" w:color="auto"/>
            </w:tcBorders>
            <w:gridSpan w:val="5"/>
            <w:vMerge w:val="restart"/>
            <w:shd w:val="clear" w:color="auto" w:fill="F0FFFF"/>
          </w:tcPr>
          <w:p>
            <w:pPr>
              <w:spacing w:after="0"/>
              <w:rPr>
                <w:sz w:val="20"/>
                <w:szCs w:val="20"/>
                <w:color w:val="auto"/>
              </w:rPr>
            </w:pPr>
            <w:r>
              <w:rPr>
                <w:rFonts w:ascii="Times New Roman" w:cs="Times New Roman" w:eastAsia="Times New Roman" w:hAnsi="Times New Roman"/>
                <w:sz w:val="13"/>
                <w:szCs w:val="13"/>
                <w:b w:val="1"/>
                <w:bCs w:val="1"/>
                <w:color w:val="auto"/>
              </w:rPr>
              <w:t>CALCULATION</w:t>
            </w:r>
          </w:p>
        </w:tc>
        <w:tc>
          <w:tcPr>
            <w:tcW w:w="0" w:type="dxa"/>
            <w:vAlign w:val="bottom"/>
          </w:tcPr>
          <w:p>
            <w:pPr>
              <w:spacing w:after="0" w:line="20" w:lineRule="exact"/>
              <w:rPr>
                <w:sz w:val="1"/>
                <w:szCs w:val="1"/>
                <w:color w:val="auto"/>
              </w:rPr>
            </w:pPr>
          </w:p>
        </w:tc>
      </w:tr>
      <w:tr>
        <w:trPr>
          <w:trHeight w:val="142"/>
        </w:trPr>
        <w:tc>
          <w:tcPr>
            <w:tcW w:w="1520" w:type="dxa"/>
            <w:vAlign w:val="bottom"/>
            <w:tcBorders>
              <w:left w:val="single" w:sz="8" w:color="auto"/>
              <w:right w:val="single" w:sz="8" w:color="auto"/>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4320" w:type="dxa"/>
            <w:vAlign w:val="bottom"/>
            <w:tcBorders>
              <w:right w:val="single" w:sz="8" w:color="auto"/>
            </w:tcBorders>
            <w:gridSpan w:val="15"/>
            <w:shd w:val="clear" w:color="auto" w:fill="F0FFFF"/>
          </w:tcPr>
          <w:p>
            <w:pPr>
              <w:spacing w:after="0" w:line="142" w:lineRule="exact"/>
              <w:rPr>
                <w:sz w:val="20"/>
                <w:szCs w:val="20"/>
                <w:color w:val="auto"/>
              </w:rPr>
            </w:pPr>
            <w:r>
              <w:rPr>
                <w:rFonts w:ascii="Times New Roman" w:cs="Times New Roman" w:eastAsia="Times New Roman" w:hAnsi="Times New Roman"/>
                <w:sz w:val="13"/>
                <w:szCs w:val="13"/>
                <w:color w:val="auto"/>
              </w:rPr>
              <w:t>negative Interim Value, taxes, or tax penalties.</w:t>
            </w:r>
          </w:p>
        </w:tc>
        <w:tc>
          <w:tcPr>
            <w:tcW w:w="60" w:type="dxa"/>
            <w:vAlign w:val="bottom"/>
            <w:shd w:val="clear" w:color="auto" w:fill="F0FFFF"/>
          </w:tcPr>
          <w:p>
            <w:pPr>
              <w:spacing w:after="0"/>
              <w:rPr>
                <w:sz w:val="12"/>
                <w:szCs w:val="12"/>
                <w:color w:val="auto"/>
              </w:rPr>
            </w:pPr>
          </w:p>
        </w:tc>
        <w:tc>
          <w:tcPr>
            <w:tcW w:w="1220" w:type="dxa"/>
            <w:vAlign w:val="bottom"/>
            <w:tcBorders>
              <w:right w:val="single" w:sz="8" w:color="auto"/>
            </w:tcBorders>
            <w:gridSpan w:val="5"/>
            <w:vMerge w:val="continue"/>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2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560" w:type="dxa"/>
            <w:vAlign w:val="bottom"/>
            <w:tcBorders>
              <w:right w:val="single" w:sz="8" w:color="auto"/>
            </w:tcBorders>
            <w:shd w:val="clear" w:color="auto" w:fill="F0FFFF"/>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F0FFFF"/>
            </w:tcBorders>
            <w:shd w:val="clear" w:color="auto" w:fill="000000"/>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60" w:type="dxa"/>
            <w:vAlign w:val="bottom"/>
            <w:tcBorders>
              <w:right w:val="single" w:sz="8" w:color="F0FFFF"/>
            </w:tcBorders>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50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320" w:type="dxa"/>
            <w:vAlign w:val="bottom"/>
            <w:shd w:val="clear" w:color="auto" w:fill="F0FFFF"/>
          </w:tcPr>
          <w:p>
            <w:pPr>
              <w:spacing w:after="0" w:line="20" w:lineRule="exact"/>
              <w:rPr>
                <w:sz w:val="1"/>
                <w:szCs w:val="1"/>
                <w:color w:val="auto"/>
              </w:rPr>
            </w:pPr>
          </w:p>
        </w:tc>
        <w:tc>
          <w:tcPr>
            <w:tcW w:w="66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2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520" w:type="dxa"/>
            <w:vAlign w:val="bottom"/>
            <w:tcBorders>
              <w:left w:val="single" w:sz="8" w:color="auto"/>
              <w:right w:val="single" w:sz="8" w:color="auto"/>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4320" w:type="dxa"/>
            <w:vAlign w:val="bottom"/>
            <w:tcBorders>
              <w:right w:val="single" w:sz="8" w:color="auto"/>
            </w:tcBorders>
            <w:gridSpan w:val="15"/>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If you exercise the Performance Lock or all or a portion of the Account Value is</w:t>
            </w:r>
          </w:p>
        </w:tc>
        <w:tc>
          <w:tcPr>
            <w:tcW w:w="60" w:type="dxa"/>
            <w:vAlign w:val="bottom"/>
            <w:shd w:val="clear" w:color="auto" w:fill="F0FFFF"/>
          </w:tcPr>
          <w:p>
            <w:pPr>
              <w:spacing w:after="0"/>
              <w:rPr>
                <w:sz w:val="12"/>
                <w:szCs w:val="12"/>
                <w:color w:val="auto"/>
              </w:rPr>
            </w:pPr>
          </w:p>
        </w:tc>
        <w:tc>
          <w:tcPr>
            <w:tcW w:w="32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2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2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560" w:type="dxa"/>
            <w:vAlign w:val="bottom"/>
            <w:tcBorders>
              <w:right w:val="single" w:sz="8" w:color="F0FFFF"/>
            </w:tcBorders>
            <w:shd w:val="clear" w:color="auto" w:fill="F0FFFF"/>
          </w:tcPr>
          <w:p>
            <w:pPr>
              <w:spacing w:after="0" w:line="20" w:lineRule="exact"/>
              <w:rPr>
                <w:sz w:val="1"/>
                <w:szCs w:val="1"/>
                <w:color w:val="auto"/>
              </w:rPr>
            </w:pPr>
          </w:p>
        </w:tc>
        <w:tc>
          <w:tcPr>
            <w:tcW w:w="480" w:type="dxa"/>
            <w:vAlign w:val="bottom"/>
            <w:tcBorders>
              <w:right w:val="single" w:sz="8" w:color="auto"/>
            </w:tcBorders>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F0FFFF"/>
            </w:tcBorders>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500" w:type="dxa"/>
            <w:vAlign w:val="bottom"/>
            <w:tcBorders>
              <w:left w:val="single" w:sz="8" w:color="F0FFFF"/>
              <w:right w:val="single" w:sz="8" w:color="auto"/>
            </w:tcBorders>
            <w:shd w:val="clear" w:color="auto" w:fill="F0FFFF"/>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320" w:type="dxa"/>
            <w:vAlign w:val="bottom"/>
            <w:shd w:val="clear" w:color="auto" w:fill="F0FFFF"/>
          </w:tcPr>
          <w:p>
            <w:pPr>
              <w:spacing w:after="0" w:line="20" w:lineRule="exact"/>
              <w:rPr>
                <w:sz w:val="1"/>
                <w:szCs w:val="1"/>
                <w:color w:val="auto"/>
              </w:rPr>
            </w:pPr>
          </w:p>
        </w:tc>
        <w:tc>
          <w:tcPr>
            <w:tcW w:w="66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2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520" w:type="dxa"/>
            <w:vAlign w:val="bottom"/>
            <w:tcBorders>
              <w:left w:val="single" w:sz="8" w:color="auto"/>
              <w:right w:val="single" w:sz="8" w:color="auto"/>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4320" w:type="dxa"/>
            <w:vAlign w:val="bottom"/>
            <w:tcBorders>
              <w:right w:val="single" w:sz="8" w:color="auto"/>
            </w:tcBorders>
            <w:gridSpan w:val="15"/>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removed from a Shield Option or from the Contract before the end of a Term,</w:t>
            </w:r>
          </w:p>
        </w:tc>
        <w:tc>
          <w:tcPr>
            <w:tcW w:w="60" w:type="dxa"/>
            <w:vAlign w:val="bottom"/>
            <w:shd w:val="clear" w:color="auto" w:fill="F0FFFF"/>
          </w:tcPr>
          <w:p>
            <w:pPr>
              <w:spacing w:after="0"/>
              <w:rPr>
                <w:sz w:val="12"/>
                <w:szCs w:val="12"/>
                <w:color w:val="auto"/>
              </w:rPr>
            </w:pPr>
          </w:p>
        </w:tc>
        <w:tc>
          <w:tcPr>
            <w:tcW w:w="32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2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2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560" w:type="dxa"/>
            <w:vAlign w:val="bottom"/>
            <w:tcBorders>
              <w:right w:val="single" w:sz="8" w:color="F0FFFF"/>
            </w:tcBorders>
            <w:shd w:val="clear" w:color="auto" w:fill="F0FFFF"/>
          </w:tcPr>
          <w:p>
            <w:pPr>
              <w:spacing w:after="0" w:line="20" w:lineRule="exact"/>
              <w:rPr>
                <w:sz w:val="1"/>
                <w:szCs w:val="1"/>
                <w:color w:val="auto"/>
              </w:rPr>
            </w:pPr>
          </w:p>
        </w:tc>
        <w:tc>
          <w:tcPr>
            <w:tcW w:w="480" w:type="dxa"/>
            <w:vAlign w:val="bottom"/>
            <w:tcBorders>
              <w:right w:val="single" w:sz="8" w:color="auto"/>
            </w:tcBorders>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60" w:type="dxa"/>
            <w:vAlign w:val="bottom"/>
            <w:tcBorders>
              <w:right w:val="single" w:sz="8" w:color="auto"/>
            </w:tcBorders>
            <w:shd w:val="clear" w:color="auto" w:fill="F0FF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50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300" w:type="dxa"/>
            <w:vAlign w:val="bottom"/>
            <w:tcBorders>
              <w:right w:val="single" w:sz="8" w:color="auto"/>
            </w:tcBorders>
            <w:shd w:val="clear" w:color="auto" w:fill="F0FFFF"/>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320" w:type="dxa"/>
            <w:vAlign w:val="bottom"/>
            <w:shd w:val="clear" w:color="auto" w:fill="F0FFFF"/>
          </w:tcPr>
          <w:p>
            <w:pPr>
              <w:spacing w:after="0" w:line="20" w:lineRule="exact"/>
              <w:rPr>
                <w:sz w:val="1"/>
                <w:szCs w:val="1"/>
                <w:color w:val="auto"/>
              </w:rPr>
            </w:pPr>
          </w:p>
        </w:tc>
        <w:tc>
          <w:tcPr>
            <w:tcW w:w="66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2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520" w:type="dxa"/>
            <w:vAlign w:val="bottom"/>
            <w:tcBorders>
              <w:left w:val="single" w:sz="8" w:color="auto"/>
              <w:right w:val="single" w:sz="8" w:color="auto"/>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4320" w:type="dxa"/>
            <w:vAlign w:val="bottom"/>
            <w:tcBorders>
              <w:right w:val="single" w:sz="8" w:color="auto"/>
            </w:tcBorders>
            <w:gridSpan w:val="15"/>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we will apply an Interim Value calculation, which may be negative. In extreme</w:t>
            </w:r>
          </w:p>
        </w:tc>
        <w:tc>
          <w:tcPr>
            <w:tcW w:w="60" w:type="dxa"/>
            <w:vAlign w:val="bottom"/>
            <w:shd w:val="clear" w:color="auto" w:fill="F0FFFF"/>
          </w:tcPr>
          <w:p>
            <w:pPr>
              <w:spacing w:after="0"/>
              <w:rPr>
                <w:sz w:val="12"/>
                <w:szCs w:val="12"/>
                <w:color w:val="auto"/>
              </w:rPr>
            </w:pPr>
          </w:p>
        </w:tc>
        <w:tc>
          <w:tcPr>
            <w:tcW w:w="32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2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2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560" w:type="dxa"/>
            <w:vAlign w:val="bottom"/>
            <w:tcBorders>
              <w:right w:val="single" w:sz="8" w:color="F0FFFF"/>
            </w:tcBorders>
            <w:shd w:val="clear" w:color="auto" w:fill="F0FFFF"/>
          </w:tcPr>
          <w:p>
            <w:pPr>
              <w:spacing w:after="0" w:line="20" w:lineRule="exact"/>
              <w:rPr>
                <w:sz w:val="1"/>
                <w:szCs w:val="1"/>
                <w:color w:val="auto"/>
              </w:rPr>
            </w:pPr>
          </w:p>
        </w:tc>
        <w:tc>
          <w:tcPr>
            <w:tcW w:w="480" w:type="dxa"/>
            <w:vAlign w:val="bottom"/>
            <w:tcBorders>
              <w:right w:val="single" w:sz="8" w:color="auto"/>
            </w:tcBorders>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60" w:type="dxa"/>
            <w:vAlign w:val="bottom"/>
            <w:tcBorders>
              <w:right w:val="single" w:sz="8" w:color="F0FFFF"/>
            </w:tcBorders>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50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320" w:type="dxa"/>
            <w:vAlign w:val="bottom"/>
            <w:shd w:val="clear" w:color="auto" w:fill="F0FFFF"/>
          </w:tcPr>
          <w:p>
            <w:pPr>
              <w:spacing w:after="0" w:line="20" w:lineRule="exact"/>
              <w:rPr>
                <w:sz w:val="1"/>
                <w:szCs w:val="1"/>
                <w:color w:val="auto"/>
              </w:rPr>
            </w:pPr>
          </w:p>
        </w:tc>
        <w:tc>
          <w:tcPr>
            <w:tcW w:w="66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2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520" w:type="dxa"/>
            <w:vAlign w:val="bottom"/>
            <w:tcBorders>
              <w:left w:val="single" w:sz="8" w:color="auto"/>
              <w:right w:val="single" w:sz="8" w:color="auto"/>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4320" w:type="dxa"/>
            <w:vAlign w:val="bottom"/>
            <w:tcBorders>
              <w:right w:val="single" w:sz="8" w:color="auto"/>
            </w:tcBorders>
            <w:gridSpan w:val="15"/>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circumstances, you could lose up to 100% of the value of your Shield Option if</w:t>
            </w:r>
          </w:p>
        </w:tc>
        <w:tc>
          <w:tcPr>
            <w:tcW w:w="60" w:type="dxa"/>
            <w:vAlign w:val="bottom"/>
            <w:shd w:val="clear" w:color="auto" w:fill="F0FFFF"/>
          </w:tcPr>
          <w:p>
            <w:pPr>
              <w:spacing w:after="0"/>
              <w:rPr>
                <w:sz w:val="12"/>
                <w:szCs w:val="12"/>
                <w:color w:val="auto"/>
              </w:rPr>
            </w:pPr>
          </w:p>
        </w:tc>
        <w:tc>
          <w:tcPr>
            <w:tcW w:w="32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2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2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560" w:type="dxa"/>
            <w:vAlign w:val="bottom"/>
            <w:tcBorders>
              <w:right w:val="single" w:sz="8" w:color="F0FFFF"/>
            </w:tcBorders>
            <w:shd w:val="clear" w:color="auto" w:fill="F0FFFF"/>
          </w:tcPr>
          <w:p>
            <w:pPr>
              <w:spacing w:after="0" w:line="20" w:lineRule="exact"/>
              <w:rPr>
                <w:sz w:val="1"/>
                <w:szCs w:val="1"/>
                <w:color w:val="auto"/>
              </w:rPr>
            </w:pPr>
          </w:p>
        </w:tc>
        <w:tc>
          <w:tcPr>
            <w:tcW w:w="48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60" w:type="dxa"/>
            <w:vAlign w:val="bottom"/>
            <w:tcBorders>
              <w:right w:val="single" w:sz="8" w:color="F0FFFF"/>
            </w:tcBorders>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500" w:type="dxa"/>
            <w:vAlign w:val="bottom"/>
            <w:tcBorders>
              <w:left w:val="single" w:sz="8" w:color="F0FFFF"/>
              <w:right w:val="single" w:sz="8" w:color="auto"/>
            </w:tcBorders>
            <w:shd w:val="clear" w:color="auto" w:fill="F0FFFF"/>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320" w:type="dxa"/>
            <w:vAlign w:val="bottom"/>
            <w:shd w:val="clear" w:color="auto" w:fill="F0FFFF"/>
          </w:tcPr>
          <w:p>
            <w:pPr>
              <w:spacing w:after="0" w:line="20" w:lineRule="exact"/>
              <w:rPr>
                <w:sz w:val="1"/>
                <w:szCs w:val="1"/>
                <w:color w:val="auto"/>
              </w:rPr>
            </w:pPr>
          </w:p>
        </w:tc>
        <w:tc>
          <w:tcPr>
            <w:tcW w:w="66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2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520" w:type="dxa"/>
            <w:vAlign w:val="bottom"/>
            <w:tcBorders>
              <w:left w:val="single" w:sz="8" w:color="auto"/>
              <w:right w:val="single" w:sz="8" w:color="auto"/>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4320" w:type="dxa"/>
            <w:vAlign w:val="bottom"/>
            <w:tcBorders>
              <w:right w:val="single" w:sz="8" w:color="auto"/>
            </w:tcBorders>
            <w:gridSpan w:val="15"/>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you exercise the Performance Lock, or if you make a withdrawal, Surrender,</w:t>
            </w:r>
          </w:p>
        </w:tc>
        <w:tc>
          <w:tcPr>
            <w:tcW w:w="60" w:type="dxa"/>
            <w:vAlign w:val="bottom"/>
            <w:shd w:val="clear" w:color="auto" w:fill="F0FFFF"/>
          </w:tcPr>
          <w:p>
            <w:pPr>
              <w:spacing w:after="0"/>
              <w:rPr>
                <w:sz w:val="12"/>
                <w:szCs w:val="12"/>
                <w:color w:val="auto"/>
              </w:rPr>
            </w:pPr>
          </w:p>
        </w:tc>
        <w:tc>
          <w:tcPr>
            <w:tcW w:w="32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2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2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560" w:type="dxa"/>
            <w:vAlign w:val="bottom"/>
            <w:tcBorders>
              <w:right w:val="single" w:sz="8" w:color="F0FFFF"/>
            </w:tcBorders>
            <w:shd w:val="clear" w:color="auto" w:fill="F0FFFF"/>
          </w:tcPr>
          <w:p>
            <w:pPr>
              <w:spacing w:after="0" w:line="20" w:lineRule="exact"/>
              <w:rPr>
                <w:sz w:val="1"/>
                <w:szCs w:val="1"/>
                <w:color w:val="auto"/>
              </w:rPr>
            </w:pPr>
          </w:p>
        </w:tc>
        <w:tc>
          <w:tcPr>
            <w:tcW w:w="480" w:type="dxa"/>
            <w:vAlign w:val="bottom"/>
            <w:tcBorders>
              <w:right w:val="single" w:sz="8" w:color="auto"/>
            </w:tcBorders>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F0FFFF"/>
            </w:tcBorders>
            <w:shd w:val="clear" w:color="auto" w:fill="000000"/>
          </w:tcPr>
          <w:p>
            <w:pPr>
              <w:spacing w:after="0" w:line="20" w:lineRule="exact"/>
              <w:rPr>
                <w:sz w:val="1"/>
                <w:szCs w:val="1"/>
                <w:color w:val="auto"/>
              </w:rPr>
            </w:pPr>
          </w:p>
        </w:tc>
        <w:tc>
          <w:tcPr>
            <w:tcW w:w="260" w:type="dxa"/>
            <w:vAlign w:val="bottom"/>
            <w:tcBorders>
              <w:right w:val="single" w:sz="8" w:color="F0FFFF"/>
            </w:tcBorders>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500" w:type="dxa"/>
            <w:vAlign w:val="bottom"/>
            <w:tcBorders>
              <w:left w:val="single" w:sz="8" w:color="F0FFFF"/>
              <w:right w:val="single" w:sz="8" w:color="auto"/>
            </w:tcBorders>
            <w:shd w:val="clear" w:color="auto" w:fill="F0FFFF"/>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320" w:type="dxa"/>
            <w:vAlign w:val="bottom"/>
            <w:shd w:val="clear" w:color="auto" w:fill="F0FFFF"/>
          </w:tcPr>
          <w:p>
            <w:pPr>
              <w:spacing w:after="0" w:line="20" w:lineRule="exact"/>
              <w:rPr>
                <w:sz w:val="1"/>
                <w:szCs w:val="1"/>
                <w:color w:val="auto"/>
              </w:rPr>
            </w:pPr>
          </w:p>
        </w:tc>
        <w:tc>
          <w:tcPr>
            <w:tcW w:w="66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2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520" w:type="dxa"/>
            <w:vAlign w:val="bottom"/>
            <w:tcBorders>
              <w:left w:val="single" w:sz="8" w:color="auto"/>
              <w:right w:val="single" w:sz="8" w:color="auto"/>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4320" w:type="dxa"/>
            <w:vAlign w:val="bottom"/>
            <w:tcBorders>
              <w:right w:val="single" w:sz="8" w:color="auto"/>
            </w:tcBorders>
            <w:gridSpan w:val="15"/>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or otherwise remove amounts from the Shield Options before the Term End</w:t>
            </w:r>
          </w:p>
        </w:tc>
        <w:tc>
          <w:tcPr>
            <w:tcW w:w="60" w:type="dxa"/>
            <w:vAlign w:val="bottom"/>
            <w:shd w:val="clear" w:color="auto" w:fill="F0FFFF"/>
          </w:tcPr>
          <w:p>
            <w:pPr>
              <w:spacing w:after="0"/>
              <w:rPr>
                <w:sz w:val="12"/>
                <w:szCs w:val="12"/>
                <w:color w:val="auto"/>
              </w:rPr>
            </w:pPr>
          </w:p>
        </w:tc>
        <w:tc>
          <w:tcPr>
            <w:tcW w:w="32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2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520" w:type="dxa"/>
            <w:vAlign w:val="bottom"/>
            <w:tcBorders>
              <w:top w:val="single" w:sz="8" w:color="F0FFFF"/>
              <w:left w:val="single" w:sz="8" w:color="auto"/>
              <w:right w:val="single" w:sz="8" w:color="auto"/>
            </w:tcBorders>
            <w:shd w:val="clear" w:color="auto" w:fill="F0FFFF"/>
          </w:tcPr>
          <w:p>
            <w:pPr>
              <w:spacing w:after="0"/>
              <w:rPr>
                <w:sz w:val="12"/>
                <w:szCs w:val="12"/>
                <w:color w:val="auto"/>
              </w:rPr>
            </w:pPr>
          </w:p>
        </w:tc>
        <w:tc>
          <w:tcPr>
            <w:tcW w:w="80" w:type="dxa"/>
            <w:vAlign w:val="bottom"/>
            <w:tcBorders>
              <w:top w:val="single" w:sz="8" w:color="F0FFFF"/>
            </w:tcBorders>
            <w:shd w:val="clear" w:color="auto" w:fill="F0FFFF"/>
          </w:tcPr>
          <w:p>
            <w:pPr>
              <w:spacing w:after="0"/>
              <w:rPr>
                <w:sz w:val="12"/>
                <w:szCs w:val="12"/>
                <w:color w:val="auto"/>
              </w:rPr>
            </w:pPr>
          </w:p>
        </w:tc>
        <w:tc>
          <w:tcPr>
            <w:tcW w:w="2100" w:type="dxa"/>
            <w:vAlign w:val="bottom"/>
            <w:tcBorders>
              <w:top w:val="single" w:sz="8" w:color="F0FFFF"/>
              <w:right w:val="single" w:sz="8" w:color="F0FFFF"/>
            </w:tcBorders>
            <w:gridSpan w:val="7"/>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Date due to a negative Interim Value.</w:t>
            </w:r>
          </w:p>
        </w:tc>
        <w:tc>
          <w:tcPr>
            <w:tcW w:w="760" w:type="dxa"/>
            <w:vAlign w:val="bottom"/>
            <w:tcBorders>
              <w:top w:val="single" w:sz="8" w:color="auto"/>
              <w:right w:val="single" w:sz="8" w:color="F0FFFF"/>
            </w:tcBorders>
            <w:gridSpan w:val="3"/>
            <w:shd w:val="clear" w:color="auto" w:fill="F0FFFF"/>
          </w:tcPr>
          <w:p>
            <w:pPr>
              <w:spacing w:after="0"/>
              <w:rPr>
                <w:sz w:val="12"/>
                <w:szCs w:val="12"/>
                <w:color w:val="auto"/>
              </w:rPr>
            </w:pPr>
          </w:p>
        </w:tc>
        <w:tc>
          <w:tcPr>
            <w:tcW w:w="720" w:type="dxa"/>
            <w:vAlign w:val="bottom"/>
            <w:tcBorders>
              <w:top w:val="single" w:sz="8" w:color="F0FFFF"/>
              <w:right w:val="single" w:sz="8" w:color="F0FFFF"/>
            </w:tcBorders>
            <w:gridSpan w:val="2"/>
            <w:shd w:val="clear" w:color="auto" w:fill="F0FFFF"/>
          </w:tcPr>
          <w:p>
            <w:pPr>
              <w:spacing w:after="0"/>
              <w:rPr>
                <w:sz w:val="12"/>
                <w:szCs w:val="12"/>
                <w:color w:val="auto"/>
              </w:rPr>
            </w:pPr>
          </w:p>
        </w:tc>
        <w:tc>
          <w:tcPr>
            <w:tcW w:w="600" w:type="dxa"/>
            <w:vAlign w:val="bottom"/>
            <w:tcBorders>
              <w:top w:val="single" w:sz="8" w:color="auto"/>
              <w:right w:val="single" w:sz="8" w:color="F0FFFF"/>
            </w:tcBorders>
            <w:gridSpan w:val="2"/>
            <w:shd w:val="clear" w:color="auto" w:fill="F0FFFF"/>
          </w:tcPr>
          <w:p>
            <w:pPr>
              <w:spacing w:after="0"/>
              <w:rPr>
                <w:sz w:val="12"/>
                <w:szCs w:val="12"/>
                <w:color w:val="auto"/>
              </w:rPr>
            </w:pPr>
          </w:p>
        </w:tc>
        <w:tc>
          <w:tcPr>
            <w:tcW w:w="140" w:type="dxa"/>
            <w:vAlign w:val="bottom"/>
            <w:tcBorders>
              <w:top w:val="single" w:sz="8" w:color="F0FFFF"/>
              <w:right w:val="single" w:sz="8" w:color="auto"/>
            </w:tcBorders>
            <w:shd w:val="clear" w:color="auto" w:fill="F0FFFF"/>
          </w:tcPr>
          <w:p>
            <w:pPr>
              <w:spacing w:after="0"/>
              <w:rPr>
                <w:sz w:val="12"/>
                <w:szCs w:val="12"/>
                <w:color w:val="auto"/>
              </w:rPr>
            </w:pPr>
          </w:p>
        </w:tc>
        <w:tc>
          <w:tcPr>
            <w:tcW w:w="60" w:type="dxa"/>
            <w:vAlign w:val="bottom"/>
            <w:tcBorders>
              <w:top w:val="single" w:sz="8" w:color="F0FFFF"/>
            </w:tcBorders>
            <w:shd w:val="clear" w:color="auto" w:fill="F0FFFF"/>
          </w:tcPr>
          <w:p>
            <w:pPr>
              <w:spacing w:after="0"/>
              <w:rPr>
                <w:sz w:val="12"/>
                <w:szCs w:val="12"/>
                <w:color w:val="auto"/>
              </w:rPr>
            </w:pPr>
          </w:p>
        </w:tc>
        <w:tc>
          <w:tcPr>
            <w:tcW w:w="320" w:type="dxa"/>
            <w:vAlign w:val="bottom"/>
            <w:tcBorders>
              <w:top w:val="single" w:sz="8" w:color="F0FFFF"/>
            </w:tcBorders>
            <w:shd w:val="clear" w:color="auto" w:fill="F0FFFF"/>
          </w:tcPr>
          <w:p>
            <w:pPr>
              <w:spacing w:after="0"/>
              <w:rPr>
                <w:sz w:val="12"/>
                <w:szCs w:val="12"/>
                <w:color w:val="auto"/>
              </w:rPr>
            </w:pPr>
          </w:p>
        </w:tc>
        <w:tc>
          <w:tcPr>
            <w:tcW w:w="66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20" w:type="dxa"/>
            <w:vAlign w:val="bottom"/>
            <w:tcBorders>
              <w:top w:val="single" w:sz="8" w:color="F0FFFF"/>
            </w:tcBorders>
            <w:shd w:val="clear" w:color="auto" w:fill="F0FFFF"/>
          </w:tcPr>
          <w:p>
            <w:pPr>
              <w:spacing w:after="0"/>
              <w:rPr>
                <w:sz w:val="12"/>
                <w:szCs w:val="12"/>
                <w:color w:val="auto"/>
              </w:rPr>
            </w:pPr>
          </w:p>
        </w:tc>
        <w:tc>
          <w:tcPr>
            <w:tcW w:w="120" w:type="dxa"/>
            <w:vAlign w:val="bottom"/>
            <w:tcBorders>
              <w:top w:val="single" w:sz="8" w:color="F0FFFF"/>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2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F0FFFF"/>
            </w:tcBorders>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50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320" w:type="dxa"/>
            <w:vAlign w:val="bottom"/>
            <w:shd w:val="clear" w:color="auto" w:fill="F0FFFF"/>
          </w:tcPr>
          <w:p>
            <w:pPr>
              <w:spacing w:after="0" w:line="20" w:lineRule="exact"/>
              <w:rPr>
                <w:sz w:val="1"/>
                <w:szCs w:val="1"/>
                <w:color w:val="auto"/>
              </w:rPr>
            </w:pPr>
          </w:p>
        </w:tc>
        <w:tc>
          <w:tcPr>
            <w:tcW w:w="66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2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520" w:type="dxa"/>
            <w:vAlign w:val="bottom"/>
            <w:tcBorders>
              <w:left w:val="single" w:sz="8" w:color="auto"/>
              <w:right w:val="single" w:sz="8" w:color="auto"/>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4320" w:type="dxa"/>
            <w:vAlign w:val="bottom"/>
            <w:tcBorders>
              <w:right w:val="single" w:sz="8" w:color="auto"/>
            </w:tcBorders>
            <w:gridSpan w:val="15"/>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For example, if you allocate $100,000 to a Shield Option with a 3-year Term ,</w:t>
            </w:r>
          </w:p>
        </w:tc>
        <w:tc>
          <w:tcPr>
            <w:tcW w:w="60" w:type="dxa"/>
            <w:vAlign w:val="bottom"/>
            <w:shd w:val="clear" w:color="auto" w:fill="F0FFFF"/>
          </w:tcPr>
          <w:p>
            <w:pPr>
              <w:spacing w:after="0"/>
              <w:rPr>
                <w:sz w:val="12"/>
                <w:szCs w:val="12"/>
                <w:color w:val="auto"/>
              </w:rPr>
            </w:pPr>
          </w:p>
        </w:tc>
        <w:tc>
          <w:tcPr>
            <w:tcW w:w="32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2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2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560" w:type="dxa"/>
            <w:vAlign w:val="bottom"/>
            <w:tcBorders>
              <w:right w:val="single" w:sz="8" w:color="F0FFFF"/>
            </w:tcBorders>
            <w:shd w:val="clear" w:color="auto" w:fill="F0FFFF"/>
          </w:tcPr>
          <w:p>
            <w:pPr>
              <w:spacing w:after="0" w:line="20" w:lineRule="exact"/>
              <w:rPr>
                <w:sz w:val="1"/>
                <w:szCs w:val="1"/>
                <w:color w:val="auto"/>
              </w:rPr>
            </w:pPr>
          </w:p>
        </w:tc>
        <w:tc>
          <w:tcPr>
            <w:tcW w:w="48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60" w:type="dxa"/>
            <w:vAlign w:val="bottom"/>
            <w:tcBorders>
              <w:right w:val="single" w:sz="8" w:color="auto"/>
            </w:tcBorders>
            <w:shd w:val="clear" w:color="auto" w:fill="F0FF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F0FFFF"/>
            </w:tcBorders>
            <w:shd w:val="clear" w:color="auto" w:fill="000000"/>
          </w:tcPr>
          <w:p>
            <w:pPr>
              <w:spacing w:after="0" w:line="20" w:lineRule="exact"/>
              <w:rPr>
                <w:sz w:val="1"/>
                <w:szCs w:val="1"/>
                <w:color w:val="auto"/>
              </w:rPr>
            </w:pPr>
          </w:p>
        </w:tc>
        <w:tc>
          <w:tcPr>
            <w:tcW w:w="50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300" w:type="dxa"/>
            <w:vAlign w:val="bottom"/>
            <w:tcBorders>
              <w:right w:val="single" w:sz="8" w:color="auto"/>
            </w:tcBorders>
            <w:shd w:val="clear" w:color="auto" w:fill="F0FFFF"/>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320" w:type="dxa"/>
            <w:vAlign w:val="bottom"/>
            <w:shd w:val="clear" w:color="auto" w:fill="F0FFFF"/>
          </w:tcPr>
          <w:p>
            <w:pPr>
              <w:spacing w:after="0" w:line="20" w:lineRule="exact"/>
              <w:rPr>
                <w:sz w:val="1"/>
                <w:szCs w:val="1"/>
                <w:color w:val="auto"/>
              </w:rPr>
            </w:pPr>
          </w:p>
        </w:tc>
        <w:tc>
          <w:tcPr>
            <w:tcW w:w="66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2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520" w:type="dxa"/>
            <w:vAlign w:val="bottom"/>
            <w:tcBorders>
              <w:left w:val="single" w:sz="8" w:color="auto"/>
              <w:right w:val="single" w:sz="8" w:color="auto"/>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4320" w:type="dxa"/>
            <w:vAlign w:val="bottom"/>
            <w:tcBorders>
              <w:right w:val="single" w:sz="8" w:color="auto"/>
            </w:tcBorders>
            <w:gridSpan w:val="15"/>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and later withdraw the entire amount before the Term has ended, you could</w:t>
            </w:r>
          </w:p>
        </w:tc>
        <w:tc>
          <w:tcPr>
            <w:tcW w:w="60" w:type="dxa"/>
            <w:vAlign w:val="bottom"/>
            <w:shd w:val="clear" w:color="auto" w:fill="F0FFFF"/>
          </w:tcPr>
          <w:p>
            <w:pPr>
              <w:spacing w:after="0"/>
              <w:rPr>
                <w:sz w:val="12"/>
                <w:szCs w:val="12"/>
                <w:color w:val="auto"/>
              </w:rPr>
            </w:pPr>
          </w:p>
        </w:tc>
        <w:tc>
          <w:tcPr>
            <w:tcW w:w="32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2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2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560" w:type="dxa"/>
            <w:vAlign w:val="bottom"/>
            <w:tcBorders>
              <w:right w:val="single" w:sz="8" w:color="F0FFFF"/>
            </w:tcBorders>
            <w:shd w:val="clear" w:color="auto" w:fill="F0FFFF"/>
          </w:tcPr>
          <w:p>
            <w:pPr>
              <w:spacing w:after="0" w:line="20" w:lineRule="exact"/>
              <w:rPr>
                <w:sz w:val="1"/>
                <w:szCs w:val="1"/>
                <w:color w:val="auto"/>
              </w:rPr>
            </w:pPr>
          </w:p>
        </w:tc>
        <w:tc>
          <w:tcPr>
            <w:tcW w:w="48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60" w:type="dxa"/>
            <w:vAlign w:val="bottom"/>
            <w:tcBorders>
              <w:right w:val="single" w:sz="8" w:color="F0FFFF"/>
            </w:tcBorders>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50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320" w:type="dxa"/>
            <w:vAlign w:val="bottom"/>
            <w:shd w:val="clear" w:color="auto" w:fill="F0FFFF"/>
          </w:tcPr>
          <w:p>
            <w:pPr>
              <w:spacing w:after="0" w:line="20" w:lineRule="exact"/>
              <w:rPr>
                <w:sz w:val="1"/>
                <w:szCs w:val="1"/>
                <w:color w:val="auto"/>
              </w:rPr>
            </w:pPr>
          </w:p>
        </w:tc>
        <w:tc>
          <w:tcPr>
            <w:tcW w:w="66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2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520" w:type="dxa"/>
            <w:vAlign w:val="bottom"/>
            <w:tcBorders>
              <w:left w:val="single" w:sz="8" w:color="auto"/>
              <w:right w:val="single" w:sz="8" w:color="auto"/>
            </w:tcBorders>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4320" w:type="dxa"/>
            <w:vAlign w:val="bottom"/>
            <w:tcBorders>
              <w:right w:val="single" w:sz="8" w:color="auto"/>
            </w:tcBorders>
            <w:gridSpan w:val="15"/>
            <w:shd w:val="clear" w:color="auto" w:fill="F0FFFF"/>
          </w:tcPr>
          <w:p>
            <w:pPr>
              <w:spacing w:after="0"/>
              <w:rPr>
                <w:sz w:val="20"/>
                <w:szCs w:val="20"/>
                <w:color w:val="auto"/>
              </w:rPr>
            </w:pPr>
            <w:r>
              <w:rPr>
                <w:rFonts w:ascii="Times New Roman" w:cs="Times New Roman" w:eastAsia="Times New Roman" w:hAnsi="Times New Roman"/>
                <w:sz w:val="13"/>
                <w:szCs w:val="13"/>
                <w:color w:val="auto"/>
              </w:rPr>
              <w:t>lose up to $100,000 of your investment. This loss will be greater if you also</w:t>
            </w:r>
          </w:p>
        </w:tc>
        <w:tc>
          <w:tcPr>
            <w:tcW w:w="60" w:type="dxa"/>
            <w:vAlign w:val="bottom"/>
            <w:shd w:val="clear" w:color="auto" w:fill="F0FFFF"/>
          </w:tcPr>
          <w:p>
            <w:pPr>
              <w:spacing w:after="0"/>
              <w:rPr>
                <w:sz w:val="13"/>
                <w:szCs w:val="13"/>
                <w:color w:val="auto"/>
              </w:rPr>
            </w:pPr>
          </w:p>
        </w:tc>
        <w:tc>
          <w:tcPr>
            <w:tcW w:w="320" w:type="dxa"/>
            <w:vAlign w:val="bottom"/>
            <w:shd w:val="clear" w:color="auto" w:fill="F0FFFF"/>
          </w:tcPr>
          <w:p>
            <w:pPr>
              <w:spacing w:after="0"/>
              <w:rPr>
                <w:sz w:val="13"/>
                <w:szCs w:val="13"/>
                <w:color w:val="auto"/>
              </w:rPr>
            </w:pPr>
          </w:p>
        </w:tc>
        <w:tc>
          <w:tcPr>
            <w:tcW w:w="66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20" w:type="dxa"/>
            <w:vAlign w:val="bottom"/>
            <w:shd w:val="clear" w:color="auto" w:fill="F0FFFF"/>
          </w:tcPr>
          <w:p>
            <w:pPr>
              <w:spacing w:after="0"/>
              <w:rPr>
                <w:sz w:val="13"/>
                <w:szCs w:val="13"/>
                <w:color w:val="auto"/>
              </w:rPr>
            </w:pPr>
          </w:p>
        </w:tc>
        <w:tc>
          <w:tcPr>
            <w:tcW w:w="120" w:type="dxa"/>
            <w:vAlign w:val="bottom"/>
            <w:tcBorders>
              <w:right w:val="single" w:sz="8" w:color="auto"/>
            </w:tcBorders>
            <w:shd w:val="clear" w:color="auto" w:fill="F0FF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520" w:type="dxa"/>
            <w:vAlign w:val="bottom"/>
            <w:tcBorders>
              <w:left w:val="single" w:sz="8" w:color="auto"/>
              <w:right w:val="single" w:sz="8" w:color="auto"/>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4320" w:type="dxa"/>
            <w:vAlign w:val="bottom"/>
            <w:tcBorders>
              <w:right w:val="single" w:sz="8" w:color="auto"/>
            </w:tcBorders>
            <w:gridSpan w:val="15"/>
            <w:shd w:val="clear" w:color="auto" w:fill="F0FFFF"/>
          </w:tcPr>
          <w:p>
            <w:pPr>
              <w:spacing w:after="0" w:line="142" w:lineRule="exact"/>
              <w:rPr>
                <w:sz w:val="20"/>
                <w:szCs w:val="20"/>
                <w:color w:val="auto"/>
              </w:rPr>
            </w:pPr>
            <w:r>
              <w:rPr>
                <w:rFonts w:ascii="Times New Roman" w:cs="Times New Roman" w:eastAsia="Times New Roman" w:hAnsi="Times New Roman"/>
                <w:sz w:val="13"/>
                <w:szCs w:val="13"/>
                <w:color w:val="auto"/>
              </w:rPr>
              <w:t>have to pay a Withdrawal Charge, taxes, and tax penalties.</w:t>
            </w:r>
          </w:p>
        </w:tc>
        <w:tc>
          <w:tcPr>
            <w:tcW w:w="60" w:type="dxa"/>
            <w:vAlign w:val="bottom"/>
            <w:shd w:val="clear" w:color="auto" w:fill="F0FFFF"/>
          </w:tcPr>
          <w:p>
            <w:pPr>
              <w:spacing w:after="0"/>
              <w:rPr>
                <w:sz w:val="12"/>
                <w:szCs w:val="12"/>
                <w:color w:val="auto"/>
              </w:rPr>
            </w:pPr>
          </w:p>
        </w:tc>
        <w:tc>
          <w:tcPr>
            <w:tcW w:w="32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2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2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560" w:type="dxa"/>
            <w:vAlign w:val="bottom"/>
            <w:tcBorders>
              <w:right w:val="single" w:sz="8" w:color="F0FFFF"/>
            </w:tcBorders>
            <w:shd w:val="clear" w:color="auto" w:fill="F0FFFF"/>
          </w:tcPr>
          <w:p>
            <w:pPr>
              <w:spacing w:after="0" w:line="20" w:lineRule="exact"/>
              <w:rPr>
                <w:sz w:val="1"/>
                <w:szCs w:val="1"/>
                <w:color w:val="auto"/>
              </w:rPr>
            </w:pPr>
          </w:p>
        </w:tc>
        <w:tc>
          <w:tcPr>
            <w:tcW w:w="480" w:type="dxa"/>
            <w:vAlign w:val="bottom"/>
            <w:tcBorders>
              <w:right w:val="single" w:sz="8" w:color="auto"/>
            </w:tcBorders>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60" w:type="dxa"/>
            <w:vAlign w:val="bottom"/>
            <w:tcBorders>
              <w:right w:val="single" w:sz="8" w:color="F0FFFF"/>
            </w:tcBorders>
            <w:shd w:val="clear" w:color="auto" w:fill="F0FFFF"/>
          </w:tcPr>
          <w:p>
            <w:pPr>
              <w:spacing w:after="0" w:line="20" w:lineRule="exact"/>
              <w:rPr>
                <w:sz w:val="1"/>
                <w:szCs w:val="1"/>
                <w:color w:val="auto"/>
              </w:rPr>
            </w:pPr>
          </w:p>
        </w:tc>
        <w:tc>
          <w:tcPr>
            <w:tcW w:w="500" w:type="dxa"/>
            <w:vAlign w:val="bottom"/>
            <w:tcBorders>
              <w:right w:val="single" w:sz="8" w:color="F0FFFF"/>
            </w:tcBorders>
            <w:gridSpan w:val="2"/>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50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320" w:type="dxa"/>
            <w:vAlign w:val="bottom"/>
            <w:shd w:val="clear" w:color="auto" w:fill="F0FFFF"/>
          </w:tcPr>
          <w:p>
            <w:pPr>
              <w:spacing w:after="0" w:line="20" w:lineRule="exact"/>
              <w:rPr>
                <w:sz w:val="1"/>
                <w:szCs w:val="1"/>
                <w:color w:val="auto"/>
              </w:rPr>
            </w:pPr>
          </w:p>
        </w:tc>
        <w:tc>
          <w:tcPr>
            <w:tcW w:w="66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2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520" w:type="dxa"/>
            <w:vAlign w:val="bottom"/>
            <w:tcBorders>
              <w:left w:val="single" w:sz="8" w:color="auto"/>
              <w:right w:val="single" w:sz="8" w:color="auto"/>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4320" w:type="dxa"/>
            <w:vAlign w:val="bottom"/>
            <w:tcBorders>
              <w:right w:val="single" w:sz="8" w:color="auto"/>
            </w:tcBorders>
            <w:gridSpan w:val="15"/>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Between the Term Start Date and the Term End Date, we use the Interim Value</w:t>
            </w:r>
          </w:p>
        </w:tc>
        <w:tc>
          <w:tcPr>
            <w:tcW w:w="60" w:type="dxa"/>
            <w:vAlign w:val="bottom"/>
            <w:shd w:val="clear" w:color="auto" w:fill="F0FFFF"/>
          </w:tcPr>
          <w:p>
            <w:pPr>
              <w:spacing w:after="0"/>
              <w:rPr>
                <w:sz w:val="12"/>
                <w:szCs w:val="12"/>
                <w:color w:val="auto"/>
              </w:rPr>
            </w:pPr>
          </w:p>
        </w:tc>
        <w:tc>
          <w:tcPr>
            <w:tcW w:w="32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2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2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560" w:type="dxa"/>
            <w:vAlign w:val="bottom"/>
            <w:tcBorders>
              <w:right w:val="single" w:sz="8" w:color="F0FFFF"/>
            </w:tcBorders>
            <w:shd w:val="clear" w:color="auto" w:fill="F0FFFF"/>
          </w:tcPr>
          <w:p>
            <w:pPr>
              <w:spacing w:after="0" w:line="20" w:lineRule="exact"/>
              <w:rPr>
                <w:sz w:val="1"/>
                <w:szCs w:val="1"/>
                <w:color w:val="auto"/>
              </w:rPr>
            </w:pPr>
          </w:p>
        </w:tc>
        <w:tc>
          <w:tcPr>
            <w:tcW w:w="480" w:type="dxa"/>
            <w:vAlign w:val="bottom"/>
            <w:tcBorders>
              <w:right w:val="single" w:sz="8" w:color="auto"/>
            </w:tcBorders>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320" w:type="dxa"/>
            <w:vAlign w:val="bottom"/>
            <w:tcBorders>
              <w:right w:val="single" w:sz="8" w:color="auto"/>
            </w:tcBorders>
            <w:shd w:val="clear" w:color="auto" w:fill="F0FFFF"/>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500" w:type="dxa"/>
            <w:vAlign w:val="bottom"/>
            <w:tcBorders>
              <w:left w:val="single" w:sz="8" w:color="F0FFFF"/>
              <w:right w:val="single" w:sz="8" w:color="auto"/>
            </w:tcBorders>
            <w:shd w:val="clear" w:color="auto" w:fill="F0FFFF"/>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320" w:type="dxa"/>
            <w:vAlign w:val="bottom"/>
            <w:shd w:val="clear" w:color="auto" w:fill="F0FFFF"/>
          </w:tcPr>
          <w:p>
            <w:pPr>
              <w:spacing w:after="0" w:line="20" w:lineRule="exact"/>
              <w:rPr>
                <w:sz w:val="1"/>
                <w:szCs w:val="1"/>
                <w:color w:val="auto"/>
              </w:rPr>
            </w:pPr>
          </w:p>
        </w:tc>
        <w:tc>
          <w:tcPr>
            <w:tcW w:w="66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2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520" w:type="dxa"/>
            <w:vAlign w:val="bottom"/>
            <w:tcBorders>
              <w:left w:val="single" w:sz="8" w:color="auto"/>
              <w:right w:val="single" w:sz="8" w:color="auto"/>
            </w:tcBorders>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4320" w:type="dxa"/>
            <w:vAlign w:val="bottom"/>
            <w:tcBorders>
              <w:right w:val="single" w:sz="8" w:color="auto"/>
            </w:tcBorders>
            <w:gridSpan w:val="15"/>
            <w:shd w:val="clear" w:color="auto" w:fill="F0FFFF"/>
          </w:tcPr>
          <w:p>
            <w:pPr>
              <w:spacing w:after="0"/>
              <w:rPr>
                <w:sz w:val="20"/>
                <w:szCs w:val="20"/>
                <w:color w:val="auto"/>
              </w:rPr>
            </w:pPr>
            <w:r>
              <w:rPr>
                <w:rFonts w:ascii="Times New Roman" w:cs="Times New Roman" w:eastAsia="Times New Roman" w:hAnsi="Times New Roman"/>
                <w:sz w:val="13"/>
                <w:szCs w:val="13"/>
                <w:color w:val="auto"/>
              </w:rPr>
              <w:t>to calculate the amount that is available for (1) annuitization; (2) death</w:t>
            </w:r>
          </w:p>
        </w:tc>
        <w:tc>
          <w:tcPr>
            <w:tcW w:w="60" w:type="dxa"/>
            <w:vAlign w:val="bottom"/>
            <w:shd w:val="clear" w:color="auto" w:fill="F0FFFF"/>
          </w:tcPr>
          <w:p>
            <w:pPr>
              <w:spacing w:after="0"/>
              <w:rPr>
                <w:sz w:val="13"/>
                <w:szCs w:val="13"/>
                <w:color w:val="auto"/>
              </w:rPr>
            </w:pPr>
          </w:p>
        </w:tc>
        <w:tc>
          <w:tcPr>
            <w:tcW w:w="320" w:type="dxa"/>
            <w:vAlign w:val="bottom"/>
            <w:shd w:val="clear" w:color="auto" w:fill="F0FFFF"/>
          </w:tcPr>
          <w:p>
            <w:pPr>
              <w:spacing w:after="0"/>
              <w:rPr>
                <w:sz w:val="13"/>
                <w:szCs w:val="13"/>
                <w:color w:val="auto"/>
              </w:rPr>
            </w:pPr>
          </w:p>
        </w:tc>
        <w:tc>
          <w:tcPr>
            <w:tcW w:w="66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20" w:type="dxa"/>
            <w:vAlign w:val="bottom"/>
            <w:shd w:val="clear" w:color="auto" w:fill="F0FFFF"/>
          </w:tcPr>
          <w:p>
            <w:pPr>
              <w:spacing w:after="0"/>
              <w:rPr>
                <w:sz w:val="13"/>
                <w:szCs w:val="13"/>
                <w:color w:val="auto"/>
              </w:rPr>
            </w:pPr>
          </w:p>
        </w:tc>
        <w:tc>
          <w:tcPr>
            <w:tcW w:w="120" w:type="dxa"/>
            <w:vAlign w:val="bottom"/>
            <w:tcBorders>
              <w:right w:val="single" w:sz="8" w:color="auto"/>
            </w:tcBorders>
            <w:shd w:val="clear" w:color="auto" w:fill="F0FF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520" w:type="dxa"/>
            <w:vAlign w:val="bottom"/>
            <w:tcBorders>
              <w:left w:val="single" w:sz="8" w:color="auto"/>
              <w:right w:val="single" w:sz="8" w:color="auto"/>
            </w:tcBorders>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4320" w:type="dxa"/>
            <w:vAlign w:val="bottom"/>
            <w:tcBorders>
              <w:right w:val="single" w:sz="8" w:color="auto"/>
            </w:tcBorders>
            <w:gridSpan w:val="15"/>
            <w:shd w:val="clear" w:color="auto" w:fill="F0FFFF"/>
          </w:tcPr>
          <w:p>
            <w:pPr>
              <w:spacing w:after="0"/>
              <w:rPr>
                <w:sz w:val="20"/>
                <w:szCs w:val="20"/>
                <w:color w:val="auto"/>
              </w:rPr>
            </w:pPr>
            <w:r>
              <w:rPr>
                <w:rFonts w:ascii="Times New Roman" w:cs="Times New Roman" w:eastAsia="Times New Roman" w:hAnsi="Times New Roman"/>
                <w:sz w:val="13"/>
                <w:szCs w:val="13"/>
                <w:color w:val="auto"/>
              </w:rPr>
              <w:t>benefits; (3) withdrawals (including RMDs and systematic withdrawals); (4)</w:t>
            </w:r>
          </w:p>
        </w:tc>
        <w:tc>
          <w:tcPr>
            <w:tcW w:w="60" w:type="dxa"/>
            <w:vAlign w:val="bottom"/>
            <w:shd w:val="clear" w:color="auto" w:fill="F0FFFF"/>
          </w:tcPr>
          <w:p>
            <w:pPr>
              <w:spacing w:after="0"/>
              <w:rPr>
                <w:sz w:val="13"/>
                <w:szCs w:val="13"/>
                <w:color w:val="auto"/>
              </w:rPr>
            </w:pPr>
          </w:p>
        </w:tc>
        <w:tc>
          <w:tcPr>
            <w:tcW w:w="320" w:type="dxa"/>
            <w:vAlign w:val="bottom"/>
            <w:shd w:val="clear" w:color="auto" w:fill="F0FFFF"/>
          </w:tcPr>
          <w:p>
            <w:pPr>
              <w:spacing w:after="0"/>
              <w:rPr>
                <w:sz w:val="13"/>
                <w:szCs w:val="13"/>
                <w:color w:val="auto"/>
              </w:rPr>
            </w:pPr>
          </w:p>
        </w:tc>
        <w:tc>
          <w:tcPr>
            <w:tcW w:w="66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20" w:type="dxa"/>
            <w:vAlign w:val="bottom"/>
            <w:shd w:val="clear" w:color="auto" w:fill="F0FFFF"/>
          </w:tcPr>
          <w:p>
            <w:pPr>
              <w:spacing w:after="0"/>
              <w:rPr>
                <w:sz w:val="13"/>
                <w:szCs w:val="13"/>
                <w:color w:val="auto"/>
              </w:rPr>
            </w:pPr>
          </w:p>
        </w:tc>
        <w:tc>
          <w:tcPr>
            <w:tcW w:w="120" w:type="dxa"/>
            <w:vAlign w:val="bottom"/>
            <w:tcBorders>
              <w:right w:val="single" w:sz="8" w:color="auto"/>
            </w:tcBorders>
            <w:shd w:val="clear" w:color="auto" w:fill="F0FF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520" w:type="dxa"/>
            <w:vAlign w:val="bottom"/>
            <w:tcBorders>
              <w:left w:val="single" w:sz="8" w:color="auto"/>
              <w:right w:val="single" w:sz="8" w:color="auto"/>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4320" w:type="dxa"/>
            <w:vAlign w:val="bottom"/>
            <w:tcBorders>
              <w:right w:val="single" w:sz="8" w:color="auto"/>
            </w:tcBorders>
            <w:gridSpan w:val="15"/>
            <w:shd w:val="clear" w:color="auto" w:fill="F0FFFF"/>
          </w:tcPr>
          <w:p>
            <w:pPr>
              <w:spacing w:after="0" w:line="142" w:lineRule="exact"/>
              <w:rPr>
                <w:sz w:val="20"/>
                <w:szCs w:val="20"/>
                <w:color w:val="auto"/>
              </w:rPr>
            </w:pPr>
            <w:r>
              <w:rPr>
                <w:rFonts w:ascii="Times New Roman" w:cs="Times New Roman" w:eastAsia="Times New Roman" w:hAnsi="Times New Roman"/>
                <w:sz w:val="13"/>
                <w:szCs w:val="13"/>
                <w:color w:val="auto"/>
              </w:rPr>
              <w:t>Surrenders; and (5) Performance Lock.</w:t>
            </w:r>
          </w:p>
        </w:tc>
        <w:tc>
          <w:tcPr>
            <w:tcW w:w="60" w:type="dxa"/>
            <w:vAlign w:val="bottom"/>
            <w:shd w:val="clear" w:color="auto" w:fill="F0FFFF"/>
          </w:tcPr>
          <w:p>
            <w:pPr>
              <w:spacing w:after="0"/>
              <w:rPr>
                <w:sz w:val="12"/>
                <w:szCs w:val="12"/>
                <w:color w:val="auto"/>
              </w:rPr>
            </w:pPr>
          </w:p>
        </w:tc>
        <w:tc>
          <w:tcPr>
            <w:tcW w:w="32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2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1520" w:type="dxa"/>
            <w:vAlign w:val="bottom"/>
            <w:tcBorders>
              <w:top w:val="single" w:sz="8" w:color="F0FFFF"/>
              <w:left w:val="single" w:sz="8" w:color="auto"/>
              <w:bottom w:val="single" w:sz="8" w:color="auto"/>
              <w:right w:val="single" w:sz="8" w:color="auto"/>
            </w:tcBorders>
            <w:shd w:val="clear" w:color="auto" w:fill="F0FFFF"/>
          </w:tcPr>
          <w:p>
            <w:pPr>
              <w:spacing w:after="0"/>
              <w:rPr>
                <w:sz w:val="22"/>
                <w:szCs w:val="22"/>
                <w:color w:val="auto"/>
              </w:rPr>
            </w:pPr>
          </w:p>
        </w:tc>
        <w:tc>
          <w:tcPr>
            <w:tcW w:w="80" w:type="dxa"/>
            <w:vAlign w:val="bottom"/>
            <w:tcBorders>
              <w:top w:val="single" w:sz="8" w:color="F0FFFF"/>
              <w:bottom w:val="single" w:sz="8" w:color="auto"/>
            </w:tcBorders>
            <w:shd w:val="clear" w:color="auto" w:fill="F0FFFF"/>
          </w:tcPr>
          <w:p>
            <w:pPr>
              <w:spacing w:after="0"/>
              <w:rPr>
                <w:sz w:val="22"/>
                <w:szCs w:val="22"/>
                <w:color w:val="auto"/>
              </w:rPr>
            </w:pPr>
          </w:p>
        </w:tc>
        <w:tc>
          <w:tcPr>
            <w:tcW w:w="560" w:type="dxa"/>
            <w:vAlign w:val="bottom"/>
            <w:tcBorders>
              <w:top w:val="single" w:sz="8" w:color="auto"/>
              <w:bottom w:val="single" w:sz="8" w:color="auto"/>
              <w:right w:val="single" w:sz="8" w:color="F0FFFF"/>
            </w:tcBorders>
            <w:shd w:val="clear" w:color="auto" w:fill="F0FFFF"/>
          </w:tcPr>
          <w:p>
            <w:pPr>
              <w:spacing w:after="0"/>
              <w:rPr>
                <w:sz w:val="22"/>
                <w:szCs w:val="22"/>
                <w:color w:val="auto"/>
              </w:rPr>
            </w:pPr>
          </w:p>
        </w:tc>
        <w:tc>
          <w:tcPr>
            <w:tcW w:w="480" w:type="dxa"/>
            <w:vAlign w:val="bottom"/>
            <w:tcBorders>
              <w:top w:val="single" w:sz="8" w:color="F0FFFF"/>
              <w:bottom w:val="single" w:sz="8" w:color="auto"/>
              <w:right w:val="single" w:sz="8" w:color="F0FFFF"/>
            </w:tcBorders>
            <w:shd w:val="clear" w:color="auto" w:fill="F0FFFF"/>
          </w:tcPr>
          <w:p>
            <w:pPr>
              <w:spacing w:after="0"/>
              <w:rPr>
                <w:sz w:val="22"/>
                <w:szCs w:val="22"/>
                <w:color w:val="auto"/>
              </w:rPr>
            </w:pPr>
          </w:p>
        </w:tc>
        <w:tc>
          <w:tcPr>
            <w:tcW w:w="220" w:type="dxa"/>
            <w:vAlign w:val="bottom"/>
            <w:tcBorders>
              <w:top w:val="single" w:sz="8" w:color="auto"/>
              <w:bottom w:val="single" w:sz="8" w:color="auto"/>
              <w:right w:val="single" w:sz="8" w:color="F0FFFF"/>
            </w:tcBorders>
            <w:shd w:val="clear" w:color="auto" w:fill="F0FFFF"/>
          </w:tcPr>
          <w:p>
            <w:pPr>
              <w:spacing w:after="0"/>
              <w:rPr>
                <w:sz w:val="22"/>
                <w:szCs w:val="22"/>
                <w:color w:val="auto"/>
              </w:rPr>
            </w:pPr>
          </w:p>
        </w:tc>
        <w:tc>
          <w:tcPr>
            <w:tcW w:w="80" w:type="dxa"/>
            <w:vAlign w:val="bottom"/>
            <w:tcBorders>
              <w:top w:val="single" w:sz="8" w:color="auto"/>
              <w:bottom w:val="single" w:sz="8" w:color="auto"/>
            </w:tcBorders>
            <w:shd w:val="clear" w:color="auto" w:fill="F0FFFF"/>
          </w:tcPr>
          <w:p>
            <w:pPr>
              <w:spacing w:after="0"/>
              <w:rPr>
                <w:sz w:val="22"/>
                <w:szCs w:val="22"/>
                <w:color w:val="auto"/>
              </w:rPr>
            </w:pPr>
          </w:p>
        </w:tc>
        <w:tc>
          <w:tcPr>
            <w:tcW w:w="280" w:type="dxa"/>
            <w:vAlign w:val="bottom"/>
            <w:tcBorders>
              <w:top w:val="single" w:sz="8" w:color="auto"/>
              <w:bottom w:val="single" w:sz="8" w:color="auto"/>
              <w:right w:val="single" w:sz="8" w:color="F0FFFF"/>
            </w:tcBorders>
            <w:shd w:val="clear" w:color="auto" w:fill="F0FFFF"/>
          </w:tcPr>
          <w:p>
            <w:pPr>
              <w:spacing w:after="0"/>
              <w:rPr>
                <w:sz w:val="22"/>
                <w:szCs w:val="22"/>
                <w:color w:val="auto"/>
              </w:rPr>
            </w:pPr>
          </w:p>
        </w:tc>
        <w:tc>
          <w:tcPr>
            <w:tcW w:w="160" w:type="dxa"/>
            <w:vAlign w:val="bottom"/>
            <w:tcBorders>
              <w:top w:val="single" w:sz="8" w:color="auto"/>
              <w:bottom w:val="single" w:sz="8" w:color="auto"/>
              <w:right w:val="single" w:sz="8" w:color="F0FFFF"/>
            </w:tcBorders>
            <w:shd w:val="clear" w:color="auto" w:fill="F0FFFF"/>
          </w:tcPr>
          <w:p>
            <w:pPr>
              <w:spacing w:after="0"/>
              <w:rPr>
                <w:sz w:val="22"/>
                <w:szCs w:val="22"/>
                <w:color w:val="auto"/>
              </w:rPr>
            </w:pPr>
          </w:p>
        </w:tc>
        <w:tc>
          <w:tcPr>
            <w:tcW w:w="320" w:type="dxa"/>
            <w:vAlign w:val="bottom"/>
            <w:tcBorders>
              <w:top w:val="single" w:sz="8" w:color="auto"/>
              <w:bottom w:val="single" w:sz="8" w:color="auto"/>
              <w:right w:val="single" w:sz="8" w:color="F0FFFF"/>
            </w:tcBorders>
            <w:shd w:val="clear" w:color="auto" w:fill="F0FFFF"/>
          </w:tcPr>
          <w:p>
            <w:pPr>
              <w:spacing w:after="0"/>
              <w:rPr>
                <w:sz w:val="22"/>
                <w:szCs w:val="22"/>
                <w:color w:val="auto"/>
              </w:rPr>
            </w:pPr>
          </w:p>
        </w:tc>
        <w:tc>
          <w:tcPr>
            <w:tcW w:w="260" w:type="dxa"/>
            <w:vAlign w:val="bottom"/>
            <w:tcBorders>
              <w:top w:val="single" w:sz="8" w:color="F0FFFF"/>
              <w:bottom w:val="single" w:sz="8" w:color="auto"/>
              <w:right w:val="single" w:sz="8" w:color="F0FFFF"/>
            </w:tcBorders>
            <w:shd w:val="clear" w:color="auto" w:fill="F0FFFF"/>
          </w:tcPr>
          <w:p>
            <w:pPr>
              <w:spacing w:after="0"/>
              <w:rPr>
                <w:sz w:val="22"/>
                <w:szCs w:val="22"/>
                <w:color w:val="auto"/>
              </w:rPr>
            </w:pPr>
          </w:p>
        </w:tc>
        <w:tc>
          <w:tcPr>
            <w:tcW w:w="180" w:type="dxa"/>
            <w:vAlign w:val="bottom"/>
            <w:tcBorders>
              <w:top w:val="single" w:sz="8" w:color="F0FFFF"/>
              <w:bottom w:val="single" w:sz="8" w:color="auto"/>
            </w:tcBorders>
            <w:shd w:val="clear" w:color="auto" w:fill="F0FFFF"/>
          </w:tcPr>
          <w:p>
            <w:pPr>
              <w:spacing w:after="0"/>
              <w:rPr>
                <w:sz w:val="22"/>
                <w:szCs w:val="22"/>
                <w:color w:val="auto"/>
              </w:rPr>
            </w:pPr>
          </w:p>
        </w:tc>
        <w:tc>
          <w:tcPr>
            <w:tcW w:w="320" w:type="dxa"/>
            <w:vAlign w:val="bottom"/>
            <w:tcBorders>
              <w:top w:val="single" w:sz="8" w:color="F0FFFF"/>
              <w:bottom w:val="single" w:sz="8" w:color="auto"/>
              <w:right w:val="single" w:sz="8" w:color="F0FFFF"/>
            </w:tcBorders>
            <w:shd w:val="clear" w:color="auto" w:fill="F0FFFF"/>
          </w:tcPr>
          <w:p>
            <w:pPr>
              <w:spacing w:after="0"/>
              <w:rPr>
                <w:sz w:val="22"/>
                <w:szCs w:val="22"/>
                <w:color w:val="auto"/>
              </w:rPr>
            </w:pPr>
          </w:p>
        </w:tc>
        <w:tc>
          <w:tcPr>
            <w:tcW w:w="220" w:type="dxa"/>
            <w:vAlign w:val="bottom"/>
            <w:tcBorders>
              <w:top w:val="single" w:sz="8" w:color="F0FFFF"/>
              <w:bottom w:val="single" w:sz="8" w:color="auto"/>
              <w:right w:val="single" w:sz="8" w:color="F0FFFF"/>
            </w:tcBorders>
            <w:shd w:val="clear" w:color="auto" w:fill="F0FFFF"/>
          </w:tcPr>
          <w:p>
            <w:pPr>
              <w:spacing w:after="0"/>
              <w:rPr>
                <w:sz w:val="22"/>
                <w:szCs w:val="22"/>
                <w:color w:val="auto"/>
              </w:rPr>
            </w:pPr>
          </w:p>
        </w:tc>
        <w:tc>
          <w:tcPr>
            <w:tcW w:w="500" w:type="dxa"/>
            <w:vAlign w:val="bottom"/>
            <w:tcBorders>
              <w:top w:val="single" w:sz="8" w:color="F0FFFF"/>
              <w:left w:val="single" w:sz="8" w:color="F0FFFF"/>
              <w:bottom w:val="single" w:sz="8" w:color="auto"/>
              <w:right w:val="single" w:sz="8" w:color="F0FFFF"/>
            </w:tcBorders>
            <w:shd w:val="clear" w:color="auto" w:fill="F0FFFF"/>
          </w:tcPr>
          <w:p>
            <w:pPr>
              <w:spacing w:after="0"/>
              <w:rPr>
                <w:sz w:val="22"/>
                <w:szCs w:val="22"/>
                <w:color w:val="auto"/>
              </w:rPr>
            </w:pPr>
          </w:p>
        </w:tc>
        <w:tc>
          <w:tcPr>
            <w:tcW w:w="300" w:type="dxa"/>
            <w:vAlign w:val="bottom"/>
            <w:tcBorders>
              <w:top w:val="single" w:sz="8" w:color="F0FFFF"/>
              <w:bottom w:val="single" w:sz="8" w:color="auto"/>
              <w:right w:val="single" w:sz="8" w:color="F0FFFF"/>
            </w:tcBorders>
            <w:shd w:val="clear" w:color="auto" w:fill="F0FFFF"/>
          </w:tcPr>
          <w:p>
            <w:pPr>
              <w:spacing w:after="0"/>
              <w:rPr>
                <w:sz w:val="22"/>
                <w:szCs w:val="22"/>
                <w:color w:val="auto"/>
              </w:rPr>
            </w:pPr>
          </w:p>
        </w:tc>
        <w:tc>
          <w:tcPr>
            <w:tcW w:w="300" w:type="dxa"/>
            <w:vAlign w:val="bottom"/>
            <w:tcBorders>
              <w:top w:val="single" w:sz="8" w:color="F0FFFF"/>
              <w:bottom w:val="single" w:sz="8" w:color="auto"/>
              <w:right w:val="single" w:sz="8" w:color="F0FFFF"/>
            </w:tcBorders>
            <w:shd w:val="clear" w:color="auto" w:fill="F0FFFF"/>
          </w:tcPr>
          <w:p>
            <w:pPr>
              <w:spacing w:after="0"/>
              <w:rPr>
                <w:sz w:val="22"/>
                <w:szCs w:val="22"/>
                <w:color w:val="auto"/>
              </w:rPr>
            </w:pPr>
          </w:p>
        </w:tc>
        <w:tc>
          <w:tcPr>
            <w:tcW w:w="140" w:type="dxa"/>
            <w:vAlign w:val="bottom"/>
            <w:tcBorders>
              <w:top w:val="single" w:sz="8" w:color="F0FFFF"/>
              <w:bottom w:val="single" w:sz="8" w:color="auto"/>
              <w:right w:val="single" w:sz="8" w:color="auto"/>
            </w:tcBorders>
            <w:shd w:val="clear" w:color="auto" w:fill="F0FFFF"/>
          </w:tcPr>
          <w:p>
            <w:pPr>
              <w:spacing w:after="0"/>
              <w:rPr>
                <w:sz w:val="22"/>
                <w:szCs w:val="22"/>
                <w:color w:val="auto"/>
              </w:rPr>
            </w:pPr>
          </w:p>
        </w:tc>
        <w:tc>
          <w:tcPr>
            <w:tcW w:w="60" w:type="dxa"/>
            <w:vAlign w:val="bottom"/>
            <w:tcBorders>
              <w:top w:val="single" w:sz="8" w:color="F0FFFF"/>
              <w:bottom w:val="single" w:sz="8" w:color="auto"/>
            </w:tcBorders>
            <w:shd w:val="clear" w:color="auto" w:fill="F0FFFF"/>
          </w:tcPr>
          <w:p>
            <w:pPr>
              <w:spacing w:after="0"/>
              <w:rPr>
                <w:sz w:val="22"/>
                <w:szCs w:val="22"/>
                <w:color w:val="auto"/>
              </w:rPr>
            </w:pPr>
          </w:p>
        </w:tc>
        <w:tc>
          <w:tcPr>
            <w:tcW w:w="320" w:type="dxa"/>
            <w:vAlign w:val="bottom"/>
            <w:tcBorders>
              <w:top w:val="single" w:sz="8" w:color="F0FFFF"/>
              <w:bottom w:val="single" w:sz="8" w:color="auto"/>
            </w:tcBorders>
            <w:shd w:val="clear" w:color="auto" w:fill="F0FFFF"/>
          </w:tcPr>
          <w:p>
            <w:pPr>
              <w:spacing w:after="0"/>
              <w:rPr>
                <w:sz w:val="22"/>
                <w:szCs w:val="22"/>
                <w:color w:val="auto"/>
              </w:rPr>
            </w:pPr>
          </w:p>
        </w:tc>
        <w:tc>
          <w:tcPr>
            <w:tcW w:w="660" w:type="dxa"/>
            <w:vAlign w:val="bottom"/>
            <w:tcBorders>
              <w:top w:val="single" w:sz="8" w:color="F0FFFF"/>
              <w:bottom w:val="single" w:sz="8" w:color="auto"/>
            </w:tcBorders>
            <w:shd w:val="clear" w:color="auto" w:fill="F0FFFF"/>
          </w:tcPr>
          <w:p>
            <w:pPr>
              <w:spacing w:after="0"/>
              <w:rPr>
                <w:sz w:val="22"/>
                <w:szCs w:val="22"/>
                <w:color w:val="auto"/>
              </w:rPr>
            </w:pPr>
          </w:p>
        </w:tc>
        <w:tc>
          <w:tcPr>
            <w:tcW w:w="100" w:type="dxa"/>
            <w:vAlign w:val="bottom"/>
            <w:tcBorders>
              <w:top w:val="single" w:sz="8" w:color="F0FFFF"/>
              <w:bottom w:val="single" w:sz="8" w:color="auto"/>
            </w:tcBorders>
            <w:shd w:val="clear" w:color="auto" w:fill="F0FFFF"/>
          </w:tcPr>
          <w:p>
            <w:pPr>
              <w:spacing w:after="0"/>
              <w:rPr>
                <w:sz w:val="22"/>
                <w:szCs w:val="22"/>
                <w:color w:val="auto"/>
              </w:rPr>
            </w:pPr>
          </w:p>
        </w:tc>
        <w:tc>
          <w:tcPr>
            <w:tcW w:w="20" w:type="dxa"/>
            <w:vAlign w:val="bottom"/>
            <w:tcBorders>
              <w:top w:val="single" w:sz="8" w:color="F0FFFF"/>
              <w:bottom w:val="single" w:sz="8" w:color="auto"/>
            </w:tcBorders>
            <w:shd w:val="clear" w:color="auto" w:fill="F0FFFF"/>
          </w:tcPr>
          <w:p>
            <w:pPr>
              <w:spacing w:after="0"/>
              <w:rPr>
                <w:sz w:val="22"/>
                <w:szCs w:val="22"/>
                <w:color w:val="auto"/>
              </w:rPr>
            </w:pPr>
          </w:p>
        </w:tc>
        <w:tc>
          <w:tcPr>
            <w:tcW w:w="120" w:type="dxa"/>
            <w:vAlign w:val="bottom"/>
            <w:tcBorders>
              <w:top w:val="single" w:sz="8" w:color="F0FFFF"/>
              <w:bottom w:val="single" w:sz="8" w:color="auto"/>
              <w:right w:val="single" w:sz="8" w:color="auto"/>
            </w:tcBorders>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1520" w:type="dxa"/>
            <w:vAlign w:val="bottom"/>
            <w:tcBorders>
              <w:left w:val="single" w:sz="8" w:color="auto"/>
              <w:right w:val="single" w:sz="8" w:color="auto"/>
            </w:tcBorders>
          </w:tcPr>
          <w:p>
            <w:pPr>
              <w:ind w:left="40"/>
              <w:spacing w:after="0" w:line="139" w:lineRule="exact"/>
              <w:rPr>
                <w:sz w:val="20"/>
                <w:szCs w:val="20"/>
                <w:color w:val="auto"/>
              </w:rPr>
            </w:pPr>
            <w:r>
              <w:rPr>
                <w:rFonts w:ascii="Times New Roman" w:cs="Times New Roman" w:eastAsia="Times New Roman" w:hAnsi="Times New Roman"/>
                <w:sz w:val="13"/>
                <w:szCs w:val="13"/>
                <w:b w:val="1"/>
                <w:bCs w:val="1"/>
                <w:color w:val="auto"/>
              </w:rPr>
              <w:t>Are There Transaction</w:t>
            </w:r>
          </w:p>
        </w:tc>
        <w:tc>
          <w:tcPr>
            <w:tcW w:w="80" w:type="dxa"/>
            <w:vAlign w:val="bottom"/>
          </w:tcPr>
          <w:p>
            <w:pPr>
              <w:spacing w:after="0"/>
              <w:rPr>
                <w:sz w:val="12"/>
                <w:szCs w:val="12"/>
                <w:color w:val="auto"/>
              </w:rPr>
            </w:pPr>
          </w:p>
        </w:tc>
        <w:tc>
          <w:tcPr>
            <w:tcW w:w="4320" w:type="dxa"/>
            <w:vAlign w:val="bottom"/>
            <w:tcBorders>
              <w:right w:val="single" w:sz="8" w:color="auto"/>
            </w:tcBorders>
            <w:gridSpan w:val="15"/>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 xml:space="preserve">No. </w:t>
            </w:r>
            <w:r>
              <w:rPr>
                <w:rFonts w:ascii="Times New Roman" w:cs="Times New Roman" w:eastAsia="Times New Roman" w:hAnsi="Times New Roman"/>
                <w:sz w:val="13"/>
                <w:szCs w:val="13"/>
                <w:color w:val="auto"/>
              </w:rPr>
              <w:t>Other than the Withdrawal Charges and Interim Value calculation, you will</w:t>
            </w:r>
          </w:p>
        </w:tc>
        <w:tc>
          <w:tcPr>
            <w:tcW w:w="60" w:type="dxa"/>
            <w:vAlign w:val="bottom"/>
          </w:tcPr>
          <w:p>
            <w:pPr>
              <w:spacing w:after="0"/>
              <w:rPr>
                <w:sz w:val="12"/>
                <w:szCs w:val="12"/>
                <w:color w:val="auto"/>
              </w:rPr>
            </w:pPr>
          </w:p>
        </w:tc>
        <w:tc>
          <w:tcPr>
            <w:tcW w:w="1220" w:type="dxa"/>
            <w:vAlign w:val="bottom"/>
            <w:tcBorders>
              <w:right w:val="single" w:sz="8" w:color="auto"/>
            </w:tcBorders>
            <w:gridSpan w:val="5"/>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FEE TABLE</w:t>
            </w:r>
          </w:p>
        </w:tc>
        <w:tc>
          <w:tcPr>
            <w:tcW w:w="0" w:type="dxa"/>
            <w:vAlign w:val="bottom"/>
          </w:tcPr>
          <w:p>
            <w:pPr>
              <w:spacing w:after="0"/>
              <w:rPr>
                <w:sz w:val="1"/>
                <w:szCs w:val="1"/>
                <w:color w:val="auto"/>
              </w:rPr>
            </w:pPr>
          </w:p>
        </w:tc>
      </w:tr>
      <w:tr>
        <w:trPr>
          <w:trHeight w:val="20"/>
        </w:trPr>
        <w:tc>
          <w:tcPr>
            <w:tcW w:w="15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Charges?</w:t>
            </w: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Borders>
              <w:right w:val="single" w:sz="8" w:color="auto"/>
            </w:tcBorders>
            <w:gridSpan w:val="5"/>
            <w:vMerge w:val="restart"/>
          </w:tcPr>
          <w:p>
            <w:pPr>
              <w:spacing w:after="0"/>
              <w:rPr>
                <w:sz w:val="20"/>
                <w:szCs w:val="20"/>
                <w:color w:val="auto"/>
              </w:rPr>
            </w:pPr>
            <w:r>
              <w:rPr>
                <w:rFonts w:ascii="Times New Roman" w:cs="Times New Roman" w:eastAsia="Times New Roman" w:hAnsi="Times New Roman"/>
                <w:sz w:val="13"/>
                <w:szCs w:val="13"/>
                <w:b w:val="1"/>
                <w:bCs w:val="1"/>
                <w:color w:val="auto"/>
              </w:rPr>
              <w:t> </w:t>
            </w:r>
          </w:p>
        </w:tc>
        <w:tc>
          <w:tcPr>
            <w:tcW w:w="0" w:type="dxa"/>
            <w:vAlign w:val="bottom"/>
          </w:tcPr>
          <w:p>
            <w:pPr>
              <w:spacing w:after="0" w:line="20" w:lineRule="exact"/>
              <w:rPr>
                <w:sz w:val="1"/>
                <w:szCs w:val="1"/>
                <w:color w:val="auto"/>
              </w:rPr>
            </w:pPr>
          </w:p>
        </w:tc>
      </w:tr>
      <w:tr>
        <w:trPr>
          <w:trHeight w:val="144"/>
        </w:trPr>
        <w:tc>
          <w:tcPr>
            <w:tcW w:w="1520" w:type="dxa"/>
            <w:vAlign w:val="bottom"/>
            <w:tcBorders>
              <w:left w:val="single" w:sz="8" w:color="auto"/>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4320" w:type="dxa"/>
            <w:vAlign w:val="bottom"/>
            <w:tcBorders>
              <w:right w:val="single" w:sz="8" w:color="auto"/>
            </w:tcBorders>
            <w:gridSpan w:val="15"/>
          </w:tcPr>
          <w:p>
            <w:pPr>
              <w:spacing w:after="0" w:line="144" w:lineRule="exact"/>
              <w:rPr>
                <w:sz w:val="20"/>
                <w:szCs w:val="20"/>
                <w:color w:val="auto"/>
              </w:rPr>
            </w:pPr>
            <w:r>
              <w:rPr>
                <w:rFonts w:ascii="Times New Roman" w:cs="Times New Roman" w:eastAsia="Times New Roman" w:hAnsi="Times New Roman"/>
                <w:sz w:val="13"/>
                <w:szCs w:val="13"/>
                <w:color w:val="auto"/>
              </w:rPr>
              <w:t>not be charged for other transactions.</w:t>
            </w:r>
          </w:p>
        </w:tc>
        <w:tc>
          <w:tcPr>
            <w:tcW w:w="60" w:type="dxa"/>
            <w:vAlign w:val="bottom"/>
          </w:tcPr>
          <w:p>
            <w:pPr>
              <w:spacing w:after="0"/>
              <w:rPr>
                <w:sz w:val="12"/>
                <w:szCs w:val="12"/>
                <w:color w:val="auto"/>
              </w:rPr>
            </w:pPr>
          </w:p>
        </w:tc>
        <w:tc>
          <w:tcPr>
            <w:tcW w:w="1220" w:type="dxa"/>
            <w:vAlign w:val="bottom"/>
            <w:tcBorders>
              <w:right w:val="single" w:sz="8" w:color="auto"/>
            </w:tcBorders>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520" w:type="dxa"/>
            <w:vAlign w:val="bottom"/>
            <w:tcBorders>
              <w:left w:val="single" w:sz="8" w:color="auto"/>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3"/>
                <w:szCs w:val="13"/>
                <w:b w:val="1"/>
                <w:bCs w:val="1"/>
                <w:color w:val="auto"/>
              </w:rPr>
              <w:t>CHARGES, FEES,</w:t>
            </w:r>
          </w:p>
        </w:tc>
        <w:tc>
          <w:tcPr>
            <w:tcW w:w="0" w:type="dxa"/>
            <w:vAlign w:val="bottom"/>
          </w:tcPr>
          <w:p>
            <w:pPr>
              <w:spacing w:after="0"/>
              <w:rPr>
                <w:sz w:val="1"/>
                <w:szCs w:val="1"/>
                <w:color w:val="auto"/>
              </w:rPr>
            </w:pPr>
          </w:p>
        </w:tc>
      </w:tr>
      <w:tr>
        <w:trPr>
          <w:trHeight w:val="159"/>
        </w:trPr>
        <w:tc>
          <w:tcPr>
            <w:tcW w:w="1520" w:type="dxa"/>
            <w:vAlign w:val="bottom"/>
            <w:tcBorders>
              <w:left w:val="single" w:sz="8" w:color="auto"/>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3"/>
                <w:szCs w:val="13"/>
                <w:b w:val="1"/>
                <w:bCs w:val="1"/>
                <w:color w:val="auto"/>
              </w:rPr>
              <w:t>AND</w:t>
            </w:r>
          </w:p>
        </w:tc>
        <w:tc>
          <w:tcPr>
            <w:tcW w:w="0" w:type="dxa"/>
            <w:vAlign w:val="bottom"/>
          </w:tcPr>
          <w:p>
            <w:pPr>
              <w:spacing w:after="0"/>
              <w:rPr>
                <w:sz w:val="1"/>
                <w:szCs w:val="1"/>
                <w:color w:val="auto"/>
              </w:rPr>
            </w:pPr>
          </w:p>
        </w:tc>
      </w:tr>
      <w:tr>
        <w:trPr>
          <w:trHeight w:val="184"/>
        </w:trPr>
        <w:tc>
          <w:tcPr>
            <w:tcW w:w="1520" w:type="dxa"/>
            <w:vAlign w:val="bottom"/>
            <w:tcBorders>
              <w:left w:val="single" w:sz="8" w:color="auto"/>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20" w:type="dxa"/>
            <w:vAlign w:val="bottom"/>
            <w:tcBorders>
              <w:bottom w:val="single" w:sz="8" w:color="auto"/>
              <w:right w:val="single" w:sz="8" w:color="auto"/>
            </w:tcBorders>
            <w:gridSpan w:val="5"/>
          </w:tcPr>
          <w:p>
            <w:pPr>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0" w:type="dxa"/>
            <w:vAlign w:val="bottom"/>
          </w:tcPr>
          <w:p>
            <w:pPr>
              <w:spacing w:after="0"/>
              <w:rPr>
                <w:sz w:val="1"/>
                <w:szCs w:val="1"/>
                <w:color w:val="auto"/>
              </w:rPr>
            </w:pPr>
          </w:p>
        </w:tc>
      </w:tr>
      <w:tr>
        <w:trPr>
          <w:trHeight w:val="154"/>
        </w:trPr>
        <w:tc>
          <w:tcPr>
            <w:tcW w:w="1520" w:type="dxa"/>
            <w:vAlign w:val="bottom"/>
            <w:tcBorders>
              <w:left w:val="single" w:sz="8" w:color="auto"/>
              <w:right w:val="single" w:sz="8" w:color="auto"/>
            </w:tcBorders>
            <w:shd w:val="clear" w:color="auto" w:fill="F0FFFF"/>
          </w:tcPr>
          <w:p>
            <w:pPr>
              <w:ind w:left="40"/>
              <w:spacing w:after="0"/>
              <w:rPr>
                <w:sz w:val="20"/>
                <w:szCs w:val="20"/>
                <w:color w:val="auto"/>
              </w:rPr>
            </w:pPr>
            <w:r>
              <w:rPr>
                <w:rFonts w:ascii="Times New Roman" w:cs="Times New Roman" w:eastAsia="Times New Roman" w:hAnsi="Times New Roman"/>
                <w:sz w:val="13"/>
                <w:szCs w:val="13"/>
                <w:b w:val="1"/>
                <w:bCs w:val="1"/>
                <w:color w:val="auto"/>
              </w:rPr>
              <w:t>Are There Ongoing Fees</w:t>
            </w:r>
          </w:p>
        </w:tc>
        <w:tc>
          <w:tcPr>
            <w:tcW w:w="80" w:type="dxa"/>
            <w:vAlign w:val="bottom"/>
            <w:shd w:val="clear" w:color="auto" w:fill="F0FFFF"/>
          </w:tcPr>
          <w:p>
            <w:pPr>
              <w:spacing w:after="0"/>
              <w:rPr>
                <w:sz w:val="13"/>
                <w:szCs w:val="13"/>
                <w:color w:val="auto"/>
              </w:rPr>
            </w:pPr>
          </w:p>
        </w:tc>
        <w:tc>
          <w:tcPr>
            <w:tcW w:w="4320" w:type="dxa"/>
            <w:vAlign w:val="bottom"/>
            <w:tcBorders>
              <w:right w:val="single" w:sz="8" w:color="auto"/>
            </w:tcBorders>
            <w:gridSpan w:val="15"/>
            <w:shd w:val="clear" w:color="auto" w:fill="F0FFFF"/>
          </w:tcPr>
          <w:p>
            <w:pPr>
              <w:spacing w:after="0"/>
              <w:rPr>
                <w:sz w:val="20"/>
                <w:szCs w:val="20"/>
                <w:color w:val="auto"/>
              </w:rPr>
            </w:pPr>
            <w:r>
              <w:rPr>
                <w:rFonts w:ascii="Times New Roman" w:cs="Times New Roman" w:eastAsia="Times New Roman" w:hAnsi="Times New Roman"/>
                <w:sz w:val="13"/>
                <w:szCs w:val="13"/>
                <w:b w:val="1"/>
                <w:bCs w:val="1"/>
                <w:color w:val="auto"/>
              </w:rPr>
              <w:t>No.</w:t>
            </w:r>
          </w:p>
        </w:tc>
        <w:tc>
          <w:tcPr>
            <w:tcW w:w="60" w:type="dxa"/>
            <w:vAlign w:val="bottom"/>
            <w:shd w:val="clear" w:color="auto" w:fill="F0FFFF"/>
          </w:tcPr>
          <w:p>
            <w:pPr>
              <w:spacing w:after="0"/>
              <w:rPr>
                <w:sz w:val="13"/>
                <w:szCs w:val="13"/>
                <w:color w:val="auto"/>
              </w:rPr>
            </w:pPr>
          </w:p>
        </w:tc>
        <w:tc>
          <w:tcPr>
            <w:tcW w:w="1220" w:type="dxa"/>
            <w:vAlign w:val="bottom"/>
            <w:tcBorders>
              <w:right w:val="single" w:sz="8" w:color="auto"/>
            </w:tcBorders>
            <w:gridSpan w:val="5"/>
            <w:shd w:val="clear" w:color="auto" w:fill="F0FFFF"/>
          </w:tcPr>
          <w:p>
            <w:pPr>
              <w:spacing w:after="0"/>
              <w:rPr>
                <w:sz w:val="20"/>
                <w:szCs w:val="20"/>
                <w:color w:val="auto"/>
              </w:rPr>
            </w:pPr>
            <w:r>
              <w:rPr>
                <w:rFonts w:ascii="Times New Roman" w:cs="Times New Roman" w:eastAsia="Times New Roman" w:hAnsi="Times New Roman"/>
                <w:sz w:val="13"/>
                <w:szCs w:val="13"/>
                <w:b w:val="1"/>
                <w:bCs w:val="1"/>
                <w:color w:val="auto"/>
              </w:rPr>
              <w:t>FEE TABLE</w:t>
            </w:r>
          </w:p>
        </w:tc>
        <w:tc>
          <w:tcPr>
            <w:tcW w:w="0" w:type="dxa"/>
            <w:vAlign w:val="bottom"/>
          </w:tcPr>
          <w:p>
            <w:pPr>
              <w:spacing w:after="0"/>
              <w:rPr>
                <w:sz w:val="1"/>
                <w:szCs w:val="1"/>
                <w:color w:val="auto"/>
              </w:rPr>
            </w:pPr>
          </w:p>
        </w:tc>
      </w:tr>
      <w:tr>
        <w:trPr>
          <w:trHeight w:val="154"/>
        </w:trPr>
        <w:tc>
          <w:tcPr>
            <w:tcW w:w="1520" w:type="dxa"/>
            <w:vAlign w:val="bottom"/>
            <w:tcBorders>
              <w:left w:val="single" w:sz="8" w:color="auto"/>
              <w:right w:val="single" w:sz="8" w:color="auto"/>
            </w:tcBorders>
            <w:shd w:val="clear" w:color="auto" w:fill="F0FFFF"/>
          </w:tcPr>
          <w:p>
            <w:pPr>
              <w:ind w:left="40"/>
              <w:spacing w:after="0"/>
              <w:rPr>
                <w:sz w:val="20"/>
                <w:szCs w:val="20"/>
                <w:color w:val="auto"/>
              </w:rPr>
            </w:pPr>
            <w:r>
              <w:rPr>
                <w:rFonts w:ascii="Times New Roman" w:cs="Times New Roman" w:eastAsia="Times New Roman" w:hAnsi="Times New Roman"/>
                <w:sz w:val="13"/>
                <w:szCs w:val="13"/>
                <w:b w:val="1"/>
                <w:bCs w:val="1"/>
                <w:color w:val="auto"/>
              </w:rPr>
              <w:t>and Expenses?</w:t>
            </w:r>
          </w:p>
        </w:tc>
        <w:tc>
          <w:tcPr>
            <w:tcW w:w="80" w:type="dxa"/>
            <w:vAlign w:val="bottom"/>
            <w:shd w:val="clear" w:color="auto" w:fill="F0FFFF"/>
          </w:tcPr>
          <w:p>
            <w:pPr>
              <w:spacing w:after="0"/>
              <w:rPr>
                <w:sz w:val="13"/>
                <w:szCs w:val="13"/>
                <w:color w:val="auto"/>
              </w:rPr>
            </w:pPr>
          </w:p>
        </w:tc>
        <w:tc>
          <w:tcPr>
            <w:tcW w:w="4320" w:type="dxa"/>
            <w:vAlign w:val="bottom"/>
            <w:tcBorders>
              <w:right w:val="single" w:sz="8" w:color="auto"/>
            </w:tcBorders>
            <w:gridSpan w:val="15"/>
            <w:shd w:val="clear" w:color="auto" w:fill="F0FFFF"/>
          </w:tcPr>
          <w:p>
            <w:pPr>
              <w:spacing w:after="0"/>
              <w:rPr>
                <w:sz w:val="20"/>
                <w:szCs w:val="20"/>
                <w:color w:val="auto"/>
              </w:rPr>
            </w:pPr>
            <w:r>
              <w:rPr>
                <w:rFonts w:ascii="Times New Roman" w:cs="Times New Roman" w:eastAsia="Times New Roman" w:hAnsi="Times New Roman"/>
                <w:sz w:val="13"/>
                <w:szCs w:val="13"/>
                <w:b w:val="1"/>
                <w:bCs w:val="1"/>
                <w:color w:val="auto"/>
              </w:rPr>
              <w:t>There is an implicit ongoing fee on the Shield Options to the extent that</w:t>
            </w:r>
          </w:p>
        </w:tc>
        <w:tc>
          <w:tcPr>
            <w:tcW w:w="60" w:type="dxa"/>
            <w:vAlign w:val="bottom"/>
            <w:shd w:val="clear" w:color="auto" w:fill="F0FFFF"/>
          </w:tcPr>
          <w:p>
            <w:pPr>
              <w:spacing w:after="0"/>
              <w:rPr>
                <w:sz w:val="13"/>
                <w:szCs w:val="13"/>
                <w:color w:val="auto"/>
              </w:rPr>
            </w:pPr>
          </w:p>
        </w:tc>
        <w:tc>
          <w:tcPr>
            <w:tcW w:w="1220" w:type="dxa"/>
            <w:vAlign w:val="bottom"/>
            <w:tcBorders>
              <w:right w:val="single" w:sz="8" w:color="auto"/>
            </w:tcBorders>
            <w:gridSpan w:val="5"/>
            <w:shd w:val="clear" w:color="auto" w:fill="F0FFFF"/>
          </w:tcPr>
          <w:p>
            <w:pPr>
              <w:spacing w:after="0"/>
              <w:rPr>
                <w:sz w:val="20"/>
                <w:szCs w:val="20"/>
                <w:color w:val="auto"/>
              </w:rPr>
            </w:pPr>
            <w:r>
              <w:rPr>
                <w:rFonts w:ascii="Times New Roman" w:cs="Times New Roman" w:eastAsia="Times New Roman" w:hAnsi="Times New Roman"/>
                <w:sz w:val="13"/>
                <w:szCs w:val="13"/>
                <w:b w:val="1"/>
                <w:bCs w:val="1"/>
                <w:color w:val="auto"/>
              </w:rPr>
              <w:t> </w:t>
            </w:r>
          </w:p>
        </w:tc>
        <w:tc>
          <w:tcPr>
            <w:tcW w:w="0" w:type="dxa"/>
            <w:vAlign w:val="bottom"/>
          </w:tcPr>
          <w:p>
            <w:pPr>
              <w:spacing w:after="0"/>
              <w:rPr>
                <w:sz w:val="1"/>
                <w:szCs w:val="1"/>
                <w:color w:val="auto"/>
              </w:rPr>
            </w:pPr>
          </w:p>
        </w:tc>
      </w:tr>
      <w:tr>
        <w:trPr>
          <w:trHeight w:val="20"/>
        </w:trPr>
        <w:tc>
          <w:tcPr>
            <w:tcW w:w="152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560" w:type="dxa"/>
            <w:vAlign w:val="bottom"/>
            <w:tcBorders>
              <w:right w:val="single" w:sz="8" w:color="F0FFFF"/>
            </w:tcBorders>
            <w:shd w:val="clear" w:color="auto" w:fill="F0FFFF"/>
          </w:tcPr>
          <w:p>
            <w:pPr>
              <w:spacing w:after="0" w:line="20" w:lineRule="exact"/>
              <w:rPr>
                <w:sz w:val="1"/>
                <w:szCs w:val="1"/>
                <w:color w:val="auto"/>
              </w:rPr>
            </w:pPr>
          </w:p>
        </w:tc>
        <w:tc>
          <w:tcPr>
            <w:tcW w:w="48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60" w:type="dxa"/>
            <w:vAlign w:val="bottom"/>
            <w:tcBorders>
              <w:right w:val="single" w:sz="8" w:color="auto"/>
            </w:tcBorders>
            <w:shd w:val="clear" w:color="auto" w:fill="F0FFFF"/>
          </w:tcPr>
          <w:p>
            <w:pPr>
              <w:spacing w:after="0" w:line="20" w:lineRule="exact"/>
              <w:rPr>
                <w:sz w:val="1"/>
                <w:szCs w:val="1"/>
                <w:color w:val="auto"/>
              </w:rPr>
            </w:pPr>
          </w:p>
        </w:tc>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1220" w:type="dxa"/>
            <w:vAlign w:val="bottom"/>
            <w:tcBorders>
              <w:right w:val="single" w:sz="8" w:color="auto"/>
            </w:tcBorders>
            <w:gridSpan w:val="5"/>
            <w:vMerge w:val="restart"/>
            <w:shd w:val="clear" w:color="auto" w:fill="F0FFFF"/>
          </w:tcPr>
          <w:p>
            <w:pPr>
              <w:spacing w:after="0"/>
              <w:rPr>
                <w:sz w:val="20"/>
                <w:szCs w:val="20"/>
                <w:color w:val="auto"/>
              </w:rPr>
            </w:pPr>
            <w:r>
              <w:rPr>
                <w:rFonts w:ascii="Times New Roman" w:cs="Times New Roman" w:eastAsia="Times New Roman" w:hAnsi="Times New Roman"/>
                <w:sz w:val="13"/>
                <w:szCs w:val="13"/>
                <w:b w:val="1"/>
                <w:bCs w:val="1"/>
                <w:color w:val="auto"/>
              </w:rPr>
              <w:t>CHARGES, FEES,</w:t>
            </w:r>
          </w:p>
        </w:tc>
        <w:tc>
          <w:tcPr>
            <w:tcW w:w="0" w:type="dxa"/>
            <w:vAlign w:val="bottom"/>
          </w:tcPr>
          <w:p>
            <w:pPr>
              <w:spacing w:after="0" w:line="20" w:lineRule="exact"/>
              <w:rPr>
                <w:sz w:val="1"/>
                <w:szCs w:val="1"/>
                <w:color w:val="auto"/>
              </w:rPr>
            </w:pPr>
          </w:p>
        </w:tc>
      </w:tr>
      <w:tr>
        <w:trPr>
          <w:trHeight w:val="139"/>
        </w:trPr>
        <w:tc>
          <w:tcPr>
            <w:tcW w:w="1520" w:type="dxa"/>
            <w:vAlign w:val="bottom"/>
            <w:tcBorders>
              <w:left w:val="single" w:sz="8" w:color="auto"/>
              <w:right w:val="single" w:sz="8" w:color="auto"/>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4320" w:type="dxa"/>
            <w:vAlign w:val="bottom"/>
            <w:tcBorders>
              <w:right w:val="single" w:sz="8" w:color="auto"/>
            </w:tcBorders>
            <w:gridSpan w:val="15"/>
            <w:shd w:val="clear" w:color="auto" w:fill="F0FFFF"/>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your participation in Index gains is limited by us through the use of</w:t>
            </w:r>
          </w:p>
        </w:tc>
        <w:tc>
          <w:tcPr>
            <w:tcW w:w="60" w:type="dxa"/>
            <w:vAlign w:val="bottom"/>
            <w:shd w:val="clear" w:color="auto" w:fill="F0FFFF"/>
          </w:tcPr>
          <w:p>
            <w:pPr>
              <w:spacing w:after="0"/>
              <w:rPr>
                <w:sz w:val="12"/>
                <w:szCs w:val="12"/>
                <w:color w:val="auto"/>
              </w:rPr>
            </w:pPr>
          </w:p>
        </w:tc>
        <w:tc>
          <w:tcPr>
            <w:tcW w:w="1220" w:type="dxa"/>
            <w:vAlign w:val="bottom"/>
            <w:tcBorders>
              <w:right w:val="single" w:sz="8" w:color="auto"/>
            </w:tcBorders>
            <w:gridSpan w:val="5"/>
            <w:vMerge w:val="continue"/>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2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560" w:type="dxa"/>
            <w:vAlign w:val="bottom"/>
            <w:tcBorders>
              <w:right w:val="single" w:sz="8" w:color="F0FFFF"/>
            </w:tcBorders>
            <w:shd w:val="clear" w:color="auto" w:fill="F0FFFF"/>
          </w:tcPr>
          <w:p>
            <w:pPr>
              <w:spacing w:after="0" w:line="20" w:lineRule="exact"/>
              <w:rPr>
                <w:sz w:val="1"/>
                <w:szCs w:val="1"/>
                <w:color w:val="auto"/>
              </w:rPr>
            </w:pPr>
          </w:p>
        </w:tc>
        <w:tc>
          <w:tcPr>
            <w:tcW w:w="48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60" w:type="dxa"/>
            <w:vAlign w:val="bottom"/>
            <w:tcBorders>
              <w:right w:val="single" w:sz="8" w:color="F0FFFF"/>
            </w:tcBorders>
            <w:shd w:val="clear" w:color="auto" w:fill="F0FFFF"/>
          </w:tcPr>
          <w:p>
            <w:pPr>
              <w:spacing w:after="0" w:line="20" w:lineRule="exact"/>
              <w:rPr>
                <w:sz w:val="1"/>
                <w:szCs w:val="1"/>
                <w:color w:val="auto"/>
              </w:rPr>
            </w:pPr>
          </w:p>
        </w:tc>
        <w:tc>
          <w:tcPr>
            <w:tcW w:w="500" w:type="dxa"/>
            <w:vAlign w:val="bottom"/>
            <w:tcBorders>
              <w:right w:val="single" w:sz="8" w:color="F0FFFF"/>
            </w:tcBorders>
            <w:gridSpan w:val="2"/>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50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1220" w:type="dxa"/>
            <w:vAlign w:val="bottom"/>
            <w:tcBorders>
              <w:right w:val="single" w:sz="8" w:color="auto"/>
            </w:tcBorders>
            <w:gridSpan w:val="5"/>
            <w:vMerge w:val="restart"/>
            <w:shd w:val="clear" w:color="auto" w:fill="F0FFFF"/>
          </w:tcPr>
          <w:p>
            <w:pPr>
              <w:spacing w:after="0"/>
              <w:rPr>
                <w:sz w:val="20"/>
                <w:szCs w:val="20"/>
                <w:color w:val="auto"/>
              </w:rPr>
            </w:pPr>
            <w:r>
              <w:rPr>
                <w:rFonts w:ascii="Times New Roman" w:cs="Times New Roman" w:eastAsia="Times New Roman" w:hAnsi="Times New Roman"/>
                <w:sz w:val="13"/>
                <w:szCs w:val="13"/>
                <w:b w:val="1"/>
                <w:bCs w:val="1"/>
                <w:color w:val="auto"/>
              </w:rPr>
              <w:t>AND</w:t>
            </w:r>
          </w:p>
        </w:tc>
        <w:tc>
          <w:tcPr>
            <w:tcW w:w="0" w:type="dxa"/>
            <w:vAlign w:val="bottom"/>
          </w:tcPr>
          <w:p>
            <w:pPr>
              <w:spacing w:after="0" w:line="20" w:lineRule="exact"/>
              <w:rPr>
                <w:sz w:val="1"/>
                <w:szCs w:val="1"/>
                <w:color w:val="auto"/>
              </w:rPr>
            </w:pPr>
          </w:p>
        </w:tc>
      </w:tr>
      <w:tr>
        <w:trPr>
          <w:trHeight w:val="139"/>
        </w:trPr>
        <w:tc>
          <w:tcPr>
            <w:tcW w:w="1520" w:type="dxa"/>
            <w:vAlign w:val="bottom"/>
            <w:tcBorders>
              <w:left w:val="single" w:sz="8" w:color="auto"/>
              <w:right w:val="single" w:sz="8" w:color="auto"/>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4320" w:type="dxa"/>
            <w:vAlign w:val="bottom"/>
            <w:tcBorders>
              <w:right w:val="single" w:sz="8" w:color="auto"/>
            </w:tcBorders>
            <w:gridSpan w:val="15"/>
            <w:shd w:val="clear" w:color="auto" w:fill="F0FFFF"/>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the Cap Rate, Step Rate, or Edge Rate. This means that your returns may</w:t>
            </w:r>
          </w:p>
        </w:tc>
        <w:tc>
          <w:tcPr>
            <w:tcW w:w="60" w:type="dxa"/>
            <w:vAlign w:val="bottom"/>
            <w:shd w:val="clear" w:color="auto" w:fill="F0FFFF"/>
          </w:tcPr>
          <w:p>
            <w:pPr>
              <w:spacing w:after="0"/>
              <w:rPr>
                <w:sz w:val="12"/>
                <w:szCs w:val="12"/>
                <w:color w:val="auto"/>
              </w:rPr>
            </w:pPr>
          </w:p>
        </w:tc>
        <w:tc>
          <w:tcPr>
            <w:tcW w:w="1220" w:type="dxa"/>
            <w:vAlign w:val="bottom"/>
            <w:tcBorders>
              <w:right w:val="single" w:sz="8" w:color="auto"/>
            </w:tcBorders>
            <w:gridSpan w:val="5"/>
            <w:vMerge w:val="continue"/>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2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560" w:type="dxa"/>
            <w:vAlign w:val="bottom"/>
            <w:tcBorders>
              <w:right w:val="single" w:sz="8" w:color="auto"/>
            </w:tcBorders>
            <w:shd w:val="clear" w:color="auto" w:fill="F0FFFF"/>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F0FFFF"/>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50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1220" w:type="dxa"/>
            <w:vAlign w:val="bottom"/>
            <w:tcBorders>
              <w:right w:val="single" w:sz="8" w:color="auto"/>
            </w:tcBorders>
            <w:gridSpan w:val="5"/>
            <w:vMerge w:val="restart"/>
            <w:shd w:val="clear" w:color="auto" w:fill="F0FFFF"/>
          </w:tcPr>
          <w:p>
            <w:pPr>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0" w:type="dxa"/>
            <w:vAlign w:val="bottom"/>
          </w:tcPr>
          <w:p>
            <w:pPr>
              <w:spacing w:after="0" w:line="20" w:lineRule="exact"/>
              <w:rPr>
                <w:sz w:val="1"/>
                <w:szCs w:val="1"/>
                <w:color w:val="auto"/>
              </w:rPr>
            </w:pPr>
          </w:p>
        </w:tc>
      </w:tr>
      <w:tr>
        <w:trPr>
          <w:trHeight w:val="139"/>
        </w:trPr>
        <w:tc>
          <w:tcPr>
            <w:tcW w:w="1520" w:type="dxa"/>
            <w:vAlign w:val="bottom"/>
            <w:tcBorders>
              <w:left w:val="single" w:sz="8" w:color="auto"/>
              <w:right w:val="single" w:sz="8" w:color="auto"/>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4320" w:type="dxa"/>
            <w:vAlign w:val="bottom"/>
            <w:tcBorders>
              <w:right w:val="single" w:sz="8" w:color="auto"/>
            </w:tcBorders>
            <w:gridSpan w:val="15"/>
            <w:shd w:val="clear" w:color="auto" w:fill="F0FFFF"/>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be lower than the Index’s returns. In return for accepting this limit</w:t>
            </w:r>
          </w:p>
        </w:tc>
        <w:tc>
          <w:tcPr>
            <w:tcW w:w="60" w:type="dxa"/>
            <w:vAlign w:val="bottom"/>
            <w:shd w:val="clear" w:color="auto" w:fill="F0FFFF"/>
          </w:tcPr>
          <w:p>
            <w:pPr>
              <w:spacing w:after="0"/>
              <w:rPr>
                <w:sz w:val="12"/>
                <w:szCs w:val="12"/>
                <w:color w:val="auto"/>
              </w:rPr>
            </w:pPr>
          </w:p>
        </w:tc>
        <w:tc>
          <w:tcPr>
            <w:tcW w:w="1220" w:type="dxa"/>
            <w:vAlign w:val="bottom"/>
            <w:tcBorders>
              <w:right w:val="single" w:sz="8" w:color="auto"/>
            </w:tcBorders>
            <w:gridSpan w:val="5"/>
            <w:vMerge w:val="continue"/>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2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560" w:type="dxa"/>
            <w:vAlign w:val="bottom"/>
            <w:tcBorders>
              <w:right w:val="single" w:sz="8" w:color="F0FFFF"/>
            </w:tcBorders>
            <w:shd w:val="clear" w:color="auto" w:fill="F0FFFF"/>
          </w:tcPr>
          <w:p>
            <w:pPr>
              <w:spacing w:after="0" w:line="20" w:lineRule="exact"/>
              <w:rPr>
                <w:sz w:val="1"/>
                <w:szCs w:val="1"/>
                <w:color w:val="auto"/>
              </w:rPr>
            </w:pPr>
          </w:p>
        </w:tc>
        <w:tc>
          <w:tcPr>
            <w:tcW w:w="48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F0FFFF"/>
            </w:tcBorders>
            <w:gridSpan w:val="2"/>
            <w:shd w:val="clear" w:color="auto" w:fill="000000"/>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60" w:type="dxa"/>
            <w:vAlign w:val="bottom"/>
            <w:tcBorders>
              <w:right w:val="single" w:sz="8" w:color="F0FFFF"/>
            </w:tcBorders>
            <w:shd w:val="clear" w:color="auto" w:fill="F0FFFF"/>
          </w:tcPr>
          <w:p>
            <w:pPr>
              <w:spacing w:after="0" w:line="20" w:lineRule="exact"/>
              <w:rPr>
                <w:sz w:val="1"/>
                <w:szCs w:val="1"/>
                <w:color w:val="auto"/>
              </w:rPr>
            </w:pPr>
          </w:p>
        </w:tc>
        <w:tc>
          <w:tcPr>
            <w:tcW w:w="500" w:type="dxa"/>
            <w:vAlign w:val="bottom"/>
            <w:tcBorders>
              <w:right w:val="single" w:sz="8" w:color="F0FFFF"/>
            </w:tcBorders>
            <w:gridSpan w:val="2"/>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50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320" w:type="dxa"/>
            <w:vAlign w:val="bottom"/>
            <w:shd w:val="clear" w:color="auto" w:fill="F0FFFF"/>
          </w:tcPr>
          <w:p>
            <w:pPr>
              <w:spacing w:after="0" w:line="20" w:lineRule="exact"/>
              <w:rPr>
                <w:sz w:val="1"/>
                <w:szCs w:val="1"/>
                <w:color w:val="auto"/>
              </w:rPr>
            </w:pPr>
          </w:p>
        </w:tc>
        <w:tc>
          <w:tcPr>
            <w:tcW w:w="66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2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520" w:type="dxa"/>
            <w:vAlign w:val="bottom"/>
            <w:tcBorders>
              <w:left w:val="single" w:sz="8" w:color="auto"/>
              <w:bottom w:val="single" w:sz="8" w:color="auto"/>
              <w:right w:val="single" w:sz="8" w:color="auto"/>
            </w:tcBorders>
            <w:shd w:val="clear" w:color="auto" w:fill="F0FFFF"/>
          </w:tcPr>
          <w:p>
            <w:pPr>
              <w:spacing w:after="0"/>
              <w:rPr>
                <w:sz w:val="18"/>
                <w:szCs w:val="18"/>
                <w:color w:val="auto"/>
              </w:rPr>
            </w:pPr>
          </w:p>
        </w:tc>
        <w:tc>
          <w:tcPr>
            <w:tcW w:w="80" w:type="dxa"/>
            <w:vAlign w:val="bottom"/>
            <w:tcBorders>
              <w:bottom w:val="single" w:sz="8" w:color="auto"/>
            </w:tcBorders>
            <w:shd w:val="clear" w:color="auto" w:fill="F0FFFF"/>
          </w:tcPr>
          <w:p>
            <w:pPr>
              <w:spacing w:after="0"/>
              <w:rPr>
                <w:sz w:val="18"/>
                <w:szCs w:val="18"/>
                <w:color w:val="auto"/>
              </w:rPr>
            </w:pPr>
          </w:p>
        </w:tc>
        <w:tc>
          <w:tcPr>
            <w:tcW w:w="4320" w:type="dxa"/>
            <w:vAlign w:val="bottom"/>
            <w:tcBorders>
              <w:bottom w:val="single" w:sz="8" w:color="auto"/>
              <w:right w:val="single" w:sz="8" w:color="auto"/>
            </w:tcBorders>
            <w:gridSpan w:val="15"/>
            <w:shd w:val="clear" w:color="auto" w:fill="F0FFFF"/>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on Index gains, you will receive some protection from Index losses.</w:t>
            </w:r>
          </w:p>
        </w:tc>
        <w:tc>
          <w:tcPr>
            <w:tcW w:w="60" w:type="dxa"/>
            <w:vAlign w:val="bottom"/>
            <w:tcBorders>
              <w:bottom w:val="single" w:sz="8" w:color="auto"/>
            </w:tcBorders>
            <w:shd w:val="clear" w:color="auto" w:fill="F0FFFF"/>
          </w:tcPr>
          <w:p>
            <w:pPr>
              <w:spacing w:after="0"/>
              <w:rPr>
                <w:sz w:val="18"/>
                <w:szCs w:val="18"/>
                <w:color w:val="auto"/>
              </w:rPr>
            </w:pPr>
          </w:p>
        </w:tc>
        <w:tc>
          <w:tcPr>
            <w:tcW w:w="320" w:type="dxa"/>
            <w:vAlign w:val="bottom"/>
            <w:tcBorders>
              <w:bottom w:val="single" w:sz="8" w:color="auto"/>
            </w:tcBorders>
            <w:shd w:val="clear" w:color="auto" w:fill="F0FFFF"/>
          </w:tcPr>
          <w:p>
            <w:pPr>
              <w:spacing w:after="0"/>
              <w:rPr>
                <w:sz w:val="18"/>
                <w:szCs w:val="18"/>
                <w:color w:val="auto"/>
              </w:rPr>
            </w:pPr>
          </w:p>
        </w:tc>
        <w:tc>
          <w:tcPr>
            <w:tcW w:w="660" w:type="dxa"/>
            <w:vAlign w:val="bottom"/>
            <w:tcBorders>
              <w:bottom w:val="single" w:sz="8" w:color="auto"/>
            </w:tcBorders>
            <w:shd w:val="clear" w:color="auto" w:fill="F0FFFF"/>
          </w:tcPr>
          <w:p>
            <w:pPr>
              <w:spacing w:after="0"/>
              <w:rPr>
                <w:sz w:val="18"/>
                <w:szCs w:val="18"/>
                <w:color w:val="auto"/>
              </w:rPr>
            </w:pPr>
          </w:p>
        </w:tc>
        <w:tc>
          <w:tcPr>
            <w:tcW w:w="100" w:type="dxa"/>
            <w:vAlign w:val="bottom"/>
            <w:tcBorders>
              <w:bottom w:val="single" w:sz="8" w:color="auto"/>
            </w:tcBorders>
            <w:shd w:val="clear" w:color="auto" w:fill="F0FFFF"/>
          </w:tcPr>
          <w:p>
            <w:pPr>
              <w:spacing w:after="0"/>
              <w:rPr>
                <w:sz w:val="18"/>
                <w:szCs w:val="18"/>
                <w:color w:val="auto"/>
              </w:rPr>
            </w:pPr>
          </w:p>
        </w:tc>
        <w:tc>
          <w:tcPr>
            <w:tcW w:w="20" w:type="dxa"/>
            <w:vAlign w:val="bottom"/>
            <w:tcBorders>
              <w:bottom w:val="single" w:sz="8" w:color="auto"/>
            </w:tcBorders>
            <w:shd w:val="clear" w:color="auto" w:fill="F0FFFF"/>
          </w:tcPr>
          <w:p>
            <w:pPr>
              <w:spacing w:after="0"/>
              <w:rPr>
                <w:sz w:val="18"/>
                <w:szCs w:val="18"/>
                <w:color w:val="auto"/>
              </w:rPr>
            </w:pPr>
          </w:p>
        </w:tc>
        <w:tc>
          <w:tcPr>
            <w:tcW w:w="120" w:type="dxa"/>
            <w:vAlign w:val="bottom"/>
            <w:tcBorders>
              <w:bottom w:val="single" w:sz="8" w:color="auto"/>
              <w:right w:val="single" w:sz="8" w:color="auto"/>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1520" w:type="dxa"/>
            <w:vAlign w:val="bottom"/>
            <w:tcBorders>
              <w:left w:val="single" w:sz="8" w:color="auto"/>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20" w:type="dxa"/>
            <w:vAlign w:val="bottom"/>
            <w:tcBorders>
              <w:bottom w:val="single" w:sz="8" w:color="auto"/>
              <w:right w:val="single" w:sz="8" w:color="auto"/>
            </w:tcBorders>
            <w:gridSpan w:val="8"/>
          </w:tcPr>
          <w:p>
            <w:pPr>
              <w:jc w:val="center"/>
              <w:ind w:right="2060"/>
              <w:spacing w:after="0"/>
              <w:rPr>
                <w:sz w:val="20"/>
                <w:szCs w:val="20"/>
                <w:color w:val="auto"/>
              </w:rPr>
            </w:pPr>
            <w:r>
              <w:rPr>
                <w:rFonts w:ascii="Times New Roman" w:cs="Times New Roman" w:eastAsia="Times New Roman" w:hAnsi="Times New Roman"/>
                <w:sz w:val="9"/>
                <w:szCs w:val="9"/>
                <w:b w:val="1"/>
                <w:bCs w:val="1"/>
                <w:color w:val="auto"/>
                <w:w w:val="75"/>
              </w:rPr>
              <w:t>Risks</w:t>
            </w:r>
          </w:p>
        </w:tc>
        <w:tc>
          <w:tcPr>
            <w:tcW w:w="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520" w:type="dxa"/>
            <w:vAlign w:val="bottom"/>
            <w:tcBorders>
              <w:left w:val="single" w:sz="8" w:color="auto"/>
              <w:right w:val="single" w:sz="8" w:color="auto"/>
            </w:tcBorders>
            <w:shd w:val="clear" w:color="auto" w:fill="F0FFFF"/>
          </w:tcPr>
          <w:p>
            <w:pPr>
              <w:ind w:left="40"/>
              <w:spacing w:after="0" w:line="149" w:lineRule="exact"/>
              <w:rPr>
                <w:sz w:val="20"/>
                <w:szCs w:val="20"/>
                <w:color w:val="auto"/>
              </w:rPr>
            </w:pPr>
            <w:r>
              <w:rPr>
                <w:rFonts w:ascii="Times New Roman" w:cs="Times New Roman" w:eastAsia="Times New Roman" w:hAnsi="Times New Roman"/>
                <w:sz w:val="13"/>
                <w:szCs w:val="13"/>
                <w:b w:val="1"/>
                <w:bCs w:val="1"/>
                <w:color w:val="auto"/>
              </w:rPr>
              <w:t>Is there a Risk of Loss</w:t>
            </w:r>
          </w:p>
        </w:tc>
        <w:tc>
          <w:tcPr>
            <w:tcW w:w="80" w:type="dxa"/>
            <w:vAlign w:val="bottom"/>
            <w:shd w:val="clear" w:color="auto" w:fill="F0FFFF"/>
          </w:tcPr>
          <w:p>
            <w:pPr>
              <w:spacing w:after="0"/>
              <w:rPr>
                <w:sz w:val="12"/>
                <w:szCs w:val="12"/>
                <w:color w:val="auto"/>
              </w:rPr>
            </w:pPr>
          </w:p>
        </w:tc>
        <w:tc>
          <w:tcPr>
            <w:tcW w:w="4320" w:type="dxa"/>
            <w:vAlign w:val="bottom"/>
            <w:tcBorders>
              <w:right w:val="single" w:sz="8" w:color="auto"/>
            </w:tcBorders>
            <w:gridSpan w:val="15"/>
            <w:shd w:val="clear" w:color="auto" w:fill="F0FFFF"/>
          </w:tcPr>
          <w:p>
            <w:pPr>
              <w:spacing w:after="0" w:line="149" w:lineRule="exact"/>
              <w:rPr>
                <w:sz w:val="20"/>
                <w:szCs w:val="20"/>
                <w:color w:val="auto"/>
              </w:rPr>
            </w:pPr>
            <w:r>
              <w:rPr>
                <w:rFonts w:ascii="Times New Roman" w:cs="Times New Roman" w:eastAsia="Times New Roman" w:hAnsi="Times New Roman"/>
                <w:sz w:val="13"/>
                <w:szCs w:val="13"/>
                <w:b w:val="1"/>
                <w:bCs w:val="1"/>
                <w:color w:val="auto"/>
              </w:rPr>
              <w:t>Yes</w:t>
            </w:r>
            <w:r>
              <w:rPr>
                <w:rFonts w:ascii="Times New Roman" w:cs="Times New Roman" w:eastAsia="Times New Roman" w:hAnsi="Times New Roman"/>
                <w:sz w:val="13"/>
                <w:szCs w:val="13"/>
                <w:color w:val="auto"/>
              </w:rPr>
              <w:t>. You can lose money by investing in the Contract.</w:t>
            </w:r>
          </w:p>
        </w:tc>
        <w:tc>
          <w:tcPr>
            <w:tcW w:w="60" w:type="dxa"/>
            <w:vAlign w:val="bottom"/>
            <w:shd w:val="clear" w:color="auto" w:fill="F0FFFF"/>
          </w:tcPr>
          <w:p>
            <w:pPr>
              <w:spacing w:after="0"/>
              <w:rPr>
                <w:sz w:val="12"/>
                <w:szCs w:val="12"/>
                <w:color w:val="auto"/>
              </w:rPr>
            </w:pPr>
          </w:p>
        </w:tc>
        <w:tc>
          <w:tcPr>
            <w:tcW w:w="1220" w:type="dxa"/>
            <w:vAlign w:val="bottom"/>
            <w:tcBorders>
              <w:right w:val="single" w:sz="8" w:color="auto"/>
            </w:tcBorders>
            <w:gridSpan w:val="5"/>
            <w:shd w:val="clear" w:color="auto" w:fill="F0FFFF"/>
          </w:tcPr>
          <w:p>
            <w:pPr>
              <w:spacing w:after="0" w:line="149" w:lineRule="exact"/>
              <w:rPr>
                <w:sz w:val="20"/>
                <w:szCs w:val="20"/>
                <w:color w:val="auto"/>
              </w:rPr>
            </w:pPr>
            <w:r>
              <w:rPr>
                <w:rFonts w:ascii="Times New Roman" w:cs="Times New Roman" w:eastAsia="Times New Roman" w:hAnsi="Times New Roman"/>
                <w:sz w:val="13"/>
                <w:szCs w:val="13"/>
                <w:b w:val="1"/>
                <w:bCs w:val="1"/>
                <w:color w:val="auto"/>
              </w:rPr>
              <w:t>PRINCIPAL RISKS</w:t>
            </w:r>
          </w:p>
        </w:tc>
        <w:tc>
          <w:tcPr>
            <w:tcW w:w="0" w:type="dxa"/>
            <w:vAlign w:val="bottom"/>
          </w:tcPr>
          <w:p>
            <w:pPr>
              <w:spacing w:after="0"/>
              <w:rPr>
                <w:sz w:val="1"/>
                <w:szCs w:val="1"/>
                <w:color w:val="auto"/>
              </w:rPr>
            </w:pPr>
          </w:p>
        </w:tc>
      </w:tr>
      <w:tr>
        <w:trPr>
          <w:trHeight w:val="146"/>
        </w:trPr>
        <w:tc>
          <w:tcPr>
            <w:tcW w:w="1520" w:type="dxa"/>
            <w:vAlign w:val="bottom"/>
            <w:tcBorders>
              <w:top w:val="single" w:sz="8" w:color="F0FFFF"/>
              <w:left w:val="single" w:sz="8" w:color="auto"/>
              <w:right w:val="single" w:sz="8" w:color="auto"/>
            </w:tcBorders>
            <w:shd w:val="clear" w:color="auto" w:fill="F0FFFF"/>
          </w:tcPr>
          <w:p>
            <w:pPr>
              <w:ind w:left="40"/>
              <w:spacing w:after="0" w:line="146" w:lineRule="exact"/>
              <w:rPr>
                <w:sz w:val="20"/>
                <w:szCs w:val="20"/>
                <w:color w:val="auto"/>
              </w:rPr>
            </w:pPr>
            <w:r>
              <w:rPr>
                <w:rFonts w:ascii="Times New Roman" w:cs="Times New Roman" w:eastAsia="Times New Roman" w:hAnsi="Times New Roman"/>
                <w:sz w:val="13"/>
                <w:szCs w:val="13"/>
                <w:b w:val="1"/>
                <w:bCs w:val="1"/>
                <w:color w:val="auto"/>
              </w:rPr>
              <w:t>from Poor</w:t>
            </w:r>
          </w:p>
        </w:tc>
        <w:tc>
          <w:tcPr>
            <w:tcW w:w="80" w:type="dxa"/>
            <w:vAlign w:val="bottom"/>
            <w:tcBorders>
              <w:top w:val="single" w:sz="8" w:color="F0FFFF"/>
            </w:tcBorders>
            <w:shd w:val="clear" w:color="auto" w:fill="F0FFFF"/>
          </w:tcPr>
          <w:p>
            <w:pPr>
              <w:spacing w:after="0"/>
              <w:rPr>
                <w:sz w:val="12"/>
                <w:szCs w:val="12"/>
                <w:color w:val="auto"/>
              </w:rPr>
            </w:pPr>
          </w:p>
        </w:tc>
        <w:tc>
          <w:tcPr>
            <w:tcW w:w="2360" w:type="dxa"/>
            <w:vAlign w:val="bottom"/>
            <w:tcBorders>
              <w:top w:val="single" w:sz="8" w:color="F0FFFF"/>
              <w:right w:val="single" w:sz="8" w:color="F0FFFF"/>
            </w:tcBorders>
            <w:gridSpan w:val="8"/>
            <w:shd w:val="clear" w:color="auto" w:fill="F0FFFF"/>
          </w:tcPr>
          <w:p>
            <w:pPr>
              <w:spacing w:after="0" w:line="146" w:lineRule="exact"/>
              <w:rPr>
                <w:sz w:val="20"/>
                <w:szCs w:val="20"/>
                <w:color w:val="auto"/>
              </w:rPr>
            </w:pPr>
            <w:r>
              <w:rPr>
                <w:rFonts w:ascii="Times New Roman" w:cs="Times New Roman" w:eastAsia="Times New Roman" w:hAnsi="Times New Roman"/>
                <w:sz w:val="13"/>
                <w:szCs w:val="13"/>
                <w:color w:val="auto"/>
              </w:rPr>
              <w:t> </w:t>
            </w:r>
          </w:p>
        </w:tc>
        <w:tc>
          <w:tcPr>
            <w:tcW w:w="500" w:type="dxa"/>
            <w:vAlign w:val="bottom"/>
            <w:tcBorders>
              <w:top w:val="single" w:sz="8" w:color="auto"/>
              <w:right w:val="single" w:sz="8" w:color="F0FFFF"/>
            </w:tcBorders>
            <w:gridSpan w:val="2"/>
            <w:shd w:val="clear" w:color="auto" w:fill="F0FFFF"/>
          </w:tcPr>
          <w:p>
            <w:pPr>
              <w:spacing w:after="0"/>
              <w:rPr>
                <w:sz w:val="12"/>
                <w:szCs w:val="12"/>
                <w:color w:val="auto"/>
              </w:rPr>
            </w:pPr>
          </w:p>
        </w:tc>
        <w:tc>
          <w:tcPr>
            <w:tcW w:w="220" w:type="dxa"/>
            <w:vAlign w:val="bottom"/>
            <w:tcBorders>
              <w:top w:val="single" w:sz="8" w:color="F0FFFF"/>
              <w:right w:val="single" w:sz="8" w:color="F0FFFF"/>
            </w:tcBorders>
            <w:shd w:val="clear" w:color="auto" w:fill="F0FFFF"/>
          </w:tcPr>
          <w:p>
            <w:pPr>
              <w:spacing w:after="0"/>
              <w:rPr>
                <w:sz w:val="12"/>
                <w:szCs w:val="12"/>
                <w:color w:val="auto"/>
              </w:rPr>
            </w:pPr>
          </w:p>
        </w:tc>
        <w:tc>
          <w:tcPr>
            <w:tcW w:w="500" w:type="dxa"/>
            <w:vAlign w:val="bottom"/>
            <w:tcBorders>
              <w:top w:val="single" w:sz="8" w:color="F0FFFF"/>
              <w:left w:val="single" w:sz="8" w:color="F0FFFF"/>
              <w:right w:val="single" w:sz="8" w:color="F0FFFF"/>
            </w:tcBorders>
            <w:shd w:val="clear" w:color="auto" w:fill="F0FFFF"/>
          </w:tcPr>
          <w:p>
            <w:pPr>
              <w:spacing w:after="0"/>
              <w:rPr>
                <w:sz w:val="12"/>
                <w:szCs w:val="12"/>
                <w:color w:val="auto"/>
              </w:rPr>
            </w:pPr>
          </w:p>
        </w:tc>
        <w:tc>
          <w:tcPr>
            <w:tcW w:w="300" w:type="dxa"/>
            <w:vAlign w:val="bottom"/>
            <w:tcBorders>
              <w:top w:val="single" w:sz="8" w:color="F0FFFF"/>
              <w:right w:val="single" w:sz="8" w:color="F0FFFF"/>
            </w:tcBorders>
            <w:shd w:val="clear" w:color="auto" w:fill="F0FFFF"/>
          </w:tcPr>
          <w:p>
            <w:pPr>
              <w:spacing w:after="0"/>
              <w:rPr>
                <w:sz w:val="12"/>
                <w:szCs w:val="12"/>
                <w:color w:val="auto"/>
              </w:rPr>
            </w:pPr>
          </w:p>
        </w:tc>
        <w:tc>
          <w:tcPr>
            <w:tcW w:w="300" w:type="dxa"/>
            <w:vAlign w:val="bottom"/>
            <w:tcBorders>
              <w:top w:val="single" w:sz="8" w:color="F0FFFF"/>
              <w:right w:val="single" w:sz="8" w:color="F0FFFF"/>
            </w:tcBorders>
            <w:shd w:val="clear" w:color="auto" w:fill="F0FFFF"/>
          </w:tcPr>
          <w:p>
            <w:pPr>
              <w:spacing w:after="0"/>
              <w:rPr>
                <w:sz w:val="12"/>
                <w:szCs w:val="12"/>
                <w:color w:val="auto"/>
              </w:rPr>
            </w:pPr>
          </w:p>
        </w:tc>
        <w:tc>
          <w:tcPr>
            <w:tcW w:w="140" w:type="dxa"/>
            <w:vAlign w:val="bottom"/>
            <w:tcBorders>
              <w:top w:val="single" w:sz="8" w:color="F0FFFF"/>
              <w:right w:val="single" w:sz="8" w:color="auto"/>
            </w:tcBorders>
            <w:shd w:val="clear" w:color="auto" w:fill="F0FFFF"/>
          </w:tcPr>
          <w:p>
            <w:pPr>
              <w:spacing w:after="0"/>
              <w:rPr>
                <w:sz w:val="12"/>
                <w:szCs w:val="12"/>
                <w:color w:val="auto"/>
              </w:rPr>
            </w:pPr>
          </w:p>
        </w:tc>
        <w:tc>
          <w:tcPr>
            <w:tcW w:w="60" w:type="dxa"/>
            <w:vAlign w:val="bottom"/>
            <w:tcBorders>
              <w:top w:val="single" w:sz="8" w:color="F0FFFF"/>
            </w:tcBorders>
            <w:shd w:val="clear" w:color="auto" w:fill="F0FFFF"/>
          </w:tcPr>
          <w:p>
            <w:pPr>
              <w:spacing w:after="0"/>
              <w:rPr>
                <w:sz w:val="12"/>
                <w:szCs w:val="12"/>
                <w:color w:val="auto"/>
              </w:rPr>
            </w:pPr>
          </w:p>
        </w:tc>
        <w:tc>
          <w:tcPr>
            <w:tcW w:w="1220" w:type="dxa"/>
            <w:vAlign w:val="bottom"/>
            <w:tcBorders>
              <w:top w:val="single" w:sz="8" w:color="F0FFFF"/>
              <w:right w:val="single" w:sz="8" w:color="auto"/>
            </w:tcBorders>
            <w:gridSpan w:val="5"/>
            <w:shd w:val="clear" w:color="auto" w:fill="F0FFFF"/>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OF INVESTING IN</w:t>
            </w:r>
          </w:p>
        </w:tc>
        <w:tc>
          <w:tcPr>
            <w:tcW w:w="0" w:type="dxa"/>
            <w:vAlign w:val="bottom"/>
          </w:tcPr>
          <w:p>
            <w:pPr>
              <w:spacing w:after="0"/>
              <w:rPr>
                <w:sz w:val="1"/>
                <w:szCs w:val="1"/>
                <w:color w:val="auto"/>
              </w:rPr>
            </w:pPr>
          </w:p>
        </w:tc>
      </w:tr>
      <w:tr>
        <w:trPr>
          <w:trHeight w:val="142"/>
        </w:trPr>
        <w:tc>
          <w:tcPr>
            <w:tcW w:w="1520" w:type="dxa"/>
            <w:vAlign w:val="bottom"/>
            <w:tcBorders>
              <w:left w:val="single" w:sz="8" w:color="auto"/>
              <w:right w:val="single" w:sz="8" w:color="auto"/>
            </w:tcBorders>
            <w:shd w:val="clear" w:color="auto" w:fill="F0FFFF"/>
          </w:tcPr>
          <w:p>
            <w:pPr>
              <w:ind w:left="40"/>
              <w:spacing w:after="0" w:line="122" w:lineRule="exact"/>
              <w:rPr>
                <w:sz w:val="20"/>
                <w:szCs w:val="20"/>
                <w:color w:val="auto"/>
              </w:rPr>
            </w:pPr>
            <w:r>
              <w:rPr>
                <w:rFonts w:ascii="Times New Roman" w:cs="Times New Roman" w:eastAsia="Times New Roman" w:hAnsi="Times New Roman"/>
                <w:sz w:val="13"/>
                <w:szCs w:val="13"/>
                <w:b w:val="1"/>
                <w:bCs w:val="1"/>
                <w:color w:val="auto"/>
              </w:rPr>
              <w:t>Performance?</w:t>
            </w:r>
          </w:p>
        </w:tc>
        <w:tc>
          <w:tcPr>
            <w:tcW w:w="80" w:type="dxa"/>
            <w:vAlign w:val="bottom"/>
            <w:shd w:val="clear" w:color="auto" w:fill="F0FFFF"/>
          </w:tcPr>
          <w:p>
            <w:pPr>
              <w:spacing w:after="0"/>
              <w:rPr>
                <w:sz w:val="12"/>
                <w:szCs w:val="12"/>
                <w:color w:val="auto"/>
              </w:rPr>
            </w:pPr>
          </w:p>
        </w:tc>
        <w:tc>
          <w:tcPr>
            <w:tcW w:w="4320" w:type="dxa"/>
            <w:vAlign w:val="bottom"/>
            <w:tcBorders>
              <w:right w:val="single" w:sz="8" w:color="auto"/>
            </w:tcBorders>
            <w:gridSpan w:val="15"/>
            <w:shd w:val="clear" w:color="auto" w:fill="F0FFFF"/>
          </w:tcPr>
          <w:p>
            <w:pPr>
              <w:spacing w:after="0" w:line="122" w:lineRule="exact"/>
              <w:rPr>
                <w:sz w:val="20"/>
                <w:szCs w:val="20"/>
                <w:color w:val="auto"/>
              </w:rPr>
            </w:pPr>
            <w:r>
              <w:rPr>
                <w:rFonts w:ascii="Times New Roman" w:cs="Times New Roman" w:eastAsia="Times New Roman" w:hAnsi="Times New Roman"/>
                <w:sz w:val="13"/>
                <w:szCs w:val="13"/>
                <w:color w:val="auto"/>
              </w:rPr>
              <w:t>● The currently offered Shield Options provide that we will absorb losses at</w:t>
            </w:r>
          </w:p>
        </w:tc>
        <w:tc>
          <w:tcPr>
            <w:tcW w:w="60" w:type="dxa"/>
            <w:vAlign w:val="bottom"/>
            <w:shd w:val="clear" w:color="auto" w:fill="F0FFFF"/>
          </w:tcPr>
          <w:p>
            <w:pPr>
              <w:spacing w:after="0"/>
              <w:rPr>
                <w:sz w:val="12"/>
                <w:szCs w:val="12"/>
                <w:color w:val="auto"/>
              </w:rPr>
            </w:pPr>
          </w:p>
        </w:tc>
        <w:tc>
          <w:tcPr>
            <w:tcW w:w="1220" w:type="dxa"/>
            <w:vAlign w:val="bottom"/>
            <w:tcBorders>
              <w:right w:val="single" w:sz="8" w:color="auto"/>
            </w:tcBorders>
            <w:gridSpan w:val="5"/>
            <w:shd w:val="clear" w:color="auto" w:fill="F0FFFF"/>
          </w:tcPr>
          <w:p>
            <w:pPr>
              <w:spacing w:after="0" w:line="122" w:lineRule="exact"/>
              <w:rPr>
                <w:sz w:val="20"/>
                <w:szCs w:val="20"/>
                <w:color w:val="auto"/>
              </w:rPr>
            </w:pPr>
            <w:r>
              <w:rPr>
                <w:rFonts w:ascii="Times New Roman" w:cs="Times New Roman" w:eastAsia="Times New Roman" w:hAnsi="Times New Roman"/>
                <w:sz w:val="13"/>
                <w:szCs w:val="13"/>
                <w:b w:val="1"/>
                <w:bCs w:val="1"/>
                <w:color w:val="auto"/>
              </w:rPr>
              <w:t>THE CONTRACT</w:t>
            </w:r>
          </w:p>
        </w:tc>
        <w:tc>
          <w:tcPr>
            <w:tcW w:w="0" w:type="dxa"/>
            <w:vAlign w:val="bottom"/>
          </w:tcPr>
          <w:p>
            <w:pPr>
              <w:spacing w:after="0"/>
              <w:rPr>
                <w:sz w:val="1"/>
                <w:szCs w:val="1"/>
                <w:color w:val="auto"/>
              </w:rPr>
            </w:pPr>
          </w:p>
        </w:tc>
      </w:tr>
      <w:tr>
        <w:trPr>
          <w:trHeight w:val="20"/>
        </w:trPr>
        <w:tc>
          <w:tcPr>
            <w:tcW w:w="1520" w:type="dxa"/>
            <w:vAlign w:val="bottom"/>
            <w:tcBorders>
              <w:left w:val="single" w:sz="8" w:color="auto"/>
              <w:bottom w:val="single" w:sz="8" w:color="F0FFFF"/>
              <w:right w:val="single" w:sz="8" w:color="auto"/>
            </w:tcBorders>
            <w:shd w:val="clear" w:color="auto" w:fill="F0FFFF"/>
          </w:tcPr>
          <w:p>
            <w:pPr>
              <w:spacing w:after="0" w:line="20" w:lineRule="exact"/>
              <w:rPr>
                <w:sz w:val="1"/>
                <w:szCs w:val="1"/>
                <w:color w:val="auto"/>
              </w:rPr>
            </w:pPr>
          </w:p>
        </w:tc>
        <w:tc>
          <w:tcPr>
            <w:tcW w:w="80" w:type="dxa"/>
            <w:vAlign w:val="bottom"/>
            <w:tcBorders>
              <w:bottom w:val="single" w:sz="8" w:color="F0FFFF"/>
            </w:tcBorders>
            <w:shd w:val="clear" w:color="auto" w:fill="F0FFFF"/>
          </w:tcPr>
          <w:p>
            <w:pPr>
              <w:spacing w:after="0" w:line="20" w:lineRule="exact"/>
              <w:rPr>
                <w:sz w:val="1"/>
                <w:szCs w:val="1"/>
                <w:color w:val="auto"/>
              </w:rPr>
            </w:pPr>
          </w:p>
        </w:tc>
        <w:tc>
          <w:tcPr>
            <w:tcW w:w="560" w:type="dxa"/>
            <w:vAlign w:val="bottom"/>
            <w:tcBorders>
              <w:bottom w:val="single" w:sz="8" w:color="F0FFFF"/>
              <w:right w:val="single" w:sz="8" w:color="F0FFFF"/>
            </w:tcBorders>
            <w:shd w:val="clear" w:color="auto" w:fill="F0FFFF"/>
          </w:tcPr>
          <w:p>
            <w:pPr>
              <w:spacing w:after="0" w:line="20" w:lineRule="exact"/>
              <w:rPr>
                <w:sz w:val="1"/>
                <w:szCs w:val="1"/>
                <w:color w:val="auto"/>
              </w:rPr>
            </w:pPr>
          </w:p>
        </w:tc>
        <w:tc>
          <w:tcPr>
            <w:tcW w:w="480" w:type="dxa"/>
            <w:vAlign w:val="bottom"/>
            <w:tcBorders>
              <w:bottom w:val="single" w:sz="8" w:color="F0FFFF"/>
              <w:right w:val="single" w:sz="8" w:color="F0FFFF"/>
            </w:tcBorders>
            <w:shd w:val="clear" w:color="auto" w:fill="F0FFFF"/>
          </w:tcPr>
          <w:p>
            <w:pPr>
              <w:spacing w:after="0" w:line="20" w:lineRule="exact"/>
              <w:rPr>
                <w:sz w:val="1"/>
                <w:szCs w:val="1"/>
                <w:color w:val="auto"/>
              </w:rPr>
            </w:pPr>
          </w:p>
        </w:tc>
        <w:tc>
          <w:tcPr>
            <w:tcW w:w="220" w:type="dxa"/>
            <w:vAlign w:val="bottom"/>
            <w:tcBorders>
              <w:bottom w:val="single" w:sz="8" w:color="F0FFFF"/>
              <w:right w:val="single" w:sz="8" w:color="F0FFFF"/>
            </w:tcBorders>
            <w:shd w:val="clear" w:color="auto" w:fill="F0FFFF"/>
          </w:tcPr>
          <w:p>
            <w:pPr>
              <w:spacing w:after="0" w:line="20" w:lineRule="exact"/>
              <w:rPr>
                <w:sz w:val="1"/>
                <w:szCs w:val="1"/>
                <w:color w:val="auto"/>
              </w:rPr>
            </w:pPr>
          </w:p>
        </w:tc>
        <w:tc>
          <w:tcPr>
            <w:tcW w:w="520" w:type="dxa"/>
            <w:vAlign w:val="bottom"/>
            <w:tcBorders>
              <w:bottom w:val="single" w:sz="8" w:color="F0FFFF"/>
              <w:right w:val="single" w:sz="8" w:color="auto"/>
            </w:tcBorders>
            <w:gridSpan w:val="3"/>
            <w:shd w:val="clear" w:color="auto" w:fill="000000"/>
          </w:tcPr>
          <w:p>
            <w:pPr>
              <w:spacing w:after="0" w:line="20" w:lineRule="exact"/>
              <w:rPr>
                <w:sz w:val="1"/>
                <w:szCs w:val="1"/>
                <w:color w:val="auto"/>
              </w:rPr>
            </w:pPr>
          </w:p>
        </w:tc>
        <w:tc>
          <w:tcPr>
            <w:tcW w:w="320" w:type="dxa"/>
            <w:vAlign w:val="bottom"/>
            <w:tcBorders>
              <w:bottom w:val="single" w:sz="8" w:color="F0FFFF"/>
              <w:right w:val="single" w:sz="8" w:color="auto"/>
            </w:tcBorders>
            <w:shd w:val="clear" w:color="auto" w:fill="000000"/>
          </w:tcPr>
          <w:p>
            <w:pPr>
              <w:spacing w:after="0" w:line="20" w:lineRule="exact"/>
              <w:rPr>
                <w:sz w:val="1"/>
                <w:szCs w:val="1"/>
                <w:color w:val="auto"/>
              </w:rPr>
            </w:pPr>
          </w:p>
        </w:tc>
        <w:tc>
          <w:tcPr>
            <w:tcW w:w="760" w:type="dxa"/>
            <w:vAlign w:val="bottom"/>
            <w:tcBorders>
              <w:bottom w:val="single" w:sz="8" w:color="F0FFFF"/>
              <w:right w:val="single" w:sz="8" w:color="F0FFFF"/>
            </w:tcBorders>
            <w:gridSpan w:val="3"/>
            <w:shd w:val="clear" w:color="auto" w:fill="F0FFFF"/>
          </w:tcPr>
          <w:p>
            <w:pPr>
              <w:spacing w:after="0" w:line="20" w:lineRule="exact"/>
              <w:rPr>
                <w:sz w:val="1"/>
                <w:szCs w:val="1"/>
                <w:color w:val="auto"/>
              </w:rPr>
            </w:pPr>
          </w:p>
        </w:tc>
        <w:tc>
          <w:tcPr>
            <w:tcW w:w="220" w:type="dxa"/>
            <w:vAlign w:val="bottom"/>
            <w:tcBorders>
              <w:bottom w:val="single" w:sz="8" w:color="F0FFFF"/>
              <w:right w:val="single" w:sz="8" w:color="F0FFFF"/>
            </w:tcBorders>
            <w:shd w:val="clear" w:color="auto" w:fill="F0FFFF"/>
          </w:tcPr>
          <w:p>
            <w:pPr>
              <w:spacing w:after="0" w:line="20" w:lineRule="exact"/>
              <w:rPr>
                <w:sz w:val="1"/>
                <w:szCs w:val="1"/>
                <w:color w:val="auto"/>
              </w:rPr>
            </w:pPr>
          </w:p>
        </w:tc>
        <w:tc>
          <w:tcPr>
            <w:tcW w:w="500" w:type="dxa"/>
            <w:vAlign w:val="bottom"/>
            <w:tcBorders>
              <w:left w:val="single" w:sz="8" w:color="F0FFFF"/>
              <w:bottom w:val="single" w:sz="8" w:color="F0FFFF"/>
              <w:right w:val="single" w:sz="8" w:color="F0FFFF"/>
            </w:tcBorders>
            <w:shd w:val="clear" w:color="auto" w:fill="F0FFFF"/>
          </w:tcPr>
          <w:p>
            <w:pPr>
              <w:spacing w:after="0" w:line="20" w:lineRule="exact"/>
              <w:rPr>
                <w:sz w:val="1"/>
                <w:szCs w:val="1"/>
                <w:color w:val="auto"/>
              </w:rPr>
            </w:pPr>
          </w:p>
        </w:tc>
        <w:tc>
          <w:tcPr>
            <w:tcW w:w="300" w:type="dxa"/>
            <w:vAlign w:val="bottom"/>
            <w:tcBorders>
              <w:bottom w:val="single" w:sz="8" w:color="F0FFFF"/>
              <w:right w:val="single" w:sz="8" w:color="F0FFFF"/>
            </w:tcBorders>
            <w:shd w:val="clear" w:color="auto" w:fill="F0FFFF"/>
          </w:tcPr>
          <w:p>
            <w:pPr>
              <w:spacing w:after="0" w:line="20" w:lineRule="exact"/>
              <w:rPr>
                <w:sz w:val="1"/>
                <w:szCs w:val="1"/>
                <w:color w:val="auto"/>
              </w:rPr>
            </w:pPr>
          </w:p>
        </w:tc>
        <w:tc>
          <w:tcPr>
            <w:tcW w:w="300" w:type="dxa"/>
            <w:vAlign w:val="bottom"/>
            <w:tcBorders>
              <w:bottom w:val="single" w:sz="8" w:color="F0FFFF"/>
              <w:right w:val="single" w:sz="8" w:color="F0FFFF"/>
            </w:tcBorders>
            <w:shd w:val="clear" w:color="auto" w:fill="F0FFFF"/>
          </w:tcPr>
          <w:p>
            <w:pPr>
              <w:spacing w:after="0" w:line="20" w:lineRule="exact"/>
              <w:rPr>
                <w:sz w:val="1"/>
                <w:szCs w:val="1"/>
                <w:color w:val="auto"/>
              </w:rPr>
            </w:pPr>
          </w:p>
        </w:tc>
        <w:tc>
          <w:tcPr>
            <w:tcW w:w="140" w:type="dxa"/>
            <w:vAlign w:val="bottom"/>
            <w:tcBorders>
              <w:bottom w:val="single" w:sz="8" w:color="F0FFFF"/>
              <w:right w:val="single" w:sz="8" w:color="auto"/>
            </w:tcBorders>
            <w:shd w:val="clear" w:color="auto" w:fill="F0FFFF"/>
          </w:tcPr>
          <w:p>
            <w:pPr>
              <w:spacing w:after="0" w:line="20" w:lineRule="exact"/>
              <w:rPr>
                <w:sz w:val="1"/>
                <w:szCs w:val="1"/>
                <w:color w:val="auto"/>
              </w:rPr>
            </w:pPr>
          </w:p>
        </w:tc>
        <w:tc>
          <w:tcPr>
            <w:tcW w:w="60" w:type="dxa"/>
            <w:vAlign w:val="bottom"/>
            <w:tcBorders>
              <w:bottom w:val="single" w:sz="8" w:color="F0FFFF"/>
            </w:tcBorders>
            <w:shd w:val="clear" w:color="auto" w:fill="F0FFFF"/>
          </w:tcPr>
          <w:p>
            <w:pPr>
              <w:spacing w:after="0" w:line="20" w:lineRule="exact"/>
              <w:rPr>
                <w:sz w:val="1"/>
                <w:szCs w:val="1"/>
                <w:color w:val="auto"/>
              </w:rPr>
            </w:pPr>
          </w:p>
        </w:tc>
        <w:tc>
          <w:tcPr>
            <w:tcW w:w="320" w:type="dxa"/>
            <w:vAlign w:val="bottom"/>
            <w:tcBorders>
              <w:bottom w:val="single" w:sz="8" w:color="F0FFFF"/>
            </w:tcBorders>
            <w:shd w:val="clear" w:color="auto" w:fill="F0FFFF"/>
          </w:tcPr>
          <w:p>
            <w:pPr>
              <w:spacing w:after="0" w:line="20" w:lineRule="exact"/>
              <w:rPr>
                <w:sz w:val="1"/>
                <w:szCs w:val="1"/>
                <w:color w:val="auto"/>
              </w:rPr>
            </w:pPr>
          </w:p>
        </w:tc>
        <w:tc>
          <w:tcPr>
            <w:tcW w:w="660" w:type="dxa"/>
            <w:vAlign w:val="bottom"/>
            <w:tcBorders>
              <w:bottom w:val="single" w:sz="8" w:color="auto"/>
            </w:tcBorders>
            <w:shd w:val="clear" w:color="auto" w:fill="F0FFFF"/>
          </w:tcPr>
          <w:p>
            <w:pPr>
              <w:spacing w:after="0" w:line="20" w:lineRule="exact"/>
              <w:rPr>
                <w:sz w:val="1"/>
                <w:szCs w:val="1"/>
                <w:color w:val="auto"/>
              </w:rPr>
            </w:pPr>
          </w:p>
        </w:tc>
        <w:tc>
          <w:tcPr>
            <w:tcW w:w="100" w:type="dxa"/>
            <w:vAlign w:val="bottom"/>
            <w:tcBorders>
              <w:bottom w:val="single" w:sz="8" w:color="auto"/>
            </w:tcBorders>
            <w:shd w:val="clear" w:color="auto" w:fill="F0FFFF"/>
          </w:tcPr>
          <w:p>
            <w:pPr>
              <w:spacing w:after="0" w:line="20" w:lineRule="exact"/>
              <w:rPr>
                <w:sz w:val="1"/>
                <w:szCs w:val="1"/>
                <w:color w:val="auto"/>
              </w:rPr>
            </w:pPr>
          </w:p>
        </w:tc>
        <w:tc>
          <w:tcPr>
            <w:tcW w:w="140" w:type="dxa"/>
            <w:vAlign w:val="bottom"/>
            <w:tcBorders>
              <w:bottom w:val="single" w:sz="8" w:color="F0FFFF"/>
              <w:right w:val="single" w:sz="8" w:color="auto"/>
            </w:tcBorders>
            <w:gridSpan w:val="2"/>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520" w:type="dxa"/>
            <w:vAlign w:val="bottom"/>
            <w:tcBorders>
              <w:left w:val="single" w:sz="8" w:color="auto"/>
              <w:right w:val="single" w:sz="8" w:color="auto"/>
            </w:tcBorders>
            <w:shd w:val="clear" w:color="auto" w:fill="F0FFFF"/>
          </w:tcPr>
          <w:p>
            <w:pPr>
              <w:spacing w:after="0"/>
              <w:rPr>
                <w:sz w:val="10"/>
                <w:szCs w:val="10"/>
                <w:color w:val="auto"/>
              </w:rPr>
            </w:pPr>
          </w:p>
        </w:tc>
        <w:tc>
          <w:tcPr>
            <w:tcW w:w="80" w:type="dxa"/>
            <w:vAlign w:val="bottom"/>
            <w:shd w:val="clear" w:color="auto" w:fill="F0FFFF"/>
          </w:tcPr>
          <w:p>
            <w:pPr>
              <w:spacing w:after="0"/>
              <w:rPr>
                <w:sz w:val="10"/>
                <w:szCs w:val="10"/>
                <w:color w:val="auto"/>
              </w:rPr>
            </w:pPr>
          </w:p>
        </w:tc>
        <w:tc>
          <w:tcPr>
            <w:tcW w:w="4320" w:type="dxa"/>
            <w:vAlign w:val="bottom"/>
            <w:tcBorders>
              <w:right w:val="single" w:sz="8" w:color="auto"/>
            </w:tcBorders>
            <w:gridSpan w:val="15"/>
            <w:shd w:val="clear" w:color="auto" w:fill="F0FFFF"/>
          </w:tcPr>
          <w:p>
            <w:pPr>
              <w:ind w:left="120"/>
              <w:spacing w:after="0" w:line="119" w:lineRule="exact"/>
              <w:rPr>
                <w:sz w:val="20"/>
                <w:szCs w:val="20"/>
                <w:color w:val="auto"/>
              </w:rPr>
            </w:pPr>
            <w:r>
              <w:rPr>
                <w:rFonts w:ascii="Times New Roman" w:cs="Times New Roman" w:eastAsia="Times New Roman" w:hAnsi="Times New Roman"/>
                <w:sz w:val="13"/>
                <w:szCs w:val="13"/>
                <w:color w:val="auto"/>
              </w:rPr>
              <w:t xml:space="preserve">least equal to 10%, 15%, and 25%. </w:t>
            </w:r>
            <w:r>
              <w:rPr>
                <w:rFonts w:ascii="Times New Roman" w:cs="Times New Roman" w:eastAsia="Times New Roman" w:hAnsi="Times New Roman"/>
                <w:sz w:val="13"/>
                <w:szCs w:val="13"/>
                <w:b w:val="1"/>
                <w:bCs w:val="1"/>
                <w:color w:val="auto"/>
              </w:rPr>
              <w:t>Under these Shield Options, the</w:t>
            </w:r>
          </w:p>
        </w:tc>
        <w:tc>
          <w:tcPr>
            <w:tcW w:w="60" w:type="dxa"/>
            <w:vAlign w:val="bottom"/>
            <w:shd w:val="clear" w:color="auto" w:fill="F0FFFF"/>
          </w:tcPr>
          <w:p>
            <w:pPr>
              <w:spacing w:after="0"/>
              <w:rPr>
                <w:sz w:val="10"/>
                <w:szCs w:val="10"/>
                <w:color w:val="auto"/>
              </w:rPr>
            </w:pPr>
          </w:p>
        </w:tc>
        <w:tc>
          <w:tcPr>
            <w:tcW w:w="320" w:type="dxa"/>
            <w:vAlign w:val="bottom"/>
            <w:shd w:val="clear" w:color="auto" w:fill="F0FFFF"/>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 </w:t>
            </w:r>
          </w:p>
        </w:tc>
        <w:tc>
          <w:tcPr>
            <w:tcW w:w="66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140" w:type="dxa"/>
            <w:vAlign w:val="bottom"/>
            <w:tcBorders>
              <w:right w:val="single" w:sz="8" w:color="auto"/>
            </w:tcBorders>
            <w:gridSpan w:val="2"/>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52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560" w:type="dxa"/>
            <w:vAlign w:val="bottom"/>
            <w:tcBorders>
              <w:right w:val="single" w:sz="8" w:color="F0FFFF"/>
            </w:tcBorders>
            <w:shd w:val="clear" w:color="auto" w:fill="F0FFFF"/>
          </w:tcPr>
          <w:p>
            <w:pPr>
              <w:spacing w:after="0" w:line="20" w:lineRule="exact"/>
              <w:rPr>
                <w:sz w:val="1"/>
                <w:szCs w:val="1"/>
                <w:color w:val="auto"/>
              </w:rPr>
            </w:pPr>
          </w:p>
        </w:tc>
        <w:tc>
          <w:tcPr>
            <w:tcW w:w="480" w:type="dxa"/>
            <w:vAlign w:val="bottom"/>
            <w:tcBorders>
              <w:right w:val="single" w:sz="8" w:color="F0FFFF"/>
            </w:tcBorders>
            <w:shd w:val="clear" w:color="auto" w:fill="F0FFFF"/>
          </w:tcPr>
          <w:p>
            <w:pPr>
              <w:spacing w:after="0" w:line="20" w:lineRule="exact"/>
              <w:rPr>
                <w:sz w:val="1"/>
                <w:szCs w:val="1"/>
                <w:color w:val="auto"/>
              </w:rPr>
            </w:pPr>
          </w:p>
        </w:tc>
        <w:tc>
          <w:tcPr>
            <w:tcW w:w="740" w:type="dxa"/>
            <w:vAlign w:val="bottom"/>
            <w:tcBorders>
              <w:right w:val="single" w:sz="8" w:color="F0FFFF"/>
            </w:tcBorders>
            <w:gridSpan w:val="4"/>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760" w:type="dxa"/>
            <w:vAlign w:val="bottom"/>
            <w:tcBorders>
              <w:right w:val="single" w:sz="8" w:color="auto"/>
            </w:tcBorders>
            <w:gridSpan w:val="3"/>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1220" w:type="dxa"/>
            <w:vAlign w:val="bottom"/>
            <w:tcBorders>
              <w:right w:val="single" w:sz="8" w:color="auto"/>
            </w:tcBorders>
            <w:gridSpan w:val="5"/>
            <w:vMerge w:val="restart"/>
            <w:shd w:val="clear" w:color="auto" w:fill="F0FFFF"/>
          </w:tcPr>
          <w:p>
            <w:pPr>
              <w:spacing w:after="0"/>
              <w:rPr>
                <w:sz w:val="20"/>
                <w:szCs w:val="20"/>
                <w:color w:val="auto"/>
              </w:rPr>
            </w:pPr>
            <w:r>
              <w:rPr>
                <w:rFonts w:ascii="Times New Roman" w:cs="Times New Roman" w:eastAsia="Times New Roman" w:hAnsi="Times New Roman"/>
                <w:sz w:val="13"/>
                <w:szCs w:val="13"/>
                <w:b w:val="1"/>
                <w:bCs w:val="1"/>
                <w:color w:val="auto"/>
              </w:rPr>
              <w:t>SHIELD RATES</w:t>
            </w:r>
          </w:p>
        </w:tc>
        <w:tc>
          <w:tcPr>
            <w:tcW w:w="0" w:type="dxa"/>
            <w:vAlign w:val="bottom"/>
          </w:tcPr>
          <w:p>
            <w:pPr>
              <w:spacing w:after="0" w:line="20" w:lineRule="exact"/>
              <w:rPr>
                <w:sz w:val="1"/>
                <w:szCs w:val="1"/>
                <w:color w:val="auto"/>
              </w:rPr>
            </w:pPr>
          </w:p>
        </w:tc>
      </w:tr>
      <w:tr>
        <w:trPr>
          <w:trHeight w:val="139"/>
        </w:trPr>
        <w:tc>
          <w:tcPr>
            <w:tcW w:w="1520" w:type="dxa"/>
            <w:vAlign w:val="bottom"/>
            <w:tcBorders>
              <w:left w:val="single" w:sz="8" w:color="auto"/>
              <w:right w:val="single" w:sz="8" w:color="auto"/>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4320" w:type="dxa"/>
            <w:vAlign w:val="bottom"/>
            <w:tcBorders>
              <w:right w:val="single" w:sz="8" w:color="auto"/>
            </w:tcBorders>
            <w:gridSpan w:val="15"/>
            <w:shd w:val="clear" w:color="auto" w:fill="F0FFFF"/>
          </w:tcPr>
          <w:p>
            <w:pPr>
              <w:ind w:left="120"/>
              <w:spacing w:after="0" w:line="139" w:lineRule="exact"/>
              <w:rPr>
                <w:sz w:val="20"/>
                <w:szCs w:val="20"/>
                <w:color w:val="auto"/>
              </w:rPr>
            </w:pPr>
            <w:r>
              <w:rPr>
                <w:rFonts w:ascii="Times New Roman" w:cs="Times New Roman" w:eastAsia="Times New Roman" w:hAnsi="Times New Roman"/>
                <w:sz w:val="13"/>
                <w:szCs w:val="13"/>
                <w:b w:val="1"/>
                <w:bCs w:val="1"/>
                <w:color w:val="auto"/>
              </w:rPr>
              <w:t>maximum amount of loss you could experience due to negative index</w:t>
            </w:r>
          </w:p>
        </w:tc>
        <w:tc>
          <w:tcPr>
            <w:tcW w:w="60" w:type="dxa"/>
            <w:vAlign w:val="bottom"/>
            <w:shd w:val="clear" w:color="auto" w:fill="F0FFFF"/>
          </w:tcPr>
          <w:p>
            <w:pPr>
              <w:spacing w:after="0"/>
              <w:rPr>
                <w:sz w:val="12"/>
                <w:szCs w:val="12"/>
                <w:color w:val="auto"/>
              </w:rPr>
            </w:pPr>
          </w:p>
        </w:tc>
        <w:tc>
          <w:tcPr>
            <w:tcW w:w="1220" w:type="dxa"/>
            <w:vAlign w:val="bottom"/>
            <w:tcBorders>
              <w:right w:val="single" w:sz="8" w:color="auto"/>
            </w:tcBorders>
            <w:gridSpan w:val="5"/>
            <w:vMerge w:val="continue"/>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520" w:type="dxa"/>
            <w:vAlign w:val="bottom"/>
            <w:tcBorders>
              <w:top w:val="single" w:sz="8" w:color="F0FFFF"/>
              <w:left w:val="single" w:sz="8" w:color="auto"/>
              <w:right w:val="single" w:sz="8" w:color="auto"/>
            </w:tcBorders>
            <w:shd w:val="clear" w:color="auto" w:fill="F0FFFF"/>
          </w:tcPr>
          <w:p>
            <w:pPr>
              <w:spacing w:after="0"/>
              <w:rPr>
                <w:sz w:val="12"/>
                <w:szCs w:val="12"/>
                <w:color w:val="auto"/>
              </w:rPr>
            </w:pPr>
          </w:p>
        </w:tc>
        <w:tc>
          <w:tcPr>
            <w:tcW w:w="80" w:type="dxa"/>
            <w:vAlign w:val="bottom"/>
            <w:tcBorders>
              <w:top w:val="single" w:sz="8" w:color="F0FFFF"/>
            </w:tcBorders>
            <w:shd w:val="clear" w:color="auto" w:fill="F0FFFF"/>
          </w:tcPr>
          <w:p>
            <w:pPr>
              <w:spacing w:after="0"/>
              <w:rPr>
                <w:sz w:val="12"/>
                <w:szCs w:val="12"/>
                <w:color w:val="auto"/>
              </w:rPr>
            </w:pPr>
          </w:p>
        </w:tc>
        <w:tc>
          <w:tcPr>
            <w:tcW w:w="4320" w:type="dxa"/>
            <w:vAlign w:val="bottom"/>
            <w:tcBorders>
              <w:top w:val="single" w:sz="8" w:color="F0FFFF"/>
              <w:right w:val="single" w:sz="8" w:color="auto"/>
            </w:tcBorders>
            <w:gridSpan w:val="15"/>
            <w:shd w:val="clear" w:color="auto" w:fill="F0FFFF"/>
          </w:tcPr>
          <w:p>
            <w:pPr>
              <w:ind w:left="120"/>
              <w:spacing w:after="0" w:line="139" w:lineRule="exact"/>
              <w:rPr>
                <w:sz w:val="20"/>
                <w:szCs w:val="20"/>
                <w:color w:val="auto"/>
              </w:rPr>
            </w:pPr>
            <w:r>
              <w:rPr>
                <w:rFonts w:ascii="Times New Roman" w:cs="Times New Roman" w:eastAsia="Times New Roman" w:hAnsi="Times New Roman"/>
                <w:sz w:val="13"/>
                <w:szCs w:val="13"/>
                <w:b w:val="1"/>
                <w:bCs w:val="1"/>
                <w:color w:val="auto"/>
              </w:rPr>
              <w:t>performance at the end of a Term, after taking into account these</w:t>
            </w:r>
          </w:p>
        </w:tc>
        <w:tc>
          <w:tcPr>
            <w:tcW w:w="60" w:type="dxa"/>
            <w:vAlign w:val="bottom"/>
            <w:tcBorders>
              <w:top w:val="single" w:sz="8" w:color="F0FFFF"/>
            </w:tcBorders>
            <w:shd w:val="clear" w:color="auto" w:fill="F0FFFF"/>
          </w:tcPr>
          <w:p>
            <w:pPr>
              <w:spacing w:after="0"/>
              <w:rPr>
                <w:sz w:val="12"/>
                <w:szCs w:val="12"/>
                <w:color w:val="auto"/>
              </w:rPr>
            </w:pPr>
          </w:p>
        </w:tc>
        <w:tc>
          <w:tcPr>
            <w:tcW w:w="320" w:type="dxa"/>
            <w:vAlign w:val="bottom"/>
            <w:tcBorders>
              <w:top w:val="single" w:sz="8" w:color="auto"/>
            </w:tcBorders>
            <w:shd w:val="clear" w:color="auto" w:fill="F0FFFF"/>
          </w:tcPr>
          <w:p>
            <w:pPr>
              <w:spacing w:after="0"/>
              <w:rPr>
                <w:sz w:val="12"/>
                <w:szCs w:val="12"/>
                <w:color w:val="auto"/>
              </w:rPr>
            </w:pPr>
          </w:p>
        </w:tc>
        <w:tc>
          <w:tcPr>
            <w:tcW w:w="660" w:type="dxa"/>
            <w:vAlign w:val="bottom"/>
            <w:tcBorders>
              <w:top w:val="single" w:sz="8" w:color="auto"/>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20" w:type="dxa"/>
            <w:vAlign w:val="bottom"/>
            <w:tcBorders>
              <w:top w:val="single" w:sz="8" w:color="F0FFFF"/>
            </w:tcBorders>
            <w:shd w:val="clear" w:color="auto" w:fill="F0FFFF"/>
          </w:tcPr>
          <w:p>
            <w:pPr>
              <w:spacing w:after="0"/>
              <w:rPr>
                <w:sz w:val="12"/>
                <w:szCs w:val="12"/>
                <w:color w:val="auto"/>
              </w:rPr>
            </w:pPr>
          </w:p>
        </w:tc>
        <w:tc>
          <w:tcPr>
            <w:tcW w:w="120" w:type="dxa"/>
            <w:vAlign w:val="bottom"/>
            <w:tcBorders>
              <w:top w:val="single" w:sz="8" w:color="F0FFFF"/>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2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560" w:type="dxa"/>
            <w:vAlign w:val="bottom"/>
            <w:tcBorders>
              <w:right w:val="single" w:sz="8" w:color="F0FFFF"/>
            </w:tcBorders>
            <w:shd w:val="clear" w:color="auto" w:fill="F0FFFF"/>
          </w:tcPr>
          <w:p>
            <w:pPr>
              <w:spacing w:after="0" w:line="20" w:lineRule="exact"/>
              <w:rPr>
                <w:sz w:val="1"/>
                <w:szCs w:val="1"/>
                <w:color w:val="auto"/>
              </w:rPr>
            </w:pPr>
          </w:p>
        </w:tc>
        <w:tc>
          <w:tcPr>
            <w:tcW w:w="480" w:type="dxa"/>
            <w:vAlign w:val="bottom"/>
            <w:tcBorders>
              <w:right w:val="single" w:sz="8" w:color="F0FFFF"/>
            </w:tcBorders>
            <w:shd w:val="clear" w:color="auto" w:fill="F0FFFF"/>
          </w:tcPr>
          <w:p>
            <w:pPr>
              <w:spacing w:after="0" w:line="20" w:lineRule="exact"/>
              <w:rPr>
                <w:sz w:val="1"/>
                <w:szCs w:val="1"/>
                <w:color w:val="auto"/>
              </w:rPr>
            </w:pPr>
          </w:p>
        </w:tc>
        <w:tc>
          <w:tcPr>
            <w:tcW w:w="740" w:type="dxa"/>
            <w:vAlign w:val="bottom"/>
            <w:tcBorders>
              <w:right w:val="single" w:sz="8" w:color="auto"/>
            </w:tcBorders>
            <w:gridSpan w:val="4"/>
            <w:shd w:val="clear" w:color="auto" w:fill="F0FFFF"/>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tcBorders>
              <w:right w:val="single" w:sz="8" w:color="F0FFFF"/>
            </w:tcBorders>
            <w:gridSpan w:val="3"/>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50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320" w:type="dxa"/>
            <w:vAlign w:val="bottom"/>
            <w:shd w:val="clear" w:color="auto" w:fill="F0FFFF"/>
          </w:tcPr>
          <w:p>
            <w:pPr>
              <w:spacing w:after="0" w:line="20" w:lineRule="exact"/>
              <w:rPr>
                <w:sz w:val="1"/>
                <w:szCs w:val="1"/>
                <w:color w:val="auto"/>
              </w:rPr>
            </w:pPr>
          </w:p>
        </w:tc>
        <w:tc>
          <w:tcPr>
            <w:tcW w:w="66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2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520" w:type="dxa"/>
            <w:vAlign w:val="bottom"/>
            <w:tcBorders>
              <w:left w:val="single" w:sz="8" w:color="auto"/>
              <w:right w:val="single" w:sz="8" w:color="auto"/>
            </w:tcBorders>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4320" w:type="dxa"/>
            <w:vAlign w:val="bottom"/>
            <w:tcBorders>
              <w:right w:val="single" w:sz="8" w:color="auto"/>
            </w:tcBorders>
            <w:gridSpan w:val="15"/>
            <w:shd w:val="clear" w:color="auto" w:fill="F0FFFF"/>
          </w:tcPr>
          <w:p>
            <w:pPr>
              <w:ind w:left="120"/>
              <w:spacing w:after="0"/>
              <w:rPr>
                <w:sz w:val="20"/>
                <w:szCs w:val="20"/>
                <w:color w:val="auto"/>
              </w:rPr>
            </w:pPr>
            <w:r>
              <w:rPr>
                <w:rFonts w:ascii="Times New Roman" w:cs="Times New Roman" w:eastAsia="Times New Roman" w:hAnsi="Times New Roman"/>
                <w:sz w:val="13"/>
                <w:szCs w:val="13"/>
                <w:b w:val="1"/>
                <w:bCs w:val="1"/>
                <w:color w:val="auto"/>
              </w:rPr>
              <w:t>levels of protection, would be: 90% for 10% downside protection; 85%</w:t>
            </w:r>
          </w:p>
        </w:tc>
        <w:tc>
          <w:tcPr>
            <w:tcW w:w="60" w:type="dxa"/>
            <w:vAlign w:val="bottom"/>
            <w:shd w:val="clear" w:color="auto" w:fill="F0FFFF"/>
          </w:tcPr>
          <w:p>
            <w:pPr>
              <w:spacing w:after="0"/>
              <w:rPr>
                <w:sz w:val="13"/>
                <w:szCs w:val="13"/>
                <w:color w:val="auto"/>
              </w:rPr>
            </w:pPr>
          </w:p>
        </w:tc>
        <w:tc>
          <w:tcPr>
            <w:tcW w:w="320" w:type="dxa"/>
            <w:vAlign w:val="bottom"/>
            <w:shd w:val="clear" w:color="auto" w:fill="F0FFFF"/>
          </w:tcPr>
          <w:p>
            <w:pPr>
              <w:spacing w:after="0"/>
              <w:rPr>
                <w:sz w:val="13"/>
                <w:szCs w:val="13"/>
                <w:color w:val="auto"/>
              </w:rPr>
            </w:pPr>
          </w:p>
        </w:tc>
        <w:tc>
          <w:tcPr>
            <w:tcW w:w="66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20" w:type="dxa"/>
            <w:vAlign w:val="bottom"/>
            <w:shd w:val="clear" w:color="auto" w:fill="F0FFFF"/>
          </w:tcPr>
          <w:p>
            <w:pPr>
              <w:spacing w:after="0"/>
              <w:rPr>
                <w:sz w:val="13"/>
                <w:szCs w:val="13"/>
                <w:color w:val="auto"/>
              </w:rPr>
            </w:pPr>
          </w:p>
        </w:tc>
        <w:tc>
          <w:tcPr>
            <w:tcW w:w="120" w:type="dxa"/>
            <w:vAlign w:val="bottom"/>
            <w:tcBorders>
              <w:right w:val="single" w:sz="8" w:color="auto"/>
            </w:tcBorders>
            <w:shd w:val="clear" w:color="auto" w:fill="F0FF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520" w:type="dxa"/>
            <w:vAlign w:val="bottom"/>
            <w:tcBorders>
              <w:left w:val="single" w:sz="8" w:color="auto"/>
              <w:right w:val="single" w:sz="8" w:color="auto"/>
            </w:tcBorders>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4320" w:type="dxa"/>
            <w:vAlign w:val="bottom"/>
            <w:tcBorders>
              <w:right w:val="single" w:sz="8" w:color="auto"/>
            </w:tcBorders>
            <w:gridSpan w:val="15"/>
            <w:shd w:val="clear" w:color="auto" w:fill="F0FFFF"/>
          </w:tcPr>
          <w:p>
            <w:pPr>
              <w:ind w:left="120"/>
              <w:spacing w:after="0"/>
              <w:rPr>
                <w:sz w:val="20"/>
                <w:szCs w:val="20"/>
                <w:color w:val="auto"/>
              </w:rPr>
            </w:pPr>
            <w:r>
              <w:rPr>
                <w:rFonts w:ascii="Times New Roman" w:cs="Times New Roman" w:eastAsia="Times New Roman" w:hAnsi="Times New Roman"/>
                <w:sz w:val="13"/>
                <w:szCs w:val="13"/>
                <w:b w:val="1"/>
                <w:bCs w:val="1"/>
                <w:color w:val="auto"/>
              </w:rPr>
              <w:t>for 15% downside protection; and 75% for 25% downside protection.</w:t>
            </w:r>
          </w:p>
        </w:tc>
        <w:tc>
          <w:tcPr>
            <w:tcW w:w="60" w:type="dxa"/>
            <w:vAlign w:val="bottom"/>
            <w:shd w:val="clear" w:color="auto" w:fill="F0FFFF"/>
          </w:tcPr>
          <w:p>
            <w:pPr>
              <w:spacing w:after="0"/>
              <w:rPr>
                <w:sz w:val="13"/>
                <w:szCs w:val="13"/>
                <w:color w:val="auto"/>
              </w:rPr>
            </w:pPr>
          </w:p>
        </w:tc>
        <w:tc>
          <w:tcPr>
            <w:tcW w:w="320" w:type="dxa"/>
            <w:vAlign w:val="bottom"/>
            <w:shd w:val="clear" w:color="auto" w:fill="F0FFFF"/>
          </w:tcPr>
          <w:p>
            <w:pPr>
              <w:spacing w:after="0"/>
              <w:rPr>
                <w:sz w:val="13"/>
                <w:szCs w:val="13"/>
                <w:color w:val="auto"/>
              </w:rPr>
            </w:pPr>
          </w:p>
        </w:tc>
        <w:tc>
          <w:tcPr>
            <w:tcW w:w="66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20" w:type="dxa"/>
            <w:vAlign w:val="bottom"/>
            <w:shd w:val="clear" w:color="auto" w:fill="F0FFFF"/>
          </w:tcPr>
          <w:p>
            <w:pPr>
              <w:spacing w:after="0"/>
              <w:rPr>
                <w:sz w:val="13"/>
                <w:szCs w:val="13"/>
                <w:color w:val="auto"/>
              </w:rPr>
            </w:pPr>
          </w:p>
        </w:tc>
        <w:tc>
          <w:tcPr>
            <w:tcW w:w="120" w:type="dxa"/>
            <w:vAlign w:val="bottom"/>
            <w:tcBorders>
              <w:right w:val="single" w:sz="8" w:color="auto"/>
            </w:tcBorders>
            <w:shd w:val="clear" w:color="auto" w:fill="F0FF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520" w:type="dxa"/>
            <w:vAlign w:val="bottom"/>
            <w:tcBorders>
              <w:left w:val="single" w:sz="8" w:color="auto"/>
              <w:right w:val="single" w:sz="8" w:color="auto"/>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4320" w:type="dxa"/>
            <w:vAlign w:val="bottom"/>
            <w:tcBorders>
              <w:right w:val="single" w:sz="8" w:color="auto"/>
            </w:tcBorders>
            <w:gridSpan w:val="15"/>
            <w:shd w:val="clear" w:color="auto" w:fill="F0FFFF"/>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 We do not guarantee that there will always be a Shield Option under</w:t>
            </w:r>
          </w:p>
        </w:tc>
        <w:tc>
          <w:tcPr>
            <w:tcW w:w="60" w:type="dxa"/>
            <w:vAlign w:val="bottom"/>
            <w:shd w:val="clear" w:color="auto" w:fill="F0FFFF"/>
          </w:tcPr>
          <w:p>
            <w:pPr>
              <w:spacing w:after="0"/>
              <w:rPr>
                <w:sz w:val="12"/>
                <w:szCs w:val="12"/>
                <w:color w:val="auto"/>
              </w:rPr>
            </w:pPr>
          </w:p>
        </w:tc>
        <w:tc>
          <w:tcPr>
            <w:tcW w:w="32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2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2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560" w:type="dxa"/>
            <w:vAlign w:val="bottom"/>
            <w:tcBorders>
              <w:right w:val="single" w:sz="8" w:color="F0FFFF"/>
            </w:tcBorders>
            <w:shd w:val="clear" w:color="auto" w:fill="F0FFFF"/>
          </w:tcPr>
          <w:p>
            <w:pPr>
              <w:spacing w:after="0" w:line="20" w:lineRule="exact"/>
              <w:rPr>
                <w:sz w:val="1"/>
                <w:szCs w:val="1"/>
                <w:color w:val="auto"/>
              </w:rPr>
            </w:pPr>
          </w:p>
        </w:tc>
        <w:tc>
          <w:tcPr>
            <w:tcW w:w="480" w:type="dxa"/>
            <w:vAlign w:val="bottom"/>
            <w:tcBorders>
              <w:right w:val="single" w:sz="8" w:color="F0FFFF"/>
            </w:tcBorders>
            <w:shd w:val="clear" w:color="auto" w:fill="F0FFFF"/>
          </w:tcPr>
          <w:p>
            <w:pPr>
              <w:spacing w:after="0" w:line="20" w:lineRule="exact"/>
              <w:rPr>
                <w:sz w:val="1"/>
                <w:szCs w:val="1"/>
                <w:color w:val="auto"/>
              </w:rPr>
            </w:pPr>
          </w:p>
        </w:tc>
        <w:tc>
          <w:tcPr>
            <w:tcW w:w="1820" w:type="dxa"/>
            <w:vAlign w:val="bottom"/>
            <w:tcBorders>
              <w:right w:val="single" w:sz="8" w:color="auto"/>
            </w:tcBorders>
            <w:gridSpan w:val="8"/>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320" w:type="dxa"/>
            <w:vAlign w:val="bottom"/>
            <w:shd w:val="clear" w:color="auto" w:fill="F0FFFF"/>
          </w:tcPr>
          <w:p>
            <w:pPr>
              <w:spacing w:after="0" w:line="20" w:lineRule="exact"/>
              <w:rPr>
                <w:sz w:val="1"/>
                <w:szCs w:val="1"/>
                <w:color w:val="auto"/>
              </w:rPr>
            </w:pPr>
          </w:p>
        </w:tc>
        <w:tc>
          <w:tcPr>
            <w:tcW w:w="66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2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520" w:type="dxa"/>
            <w:vAlign w:val="bottom"/>
            <w:tcBorders>
              <w:left w:val="single" w:sz="8" w:color="auto"/>
              <w:right w:val="single" w:sz="8" w:color="auto"/>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4320" w:type="dxa"/>
            <w:vAlign w:val="bottom"/>
            <w:tcBorders>
              <w:right w:val="single" w:sz="8" w:color="auto"/>
            </w:tcBorders>
            <w:gridSpan w:val="15"/>
            <w:shd w:val="clear" w:color="auto" w:fill="F0FFFF"/>
          </w:tcPr>
          <w:p>
            <w:pPr>
              <w:ind w:left="120"/>
              <w:spacing w:after="0" w:line="139" w:lineRule="exact"/>
              <w:rPr>
                <w:sz w:val="20"/>
                <w:szCs w:val="20"/>
                <w:color w:val="auto"/>
              </w:rPr>
            </w:pPr>
            <w:r>
              <w:rPr>
                <w:rFonts w:ascii="Times New Roman" w:cs="Times New Roman" w:eastAsia="Times New Roman" w:hAnsi="Times New Roman"/>
                <w:sz w:val="13"/>
                <w:szCs w:val="13"/>
                <w:b w:val="1"/>
                <w:bCs w:val="1"/>
                <w:color w:val="auto"/>
              </w:rPr>
              <w:t>the Contract that provides this minimum amount of downside</w:t>
            </w:r>
          </w:p>
        </w:tc>
        <w:tc>
          <w:tcPr>
            <w:tcW w:w="60" w:type="dxa"/>
            <w:vAlign w:val="bottom"/>
            <w:shd w:val="clear" w:color="auto" w:fill="F0FFFF"/>
          </w:tcPr>
          <w:p>
            <w:pPr>
              <w:spacing w:after="0"/>
              <w:rPr>
                <w:sz w:val="12"/>
                <w:szCs w:val="12"/>
                <w:color w:val="auto"/>
              </w:rPr>
            </w:pPr>
          </w:p>
        </w:tc>
        <w:tc>
          <w:tcPr>
            <w:tcW w:w="32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2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2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560" w:type="dxa"/>
            <w:vAlign w:val="bottom"/>
            <w:tcBorders>
              <w:right w:val="single" w:sz="8" w:color="auto"/>
            </w:tcBorders>
            <w:shd w:val="clear" w:color="auto" w:fill="F0FFFF"/>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040" w:type="dxa"/>
            <w:vAlign w:val="bottom"/>
            <w:tcBorders>
              <w:right w:val="single" w:sz="8" w:color="F0FFFF"/>
            </w:tcBorders>
            <w:gridSpan w:val="9"/>
            <w:shd w:val="clear" w:color="auto" w:fill="F0FFFF"/>
          </w:tcPr>
          <w:p>
            <w:pPr>
              <w:spacing w:after="0" w:line="20" w:lineRule="exact"/>
              <w:rPr>
                <w:sz w:val="1"/>
                <w:szCs w:val="1"/>
                <w:color w:val="auto"/>
              </w:rPr>
            </w:pPr>
          </w:p>
        </w:tc>
        <w:tc>
          <w:tcPr>
            <w:tcW w:w="800" w:type="dxa"/>
            <w:vAlign w:val="bottom"/>
            <w:tcBorders>
              <w:left w:val="single" w:sz="8" w:color="F0FFFF"/>
              <w:right w:val="single" w:sz="8" w:color="F0FFFF"/>
            </w:tcBorders>
            <w:gridSpan w:val="2"/>
            <w:shd w:val="clear" w:color="auto" w:fill="F0FFFF"/>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320" w:type="dxa"/>
            <w:vAlign w:val="bottom"/>
            <w:shd w:val="clear" w:color="auto" w:fill="F0FFFF"/>
          </w:tcPr>
          <w:p>
            <w:pPr>
              <w:spacing w:after="0" w:line="20" w:lineRule="exact"/>
              <w:rPr>
                <w:sz w:val="1"/>
                <w:szCs w:val="1"/>
                <w:color w:val="auto"/>
              </w:rPr>
            </w:pPr>
          </w:p>
        </w:tc>
        <w:tc>
          <w:tcPr>
            <w:tcW w:w="66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2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520" w:type="dxa"/>
            <w:vAlign w:val="bottom"/>
            <w:tcBorders>
              <w:left w:val="single" w:sz="8" w:color="auto"/>
              <w:right w:val="single" w:sz="8" w:color="auto"/>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4320" w:type="dxa"/>
            <w:vAlign w:val="bottom"/>
            <w:tcBorders>
              <w:right w:val="single" w:sz="8" w:color="auto"/>
            </w:tcBorders>
            <w:gridSpan w:val="15"/>
            <w:shd w:val="clear" w:color="auto" w:fill="F0FFFF"/>
          </w:tcPr>
          <w:p>
            <w:pPr>
              <w:ind w:left="120"/>
              <w:spacing w:after="0" w:line="139" w:lineRule="exact"/>
              <w:rPr>
                <w:sz w:val="20"/>
                <w:szCs w:val="20"/>
                <w:color w:val="auto"/>
              </w:rPr>
            </w:pPr>
            <w:r>
              <w:rPr>
                <w:rFonts w:ascii="Times New Roman" w:cs="Times New Roman" w:eastAsia="Times New Roman" w:hAnsi="Times New Roman"/>
                <w:sz w:val="13"/>
                <w:szCs w:val="13"/>
                <w:b w:val="1"/>
                <w:bCs w:val="1"/>
                <w:color w:val="auto"/>
              </w:rPr>
              <w:t>protection; however, there will always be at least one Shield Option</w:t>
            </w:r>
          </w:p>
        </w:tc>
        <w:tc>
          <w:tcPr>
            <w:tcW w:w="60" w:type="dxa"/>
            <w:vAlign w:val="bottom"/>
            <w:shd w:val="clear" w:color="auto" w:fill="F0FFFF"/>
          </w:tcPr>
          <w:p>
            <w:pPr>
              <w:spacing w:after="0"/>
              <w:rPr>
                <w:sz w:val="12"/>
                <w:szCs w:val="12"/>
                <w:color w:val="auto"/>
              </w:rPr>
            </w:pPr>
          </w:p>
        </w:tc>
        <w:tc>
          <w:tcPr>
            <w:tcW w:w="32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2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2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560" w:type="dxa"/>
            <w:vAlign w:val="bottom"/>
            <w:tcBorders>
              <w:right w:val="single" w:sz="8" w:color="F0FFFF"/>
            </w:tcBorders>
            <w:shd w:val="clear" w:color="auto" w:fill="F0FFFF"/>
          </w:tcPr>
          <w:p>
            <w:pPr>
              <w:spacing w:after="0" w:line="20" w:lineRule="exact"/>
              <w:rPr>
                <w:sz w:val="1"/>
                <w:szCs w:val="1"/>
                <w:color w:val="auto"/>
              </w:rPr>
            </w:pPr>
          </w:p>
        </w:tc>
        <w:tc>
          <w:tcPr>
            <w:tcW w:w="480" w:type="dxa"/>
            <w:vAlign w:val="bottom"/>
            <w:tcBorders>
              <w:right w:val="single" w:sz="8" w:color="F0FFFF"/>
            </w:tcBorders>
            <w:shd w:val="clear" w:color="auto" w:fill="F0FFFF"/>
          </w:tcPr>
          <w:p>
            <w:pPr>
              <w:spacing w:after="0" w:line="20" w:lineRule="exact"/>
              <w:rPr>
                <w:sz w:val="1"/>
                <w:szCs w:val="1"/>
                <w:color w:val="auto"/>
              </w:rPr>
            </w:pPr>
          </w:p>
        </w:tc>
        <w:tc>
          <w:tcPr>
            <w:tcW w:w="2040" w:type="dxa"/>
            <w:vAlign w:val="bottom"/>
            <w:tcBorders>
              <w:right w:val="single" w:sz="8" w:color="F0FFFF"/>
            </w:tcBorders>
            <w:gridSpan w:val="9"/>
            <w:shd w:val="clear" w:color="auto" w:fill="F0FFFF"/>
          </w:tcPr>
          <w:p>
            <w:pPr>
              <w:spacing w:after="0" w:line="20" w:lineRule="exact"/>
              <w:rPr>
                <w:sz w:val="1"/>
                <w:szCs w:val="1"/>
                <w:color w:val="auto"/>
              </w:rPr>
            </w:pPr>
          </w:p>
        </w:tc>
        <w:tc>
          <w:tcPr>
            <w:tcW w:w="8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320" w:type="dxa"/>
            <w:vAlign w:val="bottom"/>
            <w:shd w:val="clear" w:color="auto" w:fill="F0FFFF"/>
          </w:tcPr>
          <w:p>
            <w:pPr>
              <w:spacing w:after="0" w:line="20" w:lineRule="exact"/>
              <w:rPr>
                <w:sz w:val="1"/>
                <w:szCs w:val="1"/>
                <w:color w:val="auto"/>
              </w:rPr>
            </w:pPr>
          </w:p>
        </w:tc>
        <w:tc>
          <w:tcPr>
            <w:tcW w:w="66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2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520" w:type="dxa"/>
            <w:vAlign w:val="bottom"/>
            <w:tcBorders>
              <w:left w:val="single" w:sz="8" w:color="auto"/>
              <w:right w:val="single" w:sz="8" w:color="auto"/>
            </w:tcBorders>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4320" w:type="dxa"/>
            <w:vAlign w:val="bottom"/>
            <w:tcBorders>
              <w:right w:val="single" w:sz="8" w:color="auto"/>
            </w:tcBorders>
            <w:gridSpan w:val="15"/>
            <w:shd w:val="clear" w:color="auto" w:fill="F0FFFF"/>
          </w:tcPr>
          <w:p>
            <w:pPr>
              <w:ind w:left="120"/>
              <w:spacing w:after="0"/>
              <w:rPr>
                <w:sz w:val="20"/>
                <w:szCs w:val="20"/>
                <w:color w:val="auto"/>
              </w:rPr>
            </w:pPr>
            <w:r>
              <w:rPr>
                <w:rFonts w:ascii="Times New Roman" w:cs="Times New Roman" w:eastAsia="Times New Roman" w:hAnsi="Times New Roman"/>
                <w:sz w:val="13"/>
                <w:szCs w:val="13"/>
                <w:b w:val="1"/>
                <w:bCs w:val="1"/>
                <w:color w:val="auto"/>
              </w:rPr>
              <w:t>available that offers downside protection, although it may not be</w:t>
            </w:r>
          </w:p>
        </w:tc>
        <w:tc>
          <w:tcPr>
            <w:tcW w:w="60" w:type="dxa"/>
            <w:vAlign w:val="bottom"/>
            <w:shd w:val="clear" w:color="auto" w:fill="F0FFFF"/>
          </w:tcPr>
          <w:p>
            <w:pPr>
              <w:spacing w:after="0"/>
              <w:rPr>
                <w:sz w:val="13"/>
                <w:szCs w:val="13"/>
                <w:color w:val="auto"/>
              </w:rPr>
            </w:pPr>
          </w:p>
        </w:tc>
        <w:tc>
          <w:tcPr>
            <w:tcW w:w="320" w:type="dxa"/>
            <w:vAlign w:val="bottom"/>
            <w:shd w:val="clear" w:color="auto" w:fill="F0FFFF"/>
          </w:tcPr>
          <w:p>
            <w:pPr>
              <w:spacing w:after="0"/>
              <w:rPr>
                <w:sz w:val="13"/>
                <w:szCs w:val="13"/>
                <w:color w:val="auto"/>
              </w:rPr>
            </w:pPr>
          </w:p>
        </w:tc>
        <w:tc>
          <w:tcPr>
            <w:tcW w:w="66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20" w:type="dxa"/>
            <w:vAlign w:val="bottom"/>
            <w:shd w:val="clear" w:color="auto" w:fill="F0FFFF"/>
          </w:tcPr>
          <w:p>
            <w:pPr>
              <w:spacing w:after="0"/>
              <w:rPr>
                <w:sz w:val="13"/>
                <w:szCs w:val="13"/>
                <w:color w:val="auto"/>
              </w:rPr>
            </w:pPr>
          </w:p>
        </w:tc>
        <w:tc>
          <w:tcPr>
            <w:tcW w:w="120" w:type="dxa"/>
            <w:vAlign w:val="bottom"/>
            <w:tcBorders>
              <w:right w:val="single" w:sz="8" w:color="auto"/>
            </w:tcBorders>
            <w:shd w:val="clear" w:color="auto" w:fill="F0FFFF"/>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520" w:type="dxa"/>
            <w:vAlign w:val="bottom"/>
            <w:tcBorders>
              <w:left w:val="single" w:sz="8" w:color="auto"/>
              <w:bottom w:val="single" w:sz="8" w:color="auto"/>
              <w:right w:val="single" w:sz="8" w:color="auto"/>
            </w:tcBorders>
            <w:shd w:val="clear" w:color="auto" w:fill="F0FFFF"/>
          </w:tcPr>
          <w:p>
            <w:pPr>
              <w:spacing w:after="0"/>
              <w:rPr>
                <w:sz w:val="16"/>
                <w:szCs w:val="16"/>
                <w:color w:val="auto"/>
              </w:rPr>
            </w:pPr>
          </w:p>
        </w:tc>
        <w:tc>
          <w:tcPr>
            <w:tcW w:w="80" w:type="dxa"/>
            <w:vAlign w:val="bottom"/>
            <w:tcBorders>
              <w:bottom w:val="single" w:sz="8" w:color="auto"/>
            </w:tcBorders>
            <w:shd w:val="clear" w:color="auto" w:fill="F0FFFF"/>
          </w:tcPr>
          <w:p>
            <w:pPr>
              <w:spacing w:after="0"/>
              <w:rPr>
                <w:sz w:val="16"/>
                <w:szCs w:val="16"/>
                <w:color w:val="auto"/>
              </w:rPr>
            </w:pPr>
          </w:p>
        </w:tc>
        <w:tc>
          <w:tcPr>
            <w:tcW w:w="4320" w:type="dxa"/>
            <w:vAlign w:val="bottom"/>
            <w:tcBorders>
              <w:bottom w:val="single" w:sz="8" w:color="auto"/>
              <w:right w:val="single" w:sz="8" w:color="auto"/>
            </w:tcBorders>
            <w:gridSpan w:val="15"/>
            <w:shd w:val="clear" w:color="auto" w:fill="F0FFFF"/>
          </w:tcPr>
          <w:p>
            <w:pPr>
              <w:ind w:left="120"/>
              <w:spacing w:after="0" w:line="144" w:lineRule="exact"/>
              <w:rPr>
                <w:sz w:val="20"/>
                <w:szCs w:val="20"/>
                <w:color w:val="auto"/>
              </w:rPr>
            </w:pPr>
            <w:r>
              <w:rPr>
                <w:rFonts w:ascii="Times New Roman" w:cs="Times New Roman" w:eastAsia="Times New Roman" w:hAnsi="Times New Roman"/>
                <w:sz w:val="13"/>
                <w:szCs w:val="13"/>
                <w:b w:val="1"/>
                <w:bCs w:val="1"/>
                <w:color w:val="auto"/>
              </w:rPr>
              <w:t>substantially similar to one of the currently available Shield Options.</w:t>
            </w:r>
          </w:p>
        </w:tc>
        <w:tc>
          <w:tcPr>
            <w:tcW w:w="60" w:type="dxa"/>
            <w:vAlign w:val="bottom"/>
            <w:tcBorders>
              <w:bottom w:val="single" w:sz="8" w:color="auto"/>
            </w:tcBorders>
            <w:shd w:val="clear" w:color="auto" w:fill="F0FFFF"/>
          </w:tcPr>
          <w:p>
            <w:pPr>
              <w:spacing w:after="0"/>
              <w:rPr>
                <w:sz w:val="16"/>
                <w:szCs w:val="16"/>
                <w:color w:val="auto"/>
              </w:rPr>
            </w:pPr>
          </w:p>
        </w:tc>
        <w:tc>
          <w:tcPr>
            <w:tcW w:w="320" w:type="dxa"/>
            <w:vAlign w:val="bottom"/>
            <w:tcBorders>
              <w:bottom w:val="single" w:sz="8" w:color="auto"/>
            </w:tcBorders>
            <w:shd w:val="clear" w:color="auto" w:fill="F0FFFF"/>
          </w:tcPr>
          <w:p>
            <w:pPr>
              <w:spacing w:after="0"/>
              <w:rPr>
                <w:sz w:val="16"/>
                <w:szCs w:val="16"/>
                <w:color w:val="auto"/>
              </w:rPr>
            </w:pPr>
          </w:p>
        </w:tc>
        <w:tc>
          <w:tcPr>
            <w:tcW w:w="660" w:type="dxa"/>
            <w:vAlign w:val="bottom"/>
            <w:tcBorders>
              <w:bottom w:val="single" w:sz="8" w:color="auto"/>
            </w:tcBorders>
            <w:shd w:val="clear" w:color="auto" w:fill="F0FFFF"/>
          </w:tcPr>
          <w:p>
            <w:pPr>
              <w:spacing w:after="0"/>
              <w:rPr>
                <w:sz w:val="16"/>
                <w:szCs w:val="16"/>
                <w:color w:val="auto"/>
              </w:rPr>
            </w:pPr>
          </w:p>
        </w:tc>
        <w:tc>
          <w:tcPr>
            <w:tcW w:w="100" w:type="dxa"/>
            <w:vAlign w:val="bottom"/>
            <w:tcBorders>
              <w:bottom w:val="single" w:sz="8" w:color="auto"/>
            </w:tcBorders>
            <w:shd w:val="clear" w:color="auto" w:fill="F0FFFF"/>
          </w:tcPr>
          <w:p>
            <w:pPr>
              <w:spacing w:after="0"/>
              <w:rPr>
                <w:sz w:val="16"/>
                <w:szCs w:val="16"/>
                <w:color w:val="auto"/>
              </w:rPr>
            </w:pPr>
          </w:p>
        </w:tc>
        <w:tc>
          <w:tcPr>
            <w:tcW w:w="20" w:type="dxa"/>
            <w:vAlign w:val="bottom"/>
            <w:tcBorders>
              <w:bottom w:val="single" w:sz="8" w:color="auto"/>
            </w:tcBorders>
            <w:shd w:val="clear" w:color="auto" w:fill="F0FFFF"/>
          </w:tcPr>
          <w:p>
            <w:pPr>
              <w:spacing w:after="0"/>
              <w:rPr>
                <w:sz w:val="16"/>
                <w:szCs w:val="16"/>
                <w:color w:val="auto"/>
              </w:rPr>
            </w:pPr>
          </w:p>
        </w:tc>
        <w:tc>
          <w:tcPr>
            <w:tcW w:w="120" w:type="dxa"/>
            <w:vAlign w:val="bottom"/>
            <w:tcBorders>
              <w:bottom w:val="single" w:sz="8" w:color="auto"/>
              <w:right w:val="single" w:sz="8" w:color="auto"/>
            </w:tcBorders>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520" w:type="dxa"/>
            <w:vAlign w:val="bottom"/>
            <w:tcBorders>
              <w:left w:val="single" w:sz="8" w:color="auto"/>
              <w:right w:val="single" w:sz="8" w:color="auto"/>
            </w:tcBorders>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Is this a Short-Term</w:t>
            </w:r>
          </w:p>
        </w:tc>
        <w:tc>
          <w:tcPr>
            <w:tcW w:w="80" w:type="dxa"/>
            <w:vAlign w:val="bottom"/>
          </w:tcPr>
          <w:p>
            <w:pPr>
              <w:spacing w:after="0"/>
              <w:rPr>
                <w:sz w:val="11"/>
                <w:szCs w:val="11"/>
                <w:color w:val="auto"/>
              </w:rPr>
            </w:pPr>
          </w:p>
        </w:tc>
        <w:tc>
          <w:tcPr>
            <w:tcW w:w="4320" w:type="dxa"/>
            <w:vAlign w:val="bottom"/>
            <w:tcBorders>
              <w:right w:val="single" w:sz="8" w:color="auto"/>
            </w:tcBorders>
            <w:gridSpan w:val="15"/>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w:t>
            </w:r>
            <w:r>
              <w:rPr>
                <w:rFonts w:ascii="Times New Roman" w:cs="Times New Roman" w:eastAsia="Times New Roman" w:hAnsi="Times New Roman"/>
                <w:sz w:val="13"/>
                <w:szCs w:val="13"/>
                <w:color w:val="auto"/>
              </w:rPr>
              <w:t>. The Contract is not a short-term investment and is not appropriate for an</w:t>
            </w:r>
          </w:p>
        </w:tc>
        <w:tc>
          <w:tcPr>
            <w:tcW w:w="60" w:type="dxa"/>
            <w:vAlign w:val="bottom"/>
          </w:tcPr>
          <w:p>
            <w:pPr>
              <w:spacing w:after="0"/>
              <w:rPr>
                <w:sz w:val="11"/>
                <w:szCs w:val="11"/>
                <w:color w:val="auto"/>
              </w:rPr>
            </w:pPr>
          </w:p>
        </w:tc>
        <w:tc>
          <w:tcPr>
            <w:tcW w:w="1220" w:type="dxa"/>
            <w:vAlign w:val="bottom"/>
            <w:tcBorders>
              <w:right w:val="single" w:sz="8" w:color="auto"/>
            </w:tcBorders>
            <w:gridSpan w:val="5"/>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PRINCIPAL RISKS</w:t>
            </w:r>
          </w:p>
        </w:tc>
        <w:tc>
          <w:tcPr>
            <w:tcW w:w="0" w:type="dxa"/>
            <w:vAlign w:val="bottom"/>
          </w:tcPr>
          <w:p>
            <w:pPr>
              <w:spacing w:after="0"/>
              <w:rPr>
                <w:sz w:val="1"/>
                <w:szCs w:val="1"/>
                <w:color w:val="auto"/>
              </w:rPr>
            </w:pPr>
          </w:p>
        </w:tc>
      </w:tr>
      <w:tr>
        <w:trPr>
          <w:trHeight w:val="124"/>
        </w:trPr>
        <w:tc>
          <w:tcPr>
            <w:tcW w:w="1520" w:type="dxa"/>
            <w:vAlign w:val="bottom"/>
            <w:tcBorders>
              <w:left w:val="single" w:sz="8" w:color="auto"/>
              <w:right w:val="single" w:sz="8" w:color="auto"/>
            </w:tcBorders>
          </w:tcPr>
          <w:p>
            <w:pPr>
              <w:ind w:left="40"/>
              <w:spacing w:after="0" w:line="124"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80" w:type="dxa"/>
            <w:vAlign w:val="bottom"/>
          </w:tcPr>
          <w:p>
            <w:pPr>
              <w:spacing w:after="0"/>
              <w:rPr>
                <w:sz w:val="10"/>
                <w:szCs w:val="10"/>
                <w:color w:val="auto"/>
              </w:rPr>
            </w:pPr>
          </w:p>
        </w:tc>
        <w:tc>
          <w:tcPr>
            <w:tcW w:w="560" w:type="dxa"/>
            <w:vAlign w:val="bottom"/>
          </w:tcPr>
          <w:p>
            <w:pPr>
              <w:spacing w:after="0" w:line="124" w:lineRule="exact"/>
              <w:rPr>
                <w:sz w:val="20"/>
                <w:szCs w:val="20"/>
                <w:color w:val="auto"/>
              </w:rPr>
            </w:pPr>
            <w:r>
              <w:rPr>
                <w:rFonts w:ascii="Times New Roman" w:cs="Times New Roman" w:eastAsia="Times New Roman" w:hAnsi="Times New Roman"/>
                <w:sz w:val="13"/>
                <w:szCs w:val="13"/>
                <w:color w:val="auto"/>
              </w:rPr>
              <w:t>investor</w:t>
            </w:r>
          </w:p>
        </w:tc>
        <w:tc>
          <w:tcPr>
            <w:tcW w:w="480" w:type="dxa"/>
            <w:vAlign w:val="bottom"/>
            <w:tcBorders>
              <w:top w:val="single" w:sz="8" w:color="auto"/>
            </w:tcBorders>
          </w:tcPr>
          <w:p>
            <w:pPr>
              <w:spacing w:after="0" w:line="124" w:lineRule="exact"/>
              <w:rPr>
                <w:sz w:val="20"/>
                <w:szCs w:val="20"/>
                <w:color w:val="auto"/>
              </w:rPr>
            </w:pPr>
            <w:r>
              <w:rPr>
                <w:rFonts w:ascii="Times New Roman" w:cs="Times New Roman" w:eastAsia="Times New Roman" w:hAnsi="Times New Roman"/>
                <w:sz w:val="13"/>
                <w:szCs w:val="13"/>
                <w:color w:val="auto"/>
                <w:w w:val="79"/>
              </w:rPr>
              <w:t>who needs</w:t>
            </w:r>
          </w:p>
        </w:tc>
        <w:tc>
          <w:tcPr>
            <w:tcW w:w="3280" w:type="dxa"/>
            <w:vAlign w:val="bottom"/>
            <w:tcBorders>
              <w:right w:val="single" w:sz="8" w:color="auto"/>
            </w:tcBorders>
            <w:gridSpan w:val="13"/>
          </w:tcPr>
          <w:p>
            <w:pPr>
              <w:spacing w:after="0" w:line="124" w:lineRule="exact"/>
              <w:rPr>
                <w:sz w:val="20"/>
                <w:szCs w:val="20"/>
                <w:color w:val="auto"/>
              </w:rPr>
            </w:pPr>
            <w:r>
              <w:rPr>
                <w:rFonts w:ascii="Times New Roman" w:cs="Times New Roman" w:eastAsia="Times New Roman" w:hAnsi="Times New Roman"/>
                <w:sz w:val="13"/>
                <w:szCs w:val="13"/>
                <w:color w:val="auto"/>
              </w:rPr>
              <w:t>ready access to cash.</w:t>
            </w:r>
          </w:p>
        </w:tc>
        <w:tc>
          <w:tcPr>
            <w:tcW w:w="60" w:type="dxa"/>
            <w:vAlign w:val="bottom"/>
          </w:tcPr>
          <w:p>
            <w:pPr>
              <w:spacing w:after="0"/>
              <w:rPr>
                <w:sz w:val="10"/>
                <w:szCs w:val="10"/>
                <w:color w:val="auto"/>
              </w:rPr>
            </w:pPr>
          </w:p>
        </w:tc>
        <w:tc>
          <w:tcPr>
            <w:tcW w:w="1220" w:type="dxa"/>
            <w:vAlign w:val="bottom"/>
            <w:tcBorders>
              <w:right w:val="single" w:sz="8" w:color="auto"/>
            </w:tcBorders>
            <w:gridSpan w:val="5"/>
          </w:tcPr>
          <w:p>
            <w:pPr>
              <w:spacing w:after="0" w:line="124" w:lineRule="exact"/>
              <w:rPr>
                <w:sz w:val="20"/>
                <w:szCs w:val="20"/>
                <w:color w:val="auto"/>
              </w:rPr>
            </w:pPr>
            <w:r>
              <w:rPr>
                <w:rFonts w:ascii="Times New Roman" w:cs="Times New Roman" w:eastAsia="Times New Roman" w:hAnsi="Times New Roman"/>
                <w:sz w:val="13"/>
                <w:szCs w:val="13"/>
                <w:b w:val="1"/>
                <w:bCs w:val="1"/>
                <w:color w:val="auto"/>
              </w:rPr>
              <w:t>OF INVESTING IN</w:t>
            </w:r>
          </w:p>
        </w:tc>
        <w:tc>
          <w:tcPr>
            <w:tcW w:w="0" w:type="dxa"/>
            <w:vAlign w:val="bottom"/>
          </w:tcPr>
          <w:p>
            <w:pPr>
              <w:spacing w:after="0"/>
              <w:rPr>
                <w:sz w:val="1"/>
                <w:szCs w:val="1"/>
                <w:color w:val="auto"/>
              </w:rPr>
            </w:pPr>
          </w:p>
        </w:tc>
      </w:tr>
      <w:tr>
        <w:trPr>
          <w:trHeight w:val="144"/>
        </w:trPr>
        <w:tc>
          <w:tcPr>
            <w:tcW w:w="1520" w:type="dxa"/>
            <w:vAlign w:val="bottom"/>
            <w:tcBorders>
              <w:left w:val="single" w:sz="8" w:color="auto"/>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320" w:type="dxa"/>
            <w:vAlign w:val="bottom"/>
            <w:tcBorders>
              <w:right w:val="single" w:sz="8" w:color="auto"/>
            </w:tcBorders>
            <w:gridSpan w:val="15"/>
          </w:tcPr>
          <w:p>
            <w:pPr>
              <w:spacing w:after="0" w:line="144" w:lineRule="exact"/>
              <w:rPr>
                <w:sz w:val="20"/>
                <w:szCs w:val="20"/>
                <w:color w:val="auto"/>
              </w:rPr>
            </w:pPr>
            <w:r>
              <w:rPr>
                <w:rFonts w:ascii="Times New Roman" w:cs="Times New Roman" w:eastAsia="Times New Roman" w:hAnsi="Times New Roman"/>
                <w:sz w:val="13"/>
                <w:szCs w:val="13"/>
                <w:color w:val="auto"/>
              </w:rPr>
              <w:t>The Contract’s tax deferral and long-term income features are generally more</w:t>
            </w:r>
          </w:p>
        </w:tc>
        <w:tc>
          <w:tcPr>
            <w:tcW w:w="60" w:type="dxa"/>
            <w:vAlign w:val="bottom"/>
          </w:tcPr>
          <w:p>
            <w:pPr>
              <w:spacing w:after="0"/>
              <w:rPr>
                <w:sz w:val="12"/>
                <w:szCs w:val="12"/>
                <w:color w:val="auto"/>
              </w:rPr>
            </w:pPr>
          </w:p>
        </w:tc>
        <w:tc>
          <w:tcPr>
            <w:tcW w:w="1220" w:type="dxa"/>
            <w:vAlign w:val="bottom"/>
            <w:tcBorders>
              <w:right w:val="single" w:sz="8" w:color="auto"/>
            </w:tcBorders>
            <w:gridSpan w:val="5"/>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THE CONTRACT</w:t>
            </w:r>
          </w:p>
        </w:tc>
        <w:tc>
          <w:tcPr>
            <w:tcW w:w="0" w:type="dxa"/>
            <w:vAlign w:val="bottom"/>
          </w:tcPr>
          <w:p>
            <w:pPr>
              <w:spacing w:after="0"/>
              <w:rPr>
                <w:sz w:val="1"/>
                <w:szCs w:val="1"/>
                <w:color w:val="auto"/>
              </w:rPr>
            </w:pPr>
          </w:p>
        </w:tc>
      </w:tr>
      <w:tr>
        <w:trPr>
          <w:trHeight w:val="114"/>
        </w:trPr>
        <w:tc>
          <w:tcPr>
            <w:tcW w:w="1520" w:type="dxa"/>
            <w:vAlign w:val="bottom"/>
            <w:tcBorders>
              <w:left w:val="single" w:sz="8" w:color="auto"/>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60" w:type="dxa"/>
            <w:vAlign w:val="bottom"/>
            <w:tcBorders>
              <w:top w:val="single" w:sz="8" w:color="auto"/>
              <w:bottom w:val="single" w:sz="8" w:color="auto"/>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72"/>
        </w:trPr>
        <w:tc>
          <w:tcPr>
            <w:tcW w:w="1520" w:type="dxa"/>
            <w:vAlign w:val="bottom"/>
          </w:tcPr>
          <w:p>
            <w:pPr>
              <w:spacing w:after="0"/>
              <w:rPr>
                <w:sz w:val="24"/>
                <w:szCs w:val="24"/>
                <w:color w:val="auto"/>
              </w:rPr>
            </w:pPr>
          </w:p>
        </w:tc>
        <w:tc>
          <w:tcPr>
            <w:tcW w:w="1700" w:type="dxa"/>
            <w:vAlign w:val="bottom"/>
            <w:gridSpan w:val="6"/>
          </w:tcPr>
          <w:p>
            <w:pPr>
              <w:jc w:val="right"/>
              <w:ind w:right="100"/>
              <w:spacing w:after="0"/>
              <w:rPr>
                <w:sz w:val="20"/>
                <w:szCs w:val="20"/>
                <w:color w:val="auto"/>
              </w:rPr>
            </w:pPr>
            <w:r>
              <w:rPr>
                <w:rFonts w:ascii="Times New Roman" w:cs="Times New Roman" w:eastAsia="Times New Roman" w:hAnsi="Times New Roman"/>
                <w:sz w:val="13"/>
                <w:szCs w:val="13"/>
                <w:color w:val="auto"/>
              </w:rPr>
              <w:t>12</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-5984240</wp:posOffset>
            </wp:positionV>
            <wp:extent cx="4560570" cy="2330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560570" cy="2330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-3256280</wp:posOffset>
            </wp:positionV>
            <wp:extent cx="4560570" cy="528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560570" cy="5289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-2072005</wp:posOffset>
            </wp:positionV>
            <wp:extent cx="4560570" cy="1320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560570" cy="13208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-604520</wp:posOffset>
            </wp:positionV>
            <wp:extent cx="4560570" cy="3587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560570" cy="358775"/>
                    </a:xfrm>
                    <a:prstGeom prst="rect">
                      <a:avLst/>
                    </a:prstGeom>
                    <a:noFill/>
                  </pic:spPr>
                </pic:pic>
              </a:graphicData>
            </a:graphic>
          </wp:anchor>
        </w:drawing>
      </w:r>
    </w:p>
    <w:p>
      <w:pPr>
        <w:sectPr>
          <w:pgSz w:w="11900" w:h="16838" w:orient="portrait"/>
          <w:cols w:equalWidth="0" w:num="1">
            <w:col w:w="9259"/>
          </w:cols>
          <w:pgMar w:left="1200" w:top="1047"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59"/>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60" w:type="dxa"/>
            <w:vAlign w:val="bottom"/>
            <w:gridSpan w:val="38"/>
          </w:tcPr>
          <w:p>
            <w:pPr>
              <w:ind w:left="20"/>
              <w:spacing w:after="0"/>
              <w:rPr>
                <w:sz w:val="20"/>
                <w:szCs w:val="20"/>
                <w:color w:val="auto"/>
              </w:rPr>
            </w:pPr>
            <w:r>
              <w:rPr>
                <w:rFonts w:ascii="Times New Roman" w:cs="Times New Roman" w:eastAsia="Times New Roman" w:hAnsi="Times New Roman"/>
                <w:sz w:val="13"/>
                <w:szCs w:val="13"/>
                <w:b w:val="1"/>
                <w:bCs w:val="1"/>
                <w:color w:val="auto"/>
              </w:rPr>
              <w:t>Risks</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Location in</w:t>
            </w:r>
          </w:p>
        </w:tc>
        <w:tc>
          <w:tcPr>
            <w:tcW w:w="0" w:type="dxa"/>
            <w:vAlign w:val="bottom"/>
          </w:tcPr>
          <w:p>
            <w:pPr>
              <w:spacing w:after="0"/>
              <w:rPr>
                <w:sz w:val="1"/>
                <w:szCs w:val="1"/>
                <w:color w:val="auto"/>
              </w:rPr>
            </w:pPr>
          </w:p>
        </w:tc>
      </w:tr>
      <w:tr>
        <w:trPr>
          <w:trHeight w:val="184"/>
        </w:trPr>
        <w:tc>
          <w:tcPr>
            <w:tcW w:w="6500" w:type="dxa"/>
            <w:vAlign w:val="bottom"/>
            <w:tcBorders>
              <w:bottom w:val="single" w:sz="8" w:color="auto"/>
            </w:tcBorders>
            <w:gridSpan w:val="71"/>
          </w:tcPr>
          <w:p>
            <w:pPr>
              <w:spacing w:after="0"/>
              <w:rPr>
                <w:sz w:val="20"/>
                <w:szCs w:val="20"/>
                <w:color w:val="auto"/>
              </w:rPr>
            </w:pPr>
            <w:r>
              <w:rPr>
                <w:rFonts w:ascii="Times New Roman" w:cs="Times New Roman" w:eastAsia="Times New Roman" w:hAnsi="Times New Roman"/>
                <w:sz w:val="13"/>
                <w:szCs w:val="13"/>
                <w:b w:val="1"/>
                <w:bCs w:val="1"/>
                <w:color w:val="auto"/>
              </w:rPr>
              <w:t>the Prospectus</w:t>
            </w:r>
          </w:p>
        </w:tc>
        <w:tc>
          <w:tcPr>
            <w:tcW w:w="0" w:type="dxa"/>
            <w:vAlign w:val="bottom"/>
          </w:tcPr>
          <w:p>
            <w:pPr>
              <w:spacing w:after="0"/>
              <w:rPr>
                <w:sz w:val="1"/>
                <w:szCs w:val="1"/>
                <w:color w:val="auto"/>
              </w:rPr>
            </w:pPr>
          </w:p>
        </w:tc>
      </w:tr>
      <w:tr>
        <w:trPr>
          <w:trHeight w:val="139"/>
        </w:trPr>
        <w:tc>
          <w:tcPr>
            <w:tcW w:w="1080" w:type="dxa"/>
            <w:vAlign w:val="bottom"/>
          </w:tcPr>
          <w:p>
            <w:pPr>
              <w:spacing w:after="0"/>
              <w:rPr>
                <w:sz w:val="12"/>
                <w:szCs w:val="12"/>
                <w:color w:val="auto"/>
              </w:rPr>
            </w:pPr>
          </w:p>
        </w:tc>
        <w:tc>
          <w:tcPr>
            <w:tcW w:w="4300" w:type="dxa"/>
            <w:vAlign w:val="bottom"/>
            <w:gridSpan w:val="69"/>
          </w:tcPr>
          <w:p>
            <w:pPr>
              <w:spacing w:after="0" w:line="139" w:lineRule="exact"/>
              <w:rPr>
                <w:sz w:val="20"/>
                <w:szCs w:val="20"/>
                <w:color w:val="auto"/>
              </w:rPr>
            </w:pPr>
            <w:r>
              <w:rPr>
                <w:rFonts w:ascii="Times New Roman" w:cs="Times New Roman" w:eastAsia="Times New Roman" w:hAnsi="Times New Roman"/>
                <w:sz w:val="13"/>
                <w:szCs w:val="13"/>
                <w:color w:val="auto"/>
              </w:rPr>
              <w:t>beneficial to investors who intend to hold the Contract for a long period of</w:t>
            </w:r>
          </w:p>
        </w:tc>
        <w:tc>
          <w:tcPr>
            <w:tcW w:w="1120" w:type="dxa"/>
            <w:vAlign w:val="bottom"/>
          </w:tcPr>
          <w:p>
            <w:pPr>
              <w:ind w:left="100"/>
              <w:spacing w:after="0" w:line="139" w:lineRule="exact"/>
              <w:rPr>
                <w:sz w:val="20"/>
                <w:szCs w:val="20"/>
                <w:color w:val="auto"/>
              </w:rPr>
            </w:pPr>
            <w:r>
              <w:rPr>
                <w:rFonts w:ascii="Times New Roman" w:cs="Times New Roman" w:eastAsia="Times New Roman" w:hAnsi="Times New Roman"/>
                <w:sz w:val="13"/>
                <w:szCs w:val="13"/>
                <w:b w:val="1"/>
                <w:bCs w:val="1"/>
                <w:color w:val="auto"/>
              </w:rPr>
              <w:t> </w:t>
            </w:r>
          </w:p>
        </w:tc>
        <w:tc>
          <w:tcPr>
            <w:tcW w:w="0" w:type="dxa"/>
            <w:vAlign w:val="bottom"/>
          </w:tcPr>
          <w:p>
            <w:pPr>
              <w:spacing w:after="0"/>
              <w:rPr>
                <w:sz w:val="1"/>
                <w:szCs w:val="1"/>
                <w:color w:val="auto"/>
              </w:rPr>
            </w:pPr>
          </w:p>
        </w:tc>
      </w:tr>
      <w:tr>
        <w:trPr>
          <w:trHeight w:val="20"/>
        </w:trPr>
        <w:tc>
          <w:tcPr>
            <w:tcW w:w="3580" w:type="dxa"/>
            <w:vAlign w:val="bottom"/>
            <w:tcBorders>
              <w:right w:val="single" w:sz="8" w:color="auto"/>
            </w:tcBorders>
            <w:gridSpan w:val="42"/>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gridSpan w:val="4"/>
            <w:shd w:val="clear" w:color="auto" w:fill="000000"/>
          </w:tcPr>
          <w:p>
            <w:pPr>
              <w:spacing w:after="0" w:line="20" w:lineRule="exact"/>
              <w:rPr>
                <w:sz w:val="1"/>
                <w:szCs w:val="1"/>
                <w:color w:val="auto"/>
              </w:rPr>
            </w:pPr>
          </w:p>
        </w:tc>
        <w:tc>
          <w:tcPr>
            <w:tcW w:w="1420" w:type="dxa"/>
            <w:vAlign w:val="bottom"/>
            <w:tcBorders>
              <w:left w:val="single" w:sz="8" w:color="auto"/>
            </w:tcBorders>
            <w:gridSpan w:val="22"/>
          </w:tcPr>
          <w:p>
            <w:pPr>
              <w:spacing w:after="0" w:line="20" w:lineRule="exact"/>
              <w:rPr>
                <w:sz w:val="1"/>
                <w:szCs w:val="1"/>
                <w:color w:val="auto"/>
              </w:rPr>
            </w:pPr>
          </w:p>
        </w:tc>
        <w:tc>
          <w:tcPr>
            <w:tcW w:w="11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TRANSFERS</w:t>
            </w:r>
          </w:p>
        </w:tc>
        <w:tc>
          <w:tcPr>
            <w:tcW w:w="0" w:type="dxa"/>
            <w:vAlign w:val="bottom"/>
          </w:tcPr>
          <w:p>
            <w:pPr>
              <w:spacing w:after="0" w:line="20" w:lineRule="exact"/>
              <w:rPr>
                <w:sz w:val="1"/>
                <w:szCs w:val="1"/>
                <w:color w:val="auto"/>
              </w:rPr>
            </w:pPr>
          </w:p>
        </w:tc>
      </w:tr>
      <w:tr>
        <w:trPr>
          <w:trHeight w:val="129"/>
        </w:trPr>
        <w:tc>
          <w:tcPr>
            <w:tcW w:w="1080" w:type="dxa"/>
            <w:vAlign w:val="bottom"/>
          </w:tcPr>
          <w:p>
            <w:pPr>
              <w:spacing w:after="0"/>
              <w:rPr>
                <w:sz w:val="11"/>
                <w:szCs w:val="11"/>
                <w:color w:val="auto"/>
              </w:rPr>
            </w:pPr>
          </w:p>
        </w:tc>
        <w:tc>
          <w:tcPr>
            <w:tcW w:w="4300" w:type="dxa"/>
            <w:vAlign w:val="bottom"/>
            <w:gridSpan w:val="69"/>
          </w:tcPr>
          <w:p>
            <w:pPr>
              <w:spacing w:after="0" w:line="129" w:lineRule="exact"/>
              <w:rPr>
                <w:sz w:val="20"/>
                <w:szCs w:val="20"/>
                <w:color w:val="auto"/>
              </w:rPr>
            </w:pPr>
            <w:r>
              <w:rPr>
                <w:rFonts w:ascii="Times New Roman" w:cs="Times New Roman" w:eastAsia="Times New Roman" w:hAnsi="Times New Roman"/>
                <w:sz w:val="13"/>
                <w:szCs w:val="13"/>
                <w:color w:val="auto"/>
              </w:rPr>
              <w:t>time and then use the Account Value for retirement savings or other long-term</w:t>
            </w: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140" w:type="dxa"/>
            <w:vAlign w:val="bottom"/>
            <w:gridSpan w:val="17"/>
          </w:tcPr>
          <w:p>
            <w:pPr>
              <w:spacing w:after="0" w:line="126" w:lineRule="exact"/>
              <w:rPr>
                <w:sz w:val="20"/>
                <w:szCs w:val="20"/>
                <w:color w:val="auto"/>
              </w:rPr>
            </w:pPr>
            <w:r>
              <w:rPr>
                <w:rFonts w:ascii="Times New Roman" w:cs="Times New Roman" w:eastAsia="Times New Roman" w:hAnsi="Times New Roman"/>
                <w:sz w:val="13"/>
                <w:szCs w:val="13"/>
                <w:color w:val="auto"/>
              </w:rPr>
              <w:t>investment purposes.</w:t>
            </w: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4300" w:type="dxa"/>
            <w:vAlign w:val="bottom"/>
            <w:gridSpan w:val="69"/>
          </w:tcPr>
          <w:p>
            <w:pPr>
              <w:spacing w:after="0" w:line="142" w:lineRule="exact"/>
              <w:rPr>
                <w:sz w:val="20"/>
                <w:szCs w:val="20"/>
                <w:color w:val="auto"/>
              </w:rPr>
            </w:pPr>
            <w:r>
              <w:rPr>
                <w:rFonts w:ascii="Times New Roman" w:cs="Times New Roman" w:eastAsia="Times New Roman" w:hAnsi="Times New Roman"/>
                <w:sz w:val="13"/>
                <w:szCs w:val="13"/>
                <w:color w:val="auto"/>
              </w:rPr>
              <w:t>Amounts withdrawn from the Contract may result in Withdrawal Charges,</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80" w:type="dxa"/>
            <w:vAlign w:val="bottom"/>
          </w:tcPr>
          <w:p>
            <w:pPr>
              <w:spacing w:after="0"/>
              <w:rPr>
                <w:sz w:val="11"/>
                <w:szCs w:val="11"/>
                <w:color w:val="auto"/>
              </w:rPr>
            </w:pPr>
          </w:p>
        </w:tc>
        <w:tc>
          <w:tcPr>
            <w:tcW w:w="1600" w:type="dxa"/>
            <w:vAlign w:val="bottom"/>
            <w:gridSpan w:val="27"/>
          </w:tcPr>
          <w:p>
            <w:pPr>
              <w:spacing w:after="0" w:line="129" w:lineRule="exact"/>
              <w:rPr>
                <w:sz w:val="20"/>
                <w:szCs w:val="20"/>
                <w:color w:val="auto"/>
              </w:rPr>
            </w:pPr>
            <w:r>
              <w:rPr>
                <w:rFonts w:ascii="Times New Roman" w:cs="Times New Roman" w:eastAsia="Times New Roman" w:hAnsi="Times New Roman"/>
                <w:sz w:val="13"/>
                <w:szCs w:val="13"/>
                <w:color w:val="auto"/>
                <w:w w:val="99"/>
              </w:rPr>
              <w:t>taxes, and tax penalties. If you</w:t>
            </w:r>
          </w:p>
        </w:tc>
        <w:tc>
          <w:tcPr>
            <w:tcW w:w="480" w:type="dxa"/>
            <w:vAlign w:val="bottom"/>
            <w:tcBorders>
              <w:top w:val="single" w:sz="8" w:color="auto"/>
            </w:tcBorders>
            <w:gridSpan w:val="8"/>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have not</w:t>
            </w:r>
          </w:p>
        </w:tc>
        <w:tc>
          <w:tcPr>
            <w:tcW w:w="20" w:type="dxa"/>
            <w:vAlign w:val="bottom"/>
          </w:tcPr>
          <w:p>
            <w:pPr>
              <w:spacing w:after="0"/>
              <w:rPr>
                <w:sz w:val="11"/>
                <w:szCs w:val="11"/>
                <w:color w:val="auto"/>
              </w:rPr>
            </w:pPr>
          </w:p>
        </w:tc>
        <w:tc>
          <w:tcPr>
            <w:tcW w:w="720" w:type="dxa"/>
            <w:vAlign w:val="bottom"/>
            <w:gridSpan w:val="8"/>
          </w:tcPr>
          <w:p>
            <w:pPr>
              <w:ind w:left="20"/>
              <w:spacing w:after="0" w:line="129" w:lineRule="exact"/>
              <w:rPr>
                <w:sz w:val="20"/>
                <w:szCs w:val="20"/>
                <w:color w:val="auto"/>
              </w:rPr>
            </w:pPr>
            <w:r>
              <w:rPr>
                <w:rFonts w:ascii="Times New Roman" w:cs="Times New Roman" w:eastAsia="Times New Roman" w:hAnsi="Times New Roman"/>
                <w:sz w:val="13"/>
                <w:szCs w:val="13"/>
                <w:color w:val="auto"/>
                <w:w w:val="99"/>
              </w:rPr>
              <w:t>exercised the</w:t>
            </w: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18"/>
          </w:tcPr>
          <w:p>
            <w:pPr>
              <w:jc w:val="right"/>
              <w:spacing w:after="0" w:line="129" w:lineRule="exact"/>
              <w:rPr>
                <w:sz w:val="20"/>
                <w:szCs w:val="20"/>
                <w:color w:val="auto"/>
              </w:rPr>
            </w:pPr>
            <w:r>
              <w:rPr>
                <w:rFonts w:ascii="Times New Roman" w:cs="Times New Roman" w:eastAsia="Times New Roman" w:hAnsi="Times New Roman"/>
                <w:sz w:val="13"/>
                <w:szCs w:val="13"/>
                <w:color w:val="auto"/>
                <w:w w:val="98"/>
              </w:rPr>
              <w:t>Performance Lock,</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080" w:type="dxa"/>
            <w:vAlign w:val="bottom"/>
          </w:tcPr>
          <w:p>
            <w:pPr>
              <w:spacing w:after="0"/>
              <w:rPr>
                <w:sz w:val="10"/>
                <w:szCs w:val="10"/>
                <w:color w:val="auto"/>
              </w:rPr>
            </w:pPr>
          </w:p>
        </w:tc>
        <w:tc>
          <w:tcPr>
            <w:tcW w:w="2860" w:type="dxa"/>
            <w:vAlign w:val="bottom"/>
            <w:gridSpan w:val="46"/>
          </w:tcPr>
          <w:p>
            <w:pPr>
              <w:spacing w:after="0" w:line="119" w:lineRule="exact"/>
              <w:rPr>
                <w:sz w:val="20"/>
                <w:szCs w:val="20"/>
                <w:color w:val="auto"/>
              </w:rPr>
            </w:pPr>
            <w:r>
              <w:rPr>
                <w:rFonts w:ascii="Times New Roman" w:cs="Times New Roman" w:eastAsia="Times New Roman" w:hAnsi="Times New Roman"/>
                <w:sz w:val="13"/>
                <w:szCs w:val="13"/>
                <w:color w:val="auto"/>
              </w:rPr>
              <w:t>amounts removed from a Shield Option or from the</w:t>
            </w:r>
          </w:p>
        </w:tc>
        <w:tc>
          <w:tcPr>
            <w:tcW w:w="960" w:type="dxa"/>
            <w:vAlign w:val="bottom"/>
            <w:tcBorders>
              <w:top w:val="single" w:sz="8" w:color="auto"/>
            </w:tcBorders>
            <w:gridSpan w:val="17"/>
          </w:tcPr>
          <w:p>
            <w:pPr>
              <w:spacing w:after="0" w:line="119" w:lineRule="exact"/>
              <w:rPr>
                <w:sz w:val="20"/>
                <w:szCs w:val="20"/>
                <w:color w:val="auto"/>
              </w:rPr>
            </w:pPr>
            <w:r>
              <w:rPr>
                <w:rFonts w:ascii="Times New Roman" w:cs="Times New Roman" w:eastAsia="Times New Roman" w:hAnsi="Times New Roman"/>
                <w:sz w:val="13"/>
                <w:szCs w:val="13"/>
                <w:color w:val="auto"/>
                <w:w w:val="93"/>
              </w:rPr>
              <w:t>Contract before the</w:t>
            </w:r>
          </w:p>
        </w:tc>
        <w:tc>
          <w:tcPr>
            <w:tcW w:w="480" w:type="dxa"/>
            <w:vAlign w:val="bottom"/>
            <w:gridSpan w:val="6"/>
          </w:tcPr>
          <w:p>
            <w:pPr>
              <w:jc w:val="right"/>
              <w:ind w:right="160"/>
              <w:spacing w:after="0" w:line="119" w:lineRule="exact"/>
              <w:rPr>
                <w:sz w:val="20"/>
                <w:szCs w:val="20"/>
                <w:color w:val="auto"/>
              </w:rPr>
            </w:pPr>
            <w:r>
              <w:rPr>
                <w:rFonts w:ascii="Times New Roman" w:cs="Times New Roman" w:eastAsia="Times New Roman" w:hAnsi="Times New Roman"/>
                <w:sz w:val="13"/>
                <w:szCs w:val="13"/>
                <w:color w:val="auto"/>
                <w:w w:val="91"/>
              </w:rPr>
              <w:t>end of</w:t>
            </w: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line="20" w:lineRule="exact"/>
              <w:rPr>
                <w:sz w:val="1"/>
                <w:szCs w:val="1"/>
                <w:color w:val="auto"/>
              </w:rPr>
            </w:pPr>
          </w:p>
        </w:tc>
        <w:tc>
          <w:tcPr>
            <w:tcW w:w="1340" w:type="dxa"/>
            <w:vAlign w:val="bottom"/>
            <w:gridSpan w:val="22"/>
            <w:vMerge w:val="restart"/>
          </w:tcPr>
          <w:p>
            <w:pPr>
              <w:spacing w:after="0"/>
              <w:rPr>
                <w:sz w:val="20"/>
                <w:szCs w:val="20"/>
                <w:color w:val="auto"/>
              </w:rPr>
            </w:pPr>
            <w:r>
              <w:rPr>
                <w:rFonts w:ascii="Times New Roman" w:cs="Times New Roman" w:eastAsia="Times New Roman" w:hAnsi="Times New Roman"/>
                <w:sz w:val="13"/>
                <w:szCs w:val="13"/>
                <w:color w:val="auto"/>
                <w:w w:val="99"/>
              </w:rPr>
              <w:t>a Term may also result in</w:t>
            </w: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80" w:type="dxa"/>
            <w:vAlign w:val="bottom"/>
            <w:vMerge w:val="continue"/>
          </w:tcPr>
          <w:p>
            <w:pPr>
              <w:spacing w:after="0"/>
              <w:rPr>
                <w:sz w:val="11"/>
                <w:szCs w:val="11"/>
                <w:color w:val="auto"/>
              </w:rPr>
            </w:pPr>
          </w:p>
        </w:tc>
        <w:tc>
          <w:tcPr>
            <w:tcW w:w="1340" w:type="dxa"/>
            <w:vAlign w:val="bottom"/>
            <w:gridSpan w:val="22"/>
            <w:vMerge w:val="continue"/>
          </w:tcPr>
          <w:p>
            <w:pPr>
              <w:spacing w:after="0"/>
              <w:rPr>
                <w:sz w:val="11"/>
                <w:szCs w:val="11"/>
                <w:color w:val="auto"/>
              </w:rPr>
            </w:pPr>
          </w:p>
        </w:tc>
        <w:tc>
          <w:tcPr>
            <w:tcW w:w="20" w:type="dxa"/>
            <w:vAlign w:val="bottom"/>
          </w:tcPr>
          <w:p>
            <w:pPr>
              <w:spacing w:after="0"/>
              <w:rPr>
                <w:sz w:val="11"/>
                <w:szCs w:val="11"/>
                <w:color w:val="auto"/>
              </w:rPr>
            </w:pPr>
          </w:p>
        </w:tc>
        <w:tc>
          <w:tcPr>
            <w:tcW w:w="2940" w:type="dxa"/>
            <w:vAlign w:val="bottom"/>
            <w:gridSpan w:val="46"/>
          </w:tcPr>
          <w:p>
            <w:pPr>
              <w:jc w:val="right"/>
              <w:ind w:right="200"/>
              <w:spacing w:after="0" w:line="129" w:lineRule="exact"/>
              <w:rPr>
                <w:sz w:val="20"/>
                <w:szCs w:val="20"/>
                <w:color w:val="auto"/>
              </w:rPr>
            </w:pPr>
            <w:r>
              <w:rPr>
                <w:rFonts w:ascii="Times New Roman" w:cs="Times New Roman" w:eastAsia="Times New Roman" w:hAnsi="Times New Roman"/>
                <w:sz w:val="13"/>
                <w:szCs w:val="13"/>
                <w:color w:val="auto"/>
              </w:rPr>
              <w:t>a negative Interim Value and proportional reduction</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line="20" w:lineRule="exact"/>
              <w:rPr>
                <w:sz w:val="1"/>
                <w:szCs w:val="1"/>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w w:val="76"/>
              </w:rPr>
              <w:t>to</w:t>
            </w: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560" w:type="dxa"/>
            <w:vAlign w:val="bottom"/>
            <w:gridSpan w:val="27"/>
            <w:vMerge w:val="restart"/>
          </w:tcPr>
          <w:p>
            <w:pPr>
              <w:spacing w:after="0"/>
              <w:rPr>
                <w:sz w:val="20"/>
                <w:szCs w:val="20"/>
                <w:color w:val="auto"/>
              </w:rPr>
            </w:pPr>
            <w:r>
              <w:rPr>
                <w:rFonts w:ascii="Times New Roman" w:cs="Times New Roman" w:eastAsia="Times New Roman" w:hAnsi="Times New Roman"/>
                <w:sz w:val="13"/>
                <w:szCs w:val="13"/>
                <w:color w:val="auto"/>
                <w:w w:val="94"/>
              </w:rPr>
              <w:t>Investment Amount associated</w:t>
            </w: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8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30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3"/>
                <w:szCs w:val="13"/>
                <w:color w:val="auto"/>
              </w:rPr>
              <w:t>the</w:t>
            </w:r>
          </w:p>
        </w:tc>
        <w:tc>
          <w:tcPr>
            <w:tcW w:w="1560" w:type="dxa"/>
            <w:vAlign w:val="bottom"/>
            <w:gridSpan w:val="27"/>
            <w:vMerge w:val="continue"/>
          </w:tcPr>
          <w:p>
            <w:pPr>
              <w:spacing w:after="0"/>
              <w:rPr>
                <w:sz w:val="11"/>
                <w:szCs w:val="11"/>
                <w:color w:val="auto"/>
              </w:rPr>
            </w:pPr>
          </w:p>
        </w:tc>
        <w:tc>
          <w:tcPr>
            <w:tcW w:w="2360" w:type="dxa"/>
            <w:vAlign w:val="bottom"/>
            <w:gridSpan w:val="38"/>
          </w:tcPr>
          <w:p>
            <w:pPr>
              <w:ind w:left="40"/>
              <w:spacing w:after="0" w:line="129" w:lineRule="exact"/>
              <w:rPr>
                <w:sz w:val="20"/>
                <w:szCs w:val="20"/>
                <w:color w:val="auto"/>
              </w:rPr>
            </w:pPr>
            <w:r>
              <w:rPr>
                <w:rFonts w:ascii="Times New Roman" w:cs="Times New Roman" w:eastAsia="Times New Roman" w:hAnsi="Times New Roman"/>
                <w:sz w:val="13"/>
                <w:szCs w:val="13"/>
                <w:color w:val="auto"/>
              </w:rPr>
              <w:t>with the Shield Option, as well as loss of</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080" w:type="dxa"/>
            <w:vAlign w:val="bottom"/>
          </w:tcPr>
          <w:p>
            <w:pPr>
              <w:spacing w:after="0"/>
              <w:rPr>
                <w:sz w:val="10"/>
                <w:szCs w:val="10"/>
                <w:color w:val="auto"/>
              </w:rPr>
            </w:pPr>
          </w:p>
        </w:tc>
        <w:tc>
          <w:tcPr>
            <w:tcW w:w="320" w:type="dxa"/>
            <w:vAlign w:val="bottom"/>
            <w:gridSpan w:val="3"/>
          </w:tcPr>
          <w:p>
            <w:pPr>
              <w:spacing w:after="0" w:line="119" w:lineRule="exact"/>
              <w:rPr>
                <w:sz w:val="20"/>
                <w:szCs w:val="20"/>
                <w:color w:val="auto"/>
              </w:rPr>
            </w:pPr>
            <w:r>
              <w:rPr>
                <w:rFonts w:ascii="Times New Roman" w:cs="Times New Roman" w:eastAsia="Times New Roman" w:hAnsi="Times New Roman"/>
                <w:sz w:val="13"/>
                <w:szCs w:val="13"/>
                <w:color w:val="auto"/>
                <w:w w:val="72"/>
              </w:rPr>
              <w:t>positive</w:t>
            </w: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18"/>
          </w:tcPr>
          <w:p>
            <w:pPr>
              <w:spacing w:after="0" w:line="119" w:lineRule="exact"/>
              <w:rPr>
                <w:sz w:val="20"/>
                <w:szCs w:val="20"/>
                <w:color w:val="auto"/>
              </w:rPr>
            </w:pPr>
            <w:r>
              <w:rPr>
                <w:rFonts w:ascii="Times New Roman" w:cs="Times New Roman" w:eastAsia="Times New Roman" w:hAnsi="Times New Roman"/>
                <w:sz w:val="13"/>
                <w:szCs w:val="13"/>
                <w:color w:val="auto"/>
                <w:w w:val="82"/>
              </w:rPr>
              <w:t>Index Performance</w:t>
            </w:r>
          </w:p>
        </w:tc>
        <w:tc>
          <w:tcPr>
            <w:tcW w:w="200" w:type="dxa"/>
            <w:vAlign w:val="bottom"/>
            <w:gridSpan w:val="2"/>
          </w:tcPr>
          <w:p>
            <w:pPr>
              <w:jc w:val="center"/>
              <w:ind w:right="40"/>
              <w:spacing w:after="0" w:line="11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gridSpan w:val="2"/>
          </w:tcPr>
          <w:p>
            <w:pPr>
              <w:spacing w:after="0"/>
              <w:rPr>
                <w:sz w:val="10"/>
                <w:szCs w:val="10"/>
                <w:color w:val="auto"/>
              </w:rPr>
            </w:pPr>
          </w:p>
        </w:tc>
        <w:tc>
          <w:tcPr>
            <w:tcW w:w="40" w:type="dxa"/>
            <w:vAlign w:val="bottom"/>
            <w:tcBorders>
              <w:top w:val="single" w:sz="8" w:color="auto"/>
            </w:tcBorders>
            <w:gridSpan w:val="2"/>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20" w:type="dxa"/>
            <w:vAlign w:val="bottom"/>
            <w:tcBorders>
              <w:right w:val="single" w:sz="8" w:color="auto"/>
            </w:tcBorders>
            <w:gridSpan w:val="7"/>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80" w:type="dxa"/>
            <w:vAlign w:val="bottom"/>
            <w:gridSpan w:val="3"/>
            <w:shd w:val="clear" w:color="auto" w:fill="000000"/>
          </w:tcPr>
          <w:p>
            <w:pPr>
              <w:spacing w:after="0" w:line="20" w:lineRule="exact"/>
              <w:rPr>
                <w:sz w:val="1"/>
                <w:szCs w:val="1"/>
                <w:color w:val="auto"/>
              </w:rPr>
            </w:pPr>
          </w:p>
        </w:tc>
        <w:tc>
          <w:tcPr>
            <w:tcW w:w="520" w:type="dxa"/>
            <w:vAlign w:val="bottom"/>
            <w:tcBorders>
              <w:left w:val="single" w:sz="8" w:color="auto"/>
              <w:right w:val="single" w:sz="8" w:color="auto"/>
            </w:tcBorders>
            <w:gridSpan w:val="10"/>
            <w:shd w:val="clear" w:color="auto" w:fill="000000"/>
          </w:tcPr>
          <w:p>
            <w:pPr>
              <w:spacing w:after="0" w:line="20" w:lineRule="exact"/>
              <w:rPr>
                <w:sz w:val="1"/>
                <w:szCs w:val="1"/>
                <w:color w:val="auto"/>
              </w:rPr>
            </w:pPr>
          </w:p>
        </w:tc>
        <w:tc>
          <w:tcPr>
            <w:tcW w:w="3960" w:type="dxa"/>
            <w:vAlign w:val="bottom"/>
            <w:gridSpan w:val="4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080" w:type="dxa"/>
            <w:vAlign w:val="bottom"/>
          </w:tcPr>
          <w:p>
            <w:pPr>
              <w:spacing w:after="0"/>
              <w:rPr>
                <w:sz w:val="11"/>
                <w:szCs w:val="11"/>
                <w:color w:val="auto"/>
              </w:rPr>
            </w:pPr>
          </w:p>
        </w:tc>
        <w:tc>
          <w:tcPr>
            <w:tcW w:w="4300" w:type="dxa"/>
            <w:vAlign w:val="bottom"/>
            <w:gridSpan w:val="69"/>
          </w:tcPr>
          <w:p>
            <w:pPr>
              <w:spacing w:after="0" w:line="136" w:lineRule="exact"/>
              <w:rPr>
                <w:sz w:val="20"/>
                <w:szCs w:val="20"/>
                <w:color w:val="auto"/>
              </w:rPr>
            </w:pPr>
            <w:r>
              <w:rPr>
                <w:rFonts w:ascii="Times New Roman" w:cs="Times New Roman" w:eastAsia="Times New Roman" w:hAnsi="Times New Roman"/>
                <w:sz w:val="13"/>
                <w:szCs w:val="13"/>
                <w:color w:val="auto"/>
              </w:rPr>
              <w:t>Withdrawals (including RMDs and systematic withdrawals) will reduce your</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4300" w:type="dxa"/>
            <w:vAlign w:val="bottom"/>
            <w:gridSpan w:val="69"/>
          </w:tcPr>
          <w:p>
            <w:pPr>
              <w:spacing w:after="0" w:line="142" w:lineRule="exact"/>
              <w:rPr>
                <w:sz w:val="20"/>
                <w:szCs w:val="20"/>
                <w:color w:val="auto"/>
              </w:rPr>
            </w:pPr>
            <w:r>
              <w:rPr>
                <w:rFonts w:ascii="Times New Roman" w:cs="Times New Roman" w:eastAsia="Times New Roman" w:hAnsi="Times New Roman"/>
                <w:sz w:val="13"/>
                <w:szCs w:val="13"/>
                <w:color w:val="auto"/>
              </w:rPr>
              <w:t>Account Value and the death benefit, perhaps significantly. The reduction may</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Borders>
              <w:right w:val="single" w:sz="8" w:color="auto"/>
            </w:tcBorders>
          </w:tcPr>
          <w:p>
            <w:pPr>
              <w:spacing w:after="0" w:line="20" w:lineRule="exact"/>
              <w:rPr>
                <w:sz w:val="1"/>
                <w:szCs w:val="1"/>
                <w:color w:val="auto"/>
              </w:rPr>
            </w:pPr>
          </w:p>
        </w:tc>
        <w:tc>
          <w:tcPr>
            <w:tcW w:w="20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6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700" w:type="dxa"/>
            <w:vAlign w:val="bottom"/>
            <w:tcBorders>
              <w:left w:val="single" w:sz="8" w:color="auto"/>
            </w:tcBorders>
            <w:gridSpan w:val="6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1080" w:type="dxa"/>
            <w:vAlign w:val="bottom"/>
          </w:tcPr>
          <w:p>
            <w:pPr>
              <w:spacing w:after="0"/>
              <w:rPr>
                <w:sz w:val="10"/>
                <w:szCs w:val="10"/>
                <w:color w:val="auto"/>
              </w:rPr>
            </w:pPr>
          </w:p>
        </w:tc>
        <w:tc>
          <w:tcPr>
            <w:tcW w:w="4300" w:type="dxa"/>
            <w:vAlign w:val="bottom"/>
            <w:gridSpan w:val="69"/>
          </w:tcPr>
          <w:p>
            <w:pPr>
              <w:spacing w:after="0" w:line="126" w:lineRule="exact"/>
              <w:rPr>
                <w:sz w:val="20"/>
                <w:szCs w:val="20"/>
                <w:color w:val="auto"/>
              </w:rPr>
            </w:pPr>
            <w:r>
              <w:rPr>
                <w:rFonts w:ascii="Times New Roman" w:cs="Times New Roman" w:eastAsia="Times New Roman" w:hAnsi="Times New Roman"/>
                <w:sz w:val="13"/>
                <w:szCs w:val="13"/>
                <w:color w:val="auto"/>
              </w:rPr>
              <w:t>be more than the amount withdrawn.</w:t>
            </w: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4300" w:type="dxa"/>
            <w:vAlign w:val="bottom"/>
            <w:gridSpan w:val="69"/>
          </w:tcPr>
          <w:p>
            <w:pPr>
              <w:spacing w:after="0" w:line="142" w:lineRule="exact"/>
              <w:rPr>
                <w:sz w:val="20"/>
                <w:szCs w:val="20"/>
                <w:color w:val="auto"/>
              </w:rPr>
            </w:pPr>
            <w:r>
              <w:rPr>
                <w:rFonts w:ascii="Times New Roman" w:cs="Times New Roman" w:eastAsia="Times New Roman" w:hAnsi="Times New Roman"/>
                <w:sz w:val="13"/>
                <w:szCs w:val="13"/>
                <w:color w:val="auto"/>
              </w:rPr>
              <w:t>If you have not exercised the Performance Lock, withdrawals from the Shield</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60" w:type="dxa"/>
            <w:vAlign w:val="bottom"/>
            <w:tcBorders>
              <w:right w:val="single" w:sz="8" w:color="auto"/>
            </w:tcBorders>
            <w:gridSpan w:val="27"/>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8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gridSpan w:val="3"/>
            <w:shd w:val="clear" w:color="auto" w:fill="000000"/>
          </w:tcPr>
          <w:p>
            <w:pPr>
              <w:spacing w:after="0" w:line="20" w:lineRule="exact"/>
              <w:rPr>
                <w:sz w:val="1"/>
                <w:szCs w:val="1"/>
                <w:color w:val="auto"/>
              </w:rPr>
            </w:pPr>
          </w:p>
        </w:tc>
        <w:tc>
          <w:tcPr>
            <w:tcW w:w="280" w:type="dxa"/>
            <w:vAlign w:val="bottom"/>
            <w:tcBorders>
              <w:left w:val="single" w:sz="8" w:color="auto"/>
              <w:right w:val="single" w:sz="8" w:color="auto"/>
            </w:tcBorders>
            <w:gridSpan w:val="4"/>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00" w:type="dxa"/>
            <w:vAlign w:val="bottom"/>
            <w:tcBorders>
              <w:left w:val="single" w:sz="8" w:color="auto"/>
              <w:right w:val="single" w:sz="8" w:color="auto"/>
            </w:tcBorders>
            <w:gridSpan w:val="23"/>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80" w:type="dxa"/>
            <w:vAlign w:val="bottom"/>
          </w:tcPr>
          <w:p>
            <w:pPr>
              <w:spacing w:after="0"/>
              <w:rPr>
                <w:sz w:val="11"/>
                <w:szCs w:val="11"/>
                <w:color w:val="auto"/>
              </w:rPr>
            </w:pPr>
          </w:p>
        </w:tc>
        <w:tc>
          <w:tcPr>
            <w:tcW w:w="2500" w:type="dxa"/>
            <w:vAlign w:val="bottom"/>
            <w:gridSpan w:val="41"/>
          </w:tcPr>
          <w:p>
            <w:pPr>
              <w:spacing w:after="0" w:line="129" w:lineRule="exact"/>
              <w:rPr>
                <w:sz w:val="20"/>
                <w:szCs w:val="20"/>
                <w:color w:val="auto"/>
              </w:rPr>
            </w:pPr>
            <w:r>
              <w:rPr>
                <w:rFonts w:ascii="Times New Roman" w:cs="Times New Roman" w:eastAsia="Times New Roman" w:hAnsi="Times New Roman"/>
                <w:sz w:val="13"/>
                <w:szCs w:val="13"/>
                <w:color w:val="auto"/>
                <w:w w:val="94"/>
              </w:rPr>
              <w:t>Options during a Term will reduce the Investment</w:t>
            </w:r>
          </w:p>
        </w:tc>
        <w:tc>
          <w:tcPr>
            <w:tcW w:w="160" w:type="dxa"/>
            <w:vAlign w:val="bottom"/>
          </w:tcPr>
          <w:p>
            <w:pPr>
              <w:spacing w:after="0"/>
              <w:rPr>
                <w:sz w:val="11"/>
                <w:szCs w:val="11"/>
                <w:color w:val="auto"/>
              </w:rPr>
            </w:pPr>
          </w:p>
        </w:tc>
        <w:tc>
          <w:tcPr>
            <w:tcW w:w="1440" w:type="dxa"/>
            <w:vAlign w:val="bottom"/>
            <w:gridSpan w:val="25"/>
          </w:tcPr>
          <w:p>
            <w:pPr>
              <w:jc w:val="right"/>
              <w:spacing w:after="0" w:line="129" w:lineRule="exact"/>
              <w:rPr>
                <w:sz w:val="20"/>
                <w:szCs w:val="20"/>
                <w:color w:val="auto"/>
              </w:rPr>
            </w:pPr>
            <w:r>
              <w:rPr>
                <w:rFonts w:ascii="Times New Roman" w:cs="Times New Roman" w:eastAsia="Times New Roman" w:hAnsi="Times New Roman"/>
                <w:sz w:val="13"/>
                <w:szCs w:val="13"/>
                <w:color w:val="auto"/>
                <w:w w:val="98"/>
              </w:rPr>
              <w:t>Amount associated with the</w:t>
            </w:r>
          </w:p>
        </w:tc>
        <w:tc>
          <w:tcPr>
            <w:tcW w:w="4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080" w:type="dxa"/>
            <w:vAlign w:val="bottom"/>
          </w:tcPr>
          <w:p>
            <w:pPr>
              <w:spacing w:after="0"/>
              <w:rPr>
                <w:sz w:val="10"/>
                <w:szCs w:val="10"/>
                <w:color w:val="auto"/>
              </w:rPr>
            </w:pPr>
          </w:p>
        </w:tc>
        <w:tc>
          <w:tcPr>
            <w:tcW w:w="400" w:type="dxa"/>
            <w:vAlign w:val="bottom"/>
            <w:tcBorders>
              <w:top w:val="single" w:sz="8" w:color="auto"/>
            </w:tcBorders>
            <w:gridSpan w:val="5"/>
          </w:tcPr>
          <w:p>
            <w:pPr>
              <w:spacing w:after="0" w:line="119" w:lineRule="exact"/>
              <w:rPr>
                <w:sz w:val="20"/>
                <w:szCs w:val="20"/>
                <w:color w:val="auto"/>
              </w:rPr>
            </w:pPr>
            <w:r>
              <w:rPr>
                <w:rFonts w:ascii="Times New Roman" w:cs="Times New Roman" w:eastAsia="Times New Roman" w:hAnsi="Times New Roman"/>
                <w:sz w:val="13"/>
                <w:szCs w:val="13"/>
                <w:color w:val="auto"/>
              </w:rPr>
              <w:t>Shield</w:t>
            </w:r>
          </w:p>
        </w:tc>
        <w:tc>
          <w:tcPr>
            <w:tcW w:w="500" w:type="dxa"/>
            <w:vAlign w:val="bottom"/>
            <w:gridSpan w:val="9"/>
          </w:tcPr>
          <w:p>
            <w:pPr>
              <w:spacing w:after="0" w:line="119" w:lineRule="exact"/>
              <w:rPr>
                <w:sz w:val="20"/>
                <w:szCs w:val="20"/>
                <w:color w:val="auto"/>
              </w:rPr>
            </w:pPr>
            <w:r>
              <w:rPr>
                <w:rFonts w:ascii="Times New Roman" w:cs="Times New Roman" w:eastAsia="Times New Roman" w:hAnsi="Times New Roman"/>
                <w:sz w:val="13"/>
                <w:szCs w:val="13"/>
                <w:color w:val="auto"/>
                <w:w w:val="91"/>
              </w:rPr>
              <w:t>Option by</w:t>
            </w:r>
          </w:p>
        </w:tc>
        <w:tc>
          <w:tcPr>
            <w:tcW w:w="280" w:type="dxa"/>
            <w:vAlign w:val="bottom"/>
            <w:tcBorders>
              <w:top w:val="single" w:sz="8" w:color="auto"/>
            </w:tcBorders>
            <w:gridSpan w:val="5"/>
          </w:tcPr>
          <w:p>
            <w:pPr>
              <w:ind w:left="20"/>
              <w:spacing w:after="0" w:line="119" w:lineRule="exact"/>
              <w:rPr>
                <w:sz w:val="20"/>
                <w:szCs w:val="20"/>
                <w:color w:val="auto"/>
              </w:rPr>
            </w:pPr>
            <w:r>
              <w:rPr>
                <w:rFonts w:ascii="Times New Roman" w:cs="Times New Roman" w:eastAsia="Times New Roman" w:hAnsi="Times New Roman"/>
                <w:sz w:val="13"/>
                <w:szCs w:val="13"/>
                <w:color w:val="auto"/>
              </w:rPr>
              <w:t>the</w:t>
            </w:r>
          </w:p>
        </w:tc>
        <w:tc>
          <w:tcPr>
            <w:tcW w:w="880" w:type="dxa"/>
            <w:vAlign w:val="bottom"/>
            <w:gridSpan w:val="15"/>
          </w:tcPr>
          <w:p>
            <w:pPr>
              <w:jc w:val="right"/>
              <w:ind w:right="80"/>
              <w:spacing w:after="0" w:line="119" w:lineRule="exact"/>
              <w:rPr>
                <w:sz w:val="20"/>
                <w:szCs w:val="20"/>
                <w:color w:val="auto"/>
              </w:rPr>
            </w:pPr>
            <w:r>
              <w:rPr>
                <w:rFonts w:ascii="Times New Roman" w:cs="Times New Roman" w:eastAsia="Times New Roman" w:hAnsi="Times New Roman"/>
                <w:sz w:val="13"/>
                <w:szCs w:val="13"/>
                <w:color w:val="auto"/>
                <w:w w:val="91"/>
              </w:rPr>
              <w:t>same proportion</w:t>
            </w:r>
          </w:p>
        </w:tc>
        <w:tc>
          <w:tcPr>
            <w:tcW w:w="1040" w:type="dxa"/>
            <w:vAlign w:val="bottom"/>
            <w:tcBorders>
              <w:top w:val="single" w:sz="8" w:color="auto"/>
            </w:tcBorders>
            <w:gridSpan w:val="16"/>
          </w:tcPr>
          <w:p>
            <w:pPr>
              <w:spacing w:after="0" w:line="119" w:lineRule="exact"/>
              <w:rPr>
                <w:sz w:val="20"/>
                <w:szCs w:val="20"/>
                <w:color w:val="auto"/>
              </w:rPr>
            </w:pPr>
            <w:r>
              <w:rPr>
                <w:rFonts w:ascii="Times New Roman" w:cs="Times New Roman" w:eastAsia="Times New Roman" w:hAnsi="Times New Roman"/>
                <w:sz w:val="13"/>
                <w:szCs w:val="13"/>
                <w:color w:val="auto"/>
                <w:w w:val="89"/>
              </w:rPr>
              <w:t>that the Interim Value</w:t>
            </w:r>
          </w:p>
        </w:tc>
        <w:tc>
          <w:tcPr>
            <w:tcW w:w="20" w:type="dxa"/>
            <w:vAlign w:val="bottom"/>
          </w:tcPr>
          <w:p>
            <w:pPr>
              <w:spacing w:after="0"/>
              <w:rPr>
                <w:sz w:val="10"/>
                <w:szCs w:val="10"/>
                <w:color w:val="auto"/>
              </w:rPr>
            </w:pPr>
          </w:p>
        </w:tc>
        <w:tc>
          <w:tcPr>
            <w:tcW w:w="1180" w:type="dxa"/>
            <w:vAlign w:val="bottom"/>
            <w:gridSpan w:val="18"/>
          </w:tcPr>
          <w:p>
            <w:pPr>
              <w:ind w:left="80"/>
              <w:spacing w:after="0" w:line="119" w:lineRule="exact"/>
              <w:rPr>
                <w:sz w:val="20"/>
                <w:szCs w:val="20"/>
                <w:color w:val="auto"/>
              </w:rPr>
            </w:pPr>
            <w:r>
              <w:rPr>
                <w:rFonts w:ascii="Times New Roman" w:cs="Times New Roman" w:eastAsia="Times New Roman" w:hAnsi="Times New Roman"/>
                <w:sz w:val="13"/>
                <w:szCs w:val="13"/>
                <w:color w:val="auto"/>
              </w:rPr>
              <w:t>of that Shield</w:t>
            </w: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80" w:type="dxa"/>
            <w:vAlign w:val="bottom"/>
            <w:tcBorders>
              <w:right w:val="single" w:sz="8" w:color="auto"/>
            </w:tcBorders>
          </w:tcPr>
          <w:p>
            <w:pPr>
              <w:spacing w:after="0" w:line="20" w:lineRule="exact"/>
              <w:rPr>
                <w:sz w:val="1"/>
                <w:szCs w:val="1"/>
                <w:color w:val="auto"/>
              </w:rPr>
            </w:pPr>
          </w:p>
        </w:tc>
        <w:tc>
          <w:tcPr>
            <w:tcW w:w="20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6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900" w:type="dxa"/>
            <w:vAlign w:val="bottom"/>
            <w:tcBorders>
              <w:right w:val="single" w:sz="8" w:color="auto"/>
            </w:tcBorders>
            <w:gridSpan w:val="34"/>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gridSpan w:val="4"/>
            <w:shd w:val="clear" w:color="auto" w:fill="000000"/>
          </w:tcPr>
          <w:p>
            <w:pPr>
              <w:spacing w:after="0" w:line="20" w:lineRule="exact"/>
              <w:rPr>
                <w:sz w:val="1"/>
                <w:szCs w:val="1"/>
                <w:color w:val="auto"/>
              </w:rPr>
            </w:pPr>
          </w:p>
        </w:tc>
        <w:tc>
          <w:tcPr>
            <w:tcW w:w="240" w:type="dxa"/>
            <w:vAlign w:val="bottom"/>
            <w:tcBorders>
              <w:left w:val="single" w:sz="8" w:color="auto"/>
            </w:tcBorders>
            <w:gridSpan w:val="4"/>
            <w:shd w:val="clear" w:color="auto" w:fill="000000"/>
          </w:tcPr>
          <w:p>
            <w:pPr>
              <w:spacing w:after="0" w:line="20" w:lineRule="exact"/>
              <w:rPr>
                <w:sz w:val="1"/>
                <w:szCs w:val="1"/>
                <w:color w:val="auto"/>
              </w:rPr>
            </w:pPr>
          </w:p>
        </w:tc>
        <w:tc>
          <w:tcPr>
            <w:tcW w:w="480" w:type="dxa"/>
            <w:vAlign w:val="bottom"/>
            <w:tcBorders>
              <w:left w:val="single" w:sz="8" w:color="auto"/>
              <w:right w:val="single" w:sz="8" w:color="auto"/>
            </w:tcBorders>
            <w:gridSpan w:val="8"/>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80" w:type="dxa"/>
            <w:vAlign w:val="bottom"/>
          </w:tcPr>
          <w:p>
            <w:pPr>
              <w:spacing w:after="0"/>
              <w:rPr>
                <w:sz w:val="11"/>
                <w:szCs w:val="11"/>
                <w:color w:val="auto"/>
              </w:rPr>
            </w:pPr>
          </w:p>
        </w:tc>
        <w:tc>
          <w:tcPr>
            <w:tcW w:w="4300" w:type="dxa"/>
            <w:vAlign w:val="bottom"/>
            <w:gridSpan w:val="69"/>
          </w:tcPr>
          <w:p>
            <w:pPr>
              <w:spacing w:after="0" w:line="129" w:lineRule="exact"/>
              <w:rPr>
                <w:sz w:val="20"/>
                <w:szCs w:val="20"/>
                <w:color w:val="auto"/>
              </w:rPr>
            </w:pPr>
            <w:r>
              <w:rPr>
                <w:rFonts w:ascii="Times New Roman" w:cs="Times New Roman" w:eastAsia="Times New Roman" w:hAnsi="Times New Roman"/>
                <w:sz w:val="13"/>
                <w:szCs w:val="13"/>
                <w:color w:val="auto"/>
              </w:rPr>
              <w:t>Option is reduced by the withdrawal. The proportionate reduction could be</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080" w:type="dxa"/>
            <w:vAlign w:val="bottom"/>
          </w:tcPr>
          <w:p>
            <w:pPr>
              <w:spacing w:after="0"/>
              <w:rPr>
                <w:sz w:val="10"/>
                <w:szCs w:val="10"/>
                <w:color w:val="auto"/>
              </w:rPr>
            </w:pPr>
          </w:p>
        </w:tc>
        <w:tc>
          <w:tcPr>
            <w:tcW w:w="380" w:type="dxa"/>
            <w:vAlign w:val="bottom"/>
            <w:tcBorders>
              <w:top w:val="single" w:sz="8" w:color="auto"/>
            </w:tcBorders>
            <w:gridSpan w:val="4"/>
          </w:tcPr>
          <w:p>
            <w:pPr>
              <w:spacing w:after="0" w:line="119" w:lineRule="exact"/>
              <w:rPr>
                <w:sz w:val="20"/>
                <w:szCs w:val="20"/>
                <w:color w:val="auto"/>
              </w:rPr>
            </w:pPr>
            <w:r>
              <w:rPr>
                <w:rFonts w:ascii="Times New Roman" w:cs="Times New Roman" w:eastAsia="Times New Roman" w:hAnsi="Times New Roman"/>
                <w:sz w:val="13"/>
                <w:szCs w:val="13"/>
                <w:color w:val="auto"/>
                <w:w w:val="94"/>
              </w:rPr>
              <w:t>greater</w:t>
            </w:r>
          </w:p>
        </w:tc>
        <w:tc>
          <w:tcPr>
            <w:tcW w:w="3920" w:type="dxa"/>
            <w:vAlign w:val="bottom"/>
            <w:gridSpan w:val="65"/>
          </w:tcPr>
          <w:p>
            <w:pPr>
              <w:spacing w:after="0" w:line="119" w:lineRule="exact"/>
              <w:rPr>
                <w:sz w:val="20"/>
                <w:szCs w:val="20"/>
                <w:color w:val="auto"/>
              </w:rPr>
            </w:pPr>
            <w:r>
              <w:rPr>
                <w:rFonts w:ascii="Times New Roman" w:cs="Times New Roman" w:eastAsia="Times New Roman" w:hAnsi="Times New Roman"/>
                <w:sz w:val="13"/>
                <w:szCs w:val="13"/>
                <w:color w:val="auto"/>
              </w:rPr>
              <w:t>than the amount withdrawn even if the Index Value has increased.</w:t>
            </w: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80" w:type="dxa"/>
            <w:vAlign w:val="bottom"/>
          </w:tcPr>
          <w:p>
            <w:pPr>
              <w:spacing w:after="0"/>
              <w:rPr>
                <w:sz w:val="11"/>
                <w:szCs w:val="11"/>
                <w:color w:val="auto"/>
              </w:rPr>
            </w:pPr>
          </w:p>
        </w:tc>
        <w:tc>
          <w:tcPr>
            <w:tcW w:w="4300" w:type="dxa"/>
            <w:vAlign w:val="bottom"/>
            <w:gridSpan w:val="69"/>
          </w:tcPr>
          <w:p>
            <w:pPr>
              <w:spacing w:after="0" w:line="129" w:lineRule="exact"/>
              <w:rPr>
                <w:sz w:val="20"/>
                <w:szCs w:val="20"/>
                <w:color w:val="auto"/>
              </w:rPr>
            </w:pPr>
            <w:r>
              <w:rPr>
                <w:rFonts w:ascii="Times New Roman" w:cs="Times New Roman" w:eastAsia="Times New Roman" w:hAnsi="Times New Roman"/>
                <w:sz w:val="13"/>
                <w:szCs w:val="13"/>
                <w:color w:val="auto"/>
              </w:rPr>
              <w:t>Reductions to the Investment Amount will reduce the Interim Value for that</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940" w:type="dxa"/>
            <w:vAlign w:val="bottom"/>
            <w:gridSpan w:val="15"/>
            <w:vMerge w:val="restart"/>
          </w:tcPr>
          <w:p>
            <w:pPr>
              <w:spacing w:after="0"/>
              <w:rPr>
                <w:sz w:val="20"/>
                <w:szCs w:val="20"/>
                <w:color w:val="auto"/>
              </w:rPr>
            </w:pPr>
            <w:r>
              <w:rPr>
                <w:rFonts w:ascii="Times New Roman" w:cs="Times New Roman" w:eastAsia="Times New Roman" w:hAnsi="Times New Roman"/>
                <w:sz w:val="13"/>
                <w:szCs w:val="13"/>
                <w:color w:val="auto"/>
                <w:w w:val="98"/>
              </w:rPr>
              <w:t>Shield Option for</w:t>
            </w: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gridSpan w:val="3"/>
            <w:vMerge w:val="restart"/>
          </w:tcPr>
          <w:p>
            <w:pPr>
              <w:spacing w:after="0" w:line="20" w:lineRule="exact"/>
              <w:rPr>
                <w:sz w:val="1"/>
                <w:szCs w:val="1"/>
                <w:color w:val="auto"/>
              </w:rPr>
            </w:pPr>
          </w:p>
        </w:tc>
        <w:tc>
          <w:tcPr>
            <w:tcW w:w="780" w:type="dxa"/>
            <w:vAlign w:val="bottom"/>
            <w:gridSpan w:val="11"/>
            <w:vMerge w:val="restart"/>
          </w:tcPr>
          <w:p>
            <w:pPr>
              <w:spacing w:after="0"/>
              <w:rPr>
                <w:sz w:val="20"/>
                <w:szCs w:val="20"/>
                <w:color w:val="auto"/>
              </w:rPr>
            </w:pPr>
            <w:r>
              <w:rPr>
                <w:rFonts w:ascii="Times New Roman" w:cs="Times New Roman" w:eastAsia="Times New Roman" w:hAnsi="Times New Roman"/>
                <w:sz w:val="13"/>
                <w:szCs w:val="13"/>
                <w:color w:val="auto"/>
                <w:w w:val="92"/>
              </w:rPr>
              <w:t>Term, and, as a</w:t>
            </w: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80" w:type="dxa"/>
            <w:vAlign w:val="bottom"/>
          </w:tcPr>
          <w:p>
            <w:pPr>
              <w:spacing w:after="0"/>
              <w:rPr>
                <w:sz w:val="11"/>
                <w:szCs w:val="11"/>
                <w:color w:val="auto"/>
              </w:rPr>
            </w:pPr>
          </w:p>
        </w:tc>
        <w:tc>
          <w:tcPr>
            <w:tcW w:w="940" w:type="dxa"/>
            <w:vAlign w:val="bottom"/>
            <w:gridSpan w:val="15"/>
            <w:vMerge w:val="continue"/>
          </w:tcPr>
          <w:p>
            <w:pPr>
              <w:spacing w:after="0"/>
              <w:rPr>
                <w:sz w:val="11"/>
                <w:szCs w:val="11"/>
                <w:color w:val="auto"/>
              </w:rPr>
            </w:pPr>
          </w:p>
        </w:tc>
        <w:tc>
          <w:tcPr>
            <w:tcW w:w="1060" w:type="dxa"/>
            <w:vAlign w:val="bottom"/>
            <w:gridSpan w:val="17"/>
          </w:tcPr>
          <w:p>
            <w:pPr>
              <w:jc w:val="center"/>
              <w:spacing w:after="0" w:line="129" w:lineRule="exact"/>
              <w:rPr>
                <w:sz w:val="20"/>
                <w:szCs w:val="20"/>
                <w:color w:val="auto"/>
              </w:rPr>
            </w:pPr>
            <w:r>
              <w:rPr>
                <w:rFonts w:ascii="Times New Roman" w:cs="Times New Roman" w:eastAsia="Times New Roman" w:hAnsi="Times New Roman"/>
                <w:sz w:val="13"/>
                <w:szCs w:val="13"/>
                <w:color w:val="auto"/>
              </w:rPr>
              <w:t>the remainder of the</w:t>
            </w:r>
          </w:p>
        </w:tc>
        <w:tc>
          <w:tcPr>
            <w:tcW w:w="20" w:type="dxa"/>
            <w:vAlign w:val="bottom"/>
            <w:vMerge w:val="continue"/>
          </w:tcPr>
          <w:p>
            <w:pPr>
              <w:spacing w:after="0"/>
              <w:rPr>
                <w:sz w:val="11"/>
                <w:szCs w:val="11"/>
                <w:color w:val="auto"/>
              </w:rPr>
            </w:pPr>
          </w:p>
        </w:tc>
        <w:tc>
          <w:tcPr>
            <w:tcW w:w="80" w:type="dxa"/>
            <w:vAlign w:val="bottom"/>
            <w:gridSpan w:val="3"/>
            <w:vMerge w:val="continue"/>
          </w:tcPr>
          <w:p>
            <w:pPr>
              <w:spacing w:after="0"/>
              <w:rPr>
                <w:sz w:val="11"/>
                <w:szCs w:val="11"/>
                <w:color w:val="auto"/>
              </w:rPr>
            </w:pPr>
          </w:p>
        </w:tc>
        <w:tc>
          <w:tcPr>
            <w:tcW w:w="780" w:type="dxa"/>
            <w:vAlign w:val="bottom"/>
            <w:gridSpan w:val="11"/>
            <w:vMerge w:val="continue"/>
          </w:tcPr>
          <w:p>
            <w:pPr>
              <w:spacing w:after="0"/>
              <w:rPr>
                <w:sz w:val="11"/>
                <w:szCs w:val="11"/>
                <w:color w:val="auto"/>
              </w:rPr>
            </w:pPr>
          </w:p>
        </w:tc>
        <w:tc>
          <w:tcPr>
            <w:tcW w:w="1420" w:type="dxa"/>
            <w:vAlign w:val="bottom"/>
            <w:gridSpan w:val="22"/>
          </w:tcPr>
          <w:p>
            <w:pPr>
              <w:jc w:val="right"/>
              <w:ind w:right="440"/>
              <w:spacing w:after="0" w:line="129" w:lineRule="exact"/>
              <w:rPr>
                <w:sz w:val="20"/>
                <w:szCs w:val="20"/>
                <w:color w:val="auto"/>
              </w:rPr>
            </w:pPr>
            <w:r>
              <w:rPr>
                <w:rFonts w:ascii="Times New Roman" w:cs="Times New Roman" w:eastAsia="Times New Roman" w:hAnsi="Times New Roman"/>
                <w:sz w:val="13"/>
                <w:szCs w:val="13"/>
                <w:color w:val="auto"/>
              </w:rPr>
              <w:t>result, the positive</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Borders>
              <w:bottom w:val="single" w:sz="8" w:color="auto"/>
              <w:right w:val="single" w:sz="8" w:color="auto"/>
            </w:tcBorders>
            <w:gridSpan w:val="2"/>
            <w:shd w:val="clear" w:color="auto" w:fill="000000"/>
          </w:tcPr>
          <w:p>
            <w:pPr>
              <w:spacing w:after="0" w:line="20" w:lineRule="exact"/>
              <w:rPr>
                <w:sz w:val="1"/>
                <w:szCs w:val="1"/>
                <w:color w:val="auto"/>
              </w:rPr>
            </w:pPr>
          </w:p>
        </w:tc>
        <w:tc>
          <w:tcPr>
            <w:tcW w:w="340" w:type="dxa"/>
            <w:vAlign w:val="bottom"/>
            <w:tcBorders>
              <w:left w:val="single" w:sz="8" w:color="auto"/>
              <w:bottom w:val="single" w:sz="8" w:color="auto"/>
              <w:right w:val="single" w:sz="8" w:color="auto"/>
            </w:tcBorders>
            <w:gridSpan w:val="4"/>
            <w:shd w:val="clear" w:color="auto" w:fill="000000"/>
          </w:tcPr>
          <w:p>
            <w:pPr>
              <w:spacing w:after="0" w:line="20" w:lineRule="exact"/>
              <w:rPr>
                <w:sz w:val="1"/>
                <w:szCs w:val="1"/>
                <w:color w:val="auto"/>
              </w:rPr>
            </w:pPr>
          </w:p>
        </w:tc>
        <w:tc>
          <w:tcPr>
            <w:tcW w:w="6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1380" w:type="dxa"/>
            <w:vAlign w:val="bottom"/>
            <w:gridSpan w:val="27"/>
            <w:vMerge w:val="restart"/>
          </w:tcPr>
          <w:p>
            <w:pPr>
              <w:jc w:val="right"/>
              <w:ind w:right="60"/>
              <w:spacing w:after="0" w:line="139" w:lineRule="exact"/>
              <w:rPr>
                <w:sz w:val="20"/>
                <w:szCs w:val="20"/>
                <w:color w:val="auto"/>
              </w:rPr>
            </w:pPr>
            <w:r>
              <w:rPr>
                <w:rFonts w:ascii="Times New Roman" w:cs="Times New Roman" w:eastAsia="Times New Roman" w:hAnsi="Times New Roman"/>
                <w:sz w:val="13"/>
                <w:szCs w:val="13"/>
                <w:color w:val="auto"/>
                <w:w w:val="99"/>
              </w:rPr>
              <w:t>credited to the remaining</w:t>
            </w: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1080" w:type="dxa"/>
            <w:vAlign w:val="bottom"/>
          </w:tcPr>
          <w:p>
            <w:pPr>
              <w:spacing w:after="0"/>
              <w:rPr>
                <w:sz w:val="8"/>
                <w:szCs w:val="8"/>
                <w:color w:val="auto"/>
              </w:rPr>
            </w:pPr>
          </w:p>
        </w:tc>
        <w:tc>
          <w:tcPr>
            <w:tcW w:w="720" w:type="dxa"/>
            <w:vAlign w:val="bottom"/>
            <w:gridSpan w:val="9"/>
          </w:tcPr>
          <w:p>
            <w:pPr>
              <w:spacing w:after="0" w:line="99" w:lineRule="exact"/>
              <w:rPr>
                <w:sz w:val="20"/>
                <w:szCs w:val="20"/>
                <w:color w:val="auto"/>
              </w:rPr>
            </w:pPr>
            <w:r>
              <w:rPr>
                <w:rFonts w:ascii="Times New Roman" w:cs="Times New Roman" w:eastAsia="Times New Roman" w:hAnsi="Times New Roman"/>
                <w:sz w:val="11"/>
                <w:szCs w:val="11"/>
                <w:color w:val="auto"/>
              </w:rPr>
              <w:t>interest, if any,</w:t>
            </w:r>
          </w:p>
        </w:tc>
        <w:tc>
          <w:tcPr>
            <w:tcW w:w="1380" w:type="dxa"/>
            <w:vAlign w:val="bottom"/>
            <w:gridSpan w:val="27"/>
            <w:vMerge w:val="continue"/>
          </w:tcPr>
          <w:p>
            <w:pPr>
              <w:spacing w:after="0"/>
              <w:rPr>
                <w:sz w:val="8"/>
                <w:szCs w:val="8"/>
                <w:color w:val="auto"/>
              </w:rPr>
            </w:pPr>
          </w:p>
        </w:tc>
        <w:tc>
          <w:tcPr>
            <w:tcW w:w="60" w:type="dxa"/>
            <w:vAlign w:val="bottom"/>
          </w:tcPr>
          <w:p>
            <w:pPr>
              <w:spacing w:after="0"/>
              <w:rPr>
                <w:sz w:val="8"/>
                <w:szCs w:val="8"/>
                <w:color w:val="auto"/>
              </w:rPr>
            </w:pPr>
          </w:p>
        </w:tc>
        <w:tc>
          <w:tcPr>
            <w:tcW w:w="2140" w:type="dxa"/>
            <w:vAlign w:val="bottom"/>
            <w:gridSpan w:val="32"/>
          </w:tcPr>
          <w:p>
            <w:pPr>
              <w:jc w:val="right"/>
              <w:ind w:right="160"/>
              <w:spacing w:after="0" w:line="99" w:lineRule="exact"/>
              <w:rPr>
                <w:sz w:val="20"/>
                <w:szCs w:val="20"/>
                <w:color w:val="auto"/>
              </w:rPr>
            </w:pPr>
            <w:r>
              <w:rPr>
                <w:rFonts w:ascii="Times New Roman" w:cs="Times New Roman" w:eastAsia="Times New Roman" w:hAnsi="Times New Roman"/>
                <w:sz w:val="11"/>
                <w:szCs w:val="11"/>
                <w:color w:val="auto"/>
              </w:rPr>
              <w:t>Investment Amount on the Term End</w:t>
            </w: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160" w:type="dxa"/>
            <w:vAlign w:val="bottom"/>
            <w:gridSpan w:val="37"/>
            <w:vMerge w:val="restart"/>
          </w:tcPr>
          <w:p>
            <w:pPr>
              <w:spacing w:after="0"/>
              <w:rPr>
                <w:sz w:val="20"/>
                <w:szCs w:val="20"/>
                <w:color w:val="auto"/>
              </w:rPr>
            </w:pPr>
            <w:r>
              <w:rPr>
                <w:rFonts w:ascii="Times New Roman" w:cs="Times New Roman" w:eastAsia="Times New Roman" w:hAnsi="Times New Roman"/>
                <w:sz w:val="13"/>
                <w:szCs w:val="13"/>
                <w:color w:val="auto"/>
                <w:w w:val="97"/>
              </w:rPr>
              <w:t>Date will be less than if you had not taken</w:t>
            </w: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80" w:type="dxa"/>
            <w:vAlign w:val="bottom"/>
          </w:tcPr>
          <w:p>
            <w:pPr>
              <w:spacing w:after="0"/>
              <w:rPr>
                <w:sz w:val="11"/>
                <w:szCs w:val="11"/>
                <w:color w:val="auto"/>
              </w:rPr>
            </w:pPr>
          </w:p>
        </w:tc>
        <w:tc>
          <w:tcPr>
            <w:tcW w:w="2160" w:type="dxa"/>
            <w:vAlign w:val="bottom"/>
            <w:gridSpan w:val="37"/>
            <w:vMerge w:val="continue"/>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gridSpan w:val="31"/>
          </w:tcPr>
          <w:p>
            <w:pPr>
              <w:jc w:val="right"/>
              <w:ind w:right="160"/>
              <w:spacing w:after="0" w:line="129" w:lineRule="exact"/>
              <w:rPr>
                <w:sz w:val="20"/>
                <w:szCs w:val="20"/>
                <w:color w:val="auto"/>
              </w:rPr>
            </w:pPr>
            <w:r>
              <w:rPr>
                <w:rFonts w:ascii="Times New Roman" w:cs="Times New Roman" w:eastAsia="Times New Roman" w:hAnsi="Times New Roman"/>
                <w:sz w:val="13"/>
                <w:szCs w:val="13"/>
                <w:color w:val="auto"/>
              </w:rPr>
              <w:t>a withdrawal. If you have exercised</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80" w:type="dxa"/>
            <w:vAlign w:val="bottom"/>
          </w:tcPr>
          <w:p>
            <w:pPr>
              <w:spacing w:after="0"/>
              <w:rPr>
                <w:sz w:val="11"/>
                <w:szCs w:val="11"/>
                <w:color w:val="auto"/>
              </w:rPr>
            </w:pPr>
          </w:p>
        </w:tc>
        <w:tc>
          <w:tcPr>
            <w:tcW w:w="20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the</w:t>
            </w:r>
          </w:p>
        </w:tc>
        <w:tc>
          <w:tcPr>
            <w:tcW w:w="4100" w:type="dxa"/>
            <w:vAlign w:val="bottom"/>
            <w:gridSpan w:val="67"/>
          </w:tcPr>
          <w:p>
            <w:pPr>
              <w:ind w:left="40"/>
              <w:spacing w:after="0" w:line="129" w:lineRule="exact"/>
              <w:rPr>
                <w:sz w:val="20"/>
                <w:szCs w:val="20"/>
                <w:color w:val="auto"/>
              </w:rPr>
            </w:pPr>
            <w:r>
              <w:rPr>
                <w:rFonts w:ascii="Times New Roman" w:cs="Times New Roman" w:eastAsia="Times New Roman" w:hAnsi="Times New Roman"/>
                <w:sz w:val="13"/>
                <w:szCs w:val="13"/>
                <w:color w:val="auto"/>
              </w:rPr>
              <w:t>Performance Lock, a withdrawal will reduce the Performance Lock Value</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gridSpan w:val="2"/>
            <w:vMerge w:val="restart"/>
          </w:tcPr>
          <w:p>
            <w:pPr>
              <w:spacing w:after="0" w:line="146" w:lineRule="exact"/>
              <w:rPr>
                <w:sz w:val="20"/>
                <w:szCs w:val="20"/>
                <w:color w:val="auto"/>
              </w:rPr>
            </w:pPr>
            <w:r>
              <w:rPr>
                <w:rFonts w:ascii="Times New Roman" w:cs="Times New Roman" w:eastAsia="Times New Roman" w:hAnsi="Times New Roman"/>
                <w:sz w:val="13"/>
                <w:szCs w:val="13"/>
                <w:color w:val="auto"/>
              </w:rPr>
              <w:t>by</w:t>
            </w:r>
          </w:p>
        </w:tc>
        <w:tc>
          <w:tcPr>
            <w:tcW w:w="340" w:type="dxa"/>
            <w:vAlign w:val="bottom"/>
            <w:tcBorders>
              <w:left w:val="single" w:sz="8" w:color="auto"/>
              <w:right w:val="single" w:sz="8" w:color="auto"/>
            </w:tcBorders>
            <w:gridSpan w:val="4"/>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1080" w:type="dxa"/>
            <w:vAlign w:val="bottom"/>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4100" w:type="dxa"/>
            <w:vAlign w:val="bottom"/>
            <w:gridSpan w:val="67"/>
          </w:tcPr>
          <w:p>
            <w:pPr>
              <w:spacing w:after="0" w:line="126" w:lineRule="exact"/>
              <w:rPr>
                <w:sz w:val="20"/>
                <w:szCs w:val="20"/>
                <w:color w:val="auto"/>
              </w:rPr>
            </w:pPr>
            <w:r>
              <w:rPr>
                <w:rFonts w:ascii="Times New Roman" w:cs="Times New Roman" w:eastAsia="Times New Roman" w:hAnsi="Times New Roman"/>
                <w:sz w:val="13"/>
                <w:szCs w:val="13"/>
                <w:color w:val="auto"/>
              </w:rPr>
              <w:t>the dollar amount of the withdrawal.</w:t>
            </w: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4300" w:type="dxa"/>
            <w:vAlign w:val="bottom"/>
            <w:gridSpan w:val="69"/>
          </w:tcPr>
          <w:p>
            <w:pPr>
              <w:spacing w:after="0" w:line="142" w:lineRule="exact"/>
              <w:rPr>
                <w:sz w:val="20"/>
                <w:szCs w:val="20"/>
                <w:color w:val="auto"/>
              </w:rPr>
            </w:pPr>
            <w:r>
              <w:rPr>
                <w:rFonts w:ascii="Times New Roman" w:cs="Times New Roman" w:eastAsia="Times New Roman" w:hAnsi="Times New Roman"/>
                <w:sz w:val="13"/>
                <w:szCs w:val="13"/>
                <w:color w:val="auto"/>
              </w:rPr>
              <w:t>During the Accumulation Period you may transfer your Account Value to or</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4"/>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gridSpan w:val="4"/>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80" w:type="dxa"/>
            <w:vAlign w:val="bottom"/>
          </w:tcPr>
          <w:p>
            <w:pPr>
              <w:spacing w:after="0"/>
              <w:rPr>
                <w:sz w:val="11"/>
                <w:szCs w:val="11"/>
                <w:color w:val="auto"/>
              </w:rPr>
            </w:pPr>
          </w:p>
        </w:tc>
        <w:tc>
          <w:tcPr>
            <w:tcW w:w="4300" w:type="dxa"/>
            <w:vAlign w:val="bottom"/>
            <w:gridSpan w:val="69"/>
          </w:tcPr>
          <w:p>
            <w:pPr>
              <w:spacing w:after="0" w:line="129" w:lineRule="exact"/>
              <w:rPr>
                <w:sz w:val="20"/>
                <w:szCs w:val="20"/>
                <w:color w:val="auto"/>
              </w:rPr>
            </w:pPr>
            <w:r>
              <w:rPr>
                <w:rFonts w:ascii="Times New Roman" w:cs="Times New Roman" w:eastAsia="Times New Roman" w:hAnsi="Times New Roman"/>
                <w:sz w:val="13"/>
                <w:szCs w:val="13"/>
                <w:color w:val="auto"/>
              </w:rPr>
              <w:t>from the Fixed Account (if available), to or from the Shield Option(s), and from</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Borders>
              <w:right w:val="single" w:sz="8" w:color="auto"/>
            </w:tcBorders>
            <w:gridSpan w:val="4"/>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4"/>
            <w:shd w:val="clear" w:color="auto" w:fill="000000"/>
          </w:tcPr>
          <w:p>
            <w:pPr>
              <w:spacing w:after="0" w:line="20" w:lineRule="exact"/>
              <w:rPr>
                <w:sz w:val="1"/>
                <w:szCs w:val="1"/>
                <w:color w:val="auto"/>
              </w:rPr>
            </w:pPr>
          </w:p>
        </w:tc>
        <w:tc>
          <w:tcPr>
            <w:tcW w:w="1540" w:type="dxa"/>
            <w:vAlign w:val="bottom"/>
            <w:gridSpan w:val="23"/>
            <w:vMerge w:val="restart"/>
          </w:tcPr>
          <w:p>
            <w:pPr>
              <w:ind w:left="20"/>
              <w:spacing w:after="0" w:line="139" w:lineRule="exact"/>
              <w:rPr>
                <w:sz w:val="20"/>
                <w:szCs w:val="20"/>
                <w:color w:val="auto"/>
              </w:rPr>
            </w:pPr>
            <w:r>
              <w:rPr>
                <w:rFonts w:ascii="Times New Roman" w:cs="Times New Roman" w:eastAsia="Times New Roman" w:hAnsi="Times New Roman"/>
                <w:sz w:val="13"/>
                <w:szCs w:val="13"/>
                <w:color w:val="auto"/>
              </w:rPr>
              <w:t>you have not exercised the</w:t>
            </w:r>
          </w:p>
        </w:tc>
        <w:tc>
          <w:tcPr>
            <w:tcW w:w="40" w:type="dxa"/>
            <w:vAlign w:val="bottom"/>
            <w:gridSpan w:val="2"/>
            <w:shd w:val="clear" w:color="auto" w:fill="000000"/>
          </w:tcPr>
          <w:p>
            <w:pPr>
              <w:spacing w:after="0" w:line="20" w:lineRule="exact"/>
              <w:rPr>
                <w:sz w:val="1"/>
                <w:szCs w:val="1"/>
                <w:color w:val="auto"/>
              </w:rPr>
            </w:pPr>
          </w:p>
        </w:tc>
        <w:tc>
          <w:tcPr>
            <w:tcW w:w="200" w:type="dxa"/>
            <w:vAlign w:val="bottom"/>
            <w:gridSpan w:val="4"/>
            <w:shd w:val="clear" w:color="auto" w:fill="000000"/>
          </w:tcPr>
          <w:p>
            <w:pPr>
              <w:spacing w:after="0" w:line="20" w:lineRule="exact"/>
              <w:rPr>
                <w:sz w:val="1"/>
                <w:szCs w:val="1"/>
                <w:color w:val="auto"/>
              </w:rPr>
            </w:pPr>
          </w:p>
        </w:tc>
        <w:tc>
          <w:tcPr>
            <w:tcW w:w="18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gridSpan w:val="4"/>
            <w:vMerge w:val="restart"/>
          </w:tcPr>
          <w:p>
            <w:pPr>
              <w:spacing w:after="0" w:line="20" w:lineRule="exact"/>
              <w:rPr>
                <w:sz w:val="1"/>
                <w:szCs w:val="1"/>
                <w:color w:val="auto"/>
              </w:rPr>
            </w:pPr>
          </w:p>
        </w:tc>
        <w:tc>
          <w:tcPr>
            <w:tcW w:w="320" w:type="dxa"/>
            <w:vAlign w:val="bottom"/>
            <w:gridSpan w:val="4"/>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080" w:type="dxa"/>
            <w:vAlign w:val="bottom"/>
          </w:tcPr>
          <w:p>
            <w:pPr>
              <w:spacing w:after="0"/>
              <w:rPr>
                <w:sz w:val="10"/>
                <w:szCs w:val="10"/>
                <w:color w:val="auto"/>
              </w:rPr>
            </w:pPr>
          </w:p>
        </w:tc>
        <w:tc>
          <w:tcPr>
            <w:tcW w:w="1260" w:type="dxa"/>
            <w:vAlign w:val="bottom"/>
            <w:gridSpan w:val="20"/>
          </w:tcPr>
          <w:p>
            <w:pPr>
              <w:spacing w:after="0" w:line="119" w:lineRule="exact"/>
              <w:rPr>
                <w:sz w:val="20"/>
                <w:szCs w:val="20"/>
                <w:color w:val="auto"/>
              </w:rPr>
            </w:pPr>
            <w:r>
              <w:rPr>
                <w:rFonts w:ascii="Times New Roman" w:cs="Times New Roman" w:eastAsia="Times New Roman" w:hAnsi="Times New Roman"/>
                <w:sz w:val="13"/>
                <w:szCs w:val="13"/>
                <w:color w:val="auto"/>
                <w:w w:val="99"/>
              </w:rPr>
              <w:t>the Holding Account. If</w:t>
            </w:r>
          </w:p>
        </w:tc>
        <w:tc>
          <w:tcPr>
            <w:tcW w:w="1540" w:type="dxa"/>
            <w:vAlign w:val="bottom"/>
            <w:gridSpan w:val="23"/>
            <w:vMerge w:val="continue"/>
          </w:tcPr>
          <w:p>
            <w:pPr>
              <w:spacing w:after="0"/>
              <w:rPr>
                <w:sz w:val="10"/>
                <w:szCs w:val="10"/>
                <w:color w:val="auto"/>
              </w:rPr>
            </w:pPr>
          </w:p>
        </w:tc>
        <w:tc>
          <w:tcPr>
            <w:tcW w:w="880" w:type="dxa"/>
            <w:vAlign w:val="bottom"/>
            <w:gridSpan w:val="18"/>
          </w:tcPr>
          <w:p>
            <w:pPr>
              <w:spacing w:after="0" w:line="119" w:lineRule="exact"/>
              <w:rPr>
                <w:sz w:val="20"/>
                <w:szCs w:val="20"/>
                <w:color w:val="auto"/>
              </w:rPr>
            </w:pPr>
            <w:r>
              <w:rPr>
                <w:rFonts w:ascii="Times New Roman" w:cs="Times New Roman" w:eastAsia="Times New Roman" w:hAnsi="Times New Roman"/>
                <w:sz w:val="13"/>
                <w:szCs w:val="13"/>
                <w:color w:val="auto"/>
                <w:w w:val="84"/>
              </w:rPr>
              <w:t>Performance Lock,</w:t>
            </w:r>
          </w:p>
        </w:tc>
        <w:tc>
          <w:tcPr>
            <w:tcW w:w="300" w:type="dxa"/>
            <w:vAlign w:val="bottom"/>
            <w:gridSpan w:val="4"/>
            <w:vMerge w:val="continue"/>
          </w:tcPr>
          <w:p>
            <w:pPr>
              <w:spacing w:after="0"/>
              <w:rPr>
                <w:sz w:val="10"/>
                <w:szCs w:val="10"/>
                <w:color w:val="auto"/>
              </w:rPr>
            </w:pPr>
          </w:p>
        </w:tc>
        <w:tc>
          <w:tcPr>
            <w:tcW w:w="320" w:type="dxa"/>
            <w:vAlign w:val="bottom"/>
            <w:gridSpan w:val="4"/>
            <w:vMerge w:val="continue"/>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Borders>
              <w:right w:val="single" w:sz="8" w:color="auto"/>
            </w:tcBorders>
            <w:gridSpan w:val="2"/>
          </w:tcPr>
          <w:p>
            <w:pPr>
              <w:spacing w:after="0" w:line="20" w:lineRule="exact"/>
              <w:rPr>
                <w:sz w:val="1"/>
                <w:szCs w:val="1"/>
                <w:color w:val="auto"/>
              </w:rPr>
            </w:pPr>
          </w:p>
        </w:tc>
        <w:tc>
          <w:tcPr>
            <w:tcW w:w="340" w:type="dxa"/>
            <w:vAlign w:val="bottom"/>
            <w:tcBorders>
              <w:left w:val="single" w:sz="8" w:color="auto"/>
              <w:right w:val="single" w:sz="8" w:color="auto"/>
            </w:tcBorders>
            <w:gridSpan w:val="4"/>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00" w:type="dxa"/>
            <w:vAlign w:val="bottom"/>
            <w:gridSpan w:val="4"/>
            <w:shd w:val="clear" w:color="auto" w:fill="000000"/>
          </w:tcPr>
          <w:p>
            <w:pPr>
              <w:spacing w:after="0" w:line="20" w:lineRule="exact"/>
              <w:rPr>
                <w:sz w:val="1"/>
                <w:szCs w:val="1"/>
                <w:color w:val="auto"/>
              </w:rPr>
            </w:pPr>
          </w:p>
        </w:tc>
        <w:tc>
          <w:tcPr>
            <w:tcW w:w="18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gridSpan w:val="4"/>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080" w:type="dxa"/>
            <w:vAlign w:val="bottom"/>
          </w:tcPr>
          <w:p>
            <w:pPr>
              <w:spacing w:after="0"/>
              <w:rPr>
                <w:sz w:val="11"/>
                <w:szCs w:val="11"/>
                <w:color w:val="auto"/>
              </w:rPr>
            </w:pPr>
          </w:p>
        </w:tc>
        <w:tc>
          <w:tcPr>
            <w:tcW w:w="4300" w:type="dxa"/>
            <w:vAlign w:val="bottom"/>
            <w:gridSpan w:val="69"/>
          </w:tcPr>
          <w:p>
            <w:pPr>
              <w:spacing w:after="0" w:line="136" w:lineRule="exact"/>
              <w:rPr>
                <w:sz w:val="20"/>
                <w:szCs w:val="20"/>
                <w:color w:val="auto"/>
              </w:rPr>
            </w:pPr>
            <w:r>
              <w:rPr>
                <w:rFonts w:ascii="Times New Roman" w:cs="Times New Roman" w:eastAsia="Times New Roman" w:hAnsi="Times New Roman"/>
                <w:sz w:val="13"/>
                <w:szCs w:val="13"/>
                <w:color w:val="auto"/>
              </w:rPr>
              <w:t>transfers may be made, according to your instructions, only during the</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4300" w:type="dxa"/>
            <w:vAlign w:val="bottom"/>
            <w:gridSpan w:val="69"/>
          </w:tcPr>
          <w:p>
            <w:pPr>
              <w:spacing w:after="0" w:line="142" w:lineRule="exact"/>
              <w:rPr>
                <w:sz w:val="20"/>
                <w:szCs w:val="20"/>
                <w:color w:val="auto"/>
              </w:rPr>
            </w:pPr>
            <w:r>
              <w:rPr>
                <w:rFonts w:ascii="Times New Roman" w:cs="Times New Roman" w:eastAsia="Times New Roman" w:hAnsi="Times New Roman"/>
                <w:sz w:val="13"/>
                <w:szCs w:val="13"/>
                <w:color w:val="auto"/>
              </w:rPr>
              <w:t>Transfer Period following the Term End Date.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Borders>
              <w:right w:val="single" w:sz="8" w:color="auto"/>
            </w:tcBorders>
          </w:tcPr>
          <w:p>
            <w:pPr>
              <w:spacing w:after="0" w:line="20" w:lineRule="exact"/>
              <w:rPr>
                <w:sz w:val="1"/>
                <w:szCs w:val="1"/>
                <w:color w:val="auto"/>
              </w:rPr>
            </w:pPr>
          </w:p>
        </w:tc>
        <w:tc>
          <w:tcPr>
            <w:tcW w:w="540" w:type="dxa"/>
            <w:vAlign w:val="bottom"/>
            <w:tcBorders>
              <w:right w:val="single" w:sz="8" w:color="auto"/>
            </w:tcBorders>
            <w:gridSpan w:val="6"/>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gridSpan w:val="3"/>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080" w:type="dxa"/>
            <w:vAlign w:val="bottom"/>
          </w:tcPr>
          <w:p>
            <w:pPr>
              <w:spacing w:after="0"/>
              <w:rPr>
                <w:sz w:val="10"/>
                <w:szCs w:val="10"/>
                <w:color w:val="auto"/>
              </w:rPr>
            </w:pPr>
          </w:p>
        </w:tc>
        <w:tc>
          <w:tcPr>
            <w:tcW w:w="4300" w:type="dxa"/>
            <w:vAlign w:val="bottom"/>
            <w:gridSpan w:val="69"/>
          </w:tcPr>
          <w:p>
            <w:pPr>
              <w:spacing w:after="0" w:line="119" w:lineRule="exact"/>
              <w:rPr>
                <w:sz w:val="20"/>
                <w:szCs w:val="20"/>
                <w:color w:val="auto"/>
              </w:rPr>
            </w:pPr>
            <w:r>
              <w:rPr>
                <w:rFonts w:ascii="Times New Roman" w:cs="Times New Roman" w:eastAsia="Times New Roman" w:hAnsi="Times New Roman"/>
                <w:sz w:val="13"/>
                <w:szCs w:val="13"/>
                <w:color w:val="auto"/>
              </w:rPr>
              <w:t>If you have exercised the Performance Lock for a multi-year Term, you may</w:t>
            </w: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360" w:type="dxa"/>
            <w:vAlign w:val="bottom"/>
            <w:gridSpan w:val="23"/>
            <w:vMerge w:val="restart"/>
          </w:tcPr>
          <w:p>
            <w:pPr>
              <w:spacing w:after="0"/>
              <w:rPr>
                <w:sz w:val="20"/>
                <w:szCs w:val="20"/>
                <w:color w:val="auto"/>
              </w:rPr>
            </w:pPr>
            <w:r>
              <w:rPr>
                <w:rFonts w:ascii="Times New Roman" w:cs="Times New Roman" w:eastAsia="Times New Roman" w:hAnsi="Times New Roman"/>
                <w:sz w:val="13"/>
                <w:szCs w:val="13"/>
                <w:color w:val="auto"/>
              </w:rPr>
              <w:t>transfer the Performance</w:t>
            </w:r>
          </w:p>
        </w:tc>
        <w:tc>
          <w:tcPr>
            <w:tcW w:w="100" w:type="dxa"/>
            <w:vAlign w:val="bottom"/>
            <w:tcBorders>
              <w:right w:val="single" w:sz="8" w:color="auto"/>
            </w:tcBorders>
            <w:gridSpan w:val="2"/>
            <w:shd w:val="clear" w:color="auto" w:fill="000000"/>
          </w:tcPr>
          <w:p>
            <w:pPr>
              <w:spacing w:after="0" w:line="20" w:lineRule="exact"/>
              <w:rPr>
                <w:sz w:val="1"/>
                <w:szCs w:val="1"/>
                <w:color w:val="auto"/>
              </w:rPr>
            </w:pPr>
          </w:p>
        </w:tc>
        <w:tc>
          <w:tcPr>
            <w:tcW w:w="260" w:type="dxa"/>
            <w:vAlign w:val="bottom"/>
            <w:tcBorders>
              <w:right w:val="single" w:sz="8" w:color="auto"/>
            </w:tcBorders>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gridSpan w:val="3"/>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80" w:type="dxa"/>
            <w:vAlign w:val="bottom"/>
            <w:gridSpan w:val="1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prior to the</w:t>
            </w: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80" w:type="dxa"/>
            <w:vAlign w:val="bottom"/>
          </w:tcPr>
          <w:p>
            <w:pPr>
              <w:spacing w:after="0"/>
              <w:rPr>
                <w:sz w:val="11"/>
                <w:szCs w:val="11"/>
                <w:color w:val="auto"/>
              </w:rPr>
            </w:pPr>
          </w:p>
        </w:tc>
        <w:tc>
          <w:tcPr>
            <w:tcW w:w="1360" w:type="dxa"/>
            <w:vAlign w:val="bottom"/>
            <w:gridSpan w:val="23"/>
            <w:vMerge w:val="continue"/>
          </w:tcPr>
          <w:p>
            <w:pPr>
              <w:spacing w:after="0"/>
              <w:rPr>
                <w:sz w:val="11"/>
                <w:szCs w:val="11"/>
                <w:color w:val="auto"/>
              </w:rPr>
            </w:pPr>
          </w:p>
        </w:tc>
        <w:tc>
          <w:tcPr>
            <w:tcW w:w="960" w:type="dxa"/>
            <w:vAlign w:val="bottom"/>
            <w:gridSpan w:val="16"/>
          </w:tcPr>
          <w:p>
            <w:pPr>
              <w:spacing w:after="0" w:line="129" w:lineRule="exact"/>
              <w:rPr>
                <w:sz w:val="20"/>
                <w:szCs w:val="20"/>
                <w:color w:val="auto"/>
              </w:rPr>
            </w:pPr>
            <w:r>
              <w:rPr>
                <w:rFonts w:ascii="Times New Roman" w:cs="Times New Roman" w:eastAsia="Times New Roman" w:hAnsi="Times New Roman"/>
                <w:sz w:val="13"/>
                <w:szCs w:val="13"/>
                <w:color w:val="auto"/>
                <w:w w:val="94"/>
              </w:rPr>
              <w:t>Lock Value on any</w:t>
            </w:r>
          </w:p>
        </w:tc>
        <w:tc>
          <w:tcPr>
            <w:tcW w:w="60" w:type="dxa"/>
            <w:vAlign w:val="bottom"/>
          </w:tcPr>
          <w:p>
            <w:pPr>
              <w:spacing w:after="0"/>
              <w:rPr>
                <w:sz w:val="11"/>
                <w:szCs w:val="11"/>
                <w:color w:val="auto"/>
              </w:rPr>
            </w:pPr>
          </w:p>
        </w:tc>
        <w:tc>
          <w:tcPr>
            <w:tcW w:w="1140" w:type="dxa"/>
            <w:vAlign w:val="bottom"/>
            <w:gridSpan w:val="17"/>
          </w:tcPr>
          <w:p>
            <w:pPr>
              <w:spacing w:after="0" w:line="129" w:lineRule="exact"/>
              <w:rPr>
                <w:sz w:val="20"/>
                <w:szCs w:val="20"/>
                <w:color w:val="auto"/>
              </w:rPr>
            </w:pPr>
            <w:r>
              <w:rPr>
                <w:rFonts w:ascii="Times New Roman" w:cs="Times New Roman" w:eastAsia="Times New Roman" w:hAnsi="Times New Roman"/>
                <w:sz w:val="13"/>
                <w:szCs w:val="13"/>
                <w:color w:val="auto"/>
                <w:w w:val="99"/>
              </w:rPr>
              <w:t>Contract Anniversary</w:t>
            </w:r>
          </w:p>
        </w:tc>
        <w:tc>
          <w:tcPr>
            <w:tcW w:w="780" w:type="dxa"/>
            <w:vAlign w:val="bottom"/>
            <w:gridSpan w:val="12"/>
            <w:vMerge w:val="continue"/>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gridSpan w:val="6"/>
            <w:shd w:val="clear" w:color="auto" w:fill="000000"/>
          </w:tcPr>
          <w:p>
            <w:pPr>
              <w:spacing w:after="0" w:line="20" w:lineRule="exact"/>
              <w:rPr>
                <w:sz w:val="1"/>
                <w:szCs w:val="1"/>
                <w:color w:val="auto"/>
              </w:rPr>
            </w:pPr>
          </w:p>
        </w:tc>
        <w:tc>
          <w:tcPr>
            <w:tcW w:w="160" w:type="dxa"/>
            <w:vAlign w:val="bottom"/>
            <w:tcBorders>
              <w:right w:val="single" w:sz="8" w:color="auto"/>
            </w:tcBorders>
            <w:gridSpan w:val="4"/>
            <w:shd w:val="clear" w:color="auto" w:fill="000000"/>
          </w:tcPr>
          <w:p>
            <w:pPr>
              <w:spacing w:after="0" w:line="20" w:lineRule="exact"/>
              <w:rPr>
                <w:sz w:val="1"/>
                <w:szCs w:val="1"/>
                <w:color w:val="auto"/>
              </w:rPr>
            </w:pPr>
          </w:p>
        </w:tc>
        <w:tc>
          <w:tcPr>
            <w:tcW w:w="260" w:type="dxa"/>
            <w:vAlign w:val="bottom"/>
            <w:tcBorders>
              <w:right w:val="single" w:sz="8" w:color="auto"/>
            </w:tcBorders>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Borders>
              <w:right w:val="single" w:sz="8" w:color="auto"/>
            </w:tcBorders>
            <w:gridSpan w:val="2"/>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00" w:type="dxa"/>
            <w:vAlign w:val="bottom"/>
            <w:gridSpan w:val="4"/>
            <w:shd w:val="clear" w:color="auto" w:fill="000000"/>
          </w:tcPr>
          <w:p>
            <w:pPr>
              <w:spacing w:after="0" w:line="20" w:lineRule="exact"/>
              <w:rPr>
                <w:sz w:val="1"/>
                <w:szCs w:val="1"/>
                <w:color w:val="auto"/>
              </w:rPr>
            </w:pPr>
          </w:p>
        </w:tc>
        <w:tc>
          <w:tcPr>
            <w:tcW w:w="260" w:type="dxa"/>
            <w:vAlign w:val="bottom"/>
            <w:gridSpan w:val="5"/>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80" w:type="dxa"/>
            <w:vAlign w:val="bottom"/>
          </w:tcPr>
          <w:p>
            <w:pPr>
              <w:spacing w:after="0"/>
              <w:rPr>
                <w:sz w:val="11"/>
                <w:szCs w:val="11"/>
                <w:color w:val="auto"/>
              </w:rPr>
            </w:pPr>
          </w:p>
        </w:tc>
        <w:tc>
          <w:tcPr>
            <w:tcW w:w="1940" w:type="dxa"/>
            <w:vAlign w:val="bottom"/>
            <w:gridSpan w:val="31"/>
          </w:tcPr>
          <w:p>
            <w:pPr>
              <w:spacing w:after="0" w:line="129" w:lineRule="exact"/>
              <w:rPr>
                <w:sz w:val="20"/>
                <w:szCs w:val="20"/>
                <w:color w:val="auto"/>
              </w:rPr>
            </w:pPr>
            <w:r>
              <w:rPr>
                <w:rFonts w:ascii="Times New Roman" w:cs="Times New Roman" w:eastAsia="Times New Roman" w:hAnsi="Times New Roman"/>
                <w:sz w:val="13"/>
                <w:szCs w:val="13"/>
                <w:color w:val="auto"/>
                <w:w w:val="96"/>
              </w:rPr>
              <w:t>end of the Term and on the Term End</w:t>
            </w:r>
          </w:p>
        </w:tc>
        <w:tc>
          <w:tcPr>
            <w:tcW w:w="2360" w:type="dxa"/>
            <w:vAlign w:val="bottom"/>
            <w:gridSpan w:val="38"/>
          </w:tcPr>
          <w:p>
            <w:pPr>
              <w:ind w:left="60"/>
              <w:spacing w:after="0" w:line="129" w:lineRule="exact"/>
              <w:rPr>
                <w:sz w:val="20"/>
                <w:szCs w:val="20"/>
                <w:color w:val="auto"/>
              </w:rPr>
            </w:pPr>
            <w:r>
              <w:rPr>
                <w:rFonts w:ascii="Times New Roman" w:cs="Times New Roman" w:eastAsia="Times New Roman" w:hAnsi="Times New Roman"/>
                <w:sz w:val="13"/>
                <w:szCs w:val="13"/>
                <w:color w:val="auto"/>
              </w:rPr>
              <w:t>Date. If you transfer the Performance</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40" w:type="dxa"/>
            <w:vAlign w:val="bottom"/>
            <w:gridSpan w:val="6"/>
            <w:vMerge w:val="restart"/>
          </w:tcPr>
          <w:p>
            <w:pPr>
              <w:spacing w:after="0" w:line="139" w:lineRule="exact"/>
              <w:rPr>
                <w:sz w:val="20"/>
                <w:szCs w:val="20"/>
                <w:color w:val="auto"/>
              </w:rPr>
            </w:pPr>
            <w:r>
              <w:rPr>
                <w:rFonts w:ascii="Times New Roman" w:cs="Times New Roman" w:eastAsia="Times New Roman" w:hAnsi="Times New Roman"/>
                <w:sz w:val="13"/>
                <w:szCs w:val="13"/>
                <w:color w:val="auto"/>
                <w:w w:val="81"/>
              </w:rPr>
              <w:t>Lock Value</w:t>
            </w: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gridSpan w:val="4"/>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160" w:type="dxa"/>
            <w:vAlign w:val="bottom"/>
            <w:tcBorders>
              <w:right w:val="single" w:sz="8" w:color="auto"/>
            </w:tcBorders>
            <w:gridSpan w:val="4"/>
          </w:tcPr>
          <w:p>
            <w:pPr>
              <w:spacing w:after="0" w:line="20" w:lineRule="exact"/>
              <w:rPr>
                <w:sz w:val="1"/>
                <w:szCs w:val="1"/>
                <w:color w:val="auto"/>
              </w:rPr>
            </w:pPr>
          </w:p>
        </w:tc>
        <w:tc>
          <w:tcPr>
            <w:tcW w:w="260" w:type="dxa"/>
            <w:vAlign w:val="bottom"/>
            <w:tcBorders>
              <w:right w:val="single" w:sz="8" w:color="auto"/>
            </w:tcBorders>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gridSpan w:val="4"/>
            <w:shd w:val="clear" w:color="auto" w:fill="000000"/>
          </w:tcPr>
          <w:p>
            <w:pPr>
              <w:spacing w:after="0" w:line="20" w:lineRule="exact"/>
              <w:rPr>
                <w:sz w:val="1"/>
                <w:szCs w:val="1"/>
                <w:color w:val="auto"/>
              </w:rPr>
            </w:pPr>
          </w:p>
        </w:tc>
        <w:tc>
          <w:tcPr>
            <w:tcW w:w="80" w:type="dxa"/>
            <w:vAlign w:val="bottom"/>
            <w:tcBorders>
              <w:left w:val="single" w:sz="8" w:color="auto"/>
            </w:tcBorders>
            <w:gridSpan w:val="3"/>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360" w:type="dxa"/>
            <w:vAlign w:val="bottom"/>
            <w:gridSpan w:val="5"/>
            <w:shd w:val="clear" w:color="auto" w:fill="000000"/>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080" w:type="dxa"/>
            <w:vAlign w:val="bottom"/>
          </w:tcPr>
          <w:p>
            <w:pPr>
              <w:spacing w:after="0"/>
              <w:rPr>
                <w:sz w:val="10"/>
                <w:szCs w:val="10"/>
                <w:color w:val="auto"/>
              </w:rPr>
            </w:pPr>
          </w:p>
        </w:tc>
        <w:tc>
          <w:tcPr>
            <w:tcW w:w="540" w:type="dxa"/>
            <w:vAlign w:val="bottom"/>
            <w:gridSpan w:val="6"/>
            <w:vMerge w:val="continue"/>
          </w:tcPr>
          <w:p>
            <w:pPr>
              <w:spacing w:after="0"/>
              <w:rPr>
                <w:sz w:val="10"/>
                <w:szCs w:val="10"/>
                <w:color w:val="auto"/>
              </w:rPr>
            </w:pPr>
          </w:p>
        </w:tc>
        <w:tc>
          <w:tcPr>
            <w:tcW w:w="60" w:type="dxa"/>
            <w:vAlign w:val="bottom"/>
          </w:tcPr>
          <w:p>
            <w:pPr>
              <w:spacing w:after="0"/>
              <w:rPr>
                <w:sz w:val="10"/>
                <w:szCs w:val="10"/>
                <w:color w:val="auto"/>
              </w:rPr>
            </w:pPr>
          </w:p>
        </w:tc>
        <w:tc>
          <w:tcPr>
            <w:tcW w:w="3700" w:type="dxa"/>
            <w:vAlign w:val="bottom"/>
            <w:gridSpan w:val="62"/>
          </w:tcPr>
          <w:p>
            <w:pPr>
              <w:ind w:left="20"/>
              <w:spacing w:after="0" w:line="119" w:lineRule="exact"/>
              <w:rPr>
                <w:sz w:val="20"/>
                <w:szCs w:val="20"/>
                <w:color w:val="auto"/>
              </w:rPr>
            </w:pPr>
            <w:r>
              <w:rPr>
                <w:rFonts w:ascii="Times New Roman" w:cs="Times New Roman" w:eastAsia="Times New Roman" w:hAnsi="Times New Roman"/>
                <w:sz w:val="13"/>
                <w:szCs w:val="13"/>
                <w:color w:val="auto"/>
              </w:rPr>
              <w:t>on a Contract Anniversary before the Term End Date, you may only</w:t>
            </w: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00" w:type="dxa"/>
            <w:vAlign w:val="bottom"/>
            <w:tcBorders>
              <w:right w:val="single" w:sz="8" w:color="auto"/>
            </w:tcBorders>
            <w:gridSpan w:val="7"/>
            <w:shd w:val="clear" w:color="auto" w:fill="000000"/>
          </w:tcPr>
          <w:p>
            <w:pPr>
              <w:spacing w:after="0" w:line="20" w:lineRule="exact"/>
              <w:rPr>
                <w:sz w:val="1"/>
                <w:szCs w:val="1"/>
                <w:color w:val="auto"/>
              </w:rPr>
            </w:pPr>
          </w:p>
        </w:tc>
        <w:tc>
          <w:tcPr>
            <w:tcW w:w="280" w:type="dxa"/>
            <w:vAlign w:val="bottom"/>
            <w:gridSpan w:val="6"/>
            <w:vMerge w:val="restart"/>
          </w:tcPr>
          <w:p>
            <w:pPr>
              <w:ind w:left="20"/>
              <w:spacing w:after="0"/>
              <w:rPr>
                <w:sz w:val="20"/>
                <w:szCs w:val="20"/>
                <w:color w:val="auto"/>
              </w:rPr>
            </w:pPr>
            <w:r>
              <w:rPr>
                <w:rFonts w:ascii="Times New Roman" w:cs="Times New Roman" w:eastAsia="Times New Roman" w:hAnsi="Times New Roman"/>
                <w:sz w:val="13"/>
                <w:szCs w:val="13"/>
                <w:color w:val="auto"/>
                <w:w w:val="80"/>
              </w:rPr>
              <w:t>entire</w:t>
            </w:r>
          </w:p>
        </w:tc>
        <w:tc>
          <w:tcPr>
            <w:tcW w:w="6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gridSpan w:val="6"/>
            <w:shd w:val="clear" w:color="auto" w:fill="000000"/>
          </w:tcPr>
          <w:p>
            <w:pPr>
              <w:spacing w:after="0" w:line="20" w:lineRule="exact"/>
              <w:rPr>
                <w:sz w:val="1"/>
                <w:szCs w:val="1"/>
                <w:color w:val="auto"/>
              </w:rPr>
            </w:pPr>
          </w:p>
        </w:tc>
        <w:tc>
          <w:tcPr>
            <w:tcW w:w="420" w:type="dxa"/>
            <w:vAlign w:val="bottom"/>
            <w:tcBorders>
              <w:right w:val="single" w:sz="8" w:color="auto"/>
            </w:tcBorders>
            <w:gridSpan w:val="7"/>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gridSpan w:val="4"/>
            <w:shd w:val="clear" w:color="auto" w:fill="000000"/>
          </w:tcPr>
          <w:p>
            <w:pPr>
              <w:spacing w:after="0" w:line="20" w:lineRule="exact"/>
              <w:rPr>
                <w:sz w:val="1"/>
                <w:szCs w:val="1"/>
                <w:color w:val="auto"/>
              </w:rPr>
            </w:pPr>
          </w:p>
        </w:tc>
        <w:tc>
          <w:tcPr>
            <w:tcW w:w="80" w:type="dxa"/>
            <w:vAlign w:val="bottom"/>
            <w:tcBorders>
              <w:left w:val="single" w:sz="8" w:color="auto"/>
            </w:tcBorders>
            <w:gridSpan w:val="3"/>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00" w:type="dxa"/>
            <w:vAlign w:val="bottom"/>
            <w:gridSpan w:val="4"/>
            <w:shd w:val="clear" w:color="auto" w:fill="000000"/>
          </w:tcPr>
          <w:p>
            <w:pPr>
              <w:spacing w:after="0" w:line="20" w:lineRule="exact"/>
              <w:rPr>
                <w:sz w:val="1"/>
                <w:szCs w:val="1"/>
                <w:color w:val="auto"/>
              </w:rPr>
            </w:pPr>
          </w:p>
        </w:tc>
        <w:tc>
          <w:tcPr>
            <w:tcW w:w="380" w:type="dxa"/>
            <w:vAlign w:val="bottom"/>
            <w:gridSpan w:val="6"/>
            <w:shd w:val="clear" w:color="auto" w:fill="000000"/>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gridSpan w:val="9"/>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80" w:type="dxa"/>
            <w:vAlign w:val="bottom"/>
          </w:tcPr>
          <w:p>
            <w:pPr>
              <w:spacing w:after="0"/>
              <w:rPr>
                <w:sz w:val="11"/>
                <w:szCs w:val="11"/>
                <w:color w:val="auto"/>
              </w:rPr>
            </w:pPr>
          </w:p>
        </w:tc>
        <w:tc>
          <w:tcPr>
            <w:tcW w:w="600" w:type="dxa"/>
            <w:vAlign w:val="bottom"/>
            <w:gridSpan w:val="7"/>
          </w:tcPr>
          <w:p>
            <w:pPr>
              <w:spacing w:after="0" w:line="129" w:lineRule="exact"/>
              <w:rPr>
                <w:sz w:val="20"/>
                <w:szCs w:val="20"/>
                <w:color w:val="auto"/>
              </w:rPr>
            </w:pPr>
            <w:r>
              <w:rPr>
                <w:rFonts w:ascii="Times New Roman" w:cs="Times New Roman" w:eastAsia="Times New Roman" w:hAnsi="Times New Roman"/>
                <w:sz w:val="13"/>
                <w:szCs w:val="13"/>
                <w:color w:val="auto"/>
                <w:w w:val="95"/>
              </w:rPr>
              <w:t>transfer the</w:t>
            </w:r>
          </w:p>
        </w:tc>
        <w:tc>
          <w:tcPr>
            <w:tcW w:w="280" w:type="dxa"/>
            <w:vAlign w:val="bottom"/>
            <w:gridSpan w:val="6"/>
            <w:vMerge w:val="continue"/>
          </w:tcPr>
          <w:p>
            <w:pPr>
              <w:spacing w:after="0"/>
              <w:rPr>
                <w:sz w:val="11"/>
                <w:szCs w:val="11"/>
                <w:color w:val="auto"/>
              </w:rPr>
            </w:pPr>
          </w:p>
        </w:tc>
        <w:tc>
          <w:tcPr>
            <w:tcW w:w="3420" w:type="dxa"/>
            <w:vAlign w:val="bottom"/>
            <w:gridSpan w:val="56"/>
          </w:tcPr>
          <w:p>
            <w:pPr>
              <w:ind w:left="80"/>
              <w:spacing w:after="0" w:line="129" w:lineRule="exact"/>
              <w:rPr>
                <w:sz w:val="20"/>
                <w:szCs w:val="20"/>
                <w:color w:val="auto"/>
              </w:rPr>
            </w:pPr>
            <w:r>
              <w:rPr>
                <w:rFonts w:ascii="Times New Roman" w:cs="Times New Roman" w:eastAsia="Times New Roman" w:hAnsi="Times New Roman"/>
                <w:sz w:val="13"/>
                <w:szCs w:val="13"/>
                <w:color w:val="auto"/>
              </w:rPr>
              <w:t>amount of the Performance Lock Value. If you transfer the</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80" w:type="dxa"/>
            <w:vAlign w:val="bottom"/>
          </w:tcPr>
          <w:p>
            <w:pPr>
              <w:spacing w:after="0"/>
              <w:rPr>
                <w:sz w:val="11"/>
                <w:szCs w:val="11"/>
                <w:color w:val="auto"/>
              </w:rPr>
            </w:pPr>
          </w:p>
        </w:tc>
        <w:tc>
          <w:tcPr>
            <w:tcW w:w="1720" w:type="dxa"/>
            <w:vAlign w:val="bottom"/>
            <w:gridSpan w:val="28"/>
          </w:tcPr>
          <w:p>
            <w:pPr>
              <w:spacing w:after="0" w:line="129" w:lineRule="exact"/>
              <w:rPr>
                <w:sz w:val="20"/>
                <w:szCs w:val="20"/>
                <w:color w:val="auto"/>
              </w:rPr>
            </w:pPr>
            <w:r>
              <w:rPr>
                <w:rFonts w:ascii="Times New Roman" w:cs="Times New Roman" w:eastAsia="Times New Roman" w:hAnsi="Times New Roman"/>
                <w:sz w:val="13"/>
                <w:szCs w:val="13"/>
                <w:color w:val="auto"/>
              </w:rPr>
              <w:t>Performance Lock Value on the</w:t>
            </w:r>
          </w:p>
        </w:tc>
        <w:tc>
          <w:tcPr>
            <w:tcW w:w="1320" w:type="dxa"/>
            <w:vAlign w:val="bottom"/>
            <w:tcBorders>
              <w:top w:val="single" w:sz="8" w:color="auto"/>
            </w:tcBorders>
            <w:gridSpan w:val="21"/>
          </w:tcPr>
          <w:p>
            <w:pPr>
              <w:jc w:val="center"/>
              <w:ind w:right="20"/>
              <w:spacing w:after="0" w:line="129" w:lineRule="exact"/>
              <w:rPr>
                <w:sz w:val="20"/>
                <w:szCs w:val="20"/>
                <w:color w:val="auto"/>
              </w:rPr>
            </w:pPr>
            <w:r>
              <w:rPr>
                <w:rFonts w:ascii="Times New Roman" w:cs="Times New Roman" w:eastAsia="Times New Roman" w:hAnsi="Times New Roman"/>
                <w:sz w:val="13"/>
                <w:szCs w:val="13"/>
                <w:color w:val="auto"/>
                <w:w w:val="98"/>
              </w:rPr>
              <w:t>Term End Date, you may</w:t>
            </w:r>
          </w:p>
        </w:tc>
        <w:tc>
          <w:tcPr>
            <w:tcW w:w="1260" w:type="dxa"/>
            <w:vAlign w:val="bottom"/>
            <w:gridSpan w:val="20"/>
          </w:tcPr>
          <w:p>
            <w:pPr>
              <w:jc w:val="right"/>
              <w:ind w:right="440"/>
              <w:spacing w:after="0" w:line="129" w:lineRule="exact"/>
              <w:rPr>
                <w:sz w:val="20"/>
                <w:szCs w:val="20"/>
                <w:color w:val="auto"/>
              </w:rPr>
            </w:pPr>
            <w:r>
              <w:rPr>
                <w:rFonts w:ascii="Times New Roman" w:cs="Times New Roman" w:eastAsia="Times New Roman" w:hAnsi="Times New Roman"/>
                <w:sz w:val="13"/>
                <w:szCs w:val="13"/>
                <w:color w:val="auto"/>
              </w:rPr>
              <w:t>transfer all or a</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20" w:type="dxa"/>
            <w:vAlign w:val="bottom"/>
            <w:gridSpan w:val="11"/>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gridSpan w:val="3"/>
            <w:shd w:val="clear" w:color="auto" w:fill="000000"/>
          </w:tcPr>
          <w:p>
            <w:pPr>
              <w:spacing w:after="0" w:line="20" w:lineRule="exact"/>
              <w:rPr>
                <w:sz w:val="1"/>
                <w:szCs w:val="1"/>
                <w:color w:val="auto"/>
              </w:rPr>
            </w:pPr>
          </w:p>
        </w:tc>
        <w:tc>
          <w:tcPr>
            <w:tcW w:w="360" w:type="dxa"/>
            <w:vAlign w:val="bottom"/>
            <w:tcBorders>
              <w:left w:val="single" w:sz="8" w:color="auto"/>
            </w:tcBorders>
            <w:gridSpan w:val="6"/>
            <w:shd w:val="clear" w:color="auto" w:fill="000000"/>
          </w:tcPr>
          <w:p>
            <w:pPr>
              <w:spacing w:after="0" w:line="20" w:lineRule="exact"/>
              <w:rPr>
                <w:sz w:val="1"/>
                <w:szCs w:val="1"/>
                <w:color w:val="auto"/>
              </w:rPr>
            </w:pPr>
          </w:p>
        </w:tc>
        <w:tc>
          <w:tcPr>
            <w:tcW w:w="420" w:type="dxa"/>
            <w:vAlign w:val="bottom"/>
            <w:tcBorders>
              <w:right w:val="single" w:sz="8" w:color="auto"/>
            </w:tcBorders>
            <w:gridSpan w:val="7"/>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gridSpan w:val="4"/>
            <w:shd w:val="clear" w:color="auto" w:fill="000000"/>
          </w:tcPr>
          <w:p>
            <w:pPr>
              <w:spacing w:after="0" w:line="20" w:lineRule="exact"/>
              <w:rPr>
                <w:sz w:val="1"/>
                <w:szCs w:val="1"/>
                <w:color w:val="auto"/>
              </w:rPr>
            </w:pPr>
          </w:p>
        </w:tc>
        <w:tc>
          <w:tcPr>
            <w:tcW w:w="80" w:type="dxa"/>
            <w:vAlign w:val="bottom"/>
            <w:tcBorders>
              <w:left w:val="single" w:sz="8" w:color="auto"/>
            </w:tcBorders>
            <w:gridSpan w:val="3"/>
            <w:shd w:val="clear" w:color="auto" w:fill="000000"/>
          </w:tcPr>
          <w:p>
            <w:pPr>
              <w:spacing w:after="0" w:line="20" w:lineRule="exact"/>
              <w:rPr>
                <w:sz w:val="1"/>
                <w:szCs w:val="1"/>
                <w:color w:val="auto"/>
              </w:rPr>
            </w:pPr>
          </w:p>
        </w:tc>
        <w:tc>
          <w:tcPr>
            <w:tcW w:w="400" w:type="dxa"/>
            <w:vAlign w:val="bottom"/>
            <w:tcBorders>
              <w:left w:val="single" w:sz="8" w:color="auto"/>
              <w:right w:val="single" w:sz="8" w:color="auto"/>
            </w:tcBorders>
            <w:gridSpan w:val="5"/>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20" w:type="dxa"/>
            <w:vAlign w:val="bottom"/>
            <w:gridSpan w:val="1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gridSpan w:val="9"/>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080" w:type="dxa"/>
            <w:vAlign w:val="bottom"/>
          </w:tcPr>
          <w:p>
            <w:pPr>
              <w:spacing w:after="0"/>
              <w:rPr>
                <w:sz w:val="10"/>
                <w:szCs w:val="10"/>
                <w:color w:val="auto"/>
              </w:rPr>
            </w:pPr>
          </w:p>
        </w:tc>
        <w:tc>
          <w:tcPr>
            <w:tcW w:w="4300" w:type="dxa"/>
            <w:vAlign w:val="bottom"/>
            <w:gridSpan w:val="69"/>
          </w:tcPr>
          <w:p>
            <w:pPr>
              <w:spacing w:after="0" w:line="119" w:lineRule="exact"/>
              <w:rPr>
                <w:sz w:val="20"/>
                <w:szCs w:val="20"/>
                <w:color w:val="auto"/>
              </w:rPr>
            </w:pPr>
            <w:r>
              <w:rPr>
                <w:rFonts w:ascii="Times New Roman" w:cs="Times New Roman" w:eastAsia="Times New Roman" w:hAnsi="Times New Roman"/>
                <w:sz w:val="13"/>
                <w:szCs w:val="13"/>
                <w:color w:val="auto"/>
              </w:rPr>
              <w:t>portion of your Performance Lock Value during the Transfer Period. Partial</w:t>
            </w: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080" w:type="dxa"/>
            <w:vAlign w:val="bottom"/>
          </w:tcPr>
          <w:p>
            <w:pPr>
              <w:spacing w:after="0"/>
              <w:rPr>
                <w:sz w:val="11"/>
                <w:szCs w:val="11"/>
                <w:color w:val="auto"/>
              </w:rPr>
            </w:pPr>
          </w:p>
        </w:tc>
        <w:tc>
          <w:tcPr>
            <w:tcW w:w="820" w:type="dxa"/>
            <w:vAlign w:val="bottom"/>
            <w:gridSpan w:val="11"/>
          </w:tcPr>
          <w:p>
            <w:pPr>
              <w:spacing w:after="0" w:line="129" w:lineRule="exact"/>
              <w:rPr>
                <w:sz w:val="20"/>
                <w:szCs w:val="20"/>
                <w:color w:val="auto"/>
              </w:rPr>
            </w:pPr>
            <w:r>
              <w:rPr>
                <w:rFonts w:ascii="Times New Roman" w:cs="Times New Roman" w:eastAsia="Times New Roman" w:hAnsi="Times New Roman"/>
                <w:sz w:val="13"/>
                <w:szCs w:val="13"/>
                <w:color w:val="auto"/>
              </w:rPr>
              <w:t>transfers of the</w:t>
            </w:r>
          </w:p>
        </w:tc>
        <w:tc>
          <w:tcPr>
            <w:tcW w:w="40" w:type="dxa"/>
            <w:vAlign w:val="bottom"/>
          </w:tcPr>
          <w:p>
            <w:pPr>
              <w:spacing w:after="0"/>
              <w:rPr>
                <w:sz w:val="11"/>
                <w:szCs w:val="11"/>
                <w:color w:val="auto"/>
              </w:rPr>
            </w:pPr>
          </w:p>
        </w:tc>
        <w:tc>
          <w:tcPr>
            <w:tcW w:w="1240" w:type="dxa"/>
            <w:vAlign w:val="bottom"/>
            <w:tcBorders>
              <w:top w:val="single" w:sz="8" w:color="auto"/>
            </w:tcBorders>
            <w:gridSpan w:val="24"/>
          </w:tcPr>
          <w:p>
            <w:pPr>
              <w:jc w:val="center"/>
              <w:spacing w:after="0" w:line="129" w:lineRule="exact"/>
              <w:rPr>
                <w:sz w:val="20"/>
                <w:szCs w:val="20"/>
                <w:color w:val="auto"/>
              </w:rPr>
            </w:pPr>
            <w:r>
              <w:rPr>
                <w:rFonts w:ascii="Times New Roman" w:cs="Times New Roman" w:eastAsia="Times New Roman" w:hAnsi="Times New Roman"/>
                <w:sz w:val="13"/>
                <w:szCs w:val="13"/>
                <w:color w:val="auto"/>
                <w:w w:val="96"/>
              </w:rPr>
              <w:t>Performance Lock Value</w:t>
            </w:r>
          </w:p>
        </w:tc>
        <w:tc>
          <w:tcPr>
            <w:tcW w:w="700" w:type="dxa"/>
            <w:vAlign w:val="bottom"/>
            <w:gridSpan w:val="7"/>
          </w:tcPr>
          <w:p>
            <w:pPr>
              <w:jc w:val="center"/>
              <w:ind w:right="94"/>
              <w:spacing w:after="0" w:line="129" w:lineRule="exact"/>
              <w:rPr>
                <w:sz w:val="20"/>
                <w:szCs w:val="20"/>
                <w:color w:val="auto"/>
              </w:rPr>
            </w:pPr>
            <w:r>
              <w:rPr>
                <w:rFonts w:ascii="Times New Roman" w:cs="Times New Roman" w:eastAsia="Times New Roman" w:hAnsi="Times New Roman"/>
                <w:sz w:val="13"/>
                <w:szCs w:val="13"/>
                <w:color w:val="auto"/>
                <w:w w:val="99"/>
              </w:rPr>
              <w:t>are only</w:t>
            </w:r>
          </w:p>
        </w:tc>
        <w:tc>
          <w:tcPr>
            <w:tcW w:w="760" w:type="dxa"/>
            <w:vAlign w:val="bottom"/>
            <w:tcBorders>
              <w:top w:val="single" w:sz="8" w:color="auto"/>
            </w:tcBorders>
            <w:gridSpan w:val="15"/>
          </w:tcPr>
          <w:p>
            <w:pPr>
              <w:spacing w:after="0" w:line="129" w:lineRule="exact"/>
              <w:rPr>
                <w:sz w:val="20"/>
                <w:szCs w:val="20"/>
                <w:color w:val="auto"/>
              </w:rPr>
            </w:pPr>
            <w:r>
              <w:rPr>
                <w:rFonts w:ascii="Times New Roman" w:cs="Times New Roman" w:eastAsia="Times New Roman" w:hAnsi="Times New Roman"/>
                <w:sz w:val="13"/>
                <w:szCs w:val="13"/>
                <w:color w:val="auto"/>
                <w:w w:val="84"/>
              </w:rPr>
              <w:t>permitted during</w:t>
            </w:r>
          </w:p>
        </w:tc>
        <w:tc>
          <w:tcPr>
            <w:tcW w:w="740" w:type="dxa"/>
            <w:vAlign w:val="bottom"/>
            <w:gridSpan w:val="11"/>
          </w:tcPr>
          <w:p>
            <w:pPr>
              <w:spacing w:after="0" w:line="129" w:lineRule="exact"/>
              <w:rPr>
                <w:sz w:val="20"/>
                <w:szCs w:val="20"/>
                <w:color w:val="auto"/>
              </w:rPr>
            </w:pPr>
            <w:r>
              <w:rPr>
                <w:rFonts w:ascii="Times New Roman" w:cs="Times New Roman" w:eastAsia="Times New Roman" w:hAnsi="Times New Roman"/>
                <w:sz w:val="13"/>
                <w:szCs w:val="13"/>
                <w:color w:val="auto"/>
              </w:rPr>
              <w:t>the</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20" w:type="dxa"/>
            <w:vAlign w:val="bottom"/>
            <w:gridSpan w:val="11"/>
            <w:vMerge w:val="restart"/>
          </w:tcPr>
          <w:p>
            <w:pPr>
              <w:spacing w:after="0"/>
              <w:rPr>
                <w:sz w:val="20"/>
                <w:szCs w:val="20"/>
                <w:color w:val="auto"/>
              </w:rPr>
            </w:pPr>
            <w:r>
              <w:rPr>
                <w:rFonts w:ascii="Times New Roman" w:cs="Times New Roman" w:eastAsia="Times New Roman" w:hAnsi="Times New Roman"/>
                <w:sz w:val="13"/>
                <w:szCs w:val="13"/>
                <w:color w:val="auto"/>
                <w:w w:val="98"/>
              </w:rPr>
              <w:t>Transfer Period</w:t>
            </w:r>
          </w:p>
        </w:tc>
        <w:tc>
          <w:tcPr>
            <w:tcW w:w="120" w:type="dxa"/>
            <w:vAlign w:val="bottom"/>
            <w:gridSpan w:val="4"/>
            <w:shd w:val="clear" w:color="auto" w:fill="000000"/>
          </w:tcPr>
          <w:p>
            <w:pPr>
              <w:spacing w:after="0" w:line="20" w:lineRule="exact"/>
              <w:rPr>
                <w:sz w:val="1"/>
                <w:szCs w:val="1"/>
                <w:color w:val="auto"/>
              </w:rPr>
            </w:pPr>
          </w:p>
        </w:tc>
        <w:tc>
          <w:tcPr>
            <w:tcW w:w="800" w:type="dxa"/>
            <w:vAlign w:val="bottom"/>
            <w:tcBorders>
              <w:left w:val="single" w:sz="8" w:color="auto"/>
            </w:tcBorders>
            <w:gridSpan w:val="14"/>
            <w:shd w:val="clear" w:color="auto" w:fill="000000"/>
          </w:tcPr>
          <w:p>
            <w:pPr>
              <w:spacing w:after="0" w:line="20" w:lineRule="exact"/>
              <w:rPr>
                <w:sz w:val="1"/>
                <w:szCs w:val="1"/>
                <w:color w:val="auto"/>
              </w:rPr>
            </w:pPr>
          </w:p>
        </w:tc>
        <w:tc>
          <w:tcPr>
            <w:tcW w:w="280" w:type="dxa"/>
            <w:vAlign w:val="bottom"/>
            <w:gridSpan w:val="4"/>
            <w:shd w:val="clear" w:color="auto" w:fill="000000"/>
          </w:tcPr>
          <w:p>
            <w:pPr>
              <w:spacing w:after="0" w:line="20" w:lineRule="exact"/>
              <w:rPr>
                <w:sz w:val="1"/>
                <w:szCs w:val="1"/>
                <w:color w:val="auto"/>
              </w:rPr>
            </w:pPr>
          </w:p>
        </w:tc>
        <w:tc>
          <w:tcPr>
            <w:tcW w:w="80" w:type="dxa"/>
            <w:vAlign w:val="bottom"/>
            <w:tcBorders>
              <w:left w:val="single" w:sz="8" w:color="auto"/>
            </w:tcBorders>
            <w:gridSpan w:val="3"/>
            <w:shd w:val="clear" w:color="auto" w:fill="000000"/>
          </w:tcPr>
          <w:p>
            <w:pPr>
              <w:spacing w:after="0" w:line="20" w:lineRule="exact"/>
              <w:rPr>
                <w:sz w:val="1"/>
                <w:szCs w:val="1"/>
                <w:color w:val="auto"/>
              </w:rPr>
            </w:pPr>
          </w:p>
        </w:tc>
        <w:tc>
          <w:tcPr>
            <w:tcW w:w="740" w:type="dxa"/>
            <w:vAlign w:val="bottom"/>
            <w:gridSpan w:val="9"/>
          </w:tcPr>
          <w:p>
            <w:pPr>
              <w:spacing w:after="0" w:line="20" w:lineRule="exact"/>
              <w:rPr>
                <w:sz w:val="1"/>
                <w:szCs w:val="1"/>
                <w:color w:val="auto"/>
              </w:rPr>
            </w:pPr>
          </w:p>
        </w:tc>
        <w:tc>
          <w:tcPr>
            <w:tcW w:w="780" w:type="dxa"/>
            <w:vAlign w:val="bottom"/>
            <w:gridSpan w:val="15"/>
          </w:tcPr>
          <w:p>
            <w:pPr>
              <w:spacing w:after="0" w:line="20" w:lineRule="exact"/>
              <w:rPr>
                <w:sz w:val="1"/>
                <w:szCs w:val="1"/>
                <w:color w:val="auto"/>
              </w:rPr>
            </w:pPr>
          </w:p>
        </w:tc>
        <w:tc>
          <w:tcPr>
            <w:tcW w:w="680" w:type="dxa"/>
            <w:vAlign w:val="bottom"/>
            <w:gridSpan w:val="9"/>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80" w:type="dxa"/>
            <w:vAlign w:val="bottom"/>
          </w:tcPr>
          <w:p>
            <w:pPr>
              <w:spacing w:after="0"/>
              <w:rPr>
                <w:sz w:val="11"/>
                <w:szCs w:val="11"/>
                <w:color w:val="auto"/>
              </w:rPr>
            </w:pPr>
          </w:p>
        </w:tc>
        <w:tc>
          <w:tcPr>
            <w:tcW w:w="820" w:type="dxa"/>
            <w:vAlign w:val="bottom"/>
            <w:gridSpan w:val="11"/>
            <w:vMerge w:val="continue"/>
          </w:tcPr>
          <w:p>
            <w:pPr>
              <w:spacing w:after="0"/>
              <w:rPr>
                <w:sz w:val="11"/>
                <w:szCs w:val="11"/>
                <w:color w:val="auto"/>
              </w:rPr>
            </w:pPr>
          </w:p>
        </w:tc>
        <w:tc>
          <w:tcPr>
            <w:tcW w:w="3480" w:type="dxa"/>
            <w:vAlign w:val="bottom"/>
            <w:gridSpan w:val="58"/>
          </w:tcPr>
          <w:p>
            <w:pPr>
              <w:ind w:left="20"/>
              <w:spacing w:after="0" w:line="129" w:lineRule="exact"/>
              <w:rPr>
                <w:sz w:val="20"/>
                <w:szCs w:val="20"/>
                <w:color w:val="auto"/>
              </w:rPr>
            </w:pPr>
            <w:r>
              <w:rPr>
                <w:rFonts w:ascii="Times New Roman" w:cs="Times New Roman" w:eastAsia="Times New Roman" w:hAnsi="Times New Roman"/>
                <w:sz w:val="13"/>
                <w:szCs w:val="13"/>
                <w:color w:val="auto"/>
              </w:rPr>
              <w:t>at the end of the Term. See “TRANSFERS.”</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0" w:type="dxa"/>
            <w:vAlign w:val="bottom"/>
            <w:gridSpan w:val="10"/>
            <w:shd w:val="clear" w:color="auto" w:fill="000000"/>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800" w:type="dxa"/>
            <w:vAlign w:val="bottom"/>
            <w:gridSpan w:val="14"/>
          </w:tcPr>
          <w:p>
            <w:pPr>
              <w:spacing w:after="0" w:line="20" w:lineRule="exact"/>
              <w:rPr>
                <w:sz w:val="1"/>
                <w:szCs w:val="1"/>
                <w:color w:val="auto"/>
              </w:rPr>
            </w:pPr>
          </w:p>
        </w:tc>
        <w:tc>
          <w:tcPr>
            <w:tcW w:w="280" w:type="dxa"/>
            <w:vAlign w:val="bottom"/>
            <w:gridSpan w:val="4"/>
            <w:shd w:val="clear" w:color="auto" w:fill="000000"/>
          </w:tcPr>
          <w:p>
            <w:pPr>
              <w:spacing w:after="0" w:line="20" w:lineRule="exact"/>
              <w:rPr>
                <w:sz w:val="1"/>
                <w:szCs w:val="1"/>
                <w:color w:val="auto"/>
              </w:rPr>
            </w:pPr>
          </w:p>
        </w:tc>
        <w:tc>
          <w:tcPr>
            <w:tcW w:w="820" w:type="dxa"/>
            <w:vAlign w:val="bottom"/>
            <w:gridSpan w:val="12"/>
          </w:tcPr>
          <w:p>
            <w:pPr>
              <w:spacing w:after="0" w:line="20" w:lineRule="exact"/>
              <w:rPr>
                <w:sz w:val="1"/>
                <w:szCs w:val="1"/>
                <w:color w:val="auto"/>
              </w:rPr>
            </w:pPr>
          </w:p>
        </w:tc>
        <w:tc>
          <w:tcPr>
            <w:tcW w:w="780" w:type="dxa"/>
            <w:vAlign w:val="bottom"/>
            <w:gridSpan w:val="15"/>
          </w:tcPr>
          <w:p>
            <w:pPr>
              <w:spacing w:after="0" w:line="20" w:lineRule="exact"/>
              <w:rPr>
                <w:sz w:val="1"/>
                <w:szCs w:val="1"/>
                <w:color w:val="auto"/>
              </w:rPr>
            </w:pPr>
          </w:p>
        </w:tc>
        <w:tc>
          <w:tcPr>
            <w:tcW w:w="680" w:type="dxa"/>
            <w:vAlign w:val="bottom"/>
            <w:gridSpan w:val="9"/>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080" w:type="dxa"/>
            <w:vAlign w:val="bottom"/>
          </w:tcPr>
          <w:p>
            <w:pPr>
              <w:spacing w:after="0"/>
              <w:rPr>
                <w:sz w:val="10"/>
                <w:szCs w:val="10"/>
                <w:color w:val="auto"/>
              </w:rPr>
            </w:pPr>
          </w:p>
        </w:tc>
        <w:tc>
          <w:tcPr>
            <w:tcW w:w="4300" w:type="dxa"/>
            <w:vAlign w:val="bottom"/>
            <w:gridSpan w:val="69"/>
          </w:tcPr>
          <w:p>
            <w:pPr>
              <w:spacing w:after="0" w:line="119" w:lineRule="exact"/>
              <w:rPr>
                <w:sz w:val="20"/>
                <w:szCs w:val="20"/>
                <w:color w:val="auto"/>
              </w:rPr>
            </w:pPr>
            <w:r>
              <w:rPr>
                <w:rFonts w:ascii="Times New Roman" w:cs="Times New Roman" w:eastAsia="Times New Roman" w:hAnsi="Times New Roman"/>
                <w:sz w:val="13"/>
                <w:szCs w:val="13"/>
                <w:color w:val="auto"/>
              </w:rPr>
              <w:t>If you do not provide transfer instructions during the Transfer Period following</w:t>
            </w: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940" w:type="dxa"/>
            <w:vAlign w:val="bottom"/>
            <w:gridSpan w:val="15"/>
          </w:tcPr>
          <w:p>
            <w:pPr>
              <w:spacing w:after="0" w:line="20" w:lineRule="exact"/>
              <w:rPr>
                <w:sz w:val="1"/>
                <w:szCs w:val="1"/>
                <w:color w:val="auto"/>
              </w:rPr>
            </w:pPr>
          </w:p>
        </w:tc>
        <w:tc>
          <w:tcPr>
            <w:tcW w:w="1900" w:type="dxa"/>
            <w:vAlign w:val="bottom"/>
            <w:gridSpan w:val="30"/>
          </w:tcPr>
          <w:p>
            <w:pPr>
              <w:spacing w:after="0" w:line="20" w:lineRule="exact"/>
              <w:rPr>
                <w:sz w:val="1"/>
                <w:szCs w:val="1"/>
                <w:color w:val="auto"/>
              </w:rPr>
            </w:pPr>
          </w:p>
        </w:tc>
        <w:tc>
          <w:tcPr>
            <w:tcW w:w="780" w:type="dxa"/>
            <w:vAlign w:val="bottom"/>
            <w:gridSpan w:val="15"/>
            <w:shd w:val="clear" w:color="auto" w:fill="000000"/>
          </w:tcPr>
          <w:p>
            <w:pPr>
              <w:spacing w:after="0" w:line="20" w:lineRule="exact"/>
              <w:rPr>
                <w:sz w:val="1"/>
                <w:szCs w:val="1"/>
                <w:color w:val="auto"/>
              </w:rPr>
            </w:pPr>
          </w:p>
        </w:tc>
        <w:tc>
          <w:tcPr>
            <w:tcW w:w="680" w:type="dxa"/>
            <w:vAlign w:val="bottom"/>
            <w:gridSpan w:val="9"/>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80" w:type="dxa"/>
            <w:vAlign w:val="bottom"/>
          </w:tcPr>
          <w:p>
            <w:pPr>
              <w:spacing w:after="0"/>
              <w:rPr>
                <w:sz w:val="11"/>
                <w:szCs w:val="11"/>
                <w:color w:val="auto"/>
              </w:rPr>
            </w:pPr>
          </w:p>
        </w:tc>
        <w:tc>
          <w:tcPr>
            <w:tcW w:w="3620" w:type="dxa"/>
            <w:vAlign w:val="bottom"/>
            <w:gridSpan w:val="60"/>
          </w:tcPr>
          <w:p>
            <w:pPr>
              <w:spacing w:after="0" w:line="129" w:lineRule="exact"/>
              <w:rPr>
                <w:sz w:val="20"/>
                <w:szCs w:val="20"/>
                <w:color w:val="auto"/>
              </w:rPr>
            </w:pPr>
            <w:r>
              <w:rPr>
                <w:rFonts w:ascii="Times New Roman" w:cs="Times New Roman" w:eastAsia="Times New Roman" w:hAnsi="Times New Roman"/>
                <w:sz w:val="13"/>
                <w:szCs w:val="13"/>
                <w:color w:val="auto"/>
              </w:rPr>
              <w:t>the Term End Date, the following procedures will apply:</w:t>
            </w:r>
          </w:p>
        </w:tc>
        <w:tc>
          <w:tcPr>
            <w:tcW w:w="680" w:type="dxa"/>
            <w:vAlign w:val="bottom"/>
            <w:gridSpan w:val="9"/>
            <w:vMerge w:val="continue"/>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auto"/>
            </w:tcBorders>
            <w:gridSpan w:val="3"/>
          </w:tcPr>
          <w:p>
            <w:pPr>
              <w:spacing w:after="0" w:line="20" w:lineRule="exact"/>
              <w:rPr>
                <w:sz w:val="1"/>
                <w:szCs w:val="1"/>
                <w:color w:val="auto"/>
              </w:rPr>
            </w:pPr>
          </w:p>
        </w:tc>
        <w:tc>
          <w:tcPr>
            <w:tcW w:w="18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6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80" w:type="dxa"/>
            <w:vAlign w:val="bottom"/>
            <w:gridSpan w:val="3"/>
            <w:shd w:val="clear" w:color="auto" w:fill="000000"/>
          </w:tcPr>
          <w:p>
            <w:pPr>
              <w:spacing w:after="0" w:line="20" w:lineRule="exact"/>
              <w:rPr>
                <w:sz w:val="1"/>
                <w:szCs w:val="1"/>
                <w:color w:val="auto"/>
              </w:rPr>
            </w:pPr>
          </w:p>
        </w:tc>
        <w:tc>
          <w:tcPr>
            <w:tcW w:w="4480" w:type="dxa"/>
            <w:vAlign w:val="bottom"/>
            <w:tcBorders>
              <w:left w:val="single" w:sz="8" w:color="auto"/>
            </w:tcBorders>
            <w:gridSpan w:val="5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06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60636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3915" cy="6063615"/>
                    </a:xfrm>
                    <a:prstGeom prst="rect">
                      <a:avLst/>
                    </a:prstGeom>
                    <a:noFill/>
                  </pic:spPr>
                </pic:pic>
              </a:graphicData>
            </a:graphic>
          </wp:anchor>
        </w:drawing>
        <w:t> </w:t>
      </w:r>
    </w:p>
    <w:p>
      <w:pPr>
        <w:spacing w:after="0" w:line="1" w:lineRule="exact"/>
        <w:rPr>
          <w:sz w:val="20"/>
          <w:szCs w:val="20"/>
          <w:color w:val="auto"/>
        </w:rPr>
      </w:pPr>
    </w:p>
    <w:p>
      <w:pPr>
        <w:ind w:left="1180" w:right="4099" w:hanging="113"/>
        <w:spacing w:after="0" w:line="235" w:lineRule="auto"/>
        <w:tabs>
          <w:tab w:leader="none" w:pos="1166"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w:t>
      </w:r>
      <w:r>
        <w:rPr>
          <w:rFonts w:ascii="Times New Roman" w:cs="Times New Roman" w:eastAsia="Times New Roman" w:hAnsi="Times New Roman"/>
          <w:sz w:val="13"/>
          <w:szCs w:val="13"/>
          <w:u w:val="single" w:color="auto"/>
          <w:color w:val="auto"/>
        </w:rPr>
        <w:t>Investment Amount</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Performance Lock Value</w:t>
      </w:r>
      <w:r>
        <w:rPr>
          <w:rFonts w:ascii="Times New Roman" w:cs="Times New Roman" w:eastAsia="Times New Roman" w:hAnsi="Times New Roman"/>
          <w:sz w:val="13"/>
          <w:szCs w:val="13"/>
          <w:color w:val="auto"/>
        </w:rPr>
        <w:t xml:space="preserve"> allocated to the </w:t>
      </w:r>
      <w:r>
        <w:rPr>
          <w:rFonts w:ascii="Times New Roman" w:cs="Times New Roman" w:eastAsia="Times New Roman" w:hAnsi="Times New Roman"/>
          <w:sz w:val="13"/>
          <w:szCs w:val="13"/>
          <w:u w:val="single" w:color="auto"/>
          <w:color w:val="auto"/>
        </w:rPr>
        <w:t>Shield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Option</w:t>
      </w:r>
      <w:r>
        <w:rPr>
          <w:rFonts w:ascii="Times New Roman" w:cs="Times New Roman" w:eastAsia="Times New Roman" w:hAnsi="Times New Roman"/>
          <w:sz w:val="13"/>
          <w:szCs w:val="13"/>
          <w:color w:val="auto"/>
        </w:rPr>
        <w:t xml:space="preserve"> that has reached its </w:t>
      </w:r>
      <w:r>
        <w:rPr>
          <w:rFonts w:ascii="Times New Roman" w:cs="Times New Roman" w:eastAsia="Times New Roman" w:hAnsi="Times New Roman"/>
          <w:sz w:val="13"/>
          <w:szCs w:val="13"/>
          <w:u w:val="single" w:color="auto"/>
          <w:color w:val="auto"/>
        </w:rPr>
        <w:t>Term End Date</w:t>
      </w:r>
      <w:r>
        <w:rPr>
          <w:rFonts w:ascii="Times New Roman" w:cs="Times New Roman" w:eastAsia="Times New Roman" w:hAnsi="Times New Roman"/>
          <w:sz w:val="13"/>
          <w:szCs w:val="13"/>
          <w:color w:val="auto"/>
        </w:rPr>
        <w:t xml:space="preserve"> will automatically be renewed into the same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for a new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color w:val="auto"/>
        </w:rPr>
        <w:t xml:space="preserve">, subject to the new </w:t>
      </w:r>
      <w:r>
        <w:rPr>
          <w:rFonts w:ascii="Times New Roman" w:cs="Times New Roman" w:eastAsia="Times New Roman" w:hAnsi="Times New Roman"/>
          <w:sz w:val="13"/>
          <w:szCs w:val="13"/>
          <w:u w:val="single" w:color="auto"/>
          <w:color w:val="auto"/>
        </w:rPr>
        <w:t>Cap Rate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Step Rate</w:t>
      </w:r>
      <w:r>
        <w:rPr>
          <w:rFonts w:ascii="Times New Roman" w:cs="Times New Roman" w:eastAsia="Times New Roman" w:hAnsi="Times New Roman"/>
          <w:sz w:val="13"/>
          <w:szCs w:val="13"/>
          <w:color w:val="auto"/>
        </w:rPr>
        <w:t xml:space="preserve"> , or </w:t>
      </w:r>
      <w:r>
        <w:rPr>
          <w:rFonts w:ascii="Times New Roman" w:cs="Times New Roman" w:eastAsia="Times New Roman" w:hAnsi="Times New Roman"/>
          <w:sz w:val="13"/>
          <w:szCs w:val="13"/>
          <w:u w:val="single" w:color="auto"/>
          <w:color w:val="auto"/>
        </w:rPr>
        <w:t>Edge Rate</w:t>
      </w:r>
      <w:r>
        <w:rPr>
          <w:rFonts w:ascii="Times New Roman" w:cs="Times New Roman" w:eastAsia="Times New Roman" w:hAnsi="Times New Roman"/>
          <w:sz w:val="13"/>
          <w:szCs w:val="13"/>
          <w:color w:val="auto"/>
        </w:rPr>
        <w:t xml:space="preserve">, as applicable, declared for that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u w:val="single" w:color="auto"/>
          <w:color w:val="auto"/>
        </w:rPr>
        <w:t>Performance Lock Value</w:t>
      </w:r>
      <w:r>
        <w:rPr>
          <w:rFonts w:ascii="Times New Roman" w:cs="Times New Roman" w:eastAsia="Times New Roman" w:hAnsi="Times New Roman"/>
          <w:sz w:val="13"/>
          <w:szCs w:val="13"/>
          <w:color w:val="auto"/>
        </w:rPr>
        <w:t xml:space="preserve"> will no longer be locked for the new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color w:val="auto"/>
        </w:rPr>
        <w:t>.</w:t>
      </w:r>
    </w:p>
    <w:p>
      <w:pPr>
        <w:spacing w:after="0" w:line="2" w:lineRule="exact"/>
        <w:rPr>
          <w:rFonts w:ascii="Times New Roman" w:cs="Times New Roman" w:eastAsia="Times New Roman" w:hAnsi="Times New Roman"/>
          <w:sz w:val="13"/>
          <w:szCs w:val="13"/>
          <w:color w:val="auto"/>
        </w:rPr>
      </w:pPr>
    </w:p>
    <w:p>
      <w:pPr>
        <w:ind w:left="1180" w:right="3979" w:hanging="113"/>
        <w:spacing w:after="0" w:line="230" w:lineRule="auto"/>
        <w:tabs>
          <w:tab w:leader="none" w:pos="1166"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the same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is no longer available for investment at the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End Date</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u w:val="single" w:color="auto"/>
          <w:color w:val="auto"/>
        </w:rPr>
        <w:t>Investment Amount</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Performance Lock Value</w:t>
      </w:r>
      <w:r>
        <w:rPr>
          <w:rFonts w:ascii="Times New Roman" w:cs="Times New Roman" w:eastAsia="Times New Roman" w:hAnsi="Times New Roman"/>
          <w:sz w:val="13"/>
          <w:szCs w:val="13"/>
          <w:color w:val="auto"/>
        </w:rPr>
        <w:t xml:space="preserve"> in that </w:t>
      </w:r>
      <w:r>
        <w:rPr>
          <w:rFonts w:ascii="Times New Roman" w:cs="Times New Roman" w:eastAsia="Times New Roman" w:hAnsi="Times New Roman"/>
          <w:sz w:val="13"/>
          <w:szCs w:val="13"/>
          <w:u w:val="single" w:color="auto"/>
          <w:color w:val="auto"/>
        </w:rPr>
        <w:t>Shield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Option</w:t>
      </w:r>
      <w:r>
        <w:rPr>
          <w:rFonts w:ascii="Times New Roman" w:cs="Times New Roman" w:eastAsia="Times New Roman" w:hAnsi="Times New Roman"/>
          <w:sz w:val="13"/>
          <w:szCs w:val="13"/>
          <w:color w:val="auto"/>
        </w:rPr>
        <w:t xml:space="preserve"> will automatically be transferred to the </w:t>
      </w:r>
      <w:r>
        <w:rPr>
          <w:rFonts w:ascii="Times New Roman" w:cs="Times New Roman" w:eastAsia="Times New Roman" w:hAnsi="Times New Roman"/>
          <w:sz w:val="13"/>
          <w:szCs w:val="13"/>
          <w:u w:val="single" w:color="auto"/>
          <w:color w:val="auto"/>
        </w:rPr>
        <w:t>Fixed Account</w:t>
      </w:r>
      <w:r>
        <w:rPr>
          <w:rFonts w:ascii="Times New Roman" w:cs="Times New Roman" w:eastAsia="Times New Roman" w:hAnsi="Times New Roman"/>
          <w:sz w:val="13"/>
          <w:szCs w:val="13"/>
          <w:color w:val="auto"/>
        </w:rPr>
        <w:t xml:space="preserve">, if available, at the </w:t>
      </w:r>
      <w:r>
        <w:rPr>
          <w:rFonts w:ascii="Times New Roman" w:cs="Times New Roman" w:eastAsia="Times New Roman" w:hAnsi="Times New Roman"/>
          <w:sz w:val="13"/>
          <w:szCs w:val="13"/>
          <w:u w:val="single" w:color="auto"/>
          <w:color w:val="auto"/>
        </w:rPr>
        <w:t>Term End Date</w:t>
      </w:r>
      <w:r>
        <w:rPr>
          <w:rFonts w:ascii="Times New Roman" w:cs="Times New Roman" w:eastAsia="Times New Roman" w:hAnsi="Times New Roman"/>
          <w:sz w:val="13"/>
          <w:szCs w:val="13"/>
          <w:color w:val="auto"/>
        </w:rPr>
        <w:t xml:space="preserve">, subject to the new interest rate declared for that </w:t>
      </w:r>
      <w:r>
        <w:rPr>
          <w:rFonts w:ascii="Times New Roman" w:cs="Times New Roman" w:eastAsia="Times New Roman" w:hAnsi="Times New Roman"/>
          <w:sz w:val="13"/>
          <w:szCs w:val="13"/>
          <w:u w:val="single" w:color="auto"/>
          <w:color w:val="auto"/>
        </w:rPr>
        <w:t>Fixed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Account Term</w:t>
      </w:r>
      <w:r>
        <w:rPr>
          <w:rFonts w:ascii="Times New Roman" w:cs="Times New Roman" w:eastAsia="Times New Roman" w:hAnsi="Times New Roman"/>
          <w:sz w:val="13"/>
          <w:szCs w:val="13"/>
          <w:color w:val="auto"/>
        </w:rPr>
        <w:t xml:space="preserve">. If the </w:t>
      </w:r>
      <w:r>
        <w:rPr>
          <w:rFonts w:ascii="Times New Roman" w:cs="Times New Roman" w:eastAsia="Times New Roman" w:hAnsi="Times New Roman"/>
          <w:sz w:val="13"/>
          <w:szCs w:val="13"/>
          <w:u w:val="single" w:color="auto"/>
          <w:color w:val="auto"/>
        </w:rPr>
        <w:t>Fixed Account</w:t>
      </w:r>
      <w:r>
        <w:rPr>
          <w:rFonts w:ascii="Times New Roman" w:cs="Times New Roman" w:eastAsia="Times New Roman" w:hAnsi="Times New Roman"/>
          <w:sz w:val="13"/>
          <w:szCs w:val="13"/>
          <w:color w:val="auto"/>
        </w:rPr>
        <w:t xml:space="preserve"> is not available, the </w:t>
      </w:r>
      <w:r>
        <w:rPr>
          <w:rFonts w:ascii="Times New Roman" w:cs="Times New Roman" w:eastAsia="Times New Roman" w:hAnsi="Times New Roman"/>
          <w:sz w:val="13"/>
          <w:szCs w:val="13"/>
          <w:u w:val="single" w:color="auto"/>
          <w:color w:val="auto"/>
        </w:rPr>
        <w:t>Investment Amount</w:t>
      </w:r>
      <w:r>
        <w:rPr>
          <w:rFonts w:ascii="Times New Roman" w:cs="Times New Roman" w:eastAsia="Times New Roman" w:hAnsi="Times New Roman"/>
          <w:sz w:val="13"/>
          <w:szCs w:val="13"/>
          <w:color w:val="auto"/>
        </w:rPr>
        <w:t xml:space="preserve"> will automatically be transferred into the </w:t>
      </w:r>
      <w:r>
        <w:rPr>
          <w:rFonts w:ascii="Times New Roman" w:cs="Times New Roman" w:eastAsia="Times New Roman" w:hAnsi="Times New Roman"/>
          <w:sz w:val="13"/>
          <w:szCs w:val="13"/>
          <w:u w:val="single" w:color="auto"/>
          <w:color w:val="auto"/>
        </w:rPr>
        <w:t>Holding Account</w:t>
      </w:r>
      <w:r>
        <w:rPr>
          <w:rFonts w:ascii="Times New Roman" w:cs="Times New Roman" w:eastAsia="Times New Roman" w:hAnsi="Times New Roman"/>
          <w:sz w:val="13"/>
          <w:szCs w:val="13"/>
          <w:color w:val="auto"/>
        </w:rPr>
        <w:t>.</w:t>
      </w:r>
    </w:p>
    <w:p>
      <w:pPr>
        <w:spacing w:after="0" w:line="3" w:lineRule="exact"/>
        <w:rPr>
          <w:rFonts w:ascii="Times New Roman" w:cs="Times New Roman" w:eastAsia="Times New Roman" w:hAnsi="Times New Roman"/>
          <w:sz w:val="13"/>
          <w:szCs w:val="13"/>
          <w:color w:val="auto"/>
        </w:rPr>
      </w:pPr>
    </w:p>
    <w:p>
      <w:pPr>
        <w:ind w:left="1180" w:right="4039" w:hanging="113"/>
        <w:spacing w:after="0" w:line="238" w:lineRule="auto"/>
        <w:tabs>
          <w:tab w:leader="none" w:pos="1166"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you do not provide transfer instructions during the </w:t>
      </w:r>
      <w:r>
        <w:rPr>
          <w:rFonts w:ascii="Times New Roman" w:cs="Times New Roman" w:eastAsia="Times New Roman" w:hAnsi="Times New Roman"/>
          <w:sz w:val="13"/>
          <w:szCs w:val="13"/>
          <w:u w:val="single" w:color="auto"/>
          <w:color w:val="auto"/>
        </w:rPr>
        <w:t>Transfer Period</w:t>
      </w:r>
      <w:r>
        <w:rPr>
          <w:rFonts w:ascii="Times New Roman" w:cs="Times New Roman" w:eastAsia="Times New Roman" w:hAnsi="Times New Roman"/>
          <w:sz w:val="13"/>
          <w:szCs w:val="13"/>
          <w:color w:val="auto"/>
        </w:rPr>
        <w:t xml:space="preserve"> following the </w:t>
      </w:r>
      <w:r>
        <w:rPr>
          <w:rFonts w:ascii="Times New Roman" w:cs="Times New Roman" w:eastAsia="Times New Roman" w:hAnsi="Times New Roman"/>
          <w:sz w:val="13"/>
          <w:szCs w:val="13"/>
          <w:u w:val="single" w:color="auto"/>
          <w:color w:val="auto"/>
        </w:rPr>
        <w:t>Fixed Account Term End Date</w:t>
      </w:r>
      <w:r>
        <w:rPr>
          <w:rFonts w:ascii="Times New Roman" w:cs="Times New Roman" w:eastAsia="Times New Roman" w:hAnsi="Times New Roman"/>
          <w:sz w:val="13"/>
          <w:szCs w:val="13"/>
          <w:color w:val="auto"/>
        </w:rPr>
        <w:t xml:space="preserve">, any </w:t>
      </w:r>
      <w:r>
        <w:rPr>
          <w:rFonts w:ascii="Times New Roman" w:cs="Times New Roman" w:eastAsia="Times New Roman" w:hAnsi="Times New Roman"/>
          <w:sz w:val="13"/>
          <w:szCs w:val="13"/>
          <w:u w:val="single" w:color="auto"/>
          <w:color w:val="auto"/>
        </w:rPr>
        <w:t>Fixed Account Value</w:t>
      </w:r>
      <w:r>
        <w:rPr>
          <w:rFonts w:ascii="Times New Roman" w:cs="Times New Roman" w:eastAsia="Times New Roman" w:hAnsi="Times New Roman"/>
          <w:sz w:val="13"/>
          <w:szCs w:val="13"/>
          <w:color w:val="auto"/>
        </w:rPr>
        <w:t xml:space="preserve"> will remain in the </w:t>
      </w:r>
      <w:r>
        <w:rPr>
          <w:rFonts w:ascii="Times New Roman" w:cs="Times New Roman" w:eastAsia="Times New Roman" w:hAnsi="Times New Roman"/>
          <w:sz w:val="13"/>
          <w:szCs w:val="13"/>
          <w:u w:val="single" w:color="auto"/>
          <w:color w:val="auto"/>
        </w:rPr>
        <w:t>Fixed Account</w:t>
      </w:r>
      <w:r>
        <w:rPr>
          <w:rFonts w:ascii="Times New Roman" w:cs="Times New Roman" w:eastAsia="Times New Roman" w:hAnsi="Times New Roman"/>
          <w:sz w:val="13"/>
          <w:szCs w:val="13"/>
          <w:color w:val="auto"/>
        </w:rPr>
        <w:t xml:space="preserve"> for another </w:t>
      </w:r>
      <w:r>
        <w:rPr>
          <w:rFonts w:ascii="Times New Roman" w:cs="Times New Roman" w:eastAsia="Times New Roman" w:hAnsi="Times New Roman"/>
          <w:sz w:val="13"/>
          <w:szCs w:val="13"/>
          <w:u w:val="single" w:color="auto"/>
          <w:color w:val="auto"/>
        </w:rPr>
        <w:t>Fixed Account Term</w:t>
      </w:r>
      <w:r>
        <w:rPr>
          <w:rFonts w:ascii="Times New Roman" w:cs="Times New Roman" w:eastAsia="Times New Roman" w:hAnsi="Times New Roman"/>
          <w:sz w:val="13"/>
          <w:szCs w:val="13"/>
          <w:color w:val="auto"/>
        </w:rPr>
        <w:t xml:space="preserve">, subject to the new interest rate declared for that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color w:val="auto"/>
        </w:rPr>
        <w:t xml:space="preserve">. If the </w:t>
      </w:r>
      <w:r>
        <w:rPr>
          <w:rFonts w:ascii="Times New Roman" w:cs="Times New Roman" w:eastAsia="Times New Roman" w:hAnsi="Times New Roman"/>
          <w:sz w:val="13"/>
          <w:szCs w:val="13"/>
          <w:u w:val="single" w:color="auto"/>
          <w:color w:val="auto"/>
        </w:rPr>
        <w:t>Fixed Account</w:t>
      </w:r>
      <w:r>
        <w:rPr>
          <w:rFonts w:ascii="Times New Roman" w:cs="Times New Roman" w:eastAsia="Times New Roman" w:hAnsi="Times New Roman"/>
          <w:sz w:val="13"/>
          <w:szCs w:val="13"/>
          <w:color w:val="auto"/>
        </w:rPr>
        <w:t xml:space="preserve"> is no longer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9259"/>
          </w:cols>
          <w:pgMar w:left="1200" w:top="1077" w:right="1440"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179"/>
        </w:trPr>
        <w:tc>
          <w:tcPr>
            <w:tcW w:w="1440" w:type="dxa"/>
            <w:vAlign w:val="bottom"/>
            <w:tcBorders>
              <w:top w:val="single" w:sz="8" w:color="auto"/>
              <w:left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400" w:type="dxa"/>
            <w:vAlign w:val="bottom"/>
            <w:tcBorders>
              <w:top w:val="single" w:sz="8" w:color="auto"/>
              <w:right w:val="single" w:sz="8" w:color="auto"/>
            </w:tcBorders>
            <w:gridSpan w:val="23"/>
          </w:tcPr>
          <w:p>
            <w:pPr>
              <w:jc w:val="center"/>
              <w:ind w:right="2060"/>
              <w:spacing w:after="0"/>
              <w:rPr>
                <w:sz w:val="20"/>
                <w:szCs w:val="20"/>
                <w:color w:val="auto"/>
              </w:rPr>
            </w:pPr>
            <w:r>
              <w:rPr>
                <w:rFonts w:ascii="Times New Roman" w:cs="Times New Roman" w:eastAsia="Times New Roman" w:hAnsi="Times New Roman"/>
                <w:sz w:val="13"/>
                <w:szCs w:val="13"/>
                <w:b w:val="1"/>
                <w:bCs w:val="1"/>
                <w:color w:val="auto"/>
                <w:w w:val="98"/>
              </w:rPr>
              <w:t>Risks</w:t>
            </w:r>
          </w:p>
        </w:tc>
        <w:tc>
          <w:tcPr>
            <w:tcW w:w="80" w:type="dxa"/>
            <w:vAlign w:val="bottom"/>
            <w:tcBorders>
              <w:top w:val="single" w:sz="8" w:color="auto"/>
            </w:tcBorders>
          </w:tcPr>
          <w:p>
            <w:pPr>
              <w:spacing w:after="0"/>
              <w:rPr>
                <w:sz w:val="15"/>
                <w:szCs w:val="15"/>
                <w:color w:val="auto"/>
              </w:rPr>
            </w:pPr>
          </w:p>
        </w:tc>
        <w:tc>
          <w:tcPr>
            <w:tcW w:w="1260" w:type="dxa"/>
            <w:vAlign w:val="bottom"/>
            <w:tcBorders>
              <w:top w:val="single" w:sz="8" w:color="auto"/>
              <w:right w:val="single" w:sz="8" w:color="auto"/>
            </w:tcBorders>
            <w:gridSpan w:val="1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Location in</w:t>
            </w:r>
          </w:p>
        </w:tc>
        <w:tc>
          <w:tcPr>
            <w:tcW w:w="0" w:type="dxa"/>
            <w:vAlign w:val="bottom"/>
          </w:tcPr>
          <w:p>
            <w:pPr>
              <w:spacing w:after="0"/>
              <w:rPr>
                <w:sz w:val="1"/>
                <w:szCs w:val="1"/>
                <w:color w:val="auto"/>
              </w:rPr>
            </w:pPr>
          </w:p>
        </w:tc>
      </w:tr>
      <w:tr>
        <w:trPr>
          <w:trHeight w:val="184"/>
        </w:trPr>
        <w:tc>
          <w:tcPr>
            <w:tcW w:w="1440" w:type="dxa"/>
            <w:vAlign w:val="bottom"/>
            <w:tcBorders>
              <w:left w:val="single" w:sz="8" w:color="auto"/>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right w:val="single" w:sz="8" w:color="auto"/>
            </w:tcBorders>
            <w:gridSpan w:val="1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the Prospectus</w:t>
            </w:r>
          </w:p>
        </w:tc>
        <w:tc>
          <w:tcPr>
            <w:tcW w:w="0" w:type="dxa"/>
            <w:vAlign w:val="bottom"/>
          </w:tcPr>
          <w:p>
            <w:pPr>
              <w:spacing w:after="0"/>
              <w:rPr>
                <w:sz w:val="1"/>
                <w:szCs w:val="1"/>
                <w:color w:val="auto"/>
              </w:rPr>
            </w:pPr>
          </w:p>
        </w:tc>
      </w:tr>
      <w:tr>
        <w:trPr>
          <w:trHeight w:val="148"/>
        </w:trPr>
        <w:tc>
          <w:tcPr>
            <w:tcW w:w="1440" w:type="dxa"/>
            <w:vAlign w:val="bottom"/>
            <w:tcBorders>
              <w:left w:val="single" w:sz="8" w:color="auto"/>
              <w:right w:val="single" w:sz="8" w:color="auto"/>
            </w:tcBorders>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40" w:type="dxa"/>
            <w:vAlign w:val="bottom"/>
            <w:tcBorders>
              <w:right w:val="single" w:sz="8" w:color="F0FFFF"/>
            </w:tcBorders>
            <w:shd w:val="clear" w:color="auto" w:fill="F0FFFF"/>
          </w:tcPr>
          <w:p>
            <w:pPr>
              <w:spacing w:after="0"/>
              <w:rPr>
                <w:sz w:val="12"/>
                <w:szCs w:val="12"/>
                <w:color w:val="auto"/>
              </w:rPr>
            </w:pPr>
          </w:p>
        </w:tc>
        <w:tc>
          <w:tcPr>
            <w:tcW w:w="4240" w:type="dxa"/>
            <w:vAlign w:val="bottom"/>
            <w:tcBorders>
              <w:right w:val="single" w:sz="8" w:color="auto"/>
            </w:tcBorders>
            <w:gridSpan w:val="40"/>
            <w:shd w:val="clear" w:color="auto" w:fill="F0FFFF"/>
          </w:tcPr>
          <w:p>
            <w:pPr>
              <w:spacing w:after="0" w:line="149" w:lineRule="exact"/>
              <w:rPr>
                <w:sz w:val="20"/>
                <w:szCs w:val="20"/>
                <w:color w:val="auto"/>
              </w:rPr>
            </w:pPr>
            <w:r>
              <w:rPr>
                <w:rFonts w:ascii="Times New Roman" w:cs="Times New Roman" w:eastAsia="Times New Roman" w:hAnsi="Times New Roman"/>
                <w:sz w:val="13"/>
                <w:szCs w:val="13"/>
                <w:color w:val="auto"/>
              </w:rPr>
              <w:t>available at the Fixed Account Term End Date, the Fixed Account Value will</w:t>
            </w:r>
          </w:p>
        </w:tc>
        <w:tc>
          <w:tcPr>
            <w:tcW w:w="80" w:type="dxa"/>
            <w:vAlign w:val="bottom"/>
            <w:tcBorders>
              <w:right w:val="single" w:sz="8" w:color="F0FFFF"/>
            </w:tcBorders>
            <w:shd w:val="clear" w:color="auto" w:fill="F0FFFF"/>
          </w:tcPr>
          <w:p>
            <w:pPr>
              <w:spacing w:after="0"/>
              <w:rPr>
                <w:sz w:val="12"/>
                <w:szCs w:val="12"/>
                <w:color w:val="auto"/>
              </w:rPr>
            </w:pPr>
          </w:p>
        </w:tc>
        <w:tc>
          <w:tcPr>
            <w:tcW w:w="3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tcBorders>
              <w:lef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18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2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200" w:type="dxa"/>
            <w:vAlign w:val="bottom"/>
            <w:tcBorders>
              <w:right w:val="single" w:sz="8" w:color="F0FFFF"/>
            </w:tcBorders>
            <w:gridSpan w:val="2"/>
            <w:shd w:val="clear" w:color="auto" w:fill="F0FFFF"/>
          </w:tcPr>
          <w:p>
            <w:pPr>
              <w:spacing w:after="0" w:line="20" w:lineRule="exact"/>
              <w:rPr>
                <w:sz w:val="1"/>
                <w:szCs w:val="1"/>
                <w:color w:val="auto"/>
              </w:rPr>
            </w:pPr>
          </w:p>
        </w:tc>
        <w:tc>
          <w:tcPr>
            <w:tcW w:w="120" w:type="dxa"/>
            <w:vAlign w:val="bottom"/>
            <w:tcBorders>
              <w:right w:val="single" w:sz="8" w:color="F0FFFF"/>
            </w:tcBorders>
            <w:shd w:val="clear" w:color="auto" w:fill="F0FFFF"/>
          </w:tcPr>
          <w:p>
            <w:pPr>
              <w:spacing w:after="0" w:line="20" w:lineRule="exact"/>
              <w:rPr>
                <w:sz w:val="1"/>
                <w:szCs w:val="1"/>
                <w:color w:val="auto"/>
              </w:rPr>
            </w:pPr>
          </w:p>
        </w:tc>
        <w:tc>
          <w:tcPr>
            <w:tcW w:w="100" w:type="dxa"/>
            <w:vAlign w:val="bottom"/>
            <w:tcBorders>
              <w:right w:val="single" w:sz="8" w:color="F0FFFF"/>
            </w:tcBorders>
            <w:shd w:val="clear" w:color="auto" w:fill="F0FFFF"/>
          </w:tcPr>
          <w:p>
            <w:pPr>
              <w:spacing w:after="0" w:line="20" w:lineRule="exact"/>
              <w:rPr>
                <w:sz w:val="1"/>
                <w:szCs w:val="1"/>
                <w:color w:val="auto"/>
              </w:rPr>
            </w:pPr>
          </w:p>
        </w:tc>
        <w:tc>
          <w:tcPr>
            <w:tcW w:w="240" w:type="dxa"/>
            <w:vAlign w:val="bottom"/>
            <w:tcBorders>
              <w:left w:val="single" w:sz="8" w:color="F0FFFF"/>
            </w:tcBorders>
            <w:gridSpan w:val="2"/>
            <w:shd w:val="clear" w:color="auto" w:fill="F0FFFF"/>
          </w:tcPr>
          <w:p>
            <w:pPr>
              <w:spacing w:after="0" w:line="20" w:lineRule="exact"/>
              <w:rPr>
                <w:sz w:val="1"/>
                <w:szCs w:val="1"/>
                <w:color w:val="auto"/>
              </w:rPr>
            </w:pPr>
          </w:p>
        </w:tc>
        <w:tc>
          <w:tcPr>
            <w:tcW w:w="80" w:type="dxa"/>
            <w:vAlign w:val="bottom"/>
            <w:tcBorders>
              <w:left w:val="single" w:sz="8" w:color="F0FFFF"/>
            </w:tcBorders>
            <w:shd w:val="clear" w:color="auto" w:fill="F0FFFF"/>
          </w:tcPr>
          <w:p>
            <w:pPr>
              <w:spacing w:after="0" w:line="20" w:lineRule="exact"/>
              <w:rPr>
                <w:sz w:val="1"/>
                <w:szCs w:val="1"/>
                <w:color w:val="auto"/>
              </w:rPr>
            </w:pPr>
          </w:p>
        </w:tc>
        <w:tc>
          <w:tcPr>
            <w:tcW w:w="10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80" w:type="dxa"/>
            <w:vAlign w:val="bottom"/>
            <w:tcBorders>
              <w:right w:val="single" w:sz="8" w:color="F0FFFF"/>
            </w:tcBorders>
            <w:shd w:val="clear" w:color="auto" w:fill="F0FFFF"/>
          </w:tcPr>
          <w:p>
            <w:pPr>
              <w:spacing w:after="0" w:line="20" w:lineRule="exact"/>
              <w:rPr>
                <w:sz w:val="1"/>
                <w:szCs w:val="1"/>
                <w:color w:val="auto"/>
              </w:rPr>
            </w:pPr>
          </w:p>
        </w:tc>
        <w:tc>
          <w:tcPr>
            <w:tcW w:w="340" w:type="dxa"/>
            <w:vAlign w:val="bottom"/>
            <w:tcBorders>
              <w:left w:val="single" w:sz="8" w:color="F0FFFF"/>
              <w:right w:val="single" w:sz="8" w:color="auto"/>
            </w:tcBorders>
            <w:shd w:val="clear" w:color="auto" w:fill="F0FFFF"/>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F0FFFF"/>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240" w:type="dxa"/>
            <w:vAlign w:val="bottom"/>
            <w:gridSpan w:val="5"/>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right w:val="single" w:sz="8" w:color="F0FFFF"/>
            </w:tcBorders>
            <w:shd w:val="clear" w:color="auto" w:fill="F0FFFF"/>
          </w:tcPr>
          <w:p>
            <w:pPr>
              <w:spacing w:after="0" w:line="20" w:lineRule="exact"/>
              <w:rPr>
                <w:sz w:val="1"/>
                <w:szCs w:val="1"/>
                <w:color w:val="auto"/>
              </w:rPr>
            </w:pPr>
          </w:p>
        </w:tc>
        <w:tc>
          <w:tcPr>
            <w:tcW w:w="340" w:type="dxa"/>
            <w:vAlign w:val="bottom"/>
            <w:tcBorders>
              <w:left w:val="single" w:sz="8" w:color="F0FFFF"/>
              <w:right w:val="single" w:sz="8" w:color="auto"/>
            </w:tcBorders>
            <w:gridSpan w:val="2"/>
            <w:shd w:val="clear" w:color="auto" w:fill="F0FFFF"/>
          </w:tcPr>
          <w:p>
            <w:pPr>
              <w:spacing w:after="0" w:line="20" w:lineRule="exact"/>
              <w:rPr>
                <w:sz w:val="1"/>
                <w:szCs w:val="1"/>
                <w:color w:val="auto"/>
              </w:rPr>
            </w:pPr>
          </w:p>
        </w:tc>
        <w:tc>
          <w:tcPr>
            <w:tcW w:w="80" w:type="dxa"/>
            <w:vAlign w:val="bottom"/>
            <w:tcBorders>
              <w:right w:val="single" w:sz="8" w:color="F0FFFF"/>
            </w:tcBorders>
            <w:shd w:val="clear" w:color="auto" w:fill="F0FFFF"/>
          </w:tcPr>
          <w:p>
            <w:pPr>
              <w:spacing w:after="0" w:line="20" w:lineRule="exact"/>
              <w:rPr>
                <w:sz w:val="1"/>
                <w:szCs w:val="1"/>
                <w:color w:val="auto"/>
              </w:rPr>
            </w:pPr>
          </w:p>
        </w:tc>
        <w:tc>
          <w:tcPr>
            <w:tcW w:w="320" w:type="dxa"/>
            <w:vAlign w:val="bottom"/>
            <w:gridSpan w:val="2"/>
            <w:shd w:val="clear" w:color="auto" w:fill="F0FFFF"/>
          </w:tcPr>
          <w:p>
            <w:pPr>
              <w:spacing w:after="0" w:line="20" w:lineRule="exact"/>
              <w:rPr>
                <w:sz w:val="1"/>
                <w:szCs w:val="1"/>
                <w:color w:val="auto"/>
              </w:rPr>
            </w:pPr>
          </w:p>
        </w:tc>
        <w:tc>
          <w:tcPr>
            <w:tcW w:w="400" w:type="dxa"/>
            <w:vAlign w:val="bottom"/>
            <w:tcBorders>
              <w:left w:val="single" w:sz="8" w:color="F0FFFF"/>
              <w:right w:val="single" w:sz="8" w:color="F0FFFF"/>
            </w:tcBorders>
            <w:gridSpan w:val="4"/>
            <w:shd w:val="clear" w:color="auto" w:fill="F0FFFF"/>
          </w:tcPr>
          <w:p>
            <w:pPr>
              <w:spacing w:after="0" w:line="20" w:lineRule="exact"/>
              <w:rPr>
                <w:sz w:val="1"/>
                <w:szCs w:val="1"/>
                <w:color w:val="auto"/>
              </w:rPr>
            </w:pPr>
          </w:p>
        </w:tc>
        <w:tc>
          <w:tcPr>
            <w:tcW w:w="540" w:type="dxa"/>
            <w:vAlign w:val="bottom"/>
            <w:tcBorders>
              <w:right w:val="single" w:sz="8" w:color="auto"/>
            </w:tcBorders>
            <w:gridSpan w:val="6"/>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440" w:type="dxa"/>
            <w:vAlign w:val="bottom"/>
            <w:tcBorders>
              <w:left w:val="single" w:sz="8" w:color="auto"/>
              <w:bottom w:val="single" w:sz="8" w:color="auto"/>
              <w:right w:val="single" w:sz="8" w:color="auto"/>
            </w:tcBorders>
            <w:shd w:val="clear" w:color="auto" w:fill="F0FFFF"/>
          </w:tcPr>
          <w:p>
            <w:pPr>
              <w:spacing w:after="0"/>
              <w:rPr>
                <w:sz w:val="16"/>
                <w:szCs w:val="16"/>
                <w:color w:val="auto"/>
              </w:rPr>
            </w:pPr>
          </w:p>
        </w:tc>
        <w:tc>
          <w:tcPr>
            <w:tcW w:w="60" w:type="dxa"/>
            <w:vAlign w:val="bottom"/>
            <w:tcBorders>
              <w:bottom w:val="single" w:sz="8" w:color="auto"/>
            </w:tcBorders>
            <w:shd w:val="clear" w:color="auto" w:fill="F0FFFF"/>
          </w:tcPr>
          <w:p>
            <w:pPr>
              <w:spacing w:after="0"/>
              <w:rPr>
                <w:sz w:val="16"/>
                <w:szCs w:val="16"/>
                <w:color w:val="auto"/>
              </w:rPr>
            </w:pPr>
          </w:p>
        </w:tc>
        <w:tc>
          <w:tcPr>
            <w:tcW w:w="140" w:type="dxa"/>
            <w:vAlign w:val="bottom"/>
            <w:tcBorders>
              <w:bottom w:val="single" w:sz="8" w:color="auto"/>
              <w:right w:val="single" w:sz="8" w:color="F0FFFF"/>
            </w:tcBorders>
            <w:shd w:val="clear" w:color="auto" w:fill="F0FFFF"/>
          </w:tcPr>
          <w:p>
            <w:pPr>
              <w:spacing w:after="0"/>
              <w:rPr>
                <w:sz w:val="16"/>
                <w:szCs w:val="16"/>
                <w:color w:val="auto"/>
              </w:rPr>
            </w:pPr>
          </w:p>
        </w:tc>
        <w:tc>
          <w:tcPr>
            <w:tcW w:w="4240" w:type="dxa"/>
            <w:vAlign w:val="bottom"/>
            <w:tcBorders>
              <w:bottom w:val="single" w:sz="8" w:color="auto"/>
              <w:right w:val="single" w:sz="8" w:color="auto"/>
            </w:tcBorders>
            <w:gridSpan w:val="40"/>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automatically be transferred into the Holding Account.</w:t>
            </w:r>
          </w:p>
        </w:tc>
        <w:tc>
          <w:tcPr>
            <w:tcW w:w="80" w:type="dxa"/>
            <w:vAlign w:val="bottom"/>
            <w:tcBorders>
              <w:bottom w:val="single" w:sz="8" w:color="auto"/>
              <w:right w:val="single" w:sz="8" w:color="F0FFFF"/>
            </w:tcBorders>
            <w:shd w:val="clear" w:color="auto" w:fill="F0FFFF"/>
          </w:tcPr>
          <w:p>
            <w:pPr>
              <w:spacing w:after="0"/>
              <w:rPr>
                <w:sz w:val="16"/>
                <w:szCs w:val="16"/>
                <w:color w:val="auto"/>
              </w:rPr>
            </w:pPr>
          </w:p>
        </w:tc>
        <w:tc>
          <w:tcPr>
            <w:tcW w:w="300" w:type="dxa"/>
            <w:vAlign w:val="bottom"/>
            <w:tcBorders>
              <w:bottom w:val="single" w:sz="8" w:color="auto"/>
            </w:tcBorders>
            <w:shd w:val="clear" w:color="auto" w:fill="F0FFFF"/>
          </w:tcPr>
          <w:p>
            <w:pPr>
              <w:spacing w:after="0"/>
              <w:rPr>
                <w:sz w:val="16"/>
                <w:szCs w:val="16"/>
                <w:color w:val="auto"/>
              </w:rPr>
            </w:pPr>
          </w:p>
        </w:tc>
        <w:tc>
          <w:tcPr>
            <w:tcW w:w="20" w:type="dxa"/>
            <w:vAlign w:val="bottom"/>
            <w:tcBorders>
              <w:bottom w:val="single" w:sz="8" w:color="auto"/>
            </w:tcBorders>
            <w:shd w:val="clear" w:color="auto" w:fill="F0FFFF"/>
          </w:tcPr>
          <w:p>
            <w:pPr>
              <w:spacing w:after="0"/>
              <w:rPr>
                <w:sz w:val="16"/>
                <w:szCs w:val="16"/>
                <w:color w:val="auto"/>
              </w:rPr>
            </w:pPr>
          </w:p>
        </w:tc>
        <w:tc>
          <w:tcPr>
            <w:tcW w:w="100" w:type="dxa"/>
            <w:vAlign w:val="bottom"/>
            <w:tcBorders>
              <w:left w:val="single" w:sz="8" w:color="F0FFFF"/>
              <w:bottom w:val="single" w:sz="8" w:color="auto"/>
            </w:tcBorders>
            <w:shd w:val="clear" w:color="auto" w:fill="F0FFFF"/>
          </w:tcPr>
          <w:p>
            <w:pPr>
              <w:spacing w:after="0"/>
              <w:rPr>
                <w:sz w:val="16"/>
                <w:szCs w:val="16"/>
                <w:color w:val="auto"/>
              </w:rPr>
            </w:pPr>
          </w:p>
        </w:tc>
        <w:tc>
          <w:tcPr>
            <w:tcW w:w="80" w:type="dxa"/>
            <w:vAlign w:val="bottom"/>
            <w:tcBorders>
              <w:bottom w:val="single" w:sz="8" w:color="auto"/>
            </w:tcBorders>
            <w:shd w:val="clear" w:color="auto" w:fill="F0FFFF"/>
          </w:tcPr>
          <w:p>
            <w:pPr>
              <w:spacing w:after="0"/>
              <w:rPr>
                <w:sz w:val="16"/>
                <w:szCs w:val="16"/>
                <w:color w:val="auto"/>
              </w:rPr>
            </w:pPr>
          </w:p>
        </w:tc>
        <w:tc>
          <w:tcPr>
            <w:tcW w:w="40" w:type="dxa"/>
            <w:vAlign w:val="bottom"/>
            <w:tcBorders>
              <w:bottom w:val="single" w:sz="8" w:color="auto"/>
            </w:tcBorders>
            <w:shd w:val="clear" w:color="auto" w:fill="F0FFFF"/>
          </w:tcPr>
          <w:p>
            <w:pPr>
              <w:spacing w:after="0"/>
              <w:rPr>
                <w:sz w:val="16"/>
                <w:szCs w:val="16"/>
                <w:color w:val="auto"/>
              </w:rPr>
            </w:pPr>
          </w:p>
        </w:tc>
        <w:tc>
          <w:tcPr>
            <w:tcW w:w="180" w:type="dxa"/>
            <w:vAlign w:val="bottom"/>
            <w:tcBorders>
              <w:bottom w:val="single" w:sz="8" w:color="auto"/>
              <w:right w:val="single" w:sz="8" w:color="F0FFFF"/>
            </w:tcBorders>
            <w:shd w:val="clear" w:color="auto" w:fill="F0FFFF"/>
          </w:tcPr>
          <w:p>
            <w:pPr>
              <w:spacing w:after="0"/>
              <w:rPr>
                <w:sz w:val="16"/>
                <w:szCs w:val="16"/>
                <w:color w:val="auto"/>
              </w:rPr>
            </w:pPr>
          </w:p>
        </w:tc>
        <w:tc>
          <w:tcPr>
            <w:tcW w:w="120" w:type="dxa"/>
            <w:vAlign w:val="bottom"/>
            <w:tcBorders>
              <w:bottom w:val="single" w:sz="8" w:color="auto"/>
            </w:tcBorders>
            <w:shd w:val="clear" w:color="auto" w:fill="F0FFFF"/>
          </w:tcPr>
          <w:p>
            <w:pPr>
              <w:spacing w:after="0"/>
              <w:rPr>
                <w:sz w:val="16"/>
                <w:szCs w:val="16"/>
                <w:color w:val="auto"/>
              </w:rPr>
            </w:pPr>
          </w:p>
        </w:tc>
        <w:tc>
          <w:tcPr>
            <w:tcW w:w="120" w:type="dxa"/>
            <w:vAlign w:val="bottom"/>
            <w:tcBorders>
              <w:bottom w:val="single" w:sz="8" w:color="auto"/>
            </w:tcBorders>
            <w:shd w:val="clear" w:color="auto" w:fill="F0FFFF"/>
          </w:tcPr>
          <w:p>
            <w:pPr>
              <w:spacing w:after="0"/>
              <w:rPr>
                <w:sz w:val="16"/>
                <w:szCs w:val="16"/>
                <w:color w:val="auto"/>
              </w:rPr>
            </w:pPr>
          </w:p>
        </w:tc>
        <w:tc>
          <w:tcPr>
            <w:tcW w:w="100" w:type="dxa"/>
            <w:vAlign w:val="bottom"/>
            <w:tcBorders>
              <w:bottom w:val="single" w:sz="8" w:color="auto"/>
            </w:tcBorders>
            <w:shd w:val="clear" w:color="auto" w:fill="F0FFFF"/>
          </w:tcPr>
          <w:p>
            <w:pPr>
              <w:spacing w:after="0"/>
              <w:rPr>
                <w:sz w:val="16"/>
                <w:szCs w:val="16"/>
                <w:color w:val="auto"/>
              </w:rPr>
            </w:pPr>
          </w:p>
        </w:tc>
        <w:tc>
          <w:tcPr>
            <w:tcW w:w="60" w:type="dxa"/>
            <w:vAlign w:val="bottom"/>
            <w:tcBorders>
              <w:bottom w:val="single" w:sz="8" w:color="auto"/>
            </w:tcBorders>
            <w:shd w:val="clear" w:color="auto" w:fill="F0FFFF"/>
          </w:tcPr>
          <w:p>
            <w:pPr>
              <w:spacing w:after="0"/>
              <w:rPr>
                <w:sz w:val="16"/>
                <w:szCs w:val="16"/>
                <w:color w:val="auto"/>
              </w:rPr>
            </w:pPr>
          </w:p>
        </w:tc>
        <w:tc>
          <w:tcPr>
            <w:tcW w:w="20" w:type="dxa"/>
            <w:vAlign w:val="bottom"/>
            <w:tcBorders>
              <w:bottom w:val="single" w:sz="8" w:color="auto"/>
            </w:tcBorders>
            <w:shd w:val="clear" w:color="auto" w:fill="F0FFFF"/>
          </w:tcPr>
          <w:p>
            <w:pPr>
              <w:spacing w:after="0"/>
              <w:rPr>
                <w:sz w:val="16"/>
                <w:szCs w:val="16"/>
                <w:color w:val="auto"/>
              </w:rPr>
            </w:pPr>
          </w:p>
        </w:tc>
        <w:tc>
          <w:tcPr>
            <w:tcW w:w="120" w:type="dxa"/>
            <w:vAlign w:val="bottom"/>
            <w:tcBorders>
              <w:bottom w:val="single" w:sz="8" w:color="auto"/>
              <w:right w:val="single" w:sz="8" w:color="auto"/>
            </w:tcBorders>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440" w:type="dxa"/>
            <w:vAlign w:val="bottom"/>
            <w:tcBorders>
              <w:left w:val="single" w:sz="8" w:color="auto"/>
              <w:right w:val="single" w:sz="8" w:color="auto"/>
            </w:tcBorders>
          </w:tcPr>
          <w:p>
            <w:pPr>
              <w:ind w:left="40"/>
              <w:spacing w:after="0" w:line="139" w:lineRule="exact"/>
              <w:rPr>
                <w:sz w:val="20"/>
                <w:szCs w:val="20"/>
                <w:color w:val="auto"/>
              </w:rPr>
            </w:pPr>
            <w:r>
              <w:rPr>
                <w:rFonts w:ascii="Times New Roman" w:cs="Times New Roman" w:eastAsia="Times New Roman" w:hAnsi="Times New Roman"/>
                <w:sz w:val="13"/>
                <w:szCs w:val="13"/>
                <w:b w:val="1"/>
                <w:bCs w:val="1"/>
                <w:color w:val="auto"/>
              </w:rPr>
              <w:t>What are the Risks</w:t>
            </w:r>
          </w:p>
        </w:tc>
        <w:tc>
          <w:tcPr>
            <w:tcW w:w="60" w:type="dxa"/>
            <w:vAlign w:val="bottom"/>
          </w:tcPr>
          <w:p>
            <w:pPr>
              <w:spacing w:after="0"/>
              <w:rPr>
                <w:sz w:val="12"/>
                <w:szCs w:val="12"/>
                <w:color w:val="auto"/>
              </w:rPr>
            </w:pPr>
          </w:p>
        </w:tc>
        <w:tc>
          <w:tcPr>
            <w:tcW w:w="4380" w:type="dxa"/>
            <w:vAlign w:val="bottom"/>
            <w:tcBorders>
              <w:right w:val="single" w:sz="8" w:color="auto"/>
            </w:tcBorders>
            <w:gridSpan w:val="41"/>
          </w:tcPr>
          <w:p>
            <w:pPr>
              <w:spacing w:after="0" w:line="139" w:lineRule="exact"/>
              <w:rPr>
                <w:sz w:val="20"/>
                <w:szCs w:val="20"/>
                <w:color w:val="auto"/>
              </w:rPr>
            </w:pPr>
            <w:r>
              <w:rPr>
                <w:rFonts w:ascii="Times New Roman" w:cs="Times New Roman" w:eastAsia="Times New Roman" w:hAnsi="Times New Roman"/>
                <w:sz w:val="13"/>
                <w:szCs w:val="13"/>
                <w:color w:val="auto"/>
              </w:rPr>
              <w:t>An investment in the Contract is subject to the risks of poor investment</w:t>
            </w:r>
          </w:p>
        </w:tc>
        <w:tc>
          <w:tcPr>
            <w:tcW w:w="80" w:type="dxa"/>
            <w:vAlign w:val="bottom"/>
          </w:tcPr>
          <w:p>
            <w:pPr>
              <w:spacing w:after="0"/>
              <w:rPr>
                <w:sz w:val="12"/>
                <w:szCs w:val="12"/>
                <w:color w:val="auto"/>
              </w:rPr>
            </w:pPr>
          </w:p>
        </w:tc>
        <w:tc>
          <w:tcPr>
            <w:tcW w:w="1260" w:type="dxa"/>
            <w:vAlign w:val="bottom"/>
            <w:tcBorders>
              <w:right w:val="single" w:sz="8" w:color="auto"/>
            </w:tcBorders>
            <w:gridSpan w:val="12"/>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PRINCIPAL RISKS</w:t>
            </w: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Associated with the</w:t>
            </w: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right w:val="single" w:sz="8" w:color="auto"/>
            </w:tcBorders>
            <w:gridSpan w:val="12"/>
            <w:vMerge w:val="restart"/>
          </w:tcPr>
          <w:p>
            <w:pPr>
              <w:spacing w:after="0"/>
              <w:rPr>
                <w:sz w:val="20"/>
                <w:szCs w:val="20"/>
                <w:color w:val="auto"/>
              </w:rPr>
            </w:pPr>
            <w:r>
              <w:rPr>
                <w:rFonts w:ascii="Times New Roman" w:cs="Times New Roman" w:eastAsia="Times New Roman" w:hAnsi="Times New Roman"/>
                <w:sz w:val="13"/>
                <w:szCs w:val="13"/>
                <w:b w:val="1"/>
                <w:bCs w:val="1"/>
                <w:color w:val="auto"/>
              </w:rPr>
              <w:t>OF INVESTING IN</w:t>
            </w:r>
          </w:p>
        </w:tc>
        <w:tc>
          <w:tcPr>
            <w:tcW w:w="0" w:type="dxa"/>
            <w:vAlign w:val="bottom"/>
          </w:tcPr>
          <w:p>
            <w:pPr>
              <w:spacing w:after="0" w:line="20" w:lineRule="exact"/>
              <w:rPr>
                <w:sz w:val="1"/>
                <w:szCs w:val="1"/>
                <w:color w:val="auto"/>
              </w:rPr>
            </w:pPr>
          </w:p>
        </w:tc>
      </w:tr>
      <w:tr>
        <w:trPr>
          <w:trHeight w:val="139"/>
        </w:trPr>
        <w:tc>
          <w:tcPr>
            <w:tcW w:w="1440" w:type="dxa"/>
            <w:vAlign w:val="bottom"/>
            <w:tcBorders>
              <w:left w:val="single" w:sz="8" w:color="auto"/>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4380" w:type="dxa"/>
            <w:vAlign w:val="bottom"/>
            <w:tcBorders>
              <w:right w:val="single" w:sz="8" w:color="auto"/>
            </w:tcBorders>
            <w:gridSpan w:val="41"/>
          </w:tcPr>
          <w:p>
            <w:pPr>
              <w:spacing w:after="0" w:line="139" w:lineRule="exact"/>
              <w:rPr>
                <w:sz w:val="20"/>
                <w:szCs w:val="20"/>
                <w:color w:val="auto"/>
              </w:rPr>
            </w:pPr>
            <w:r>
              <w:rPr>
                <w:rFonts w:ascii="Times New Roman" w:cs="Times New Roman" w:eastAsia="Times New Roman" w:hAnsi="Times New Roman"/>
                <w:sz w:val="13"/>
                <w:szCs w:val="13"/>
                <w:color w:val="auto"/>
              </w:rPr>
              <w:t>performance and can vary depending on the performance of the Allocation</w:t>
            </w:r>
          </w:p>
        </w:tc>
        <w:tc>
          <w:tcPr>
            <w:tcW w:w="80" w:type="dxa"/>
            <w:vAlign w:val="bottom"/>
          </w:tcPr>
          <w:p>
            <w:pPr>
              <w:spacing w:after="0"/>
              <w:rPr>
                <w:sz w:val="12"/>
                <w:szCs w:val="12"/>
                <w:color w:val="auto"/>
              </w:rPr>
            </w:pPr>
          </w:p>
        </w:tc>
        <w:tc>
          <w:tcPr>
            <w:tcW w:w="1260" w:type="dxa"/>
            <w:vAlign w:val="bottom"/>
            <w:tcBorders>
              <w:right w:val="single" w:sz="8" w:color="auto"/>
            </w:tcBorders>
            <w:gridSpan w:val="1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Investment Options?</w:t>
            </w: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right w:val="single" w:sz="8" w:color="auto"/>
            </w:tcBorders>
            <w:gridSpan w:val="12"/>
            <w:vMerge w:val="restart"/>
          </w:tcPr>
          <w:p>
            <w:pPr>
              <w:spacing w:after="0"/>
              <w:rPr>
                <w:sz w:val="20"/>
                <w:szCs w:val="20"/>
                <w:color w:val="auto"/>
              </w:rPr>
            </w:pPr>
            <w:r>
              <w:rPr>
                <w:rFonts w:ascii="Times New Roman" w:cs="Times New Roman" w:eastAsia="Times New Roman" w:hAnsi="Times New Roman"/>
                <w:sz w:val="13"/>
                <w:szCs w:val="13"/>
                <w:b w:val="1"/>
                <w:bCs w:val="1"/>
                <w:color w:val="auto"/>
              </w:rPr>
              <w:t>THE CONTRACT</w:t>
            </w:r>
          </w:p>
        </w:tc>
        <w:tc>
          <w:tcPr>
            <w:tcW w:w="0" w:type="dxa"/>
            <w:vAlign w:val="bottom"/>
          </w:tcPr>
          <w:p>
            <w:pPr>
              <w:spacing w:after="0" w:line="20" w:lineRule="exact"/>
              <w:rPr>
                <w:sz w:val="1"/>
                <w:szCs w:val="1"/>
                <w:color w:val="auto"/>
              </w:rPr>
            </w:pPr>
          </w:p>
        </w:tc>
      </w:tr>
      <w:tr>
        <w:trPr>
          <w:trHeight w:val="139"/>
        </w:trPr>
        <w:tc>
          <w:tcPr>
            <w:tcW w:w="1440" w:type="dxa"/>
            <w:vAlign w:val="bottom"/>
            <w:tcBorders>
              <w:left w:val="single" w:sz="8" w:color="auto"/>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4380" w:type="dxa"/>
            <w:vAlign w:val="bottom"/>
            <w:tcBorders>
              <w:right w:val="single" w:sz="8" w:color="auto"/>
            </w:tcBorders>
            <w:gridSpan w:val="41"/>
          </w:tcPr>
          <w:p>
            <w:pPr>
              <w:spacing w:after="0" w:line="139" w:lineRule="exact"/>
              <w:rPr>
                <w:sz w:val="20"/>
                <w:szCs w:val="20"/>
                <w:color w:val="auto"/>
              </w:rPr>
            </w:pPr>
            <w:r>
              <w:rPr>
                <w:rFonts w:ascii="Times New Roman" w:cs="Times New Roman" w:eastAsia="Times New Roman" w:hAnsi="Times New Roman"/>
                <w:sz w:val="13"/>
                <w:szCs w:val="13"/>
                <w:color w:val="auto"/>
              </w:rPr>
              <w:t>Options available under the Contract (e.g., the Shield Options). Each Allocation</w:t>
            </w:r>
          </w:p>
        </w:tc>
        <w:tc>
          <w:tcPr>
            <w:tcW w:w="80" w:type="dxa"/>
            <w:vAlign w:val="bottom"/>
          </w:tcPr>
          <w:p>
            <w:pPr>
              <w:spacing w:after="0"/>
              <w:rPr>
                <w:sz w:val="12"/>
                <w:szCs w:val="12"/>
                <w:color w:val="auto"/>
              </w:rPr>
            </w:pPr>
          </w:p>
        </w:tc>
        <w:tc>
          <w:tcPr>
            <w:tcW w:w="1260" w:type="dxa"/>
            <w:vAlign w:val="bottom"/>
            <w:tcBorders>
              <w:right w:val="single" w:sz="8" w:color="auto"/>
            </w:tcBorders>
            <w:gridSpan w:val="1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 </w:t>
            </w: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right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44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380" w:type="dxa"/>
            <w:vAlign w:val="bottom"/>
            <w:tcBorders>
              <w:right w:val="single" w:sz="8" w:color="auto"/>
            </w:tcBorders>
            <w:gridSpan w:val="41"/>
          </w:tcPr>
          <w:p>
            <w:pPr>
              <w:spacing w:after="0" w:line="139" w:lineRule="exact"/>
              <w:rPr>
                <w:sz w:val="20"/>
                <w:szCs w:val="20"/>
                <w:color w:val="auto"/>
              </w:rPr>
            </w:pPr>
            <w:r>
              <w:rPr>
                <w:rFonts w:ascii="Times New Roman" w:cs="Times New Roman" w:eastAsia="Times New Roman" w:hAnsi="Times New Roman"/>
                <w:sz w:val="13"/>
                <w:szCs w:val="13"/>
                <w:color w:val="auto"/>
              </w:rPr>
              <w:t>Option (including the Fixed Account) will have its own unique risks. You should</w:t>
            </w:r>
          </w:p>
        </w:tc>
        <w:tc>
          <w:tcPr>
            <w:tcW w:w="80" w:type="dxa"/>
            <w:vAlign w:val="bottom"/>
            <w:vMerge w:val="continue"/>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60" w:type="dxa"/>
            <w:vAlign w:val="bottom"/>
            <w:tcBorders>
              <w:right w:val="single" w:sz="8" w:color="auto"/>
            </w:tcBorders>
            <w:gridSpan w:val="12"/>
            <w:vMerge w:val="restart"/>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INDICES</w:t>
            </w:r>
          </w:p>
        </w:tc>
        <w:tc>
          <w:tcPr>
            <w:tcW w:w="0" w:type="dxa"/>
            <w:vAlign w:val="bottom"/>
          </w:tcPr>
          <w:p>
            <w:pPr>
              <w:spacing w:after="0" w:line="20" w:lineRule="exact"/>
              <w:rPr>
                <w:sz w:val="1"/>
                <w:szCs w:val="1"/>
                <w:color w:val="auto"/>
              </w:rPr>
            </w:pPr>
          </w:p>
        </w:tc>
      </w:tr>
      <w:tr>
        <w:trPr>
          <w:trHeight w:val="129"/>
        </w:trPr>
        <w:tc>
          <w:tcPr>
            <w:tcW w:w="1440" w:type="dxa"/>
            <w:vAlign w:val="bottom"/>
            <w:tcBorders>
              <w:left w:val="single" w:sz="8" w:color="auto"/>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380" w:type="dxa"/>
            <w:vAlign w:val="bottom"/>
            <w:tcBorders>
              <w:right w:val="single" w:sz="8" w:color="auto"/>
            </w:tcBorders>
            <w:gridSpan w:val="41"/>
          </w:tcPr>
          <w:p>
            <w:pPr>
              <w:spacing w:after="0" w:line="119" w:lineRule="exact"/>
              <w:rPr>
                <w:sz w:val="20"/>
                <w:szCs w:val="20"/>
                <w:color w:val="auto"/>
              </w:rPr>
            </w:pPr>
            <w:r>
              <w:rPr>
                <w:rFonts w:ascii="Times New Roman" w:cs="Times New Roman" w:eastAsia="Times New Roman" w:hAnsi="Times New Roman"/>
                <w:sz w:val="13"/>
                <w:szCs w:val="13"/>
                <w:color w:val="auto"/>
              </w:rPr>
              <w:t>review the available Allocation Options before making an investment decision.</w:t>
            </w:r>
          </w:p>
        </w:tc>
        <w:tc>
          <w:tcPr>
            <w:tcW w:w="80" w:type="dxa"/>
            <w:vAlign w:val="bottom"/>
            <w:vMerge w:val="continue"/>
          </w:tcPr>
          <w:p>
            <w:pPr>
              <w:spacing w:after="0"/>
              <w:rPr>
                <w:sz w:val="11"/>
                <w:szCs w:val="11"/>
                <w:color w:val="auto"/>
              </w:rPr>
            </w:pPr>
          </w:p>
        </w:tc>
        <w:tc>
          <w:tcPr>
            <w:tcW w:w="1260" w:type="dxa"/>
            <w:vAlign w:val="bottom"/>
            <w:tcBorders>
              <w:right w:val="single" w:sz="8" w:color="auto"/>
            </w:tcBorders>
            <w:gridSpan w:val="1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40" w:type="dxa"/>
            <w:vAlign w:val="bottom"/>
            <w:tcBorders>
              <w:top w:val="single" w:sz="8" w:color="auto"/>
            </w:tcBorders>
            <w:gridSpan w:val="5"/>
            <w:vMerge w:val="restart"/>
          </w:tcPr>
          <w:p>
            <w:pPr>
              <w:spacing w:after="0"/>
              <w:rPr>
                <w:sz w:val="20"/>
                <w:szCs w:val="20"/>
                <w:color w:val="auto"/>
              </w:rPr>
            </w:pPr>
            <w:r>
              <w:rPr>
                <w:rFonts w:ascii="Times New Roman" w:cs="Times New Roman" w:eastAsia="Times New Roman" w:hAnsi="Times New Roman"/>
                <w:sz w:val="13"/>
                <w:szCs w:val="13"/>
                <w:b w:val="1"/>
                <w:bCs w:val="1"/>
                <w:color w:val="auto"/>
              </w:rPr>
              <w:t> </w:t>
            </w:r>
          </w:p>
        </w:tc>
        <w:tc>
          <w:tcPr>
            <w:tcW w:w="1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right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440" w:type="dxa"/>
            <w:vAlign w:val="bottom"/>
            <w:tcBorders>
              <w:left w:val="single" w:sz="8" w:color="auto"/>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380" w:type="dxa"/>
            <w:vAlign w:val="bottom"/>
            <w:tcBorders>
              <w:right w:val="single" w:sz="8" w:color="auto"/>
            </w:tcBorders>
            <w:gridSpan w:val="41"/>
          </w:tcPr>
          <w:p>
            <w:pPr>
              <w:spacing w:after="0" w:line="129" w:lineRule="exact"/>
              <w:rPr>
                <w:sz w:val="20"/>
                <w:szCs w:val="20"/>
                <w:color w:val="auto"/>
              </w:rPr>
            </w:pPr>
            <w:r>
              <w:rPr>
                <w:rFonts w:ascii="Times New Roman" w:cs="Times New Roman" w:eastAsia="Times New Roman" w:hAnsi="Times New Roman"/>
                <w:sz w:val="13"/>
                <w:szCs w:val="13"/>
                <w:color w:val="auto"/>
              </w:rPr>
              <w:t>The Cap Rate , Step Rate, and Step Rate Edge (the Rate Crediting Types), as</w:t>
            </w:r>
          </w:p>
        </w:tc>
        <w:tc>
          <w:tcPr>
            <w:tcW w:w="80" w:type="dxa"/>
            <w:vAlign w:val="bottom"/>
            <w:vMerge w:val="continue"/>
          </w:tcPr>
          <w:p>
            <w:pPr>
              <w:spacing w:after="0"/>
              <w:rPr>
                <w:sz w:val="11"/>
                <w:szCs w:val="11"/>
                <w:color w:val="auto"/>
              </w:rPr>
            </w:pPr>
          </w:p>
        </w:tc>
        <w:tc>
          <w:tcPr>
            <w:tcW w:w="540" w:type="dxa"/>
            <w:vAlign w:val="bottom"/>
            <w:gridSpan w:val="5"/>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60" w:type="dxa"/>
            <w:vAlign w:val="bottom"/>
            <w:gridSpan w:val="2"/>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960" w:type="dxa"/>
            <w:vAlign w:val="bottom"/>
            <w:gridSpan w:val="8"/>
            <w:vMerge w:val="restart"/>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SHIELD RATES</w:t>
            </w:r>
          </w:p>
        </w:tc>
        <w:tc>
          <w:tcPr>
            <w:tcW w:w="1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right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1440" w:type="dxa"/>
            <w:vAlign w:val="bottom"/>
            <w:tcBorders>
              <w:left w:val="single" w:sz="8" w:color="auto"/>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380" w:type="dxa"/>
            <w:vAlign w:val="bottom"/>
            <w:tcBorders>
              <w:right w:val="single" w:sz="8" w:color="auto"/>
            </w:tcBorders>
            <w:gridSpan w:val="41"/>
            <w:vMerge w:val="restart"/>
          </w:tcPr>
          <w:p>
            <w:pPr>
              <w:spacing w:after="0"/>
              <w:rPr>
                <w:sz w:val="20"/>
                <w:szCs w:val="20"/>
                <w:color w:val="auto"/>
              </w:rPr>
            </w:pPr>
            <w:r>
              <w:rPr>
                <w:rFonts w:ascii="Times New Roman" w:cs="Times New Roman" w:eastAsia="Times New Roman" w:hAnsi="Times New Roman"/>
                <w:sz w:val="13"/>
                <w:szCs w:val="13"/>
                <w:color w:val="auto"/>
              </w:rPr>
              <w:t xml:space="preserve">applicable, will limit positive Index returns (e.g., limited upside). </w:t>
            </w:r>
            <w:r>
              <w:rPr>
                <w:rFonts w:ascii="Times New Roman" w:cs="Times New Roman" w:eastAsia="Times New Roman" w:hAnsi="Times New Roman"/>
                <w:sz w:val="13"/>
                <w:szCs w:val="13"/>
                <w:b w:val="1"/>
                <w:bCs w:val="1"/>
                <w:color w:val="auto"/>
              </w:rPr>
              <w:t>This may</w:t>
            </w:r>
          </w:p>
        </w:tc>
        <w:tc>
          <w:tcPr>
            <w:tcW w:w="80" w:type="dxa"/>
            <w:vAlign w:val="bottom"/>
            <w:vMerge w:val="continue"/>
          </w:tcPr>
          <w:p>
            <w:pPr>
              <w:spacing w:after="0"/>
              <w:rPr>
                <w:sz w:val="9"/>
                <w:szCs w:val="9"/>
                <w:color w:val="auto"/>
              </w:rPr>
            </w:pPr>
          </w:p>
        </w:tc>
        <w:tc>
          <w:tcPr>
            <w:tcW w:w="960" w:type="dxa"/>
            <w:vAlign w:val="bottom"/>
            <w:tcBorders>
              <w:bottom w:val="single" w:sz="8" w:color="auto"/>
            </w:tcBorders>
            <w:gridSpan w:val="8"/>
            <w:vMerge w:val="continue"/>
          </w:tcPr>
          <w:p>
            <w:pPr>
              <w:spacing w:after="0"/>
              <w:rPr>
                <w:sz w:val="9"/>
                <w:szCs w:val="9"/>
                <w:color w:val="auto"/>
              </w:rPr>
            </w:pPr>
          </w:p>
        </w:tc>
        <w:tc>
          <w:tcPr>
            <w:tcW w:w="160" w:type="dxa"/>
            <w:vAlign w:val="bottom"/>
            <w:gridSpan w:val="2"/>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80" w:type="dxa"/>
            <w:vAlign w:val="bottom"/>
            <w:tcBorders>
              <w:right w:val="single" w:sz="8" w:color="auto"/>
            </w:tcBorders>
            <w:gridSpan w:val="41"/>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tcBorders>
              <w:right w:val="single" w:sz="8" w:color="auto"/>
            </w:tcBorders>
            <w:gridSpan w:val="12"/>
            <w:vMerge w:val="restart"/>
          </w:tcPr>
          <w:p>
            <w:pPr>
              <w:spacing w:after="0"/>
              <w:rPr>
                <w:sz w:val="20"/>
                <w:szCs w:val="20"/>
                <w:color w:val="auto"/>
              </w:rPr>
            </w:pPr>
            <w:r>
              <w:rPr>
                <w:rFonts w:ascii="Times New Roman" w:cs="Times New Roman" w:eastAsia="Times New Roman" w:hAnsi="Times New Roman"/>
                <w:sz w:val="13"/>
                <w:szCs w:val="13"/>
                <w:b w:val="1"/>
                <w:bCs w:val="1"/>
                <w:color w:val="auto"/>
              </w:rPr>
              <w:t> </w:t>
            </w:r>
          </w:p>
        </w:tc>
        <w:tc>
          <w:tcPr>
            <w:tcW w:w="0" w:type="dxa"/>
            <w:vAlign w:val="bottom"/>
          </w:tcPr>
          <w:p>
            <w:pPr>
              <w:spacing w:after="0" w:line="20" w:lineRule="exact"/>
              <w:rPr>
                <w:sz w:val="1"/>
                <w:szCs w:val="1"/>
                <w:color w:val="auto"/>
              </w:rPr>
            </w:pPr>
          </w:p>
        </w:tc>
      </w:tr>
      <w:tr>
        <w:trPr>
          <w:trHeight w:val="20"/>
        </w:trPr>
        <w:tc>
          <w:tcPr>
            <w:tcW w:w="14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60" w:type="dxa"/>
            <w:vAlign w:val="bottom"/>
            <w:tcBorders>
              <w:right w:val="single" w:sz="8" w:color="auto"/>
            </w:tcBorders>
            <w:gridSpan w:val="1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440" w:type="dxa"/>
            <w:vAlign w:val="bottom"/>
            <w:tcBorders>
              <w:left w:val="single" w:sz="8" w:color="auto"/>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380" w:type="dxa"/>
            <w:vAlign w:val="bottom"/>
            <w:tcBorders>
              <w:right w:val="single" w:sz="8" w:color="auto"/>
            </w:tcBorders>
            <w:gridSpan w:val="41"/>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result in you earning less than the Index return</w:t>
            </w:r>
            <w:r>
              <w:rPr>
                <w:rFonts w:ascii="Times New Roman" w:cs="Times New Roman" w:eastAsia="Times New Roman" w:hAnsi="Times New Roman"/>
                <w:sz w:val="13"/>
                <w:szCs w:val="13"/>
                <w:color w:val="auto"/>
              </w:rPr>
              <w:t>. For example:</w:t>
            </w:r>
          </w:p>
        </w:tc>
        <w:tc>
          <w:tcPr>
            <w:tcW w:w="80" w:type="dxa"/>
            <w:vAlign w:val="bottom"/>
            <w:vMerge w:val="continue"/>
          </w:tcPr>
          <w:p>
            <w:pPr>
              <w:spacing w:after="0"/>
              <w:rPr>
                <w:sz w:val="10"/>
                <w:szCs w:val="10"/>
                <w:color w:val="auto"/>
              </w:rPr>
            </w:pPr>
          </w:p>
        </w:tc>
        <w:tc>
          <w:tcPr>
            <w:tcW w:w="1260" w:type="dxa"/>
            <w:vAlign w:val="bottom"/>
            <w:tcBorders>
              <w:right w:val="single" w:sz="8" w:color="auto"/>
            </w:tcBorders>
            <w:gridSpan w:val="1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440" w:type="dxa"/>
            <w:vAlign w:val="bottom"/>
            <w:tcBorders>
              <w:left w:val="single" w:sz="8" w:color="auto"/>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80" w:type="dxa"/>
            <w:vAlign w:val="bottom"/>
            <w:vMerge w:val="restart"/>
          </w:tcPr>
          <w:p>
            <w:pPr>
              <w:spacing w:after="0"/>
              <w:rPr>
                <w:sz w:val="9"/>
                <w:szCs w:val="9"/>
                <w:color w:val="auto"/>
              </w:rPr>
            </w:pPr>
          </w:p>
        </w:tc>
        <w:tc>
          <w:tcPr>
            <w:tcW w:w="1140" w:type="dxa"/>
            <w:vAlign w:val="bottom"/>
            <w:tcBorders>
              <w:bottom w:val="single" w:sz="8" w:color="auto"/>
            </w:tcBorders>
            <w:gridSpan w:val="11"/>
          </w:tcPr>
          <w:p>
            <w:pPr>
              <w:spacing w:after="0" w:line="89" w:lineRule="exact"/>
              <w:rPr>
                <w:sz w:val="20"/>
                <w:szCs w:val="20"/>
                <w:color w:val="auto"/>
              </w:rPr>
            </w:pPr>
            <w:r>
              <w:rPr>
                <w:rFonts w:ascii="Times New Roman" w:cs="Times New Roman" w:eastAsia="Times New Roman" w:hAnsi="Times New Roman"/>
                <w:sz w:val="10"/>
                <w:szCs w:val="10"/>
                <w:b w:val="1"/>
                <w:bCs w:val="1"/>
                <w:color w:val="auto"/>
              </w:rPr>
              <w:t>RATE CREDITING</w:t>
            </w:r>
          </w:p>
        </w:tc>
        <w:tc>
          <w:tcPr>
            <w:tcW w:w="120" w:type="dxa"/>
            <w:vAlign w:val="bottom"/>
            <w:tcBorders>
              <w:right w:val="single" w:sz="8" w:color="auto"/>
            </w:tcBorders>
            <w:vMerge w:val="restart"/>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1440" w:type="dxa"/>
            <w:vAlign w:val="bottom"/>
            <w:tcBorders>
              <w:left w:val="single" w:sz="8" w:color="auto"/>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vMerge w:val="continue"/>
          </w:tcPr>
          <w:p>
            <w:pPr>
              <w:spacing w:after="0"/>
              <w:rPr>
                <w:sz w:val="2"/>
                <w:szCs w:val="2"/>
                <w:color w:val="auto"/>
              </w:rPr>
            </w:pPr>
          </w:p>
        </w:tc>
        <w:tc>
          <w:tcPr>
            <w:tcW w:w="420" w:type="dxa"/>
            <w:vAlign w:val="bottom"/>
            <w:gridSpan w:val="3"/>
            <w:vMerge w:val="restart"/>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5"/>
              </w:rPr>
              <w:t>TYPES</w:t>
            </w:r>
          </w:p>
        </w:tc>
        <w:tc>
          <w:tcPr>
            <w:tcW w:w="8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9"/>
        </w:trPr>
        <w:tc>
          <w:tcPr>
            <w:tcW w:w="1440" w:type="dxa"/>
            <w:vAlign w:val="bottom"/>
            <w:tcBorders>
              <w:left w:val="single" w:sz="8" w:color="auto"/>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380" w:type="dxa"/>
            <w:vAlign w:val="bottom"/>
            <w:tcBorders>
              <w:right w:val="single" w:sz="8" w:color="auto"/>
            </w:tcBorders>
            <w:gridSpan w:val="41"/>
            <w:vMerge w:val="restart"/>
          </w:tcPr>
          <w:p>
            <w:pPr>
              <w:spacing w:after="0" w:line="144"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Cap Rate.</w:t>
            </w:r>
            <w:r>
              <w:rPr>
                <w:rFonts w:ascii="Times New Roman" w:cs="Times New Roman" w:eastAsia="Times New Roman" w:hAnsi="Times New Roman"/>
                <w:sz w:val="13"/>
                <w:szCs w:val="13"/>
                <w:color w:val="auto"/>
              </w:rPr>
              <w:t xml:space="preserve"> If the Index Performance is 15%, and the Cap Rate is 10%, we</w:t>
            </w:r>
          </w:p>
        </w:tc>
        <w:tc>
          <w:tcPr>
            <w:tcW w:w="80" w:type="dxa"/>
            <w:vAlign w:val="bottom"/>
          </w:tcPr>
          <w:p>
            <w:pPr>
              <w:spacing w:after="0"/>
              <w:rPr>
                <w:sz w:val="9"/>
                <w:szCs w:val="9"/>
                <w:color w:val="auto"/>
              </w:rPr>
            </w:pPr>
          </w:p>
        </w:tc>
        <w:tc>
          <w:tcPr>
            <w:tcW w:w="420" w:type="dxa"/>
            <w:vAlign w:val="bottom"/>
            <w:tcBorders>
              <w:bottom w:val="single" w:sz="8" w:color="auto"/>
            </w:tcBorders>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gridSpan w:val="3"/>
          </w:tcPr>
          <w:p>
            <w:pPr>
              <w:spacing w:after="0"/>
              <w:rPr>
                <w:sz w:val="9"/>
                <w:szCs w:val="9"/>
                <w:color w:val="auto"/>
              </w:rPr>
            </w:pPr>
          </w:p>
        </w:tc>
        <w:tc>
          <w:tcPr>
            <w:tcW w:w="140" w:type="dxa"/>
            <w:vAlign w:val="bottom"/>
            <w:tcBorders>
              <w:right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80" w:type="dxa"/>
            <w:vAlign w:val="bottom"/>
            <w:tcBorders>
              <w:right w:val="single" w:sz="8" w:color="auto"/>
            </w:tcBorders>
            <w:gridSpan w:val="41"/>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right w:val="single" w:sz="8" w:color="auto"/>
            </w:tcBorders>
            <w:gridSpan w:val="12"/>
            <w:vMerge w:val="restart"/>
          </w:tcPr>
          <w:p>
            <w:pPr>
              <w:spacing w:after="0"/>
              <w:rPr>
                <w:sz w:val="20"/>
                <w:szCs w:val="20"/>
                <w:color w:val="auto"/>
              </w:rPr>
            </w:pPr>
            <w:r>
              <w:rPr>
                <w:rFonts w:ascii="Times New Roman" w:cs="Times New Roman" w:eastAsia="Times New Roman" w:hAnsi="Times New Roman"/>
                <w:sz w:val="13"/>
                <w:szCs w:val="13"/>
                <w:b w:val="1"/>
                <w:bCs w:val="1"/>
                <w:color w:val="auto"/>
              </w:rPr>
              <w:t> </w:t>
            </w:r>
          </w:p>
        </w:tc>
        <w:tc>
          <w:tcPr>
            <w:tcW w:w="0" w:type="dxa"/>
            <w:vAlign w:val="bottom"/>
          </w:tcPr>
          <w:p>
            <w:pPr>
              <w:spacing w:after="0" w:line="20" w:lineRule="exact"/>
              <w:rPr>
                <w:sz w:val="1"/>
                <w:szCs w:val="1"/>
                <w:color w:val="auto"/>
              </w:rPr>
            </w:pPr>
          </w:p>
        </w:tc>
      </w:tr>
      <w:tr>
        <w:trPr>
          <w:trHeight w:val="20"/>
        </w:trPr>
        <w:tc>
          <w:tcPr>
            <w:tcW w:w="14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60" w:type="dxa"/>
            <w:vAlign w:val="bottom"/>
            <w:tcBorders>
              <w:right w:val="single" w:sz="8" w:color="auto"/>
            </w:tcBorders>
            <w:gridSpan w:val="1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440" w:type="dxa"/>
            <w:vAlign w:val="bottom"/>
            <w:tcBorders>
              <w:left w:val="single" w:sz="8" w:color="auto"/>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40" w:type="dxa"/>
            <w:vAlign w:val="bottom"/>
            <w:tcBorders>
              <w:right w:val="single" w:sz="8" w:color="auto"/>
            </w:tcBorders>
            <w:gridSpan w:val="40"/>
          </w:tcPr>
          <w:p>
            <w:pPr>
              <w:spacing w:after="0" w:line="119" w:lineRule="exact"/>
              <w:rPr>
                <w:sz w:val="20"/>
                <w:szCs w:val="20"/>
                <w:color w:val="auto"/>
              </w:rPr>
            </w:pPr>
            <w:r>
              <w:rPr>
                <w:rFonts w:ascii="Times New Roman" w:cs="Times New Roman" w:eastAsia="Times New Roman" w:hAnsi="Times New Roman"/>
                <w:sz w:val="13"/>
                <w:szCs w:val="13"/>
                <w:color w:val="auto"/>
              </w:rPr>
              <w:t>will credit a 10% Performance Rate at the end of the Term.</w:t>
            </w:r>
          </w:p>
        </w:tc>
        <w:tc>
          <w:tcPr>
            <w:tcW w:w="80" w:type="dxa"/>
            <w:vAlign w:val="bottom"/>
            <w:vMerge w:val="continue"/>
          </w:tcPr>
          <w:p>
            <w:pPr>
              <w:spacing w:after="0"/>
              <w:rPr>
                <w:sz w:val="10"/>
                <w:szCs w:val="10"/>
                <w:color w:val="auto"/>
              </w:rPr>
            </w:pPr>
          </w:p>
        </w:tc>
        <w:tc>
          <w:tcPr>
            <w:tcW w:w="1260" w:type="dxa"/>
            <w:vAlign w:val="bottom"/>
            <w:tcBorders>
              <w:right w:val="single" w:sz="8" w:color="auto"/>
            </w:tcBorders>
            <w:gridSpan w:val="1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60" w:type="dxa"/>
            <w:vAlign w:val="bottom"/>
            <w:tcBorders>
              <w:right w:val="single" w:sz="8" w:color="auto"/>
            </w:tcBorders>
            <w:gridSpan w:val="12"/>
            <w:vMerge w:val="restart"/>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THE FIXED</w:t>
            </w:r>
          </w:p>
        </w:tc>
        <w:tc>
          <w:tcPr>
            <w:tcW w:w="0" w:type="dxa"/>
            <w:vAlign w:val="bottom"/>
          </w:tcPr>
          <w:p>
            <w:pPr>
              <w:spacing w:after="0" w:line="20" w:lineRule="exact"/>
              <w:rPr>
                <w:sz w:val="1"/>
                <w:szCs w:val="1"/>
                <w:color w:val="auto"/>
              </w:rPr>
            </w:pPr>
          </w:p>
        </w:tc>
      </w:tr>
      <w:tr>
        <w:trPr>
          <w:trHeight w:val="109"/>
        </w:trPr>
        <w:tc>
          <w:tcPr>
            <w:tcW w:w="1440" w:type="dxa"/>
            <w:vAlign w:val="bottom"/>
            <w:tcBorders>
              <w:left w:val="single" w:sz="8" w:color="auto"/>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4240" w:type="dxa"/>
            <w:vAlign w:val="bottom"/>
            <w:tcBorders>
              <w:right w:val="single" w:sz="8" w:color="auto"/>
            </w:tcBorders>
            <w:gridSpan w:val="40"/>
            <w:vMerge w:val="restart"/>
          </w:tcPr>
          <w:p>
            <w:pPr>
              <w:spacing w:after="0"/>
              <w:rPr>
                <w:sz w:val="20"/>
                <w:szCs w:val="20"/>
                <w:color w:val="auto"/>
              </w:rPr>
            </w:pPr>
            <w:r>
              <w:rPr>
                <w:rFonts w:ascii="Times New Roman" w:cs="Times New Roman" w:eastAsia="Times New Roman" w:hAnsi="Times New Roman"/>
                <w:sz w:val="13"/>
                <w:szCs w:val="13"/>
                <w:b w:val="1"/>
                <w:bCs w:val="1"/>
                <w:color w:val="auto"/>
              </w:rPr>
              <w:t>Step Rate</w:t>
            </w:r>
            <w:r>
              <w:rPr>
                <w:rFonts w:ascii="Times New Roman" w:cs="Times New Roman" w:eastAsia="Times New Roman" w:hAnsi="Times New Roman"/>
                <w:sz w:val="13"/>
                <w:szCs w:val="13"/>
                <w:color w:val="auto"/>
              </w:rPr>
              <w:t>. If the Index Performance is 15%, and the Step Rate is 8%, we</w:t>
            </w:r>
          </w:p>
        </w:tc>
        <w:tc>
          <w:tcPr>
            <w:tcW w:w="80" w:type="dxa"/>
            <w:vAlign w:val="bottom"/>
            <w:vMerge w:val="continue"/>
          </w:tcPr>
          <w:p>
            <w:pPr>
              <w:spacing w:after="0"/>
              <w:rPr>
                <w:sz w:val="9"/>
                <w:szCs w:val="9"/>
                <w:color w:val="auto"/>
              </w:rPr>
            </w:pPr>
          </w:p>
        </w:tc>
        <w:tc>
          <w:tcPr>
            <w:tcW w:w="1260" w:type="dxa"/>
            <w:vAlign w:val="bottom"/>
            <w:tcBorders>
              <w:right w:val="single" w:sz="8" w:color="auto"/>
            </w:tcBorders>
            <w:gridSpan w:val="1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4240" w:type="dxa"/>
            <w:vAlign w:val="bottom"/>
            <w:tcBorders>
              <w:right w:val="single" w:sz="8" w:color="auto"/>
            </w:tcBorders>
            <w:gridSpan w:val="40"/>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
        </w:trPr>
        <w:tc>
          <w:tcPr>
            <w:tcW w:w="1440" w:type="dxa"/>
            <w:vAlign w:val="bottom"/>
            <w:tcBorders>
              <w:left w:val="single" w:sz="8" w:color="auto"/>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4240" w:type="dxa"/>
            <w:vAlign w:val="bottom"/>
            <w:tcBorders>
              <w:right w:val="single" w:sz="8" w:color="auto"/>
            </w:tcBorders>
            <w:gridSpan w:val="40"/>
            <w:vMerge w:val="continue"/>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Borders>
              <w:right w:val="single" w:sz="8" w:color="auto"/>
            </w:tcBorders>
            <w:gridSpan w:val="12"/>
            <w:vMerge w:val="restart"/>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ACCOUNT</w:t>
            </w:r>
          </w:p>
        </w:tc>
        <w:tc>
          <w:tcPr>
            <w:tcW w:w="0" w:type="dxa"/>
            <w:vAlign w:val="bottom"/>
          </w:tcPr>
          <w:p>
            <w:pPr>
              <w:spacing w:after="0" w:line="20" w:lineRule="exact"/>
              <w:rPr>
                <w:sz w:val="1"/>
                <w:szCs w:val="1"/>
                <w:color w:val="auto"/>
              </w:rPr>
            </w:pPr>
          </w:p>
        </w:tc>
      </w:tr>
      <w:tr>
        <w:trPr>
          <w:trHeight w:val="20"/>
        </w:trPr>
        <w:tc>
          <w:tcPr>
            <w:tcW w:w="14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60" w:type="dxa"/>
            <w:vAlign w:val="bottom"/>
            <w:tcBorders>
              <w:right w:val="single" w:sz="8" w:color="auto"/>
            </w:tcBorders>
            <w:gridSpan w:val="1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440" w:type="dxa"/>
            <w:vAlign w:val="bottom"/>
            <w:tcBorders>
              <w:left w:val="single" w:sz="8" w:color="auto"/>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40" w:type="dxa"/>
            <w:vAlign w:val="bottom"/>
            <w:tcBorders>
              <w:right w:val="single" w:sz="8" w:color="auto"/>
            </w:tcBorders>
            <w:gridSpan w:val="40"/>
            <w:vMerge w:val="restart"/>
          </w:tcPr>
          <w:p>
            <w:pPr>
              <w:spacing w:after="0" w:line="139" w:lineRule="exact"/>
              <w:rPr>
                <w:sz w:val="20"/>
                <w:szCs w:val="20"/>
                <w:color w:val="auto"/>
              </w:rPr>
            </w:pPr>
            <w:r>
              <w:rPr>
                <w:rFonts w:ascii="Times New Roman" w:cs="Times New Roman" w:eastAsia="Times New Roman" w:hAnsi="Times New Roman"/>
                <w:sz w:val="13"/>
                <w:szCs w:val="13"/>
                <w:color w:val="auto"/>
              </w:rPr>
              <w:t>will credit an 8% Performance Rate at the end of the Term.</w:t>
            </w:r>
          </w:p>
        </w:tc>
        <w:tc>
          <w:tcPr>
            <w:tcW w:w="80" w:type="dxa"/>
            <w:vAlign w:val="bottom"/>
            <w:vMerge w:val="continue"/>
          </w:tcPr>
          <w:p>
            <w:pPr>
              <w:spacing w:after="0"/>
              <w:rPr>
                <w:sz w:val="7"/>
                <w:szCs w:val="7"/>
                <w:color w:val="auto"/>
              </w:rPr>
            </w:pPr>
          </w:p>
        </w:tc>
        <w:tc>
          <w:tcPr>
            <w:tcW w:w="1260" w:type="dxa"/>
            <w:vAlign w:val="bottom"/>
            <w:tcBorders>
              <w:right w:val="single" w:sz="8" w:color="auto"/>
            </w:tcBorders>
            <w:gridSpan w:val="1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0"/>
        </w:trPr>
        <w:tc>
          <w:tcPr>
            <w:tcW w:w="1440" w:type="dxa"/>
            <w:vAlign w:val="bottom"/>
            <w:tcBorders>
              <w:left w:val="single" w:sz="8" w:color="auto"/>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40" w:type="dxa"/>
            <w:vAlign w:val="bottom"/>
            <w:tcBorders>
              <w:right w:val="single" w:sz="8" w:color="auto"/>
            </w:tcBorders>
            <w:gridSpan w:val="40"/>
            <w:vMerge w:val="continue"/>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14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44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40" w:type="dxa"/>
            <w:vAlign w:val="bottom"/>
            <w:tcBorders>
              <w:right w:val="single" w:sz="8" w:color="auto"/>
            </w:tcBorders>
            <w:gridSpan w:val="40"/>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Edge Rate</w:t>
            </w:r>
            <w:r>
              <w:rPr>
                <w:rFonts w:ascii="Times New Roman" w:cs="Times New Roman" w:eastAsia="Times New Roman" w:hAnsi="Times New Roman"/>
                <w:sz w:val="13"/>
                <w:szCs w:val="13"/>
                <w:color w:val="auto"/>
              </w:rPr>
              <w:t>. If the Index Performance is 15%, the Edge Rate is 7%, and the</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44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40" w:type="dxa"/>
            <w:vAlign w:val="bottom"/>
            <w:tcBorders>
              <w:right w:val="single" w:sz="8" w:color="auto"/>
            </w:tcBorders>
            <w:gridSpan w:val="40"/>
          </w:tcPr>
          <w:p>
            <w:pPr>
              <w:spacing w:after="0" w:line="139" w:lineRule="exact"/>
              <w:rPr>
                <w:sz w:val="20"/>
                <w:szCs w:val="20"/>
                <w:color w:val="auto"/>
              </w:rPr>
            </w:pPr>
            <w:r>
              <w:rPr>
                <w:rFonts w:ascii="Times New Roman" w:cs="Times New Roman" w:eastAsia="Times New Roman" w:hAnsi="Times New Roman"/>
                <w:sz w:val="13"/>
                <w:szCs w:val="13"/>
                <w:color w:val="auto"/>
              </w:rPr>
              <w:t>Shield Option has a Shield Rate of 10%, we will credit a 7% Performance</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tcPr>
          <w:p>
            <w:pPr>
              <w:spacing w:after="0" w:line="20" w:lineRule="exact"/>
              <w:rPr>
                <w:sz w:val="1"/>
                <w:szCs w:val="1"/>
                <w:color w:val="auto"/>
              </w:rPr>
            </w:pPr>
          </w:p>
        </w:tc>
        <w:tc>
          <w:tcPr>
            <w:tcW w:w="200" w:type="dxa"/>
            <w:vAlign w:val="bottom"/>
            <w:tcBorders>
              <w:right w:val="single" w:sz="8" w:color="auto"/>
            </w:tcBorders>
            <w:gridSpan w:val="2"/>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Borders>
              <w:right w:val="single" w:sz="8" w:color="auto"/>
            </w:tcBorders>
            <w:gridSpan w:val="2"/>
          </w:tcPr>
          <w:p>
            <w:pPr>
              <w:spacing w:after="0" w:line="20" w:lineRule="exact"/>
              <w:rPr>
                <w:sz w:val="1"/>
                <w:szCs w:val="1"/>
                <w:color w:val="auto"/>
              </w:rPr>
            </w:pPr>
          </w:p>
        </w:tc>
        <w:tc>
          <w:tcPr>
            <w:tcW w:w="22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700" w:type="dxa"/>
            <w:vAlign w:val="bottom"/>
            <w:tcBorders>
              <w:left w:val="single" w:sz="8" w:color="auto"/>
              <w:right w:val="single" w:sz="8" w:color="auto"/>
            </w:tcBorders>
            <w:gridSpan w:val="16"/>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240" w:type="dxa"/>
            <w:vAlign w:val="bottom"/>
            <w:gridSpan w:val="5"/>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1340" w:type="dxa"/>
            <w:vAlign w:val="bottom"/>
            <w:tcBorders>
              <w:right w:val="single" w:sz="8" w:color="auto"/>
            </w:tcBorders>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44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40" w:type="dxa"/>
            <w:vAlign w:val="bottom"/>
            <w:tcBorders>
              <w:right w:val="single" w:sz="8" w:color="auto"/>
            </w:tcBorders>
            <w:gridSpan w:val="40"/>
          </w:tcPr>
          <w:p>
            <w:pPr>
              <w:spacing w:after="0" w:line="139" w:lineRule="exact"/>
              <w:rPr>
                <w:sz w:val="20"/>
                <w:szCs w:val="20"/>
                <w:color w:val="auto"/>
              </w:rPr>
            </w:pPr>
            <w:r>
              <w:rPr>
                <w:rFonts w:ascii="Times New Roman" w:cs="Times New Roman" w:eastAsia="Times New Roman" w:hAnsi="Times New Roman"/>
                <w:sz w:val="13"/>
                <w:szCs w:val="13"/>
                <w:color w:val="auto"/>
              </w:rPr>
              <w:t>Rate at the end of the Term. If the Index Performance is -10%, we will also</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Borders>
              <w:right w:val="single" w:sz="8" w:color="auto"/>
            </w:tcBorders>
            <w:gridSpan w:val="2"/>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44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40" w:type="dxa"/>
            <w:vAlign w:val="bottom"/>
            <w:tcBorders>
              <w:right w:val="single" w:sz="8" w:color="auto"/>
            </w:tcBorders>
            <w:gridSpan w:val="40"/>
          </w:tcPr>
          <w:p>
            <w:pPr>
              <w:spacing w:after="0" w:line="139" w:lineRule="exact"/>
              <w:rPr>
                <w:sz w:val="20"/>
                <w:szCs w:val="20"/>
                <w:color w:val="auto"/>
              </w:rPr>
            </w:pPr>
            <w:r>
              <w:rPr>
                <w:rFonts w:ascii="Times New Roman" w:cs="Times New Roman" w:eastAsia="Times New Roman" w:hAnsi="Times New Roman"/>
                <w:sz w:val="13"/>
                <w:szCs w:val="13"/>
                <w:color w:val="auto"/>
              </w:rPr>
              <w:t>credit a 7% Performance Rate at the end of the Term.</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44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380" w:type="dxa"/>
            <w:vAlign w:val="bottom"/>
            <w:tcBorders>
              <w:right w:val="single" w:sz="8" w:color="auto"/>
            </w:tcBorders>
            <w:gridSpan w:val="41"/>
          </w:tcPr>
          <w:p>
            <w:pPr>
              <w:spacing w:after="0" w:line="139" w:lineRule="exact"/>
              <w:rPr>
                <w:sz w:val="20"/>
                <w:szCs w:val="20"/>
                <w:color w:val="auto"/>
              </w:rPr>
            </w:pPr>
            <w:r>
              <w:rPr>
                <w:rFonts w:ascii="Times New Roman" w:cs="Times New Roman" w:eastAsia="Times New Roman" w:hAnsi="Times New Roman"/>
                <w:sz w:val="13"/>
                <w:szCs w:val="13"/>
                <w:color w:val="auto"/>
              </w:rPr>
              <w:t>The Shield Rate, as applicable, will limit the negative Index returns (e.g.,</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auto"/>
            </w:tcBorders>
            <w:gridSpan w:val="2"/>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44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380" w:type="dxa"/>
            <w:vAlign w:val="bottom"/>
            <w:tcBorders>
              <w:right w:val="single" w:sz="8" w:color="auto"/>
            </w:tcBorders>
            <w:gridSpan w:val="41"/>
          </w:tcPr>
          <w:p>
            <w:pPr>
              <w:spacing w:after="0" w:line="139" w:lineRule="exact"/>
              <w:rPr>
                <w:sz w:val="20"/>
                <w:szCs w:val="20"/>
                <w:color w:val="auto"/>
              </w:rPr>
            </w:pPr>
            <w:r>
              <w:rPr>
                <w:rFonts w:ascii="Times New Roman" w:cs="Times New Roman" w:eastAsia="Times New Roman" w:hAnsi="Times New Roman"/>
                <w:sz w:val="13"/>
                <w:szCs w:val="13"/>
                <w:color w:val="auto"/>
              </w:rPr>
              <w:t>limited protection in the case of market decline). For example, if the Index</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44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380" w:type="dxa"/>
            <w:vAlign w:val="bottom"/>
            <w:tcBorders>
              <w:right w:val="single" w:sz="8" w:color="auto"/>
            </w:tcBorders>
            <w:gridSpan w:val="41"/>
          </w:tcPr>
          <w:p>
            <w:pPr>
              <w:spacing w:after="0" w:line="139" w:lineRule="exact"/>
              <w:rPr>
                <w:sz w:val="20"/>
                <w:szCs w:val="20"/>
                <w:color w:val="auto"/>
              </w:rPr>
            </w:pPr>
            <w:r>
              <w:rPr>
                <w:rFonts w:ascii="Times New Roman" w:cs="Times New Roman" w:eastAsia="Times New Roman" w:hAnsi="Times New Roman"/>
                <w:sz w:val="13"/>
                <w:szCs w:val="13"/>
                <w:color w:val="auto"/>
              </w:rPr>
              <w:t>Performance is -25%, and you invest in a Shield Option with a 10% Shield</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44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380" w:type="dxa"/>
            <w:vAlign w:val="bottom"/>
            <w:tcBorders>
              <w:right w:val="single" w:sz="8" w:color="auto"/>
            </w:tcBorders>
            <w:gridSpan w:val="41"/>
          </w:tcPr>
          <w:p>
            <w:pPr>
              <w:spacing w:after="0" w:line="139" w:lineRule="exact"/>
              <w:rPr>
                <w:sz w:val="20"/>
                <w:szCs w:val="20"/>
                <w:color w:val="auto"/>
              </w:rPr>
            </w:pPr>
            <w:r>
              <w:rPr>
                <w:rFonts w:ascii="Times New Roman" w:cs="Times New Roman" w:eastAsia="Times New Roman" w:hAnsi="Times New Roman"/>
                <w:sz w:val="13"/>
                <w:szCs w:val="13"/>
                <w:color w:val="auto"/>
              </w:rPr>
              <w:t>Rate, we will credit a -15% Performance Rate (the amount of negative Index</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360" w:type="dxa"/>
            <w:vAlign w:val="bottom"/>
            <w:tcBorders>
              <w:left w:val="single" w:sz="8" w:color="auto"/>
            </w:tcBorders>
            <w:gridSpan w:val="4"/>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340" w:type="dxa"/>
            <w:vAlign w:val="bottom"/>
            <w:tcBorders>
              <w:left w:val="single" w:sz="8" w:color="auto"/>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44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380" w:type="dxa"/>
            <w:vAlign w:val="bottom"/>
            <w:tcBorders>
              <w:right w:val="single" w:sz="8" w:color="auto"/>
            </w:tcBorders>
            <w:gridSpan w:val="41"/>
          </w:tcPr>
          <w:p>
            <w:pPr>
              <w:spacing w:after="0" w:line="139" w:lineRule="exact"/>
              <w:rPr>
                <w:sz w:val="20"/>
                <w:szCs w:val="20"/>
                <w:color w:val="auto"/>
              </w:rPr>
            </w:pPr>
            <w:r>
              <w:rPr>
                <w:rFonts w:ascii="Times New Roman" w:cs="Times New Roman" w:eastAsia="Times New Roman" w:hAnsi="Times New Roman"/>
                <w:sz w:val="13"/>
                <w:szCs w:val="13"/>
                <w:color w:val="auto"/>
              </w:rPr>
              <w:t>Performance that exceeds the Shield Rate) at the end of the Term.</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right w:val="single" w:sz="8" w:color="auto"/>
            </w:tcBorders>
            <w:gridSpan w:val="3"/>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360" w:type="dxa"/>
            <w:vAlign w:val="bottom"/>
            <w:tcBorders>
              <w:left w:val="single" w:sz="8" w:color="auto"/>
            </w:tcBorders>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200" w:type="dxa"/>
            <w:vAlign w:val="bottom"/>
            <w:tcBorders>
              <w:left w:val="single" w:sz="8" w:color="auto"/>
            </w:tcBorders>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44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380" w:type="dxa"/>
            <w:vAlign w:val="bottom"/>
            <w:tcBorders>
              <w:right w:val="single" w:sz="8" w:color="auto"/>
            </w:tcBorders>
            <w:gridSpan w:val="41"/>
          </w:tcPr>
          <w:p>
            <w:pPr>
              <w:spacing w:after="0" w:line="139" w:lineRule="exact"/>
              <w:rPr>
                <w:sz w:val="20"/>
                <w:szCs w:val="20"/>
                <w:color w:val="auto"/>
              </w:rPr>
            </w:pPr>
            <w:r>
              <w:rPr>
                <w:rFonts w:ascii="Times New Roman" w:cs="Times New Roman" w:eastAsia="Times New Roman" w:hAnsi="Times New Roman"/>
                <w:sz w:val="13"/>
                <w:szCs w:val="13"/>
                <w:color w:val="auto"/>
              </w:rPr>
              <w:t>Each Index is a “price return index,” not a “total return index,” and therefore</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44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380" w:type="dxa"/>
            <w:vAlign w:val="bottom"/>
            <w:tcBorders>
              <w:right w:val="single" w:sz="8" w:color="auto"/>
            </w:tcBorders>
            <w:gridSpan w:val="41"/>
          </w:tcPr>
          <w:p>
            <w:pPr>
              <w:spacing w:after="0" w:line="139" w:lineRule="exact"/>
              <w:rPr>
                <w:sz w:val="20"/>
                <w:szCs w:val="20"/>
                <w:color w:val="auto"/>
              </w:rPr>
            </w:pPr>
            <w:r>
              <w:rPr>
                <w:rFonts w:ascii="Times New Roman" w:cs="Times New Roman" w:eastAsia="Times New Roman" w:hAnsi="Times New Roman"/>
                <w:sz w:val="13"/>
                <w:szCs w:val="13"/>
                <w:color w:val="auto"/>
              </w:rPr>
              <w:t>does not reflect dividends declared by any of the companies in the Index. This</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tcBorders>
              <w:right w:val="single" w:sz="8" w:color="auto"/>
            </w:tcBorders>
            <w:gridSpan w:val="2"/>
          </w:tcPr>
          <w:p>
            <w:pPr>
              <w:spacing w:after="0" w:line="20" w:lineRule="exact"/>
              <w:rPr>
                <w:sz w:val="1"/>
                <w:szCs w:val="1"/>
                <w:color w:val="auto"/>
              </w:rPr>
            </w:pPr>
          </w:p>
        </w:tc>
        <w:tc>
          <w:tcPr>
            <w:tcW w:w="240" w:type="dxa"/>
            <w:vAlign w:val="bottom"/>
            <w:gridSpan w:val="5"/>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44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380" w:type="dxa"/>
            <w:vAlign w:val="bottom"/>
            <w:tcBorders>
              <w:right w:val="single" w:sz="8" w:color="auto"/>
            </w:tcBorders>
            <w:gridSpan w:val="41"/>
          </w:tcPr>
          <w:p>
            <w:pPr>
              <w:spacing w:after="0" w:line="139" w:lineRule="exact"/>
              <w:rPr>
                <w:sz w:val="20"/>
                <w:szCs w:val="20"/>
                <w:color w:val="auto"/>
              </w:rPr>
            </w:pPr>
            <w:r>
              <w:rPr>
                <w:rFonts w:ascii="Times New Roman" w:cs="Times New Roman" w:eastAsia="Times New Roman" w:hAnsi="Times New Roman"/>
                <w:sz w:val="13"/>
                <w:szCs w:val="13"/>
                <w:color w:val="auto"/>
              </w:rPr>
              <w:t>will reduce the Index Performance and will cause the Index to underperform a</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tcBorders>
              <w:right w:val="single" w:sz="8" w:color="auto"/>
            </w:tcBorders>
            <w:gridSpan w:val="6"/>
          </w:tcPr>
          <w:p>
            <w:pPr>
              <w:spacing w:after="0" w:line="20" w:lineRule="exact"/>
              <w:rPr>
                <w:sz w:val="1"/>
                <w:szCs w:val="1"/>
                <w:color w:val="auto"/>
              </w:rPr>
            </w:pPr>
          </w:p>
        </w:tc>
        <w:tc>
          <w:tcPr>
            <w:tcW w:w="3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gridSpan w:val="4"/>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44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380" w:type="dxa"/>
            <w:vAlign w:val="bottom"/>
            <w:tcBorders>
              <w:right w:val="single" w:sz="8" w:color="auto"/>
            </w:tcBorders>
            <w:gridSpan w:val="41"/>
          </w:tcPr>
          <w:p>
            <w:pPr>
              <w:spacing w:after="0" w:line="139" w:lineRule="exact"/>
              <w:rPr>
                <w:sz w:val="20"/>
                <w:szCs w:val="20"/>
                <w:color w:val="auto"/>
              </w:rPr>
            </w:pPr>
            <w:r>
              <w:rPr>
                <w:rFonts w:ascii="Times New Roman" w:cs="Times New Roman" w:eastAsia="Times New Roman" w:hAnsi="Times New Roman"/>
                <w:sz w:val="13"/>
                <w:szCs w:val="13"/>
                <w:color w:val="auto"/>
              </w:rPr>
              <w:t>direct investment in the securities composing the Index.</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1440" w:type="dxa"/>
            <w:vAlign w:val="bottom"/>
            <w:tcBorders>
              <w:left w:val="single" w:sz="8" w:color="auto"/>
              <w:bottom w:val="single" w:sz="8" w:color="auto"/>
              <w:right w:val="single" w:sz="8" w:color="auto"/>
            </w:tcBorders>
          </w:tcPr>
          <w:p>
            <w:pPr>
              <w:spacing w:after="0"/>
              <w:rPr>
                <w:sz w:val="6"/>
                <w:szCs w:val="6"/>
                <w:color w:val="auto"/>
              </w:rPr>
            </w:pPr>
          </w:p>
        </w:tc>
        <w:tc>
          <w:tcPr>
            <w:tcW w:w="2680" w:type="dxa"/>
            <w:vAlign w:val="bottom"/>
            <w:tcBorders>
              <w:bottom w:val="single" w:sz="8" w:color="auto"/>
            </w:tcBorders>
            <w:gridSpan w:val="25"/>
          </w:tcPr>
          <w:p>
            <w:pPr>
              <w:spacing w:after="0"/>
              <w:rPr>
                <w:sz w:val="6"/>
                <w:szCs w:val="6"/>
                <w:color w:val="auto"/>
              </w:rPr>
            </w:pPr>
          </w:p>
        </w:tc>
        <w:tc>
          <w:tcPr>
            <w:tcW w:w="340" w:type="dxa"/>
            <w:vAlign w:val="bottom"/>
            <w:tcBorders>
              <w:top w:val="single" w:sz="8" w:color="auto"/>
              <w:bottom w:val="single" w:sz="8" w:color="auto"/>
            </w:tcBorders>
            <w:gridSpan w:val="2"/>
          </w:tcPr>
          <w:p>
            <w:pPr>
              <w:spacing w:after="0"/>
              <w:rPr>
                <w:sz w:val="6"/>
                <w:szCs w:val="6"/>
                <w:color w:val="auto"/>
              </w:rPr>
            </w:pPr>
          </w:p>
        </w:tc>
        <w:tc>
          <w:tcPr>
            <w:tcW w:w="1420" w:type="dxa"/>
            <w:vAlign w:val="bottom"/>
            <w:tcBorders>
              <w:bottom w:val="single" w:sz="8" w:color="auto"/>
              <w:right w:val="single" w:sz="8" w:color="auto"/>
            </w:tcBorders>
            <w:gridSpan w:val="15"/>
          </w:tcPr>
          <w:p>
            <w:pPr>
              <w:spacing w:after="0"/>
              <w:rPr>
                <w:sz w:val="6"/>
                <w:szCs w:val="6"/>
                <w:color w:val="auto"/>
              </w:rPr>
            </w:pPr>
          </w:p>
        </w:tc>
        <w:tc>
          <w:tcPr>
            <w:tcW w:w="1340" w:type="dxa"/>
            <w:vAlign w:val="bottom"/>
            <w:tcBorders>
              <w:bottom w:val="single" w:sz="8" w:color="auto"/>
              <w:right w:val="single" w:sz="8" w:color="auto"/>
            </w:tcBorders>
            <w:gridSpan w:val="13"/>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1440" w:type="dxa"/>
            <w:vAlign w:val="bottom"/>
            <w:tcBorders>
              <w:left w:val="single" w:sz="8" w:color="auto"/>
              <w:right w:val="single" w:sz="8" w:color="auto"/>
            </w:tcBorders>
            <w:shd w:val="clear" w:color="auto" w:fill="F0FFFF"/>
          </w:tcPr>
          <w:p>
            <w:pPr>
              <w:ind w:left="40"/>
              <w:spacing w:after="0" w:line="139" w:lineRule="exact"/>
              <w:rPr>
                <w:sz w:val="20"/>
                <w:szCs w:val="20"/>
                <w:color w:val="auto"/>
              </w:rPr>
            </w:pPr>
            <w:r>
              <w:rPr>
                <w:rFonts w:ascii="Times New Roman" w:cs="Times New Roman" w:eastAsia="Times New Roman" w:hAnsi="Times New Roman"/>
                <w:sz w:val="13"/>
                <w:szCs w:val="13"/>
                <w:b w:val="1"/>
                <w:bCs w:val="1"/>
                <w:color w:val="auto"/>
              </w:rPr>
              <w:t>What are the Risks</w:t>
            </w:r>
          </w:p>
        </w:tc>
        <w:tc>
          <w:tcPr>
            <w:tcW w:w="60" w:type="dxa"/>
            <w:vAlign w:val="bottom"/>
            <w:shd w:val="clear" w:color="auto" w:fill="F0FFFF"/>
          </w:tcPr>
          <w:p>
            <w:pPr>
              <w:spacing w:after="0"/>
              <w:rPr>
                <w:sz w:val="12"/>
                <w:szCs w:val="12"/>
                <w:color w:val="auto"/>
              </w:rPr>
            </w:pPr>
          </w:p>
        </w:tc>
        <w:tc>
          <w:tcPr>
            <w:tcW w:w="4380" w:type="dxa"/>
            <w:vAlign w:val="bottom"/>
            <w:tcBorders>
              <w:right w:val="single" w:sz="8" w:color="auto"/>
            </w:tcBorders>
            <w:gridSpan w:val="41"/>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An investment in the Contract is subject to the risks related to us. Any</w:t>
            </w:r>
          </w:p>
        </w:tc>
        <w:tc>
          <w:tcPr>
            <w:tcW w:w="80" w:type="dxa"/>
            <w:vAlign w:val="bottom"/>
            <w:tcBorders>
              <w:right w:val="single" w:sz="8" w:color="F0FFFF"/>
            </w:tcBorders>
            <w:shd w:val="clear" w:color="auto" w:fill="F0FFFF"/>
          </w:tcPr>
          <w:p>
            <w:pPr>
              <w:spacing w:after="0"/>
              <w:rPr>
                <w:sz w:val="12"/>
                <w:szCs w:val="12"/>
                <w:color w:val="auto"/>
              </w:rPr>
            </w:pPr>
          </w:p>
        </w:tc>
        <w:tc>
          <w:tcPr>
            <w:tcW w:w="1260" w:type="dxa"/>
            <w:vAlign w:val="bottom"/>
            <w:tcBorders>
              <w:right w:val="single" w:sz="8" w:color="auto"/>
            </w:tcBorders>
            <w:gridSpan w:val="12"/>
            <w:shd w:val="clear" w:color="auto" w:fill="F0FFFF"/>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PRINCIPAL RISKS</w:t>
            </w: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vMerge w:val="restart"/>
            <w:shd w:val="clear" w:color="auto" w:fill="F0FFFF"/>
          </w:tcPr>
          <w:p>
            <w:pPr>
              <w:ind w:left="40"/>
              <w:spacing w:after="0"/>
              <w:rPr>
                <w:sz w:val="20"/>
                <w:szCs w:val="20"/>
                <w:color w:val="auto"/>
              </w:rPr>
            </w:pPr>
            <w:r>
              <w:rPr>
                <w:rFonts w:ascii="Times New Roman" w:cs="Times New Roman" w:eastAsia="Times New Roman" w:hAnsi="Times New Roman"/>
                <w:sz w:val="13"/>
                <w:szCs w:val="13"/>
                <w:b w:val="1"/>
                <w:bCs w:val="1"/>
                <w:color w:val="auto"/>
              </w:rPr>
              <w:t>Related to the</w:t>
            </w:r>
          </w:p>
        </w:tc>
        <w:tc>
          <w:tcPr>
            <w:tcW w:w="60" w:type="dxa"/>
            <w:vAlign w:val="bottom"/>
            <w:shd w:val="clear" w:color="auto" w:fill="F0FFFF"/>
          </w:tcPr>
          <w:p>
            <w:pPr>
              <w:spacing w:after="0" w:line="20" w:lineRule="exact"/>
              <w:rPr>
                <w:sz w:val="1"/>
                <w:szCs w:val="1"/>
                <w:color w:val="auto"/>
              </w:rPr>
            </w:pPr>
          </w:p>
        </w:tc>
        <w:tc>
          <w:tcPr>
            <w:tcW w:w="260" w:type="dxa"/>
            <w:vAlign w:val="bottom"/>
            <w:tcBorders>
              <w:right w:val="single" w:sz="8" w:color="F0FFFF"/>
            </w:tcBorders>
            <w:gridSpan w:val="2"/>
            <w:shd w:val="clear" w:color="auto" w:fill="F0FFFF"/>
          </w:tcPr>
          <w:p>
            <w:pPr>
              <w:spacing w:after="0" w:line="20" w:lineRule="exact"/>
              <w:rPr>
                <w:sz w:val="1"/>
                <w:szCs w:val="1"/>
                <w:color w:val="auto"/>
              </w:rPr>
            </w:pPr>
          </w:p>
        </w:tc>
        <w:tc>
          <w:tcPr>
            <w:tcW w:w="600" w:type="dxa"/>
            <w:vAlign w:val="bottom"/>
            <w:tcBorders>
              <w:right w:val="single" w:sz="8" w:color="F0FFFF"/>
            </w:tcBorders>
            <w:gridSpan w:val="6"/>
            <w:shd w:val="clear" w:color="auto" w:fill="F0FFFF"/>
          </w:tcPr>
          <w:p>
            <w:pPr>
              <w:spacing w:after="0" w:line="20" w:lineRule="exact"/>
              <w:rPr>
                <w:sz w:val="1"/>
                <w:szCs w:val="1"/>
                <w:color w:val="auto"/>
              </w:rPr>
            </w:pPr>
          </w:p>
        </w:tc>
        <w:tc>
          <w:tcPr>
            <w:tcW w:w="340" w:type="dxa"/>
            <w:vAlign w:val="bottom"/>
            <w:tcBorders>
              <w:left w:val="single" w:sz="8" w:color="F0FFFF"/>
              <w:right w:val="single" w:sz="8" w:color="auto"/>
            </w:tcBorders>
            <w:shd w:val="clear" w:color="auto" w:fill="F0FFFF"/>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tcBorders>
              <w:right w:val="single" w:sz="8" w:color="F0FFFF"/>
            </w:tcBorders>
            <w:shd w:val="clear" w:color="auto" w:fill="F0FFFF"/>
          </w:tcPr>
          <w:p>
            <w:pPr>
              <w:spacing w:after="0" w:line="20" w:lineRule="exact"/>
              <w:rPr>
                <w:sz w:val="1"/>
                <w:szCs w:val="1"/>
                <w:color w:val="auto"/>
              </w:rPr>
            </w:pPr>
          </w:p>
        </w:tc>
        <w:tc>
          <w:tcPr>
            <w:tcW w:w="560" w:type="dxa"/>
            <w:vAlign w:val="bottom"/>
            <w:tcBorders>
              <w:left w:val="single" w:sz="8" w:color="F0FFFF"/>
              <w:right w:val="single" w:sz="8" w:color="F0FFFF"/>
            </w:tcBorders>
            <w:gridSpan w:val="7"/>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6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260" w:type="dxa"/>
            <w:vAlign w:val="bottom"/>
            <w:tcBorders>
              <w:right w:val="single" w:sz="8" w:color="F0FFFF"/>
            </w:tcBorders>
            <w:gridSpan w:val="2"/>
            <w:shd w:val="clear" w:color="auto" w:fill="F0FFFF"/>
          </w:tcPr>
          <w:p>
            <w:pPr>
              <w:spacing w:after="0" w:line="20" w:lineRule="exact"/>
              <w:rPr>
                <w:sz w:val="1"/>
                <w:szCs w:val="1"/>
                <w:color w:val="auto"/>
              </w:rPr>
            </w:pPr>
          </w:p>
        </w:tc>
        <w:tc>
          <w:tcPr>
            <w:tcW w:w="240" w:type="dxa"/>
            <w:vAlign w:val="bottom"/>
            <w:tcBorders>
              <w:left w:val="single" w:sz="8" w:color="F0FFFF"/>
              <w:right w:val="single" w:sz="8" w:color="F0FFFF"/>
            </w:tcBorders>
            <w:gridSpan w:val="3"/>
            <w:shd w:val="clear" w:color="auto" w:fill="F0FFFF"/>
          </w:tcPr>
          <w:p>
            <w:pPr>
              <w:spacing w:after="0" w:line="20" w:lineRule="exact"/>
              <w:rPr>
                <w:sz w:val="1"/>
                <w:szCs w:val="1"/>
                <w:color w:val="auto"/>
              </w:rPr>
            </w:pPr>
          </w:p>
        </w:tc>
        <w:tc>
          <w:tcPr>
            <w:tcW w:w="200" w:type="dxa"/>
            <w:vAlign w:val="bottom"/>
            <w:tcBorders>
              <w:left w:val="single" w:sz="8" w:color="F0FFFF"/>
              <w:right w:val="single" w:sz="8" w:color="F0FFFF"/>
            </w:tcBorders>
            <w:gridSpan w:val="2"/>
            <w:shd w:val="clear" w:color="auto" w:fill="F0FFFF"/>
          </w:tcPr>
          <w:p>
            <w:pPr>
              <w:spacing w:after="0" w:line="20" w:lineRule="exact"/>
              <w:rPr>
                <w:sz w:val="1"/>
                <w:szCs w:val="1"/>
                <w:color w:val="auto"/>
              </w:rPr>
            </w:pPr>
          </w:p>
        </w:tc>
        <w:tc>
          <w:tcPr>
            <w:tcW w:w="440" w:type="dxa"/>
            <w:vAlign w:val="bottom"/>
            <w:tcBorders>
              <w:right w:val="single" w:sz="8" w:color="F0FFFF"/>
            </w:tcBorders>
            <w:gridSpan w:val="7"/>
            <w:shd w:val="clear" w:color="auto" w:fill="F0FFFF"/>
          </w:tcPr>
          <w:p>
            <w:pPr>
              <w:spacing w:after="0" w:line="20" w:lineRule="exact"/>
              <w:rPr>
                <w:sz w:val="1"/>
                <w:szCs w:val="1"/>
                <w:color w:val="auto"/>
              </w:rPr>
            </w:pPr>
          </w:p>
        </w:tc>
        <w:tc>
          <w:tcPr>
            <w:tcW w:w="340" w:type="dxa"/>
            <w:vAlign w:val="bottom"/>
            <w:tcBorders>
              <w:left w:val="single" w:sz="8" w:color="F0FFFF"/>
              <w:right w:val="single" w:sz="8" w:color="auto"/>
            </w:tcBorders>
            <w:gridSpan w:val="2"/>
            <w:shd w:val="clear" w:color="auto" w:fill="F0FFFF"/>
          </w:tcPr>
          <w:p>
            <w:pPr>
              <w:spacing w:after="0" w:line="20" w:lineRule="exact"/>
              <w:rPr>
                <w:sz w:val="1"/>
                <w:szCs w:val="1"/>
                <w:color w:val="auto"/>
              </w:rPr>
            </w:pPr>
          </w:p>
        </w:tc>
        <w:tc>
          <w:tcPr>
            <w:tcW w:w="80" w:type="dxa"/>
            <w:vAlign w:val="bottom"/>
            <w:tcBorders>
              <w:right w:val="single" w:sz="8" w:color="F0FFFF"/>
            </w:tcBorders>
            <w:shd w:val="clear" w:color="auto" w:fill="F0FFFF"/>
          </w:tcPr>
          <w:p>
            <w:pPr>
              <w:spacing w:after="0" w:line="20" w:lineRule="exact"/>
              <w:rPr>
                <w:sz w:val="1"/>
                <w:szCs w:val="1"/>
                <w:color w:val="auto"/>
              </w:rPr>
            </w:pPr>
          </w:p>
        </w:tc>
        <w:tc>
          <w:tcPr>
            <w:tcW w:w="1260" w:type="dxa"/>
            <w:vAlign w:val="bottom"/>
            <w:tcBorders>
              <w:right w:val="single" w:sz="8" w:color="auto"/>
            </w:tcBorders>
            <w:gridSpan w:val="12"/>
            <w:vMerge w:val="restart"/>
            <w:shd w:val="clear" w:color="auto" w:fill="F0FFFF"/>
          </w:tcPr>
          <w:p>
            <w:pPr>
              <w:spacing w:after="0"/>
              <w:rPr>
                <w:sz w:val="20"/>
                <w:szCs w:val="20"/>
                <w:color w:val="auto"/>
              </w:rPr>
            </w:pPr>
            <w:r>
              <w:rPr>
                <w:rFonts w:ascii="Times New Roman" w:cs="Times New Roman" w:eastAsia="Times New Roman" w:hAnsi="Times New Roman"/>
                <w:sz w:val="13"/>
                <w:szCs w:val="13"/>
                <w:b w:val="1"/>
                <w:bCs w:val="1"/>
                <w:color w:val="auto"/>
              </w:rPr>
              <w:t>OF INVESTING IN</w:t>
            </w:r>
          </w:p>
        </w:tc>
        <w:tc>
          <w:tcPr>
            <w:tcW w:w="0" w:type="dxa"/>
            <w:vAlign w:val="bottom"/>
          </w:tcPr>
          <w:p>
            <w:pPr>
              <w:spacing w:after="0" w:line="20" w:lineRule="exact"/>
              <w:rPr>
                <w:sz w:val="1"/>
                <w:szCs w:val="1"/>
                <w:color w:val="auto"/>
              </w:rPr>
            </w:pPr>
          </w:p>
        </w:tc>
      </w:tr>
      <w:tr>
        <w:trPr>
          <w:trHeight w:val="139"/>
        </w:trPr>
        <w:tc>
          <w:tcPr>
            <w:tcW w:w="1440" w:type="dxa"/>
            <w:vAlign w:val="bottom"/>
            <w:tcBorders>
              <w:left w:val="single" w:sz="8" w:color="auto"/>
              <w:right w:val="single" w:sz="8" w:color="auto"/>
            </w:tcBorders>
            <w:vMerge w:val="continue"/>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4380" w:type="dxa"/>
            <w:vAlign w:val="bottom"/>
            <w:tcBorders>
              <w:right w:val="single" w:sz="8" w:color="auto"/>
            </w:tcBorders>
            <w:gridSpan w:val="41"/>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obligations (including under any Fixed Account and Shield Options),</w:t>
            </w:r>
          </w:p>
        </w:tc>
        <w:tc>
          <w:tcPr>
            <w:tcW w:w="80" w:type="dxa"/>
            <w:vAlign w:val="bottom"/>
            <w:tcBorders>
              <w:right w:val="single" w:sz="8" w:color="F0FFFF"/>
            </w:tcBorders>
            <w:shd w:val="clear" w:color="auto" w:fill="F0FFFF"/>
          </w:tcPr>
          <w:p>
            <w:pPr>
              <w:spacing w:after="0"/>
              <w:rPr>
                <w:sz w:val="12"/>
                <w:szCs w:val="12"/>
                <w:color w:val="auto"/>
              </w:rPr>
            </w:pPr>
          </w:p>
        </w:tc>
        <w:tc>
          <w:tcPr>
            <w:tcW w:w="1260" w:type="dxa"/>
            <w:vAlign w:val="bottom"/>
            <w:tcBorders>
              <w:right w:val="single" w:sz="8" w:color="auto"/>
            </w:tcBorders>
            <w:gridSpan w:val="12"/>
            <w:vMerge w:val="continue"/>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vMerge w:val="restart"/>
            <w:shd w:val="clear" w:color="auto" w:fill="F0FFFF"/>
          </w:tcPr>
          <w:p>
            <w:pPr>
              <w:ind w:left="40"/>
              <w:spacing w:after="0"/>
              <w:rPr>
                <w:sz w:val="20"/>
                <w:szCs w:val="20"/>
                <w:color w:val="auto"/>
              </w:rPr>
            </w:pPr>
            <w:r>
              <w:rPr>
                <w:rFonts w:ascii="Times New Roman" w:cs="Times New Roman" w:eastAsia="Times New Roman" w:hAnsi="Times New Roman"/>
                <w:sz w:val="13"/>
                <w:szCs w:val="13"/>
                <w:b w:val="1"/>
                <w:bCs w:val="1"/>
                <w:color w:val="auto"/>
              </w:rPr>
              <w:t>Insurance Company?</w:t>
            </w:r>
          </w:p>
        </w:tc>
        <w:tc>
          <w:tcPr>
            <w:tcW w:w="60" w:type="dxa"/>
            <w:vAlign w:val="bottom"/>
            <w:shd w:val="clear" w:color="auto" w:fill="F0FFFF"/>
          </w:tcPr>
          <w:p>
            <w:pPr>
              <w:spacing w:after="0" w:line="20" w:lineRule="exact"/>
              <w:rPr>
                <w:sz w:val="1"/>
                <w:szCs w:val="1"/>
                <w:color w:val="auto"/>
              </w:rPr>
            </w:pPr>
          </w:p>
        </w:tc>
        <w:tc>
          <w:tcPr>
            <w:tcW w:w="260" w:type="dxa"/>
            <w:vAlign w:val="bottom"/>
            <w:tcBorders>
              <w:right w:val="single" w:sz="8" w:color="F0FFFF"/>
            </w:tcBorders>
            <w:gridSpan w:val="2"/>
            <w:shd w:val="clear" w:color="auto" w:fill="F0FFFF"/>
          </w:tcPr>
          <w:p>
            <w:pPr>
              <w:spacing w:after="0" w:line="20" w:lineRule="exact"/>
              <w:rPr>
                <w:sz w:val="1"/>
                <w:szCs w:val="1"/>
                <w:color w:val="auto"/>
              </w:rPr>
            </w:pPr>
          </w:p>
        </w:tc>
        <w:tc>
          <w:tcPr>
            <w:tcW w:w="600" w:type="dxa"/>
            <w:vAlign w:val="bottom"/>
            <w:tcBorders>
              <w:right w:val="single" w:sz="8" w:color="F0FFFF"/>
            </w:tcBorders>
            <w:gridSpan w:val="6"/>
            <w:shd w:val="clear" w:color="auto" w:fill="F0FFFF"/>
          </w:tcPr>
          <w:p>
            <w:pPr>
              <w:spacing w:after="0" w:line="20" w:lineRule="exact"/>
              <w:rPr>
                <w:sz w:val="1"/>
                <w:szCs w:val="1"/>
                <w:color w:val="auto"/>
              </w:rPr>
            </w:pPr>
          </w:p>
        </w:tc>
        <w:tc>
          <w:tcPr>
            <w:tcW w:w="34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140" w:type="dxa"/>
            <w:vAlign w:val="bottom"/>
            <w:tcBorders>
              <w:right w:val="single" w:sz="8" w:color="F0FFFF"/>
            </w:tcBorders>
            <w:shd w:val="clear" w:color="auto" w:fill="F0FFFF"/>
          </w:tcPr>
          <w:p>
            <w:pPr>
              <w:spacing w:after="0" w:line="20" w:lineRule="exact"/>
              <w:rPr>
                <w:sz w:val="1"/>
                <w:szCs w:val="1"/>
                <w:color w:val="auto"/>
              </w:rPr>
            </w:pPr>
          </w:p>
        </w:tc>
        <w:tc>
          <w:tcPr>
            <w:tcW w:w="360" w:type="dxa"/>
            <w:vAlign w:val="bottom"/>
            <w:tcBorders>
              <w:right w:val="single" w:sz="8" w:color="F0FFFF"/>
            </w:tcBorders>
            <w:gridSpan w:val="4"/>
            <w:shd w:val="clear" w:color="auto" w:fill="F0FFFF"/>
          </w:tcPr>
          <w:p>
            <w:pPr>
              <w:spacing w:after="0" w:line="20" w:lineRule="exact"/>
              <w:rPr>
                <w:sz w:val="1"/>
                <w:szCs w:val="1"/>
                <w:color w:val="auto"/>
              </w:rPr>
            </w:pPr>
          </w:p>
        </w:tc>
        <w:tc>
          <w:tcPr>
            <w:tcW w:w="560" w:type="dxa"/>
            <w:vAlign w:val="bottom"/>
            <w:tcBorders>
              <w:left w:val="single" w:sz="8" w:color="F0FFFF"/>
              <w:right w:val="single" w:sz="8" w:color="auto"/>
            </w:tcBorders>
            <w:gridSpan w:val="7"/>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F0FF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F0FFFF"/>
          </w:tcPr>
          <w:p>
            <w:pPr>
              <w:spacing w:after="0" w:line="20" w:lineRule="exact"/>
              <w:rPr>
                <w:sz w:val="1"/>
                <w:szCs w:val="1"/>
                <w:color w:val="auto"/>
              </w:rPr>
            </w:pPr>
          </w:p>
        </w:tc>
        <w:tc>
          <w:tcPr>
            <w:tcW w:w="26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440" w:type="dxa"/>
            <w:vAlign w:val="bottom"/>
            <w:tcBorders>
              <w:right w:val="single" w:sz="8" w:color="F0FFFF"/>
            </w:tcBorders>
            <w:gridSpan w:val="7"/>
            <w:shd w:val="clear" w:color="auto" w:fill="F0FFFF"/>
          </w:tcPr>
          <w:p>
            <w:pPr>
              <w:spacing w:after="0" w:line="20" w:lineRule="exact"/>
              <w:rPr>
                <w:sz w:val="1"/>
                <w:szCs w:val="1"/>
                <w:color w:val="auto"/>
              </w:rPr>
            </w:pPr>
          </w:p>
        </w:tc>
        <w:tc>
          <w:tcPr>
            <w:tcW w:w="340" w:type="dxa"/>
            <w:vAlign w:val="bottom"/>
            <w:tcBorders>
              <w:left w:val="single" w:sz="8" w:color="F0FFFF"/>
              <w:right w:val="single" w:sz="8" w:color="auto"/>
            </w:tcBorders>
            <w:gridSpan w:val="2"/>
            <w:shd w:val="clear" w:color="auto" w:fill="F0FFFF"/>
          </w:tcPr>
          <w:p>
            <w:pPr>
              <w:spacing w:after="0" w:line="20" w:lineRule="exact"/>
              <w:rPr>
                <w:sz w:val="1"/>
                <w:szCs w:val="1"/>
                <w:color w:val="auto"/>
              </w:rPr>
            </w:pPr>
          </w:p>
        </w:tc>
        <w:tc>
          <w:tcPr>
            <w:tcW w:w="80" w:type="dxa"/>
            <w:vAlign w:val="bottom"/>
            <w:tcBorders>
              <w:right w:val="single" w:sz="8" w:color="F0FFFF"/>
            </w:tcBorders>
            <w:shd w:val="clear" w:color="auto" w:fill="F0FFFF"/>
          </w:tcPr>
          <w:p>
            <w:pPr>
              <w:spacing w:after="0" w:line="20" w:lineRule="exact"/>
              <w:rPr>
                <w:sz w:val="1"/>
                <w:szCs w:val="1"/>
                <w:color w:val="auto"/>
              </w:rPr>
            </w:pPr>
          </w:p>
        </w:tc>
        <w:tc>
          <w:tcPr>
            <w:tcW w:w="1260" w:type="dxa"/>
            <w:vAlign w:val="bottom"/>
            <w:tcBorders>
              <w:right w:val="single" w:sz="8" w:color="auto"/>
            </w:tcBorders>
            <w:gridSpan w:val="12"/>
            <w:vMerge w:val="restart"/>
            <w:shd w:val="clear" w:color="auto" w:fill="F0FFFF"/>
          </w:tcPr>
          <w:p>
            <w:pPr>
              <w:spacing w:after="0"/>
              <w:rPr>
                <w:sz w:val="20"/>
                <w:szCs w:val="20"/>
                <w:color w:val="auto"/>
              </w:rPr>
            </w:pPr>
            <w:r>
              <w:rPr>
                <w:rFonts w:ascii="Times New Roman" w:cs="Times New Roman" w:eastAsia="Times New Roman" w:hAnsi="Times New Roman"/>
                <w:sz w:val="13"/>
                <w:szCs w:val="13"/>
                <w:b w:val="1"/>
                <w:bCs w:val="1"/>
                <w:color w:val="auto"/>
              </w:rPr>
              <w:t>THE CONTRACT</w:t>
            </w:r>
          </w:p>
        </w:tc>
        <w:tc>
          <w:tcPr>
            <w:tcW w:w="0" w:type="dxa"/>
            <w:vAlign w:val="bottom"/>
          </w:tcPr>
          <w:p>
            <w:pPr>
              <w:spacing w:after="0" w:line="20" w:lineRule="exact"/>
              <w:rPr>
                <w:sz w:val="1"/>
                <w:szCs w:val="1"/>
                <w:color w:val="auto"/>
              </w:rPr>
            </w:pPr>
          </w:p>
        </w:tc>
      </w:tr>
      <w:tr>
        <w:trPr>
          <w:trHeight w:val="139"/>
        </w:trPr>
        <w:tc>
          <w:tcPr>
            <w:tcW w:w="1440" w:type="dxa"/>
            <w:vAlign w:val="bottom"/>
            <w:tcBorders>
              <w:left w:val="single" w:sz="8" w:color="auto"/>
              <w:right w:val="single" w:sz="8" w:color="auto"/>
            </w:tcBorders>
            <w:vMerge w:val="continue"/>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4380" w:type="dxa"/>
            <w:vAlign w:val="bottom"/>
            <w:tcBorders>
              <w:right w:val="single" w:sz="8" w:color="auto"/>
            </w:tcBorders>
            <w:gridSpan w:val="41"/>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guarantees, or benefits are subject to our claims-paying ability. More</w:t>
            </w:r>
          </w:p>
        </w:tc>
        <w:tc>
          <w:tcPr>
            <w:tcW w:w="80" w:type="dxa"/>
            <w:vAlign w:val="bottom"/>
            <w:tcBorders>
              <w:right w:val="single" w:sz="8" w:color="F0FFFF"/>
            </w:tcBorders>
            <w:shd w:val="clear" w:color="auto" w:fill="F0FFFF"/>
          </w:tcPr>
          <w:p>
            <w:pPr>
              <w:spacing w:after="0"/>
              <w:rPr>
                <w:sz w:val="12"/>
                <w:szCs w:val="12"/>
                <w:color w:val="auto"/>
              </w:rPr>
            </w:pPr>
          </w:p>
        </w:tc>
        <w:tc>
          <w:tcPr>
            <w:tcW w:w="1260" w:type="dxa"/>
            <w:vAlign w:val="bottom"/>
            <w:tcBorders>
              <w:right w:val="single" w:sz="8" w:color="auto"/>
            </w:tcBorders>
            <w:gridSpan w:val="12"/>
            <w:vMerge w:val="continue"/>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440" w:type="dxa"/>
            <w:vAlign w:val="bottom"/>
            <w:tcBorders>
              <w:top w:val="single" w:sz="8" w:color="F0FFFF"/>
              <w:left w:val="single" w:sz="8" w:color="auto"/>
              <w:right w:val="single" w:sz="8" w:color="auto"/>
            </w:tcBorders>
            <w:shd w:val="clear" w:color="auto" w:fill="F0FFFF"/>
          </w:tcPr>
          <w:p>
            <w:pPr>
              <w:spacing w:after="0"/>
              <w:rPr>
                <w:sz w:val="13"/>
                <w:szCs w:val="13"/>
                <w:color w:val="auto"/>
              </w:rPr>
            </w:pPr>
          </w:p>
        </w:tc>
        <w:tc>
          <w:tcPr>
            <w:tcW w:w="60" w:type="dxa"/>
            <w:vAlign w:val="bottom"/>
            <w:tcBorders>
              <w:top w:val="single" w:sz="8" w:color="F0FFFF"/>
            </w:tcBorders>
            <w:shd w:val="clear" w:color="auto" w:fill="F0FFFF"/>
          </w:tcPr>
          <w:p>
            <w:pPr>
              <w:spacing w:after="0"/>
              <w:rPr>
                <w:sz w:val="13"/>
                <w:szCs w:val="13"/>
                <w:color w:val="auto"/>
              </w:rPr>
            </w:pPr>
          </w:p>
        </w:tc>
        <w:tc>
          <w:tcPr>
            <w:tcW w:w="4380" w:type="dxa"/>
            <w:vAlign w:val="bottom"/>
            <w:tcBorders>
              <w:top w:val="single" w:sz="8" w:color="F0FFFF"/>
              <w:right w:val="single" w:sz="8" w:color="auto"/>
            </w:tcBorders>
            <w:gridSpan w:val="41"/>
            <w:shd w:val="clear" w:color="auto" w:fill="F0FFFF"/>
          </w:tcPr>
          <w:p>
            <w:pPr>
              <w:spacing w:after="0"/>
              <w:rPr>
                <w:sz w:val="20"/>
                <w:szCs w:val="20"/>
                <w:color w:val="auto"/>
              </w:rPr>
            </w:pPr>
            <w:r>
              <w:rPr>
                <w:rFonts w:ascii="Times New Roman" w:cs="Times New Roman" w:eastAsia="Times New Roman" w:hAnsi="Times New Roman"/>
                <w:sz w:val="13"/>
                <w:szCs w:val="13"/>
                <w:color w:val="auto"/>
              </w:rPr>
              <w:t>information about us, including our appliable financial strength ratings, is</w:t>
            </w:r>
          </w:p>
        </w:tc>
        <w:tc>
          <w:tcPr>
            <w:tcW w:w="80" w:type="dxa"/>
            <w:vAlign w:val="bottom"/>
            <w:tcBorders>
              <w:top w:val="single" w:sz="8" w:color="F0FFFF"/>
              <w:right w:val="single" w:sz="8" w:color="F0FFFF"/>
            </w:tcBorders>
            <w:shd w:val="clear" w:color="auto" w:fill="F0FFFF"/>
          </w:tcPr>
          <w:p>
            <w:pPr>
              <w:spacing w:after="0"/>
              <w:rPr>
                <w:sz w:val="13"/>
                <w:szCs w:val="13"/>
                <w:color w:val="auto"/>
              </w:rPr>
            </w:pPr>
          </w:p>
        </w:tc>
        <w:tc>
          <w:tcPr>
            <w:tcW w:w="300" w:type="dxa"/>
            <w:vAlign w:val="bottom"/>
            <w:tcBorders>
              <w:top w:val="single" w:sz="8" w:color="F0FFFF"/>
            </w:tcBorders>
            <w:shd w:val="clear" w:color="auto" w:fill="F0FFFF"/>
          </w:tcPr>
          <w:p>
            <w:pPr>
              <w:spacing w:after="0"/>
              <w:rPr>
                <w:sz w:val="13"/>
                <w:szCs w:val="13"/>
                <w:color w:val="auto"/>
              </w:rPr>
            </w:pPr>
          </w:p>
        </w:tc>
        <w:tc>
          <w:tcPr>
            <w:tcW w:w="20" w:type="dxa"/>
            <w:vAlign w:val="bottom"/>
            <w:tcBorders>
              <w:top w:val="single" w:sz="8" w:color="F0FFFF"/>
            </w:tcBorders>
            <w:shd w:val="clear" w:color="auto" w:fill="F0FFFF"/>
          </w:tcPr>
          <w:p>
            <w:pPr>
              <w:spacing w:after="0"/>
              <w:rPr>
                <w:sz w:val="13"/>
                <w:szCs w:val="13"/>
                <w:color w:val="auto"/>
              </w:rPr>
            </w:pPr>
          </w:p>
        </w:tc>
        <w:tc>
          <w:tcPr>
            <w:tcW w:w="100" w:type="dxa"/>
            <w:vAlign w:val="bottom"/>
            <w:tcBorders>
              <w:top w:val="single" w:sz="8" w:color="auto"/>
              <w:left w:val="single" w:sz="8" w:color="F0FFFF"/>
            </w:tcBorders>
            <w:shd w:val="clear" w:color="auto" w:fill="F0FFFF"/>
          </w:tcPr>
          <w:p>
            <w:pPr>
              <w:spacing w:after="0"/>
              <w:rPr>
                <w:sz w:val="13"/>
                <w:szCs w:val="13"/>
                <w:color w:val="auto"/>
              </w:rPr>
            </w:pPr>
          </w:p>
        </w:tc>
        <w:tc>
          <w:tcPr>
            <w:tcW w:w="80" w:type="dxa"/>
            <w:vAlign w:val="bottom"/>
            <w:tcBorders>
              <w:top w:val="single" w:sz="8" w:color="auto"/>
            </w:tcBorders>
            <w:shd w:val="clear" w:color="auto" w:fill="F0FFFF"/>
          </w:tcPr>
          <w:p>
            <w:pPr>
              <w:spacing w:after="0"/>
              <w:rPr>
                <w:sz w:val="13"/>
                <w:szCs w:val="13"/>
                <w:color w:val="auto"/>
              </w:rPr>
            </w:pPr>
          </w:p>
        </w:tc>
        <w:tc>
          <w:tcPr>
            <w:tcW w:w="40" w:type="dxa"/>
            <w:vAlign w:val="bottom"/>
            <w:tcBorders>
              <w:top w:val="single" w:sz="8" w:color="auto"/>
            </w:tcBorders>
            <w:shd w:val="clear" w:color="auto" w:fill="F0FFFF"/>
          </w:tcPr>
          <w:p>
            <w:pPr>
              <w:spacing w:after="0"/>
              <w:rPr>
                <w:sz w:val="13"/>
                <w:szCs w:val="13"/>
                <w:color w:val="auto"/>
              </w:rPr>
            </w:pPr>
          </w:p>
        </w:tc>
        <w:tc>
          <w:tcPr>
            <w:tcW w:w="180" w:type="dxa"/>
            <w:vAlign w:val="bottom"/>
            <w:tcBorders>
              <w:top w:val="single" w:sz="8" w:color="auto"/>
              <w:right w:val="single" w:sz="8" w:color="F0FFFF"/>
            </w:tcBorders>
            <w:shd w:val="clear" w:color="auto" w:fill="F0FFFF"/>
          </w:tcPr>
          <w:p>
            <w:pPr>
              <w:spacing w:after="0"/>
              <w:rPr>
                <w:sz w:val="13"/>
                <w:szCs w:val="13"/>
                <w:color w:val="auto"/>
              </w:rPr>
            </w:pPr>
          </w:p>
        </w:tc>
        <w:tc>
          <w:tcPr>
            <w:tcW w:w="120" w:type="dxa"/>
            <w:vAlign w:val="bottom"/>
            <w:tcBorders>
              <w:top w:val="single" w:sz="8" w:color="auto"/>
            </w:tcBorders>
            <w:shd w:val="clear" w:color="auto" w:fill="F0FFFF"/>
          </w:tcPr>
          <w:p>
            <w:pPr>
              <w:spacing w:after="0"/>
              <w:rPr>
                <w:sz w:val="13"/>
                <w:szCs w:val="13"/>
                <w:color w:val="auto"/>
              </w:rPr>
            </w:pPr>
          </w:p>
        </w:tc>
        <w:tc>
          <w:tcPr>
            <w:tcW w:w="120" w:type="dxa"/>
            <w:vAlign w:val="bottom"/>
            <w:tcBorders>
              <w:top w:val="single" w:sz="8" w:color="auto"/>
            </w:tcBorders>
            <w:shd w:val="clear" w:color="auto" w:fill="F0FFFF"/>
          </w:tcPr>
          <w:p>
            <w:pPr>
              <w:spacing w:after="0"/>
              <w:rPr>
                <w:sz w:val="13"/>
                <w:szCs w:val="13"/>
                <w:color w:val="auto"/>
              </w:rPr>
            </w:pPr>
          </w:p>
        </w:tc>
        <w:tc>
          <w:tcPr>
            <w:tcW w:w="100" w:type="dxa"/>
            <w:vAlign w:val="bottom"/>
            <w:tcBorders>
              <w:top w:val="single" w:sz="8" w:color="auto"/>
            </w:tcBorders>
            <w:shd w:val="clear" w:color="auto" w:fill="F0FFFF"/>
          </w:tcPr>
          <w:p>
            <w:pPr>
              <w:spacing w:after="0"/>
              <w:rPr>
                <w:sz w:val="13"/>
                <w:szCs w:val="13"/>
                <w:color w:val="auto"/>
              </w:rPr>
            </w:pPr>
          </w:p>
        </w:tc>
        <w:tc>
          <w:tcPr>
            <w:tcW w:w="60" w:type="dxa"/>
            <w:vAlign w:val="bottom"/>
            <w:tcBorders>
              <w:top w:val="single" w:sz="8" w:color="F0FFFF"/>
            </w:tcBorders>
            <w:shd w:val="clear" w:color="auto" w:fill="F0FFFF"/>
          </w:tcPr>
          <w:p>
            <w:pPr>
              <w:spacing w:after="0"/>
              <w:rPr>
                <w:sz w:val="13"/>
                <w:szCs w:val="13"/>
                <w:color w:val="auto"/>
              </w:rPr>
            </w:pPr>
          </w:p>
        </w:tc>
        <w:tc>
          <w:tcPr>
            <w:tcW w:w="20" w:type="dxa"/>
            <w:vAlign w:val="bottom"/>
            <w:tcBorders>
              <w:top w:val="single" w:sz="8" w:color="F0FFFF"/>
            </w:tcBorders>
            <w:shd w:val="clear" w:color="auto" w:fill="F0FFFF"/>
          </w:tcPr>
          <w:p>
            <w:pPr>
              <w:spacing w:after="0"/>
              <w:rPr>
                <w:sz w:val="13"/>
                <w:szCs w:val="13"/>
                <w:color w:val="auto"/>
              </w:rPr>
            </w:pPr>
          </w:p>
        </w:tc>
        <w:tc>
          <w:tcPr>
            <w:tcW w:w="120" w:type="dxa"/>
            <w:vAlign w:val="bottom"/>
            <w:tcBorders>
              <w:top w:val="single" w:sz="8" w:color="F0FFFF"/>
              <w:right w:val="single" w:sz="8" w:color="auto"/>
            </w:tcBorders>
            <w:shd w:val="clear" w:color="auto" w:fill="F0FF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440" w:type="dxa"/>
            <w:vAlign w:val="bottom"/>
            <w:tcBorders>
              <w:left w:val="single" w:sz="8" w:color="auto"/>
              <w:bottom w:val="single" w:sz="8" w:color="auto"/>
              <w:right w:val="single" w:sz="8" w:color="auto"/>
            </w:tcBorders>
            <w:shd w:val="clear" w:color="auto" w:fill="F0FFFF"/>
          </w:tcPr>
          <w:p>
            <w:pPr>
              <w:spacing w:after="0"/>
              <w:rPr>
                <w:sz w:val="15"/>
                <w:szCs w:val="15"/>
                <w:color w:val="auto"/>
              </w:rPr>
            </w:pPr>
          </w:p>
        </w:tc>
        <w:tc>
          <w:tcPr>
            <w:tcW w:w="60" w:type="dxa"/>
            <w:vAlign w:val="bottom"/>
            <w:tcBorders>
              <w:bottom w:val="single" w:sz="8" w:color="auto"/>
            </w:tcBorders>
            <w:shd w:val="clear" w:color="auto" w:fill="F0FFFF"/>
          </w:tcPr>
          <w:p>
            <w:pPr>
              <w:spacing w:after="0"/>
              <w:rPr>
                <w:sz w:val="15"/>
                <w:szCs w:val="15"/>
                <w:color w:val="auto"/>
              </w:rPr>
            </w:pPr>
          </w:p>
        </w:tc>
        <w:tc>
          <w:tcPr>
            <w:tcW w:w="4380" w:type="dxa"/>
            <w:vAlign w:val="bottom"/>
            <w:tcBorders>
              <w:bottom w:val="single" w:sz="8" w:color="auto"/>
              <w:right w:val="single" w:sz="8" w:color="auto"/>
            </w:tcBorders>
            <w:gridSpan w:val="41"/>
            <w:shd w:val="clear" w:color="auto" w:fill="F0FFFF"/>
          </w:tcPr>
          <w:p>
            <w:pPr>
              <w:spacing w:after="0"/>
              <w:rPr>
                <w:sz w:val="20"/>
                <w:szCs w:val="20"/>
                <w:color w:val="auto"/>
              </w:rPr>
            </w:pPr>
            <w:r>
              <w:rPr>
                <w:rFonts w:ascii="Times New Roman" w:cs="Times New Roman" w:eastAsia="Times New Roman" w:hAnsi="Times New Roman"/>
                <w:sz w:val="13"/>
                <w:szCs w:val="13"/>
                <w:color w:val="auto"/>
              </w:rPr>
              <w:t>available upon request by contacting us at (888) 243-1968.</w:t>
            </w:r>
          </w:p>
        </w:tc>
        <w:tc>
          <w:tcPr>
            <w:tcW w:w="80" w:type="dxa"/>
            <w:vAlign w:val="bottom"/>
            <w:tcBorders>
              <w:bottom w:val="single" w:sz="8" w:color="auto"/>
              <w:right w:val="single" w:sz="8" w:color="F0FFFF"/>
            </w:tcBorders>
            <w:shd w:val="clear" w:color="auto" w:fill="F0FFFF"/>
          </w:tcPr>
          <w:p>
            <w:pPr>
              <w:spacing w:after="0"/>
              <w:rPr>
                <w:sz w:val="15"/>
                <w:szCs w:val="15"/>
                <w:color w:val="auto"/>
              </w:rPr>
            </w:pPr>
          </w:p>
        </w:tc>
        <w:tc>
          <w:tcPr>
            <w:tcW w:w="300" w:type="dxa"/>
            <w:vAlign w:val="bottom"/>
            <w:tcBorders>
              <w:bottom w:val="single" w:sz="8" w:color="auto"/>
            </w:tcBorders>
            <w:shd w:val="clear" w:color="auto" w:fill="F0FFFF"/>
          </w:tcPr>
          <w:p>
            <w:pPr>
              <w:spacing w:after="0"/>
              <w:rPr>
                <w:sz w:val="15"/>
                <w:szCs w:val="15"/>
                <w:color w:val="auto"/>
              </w:rPr>
            </w:pPr>
          </w:p>
        </w:tc>
        <w:tc>
          <w:tcPr>
            <w:tcW w:w="20" w:type="dxa"/>
            <w:vAlign w:val="bottom"/>
            <w:tcBorders>
              <w:bottom w:val="single" w:sz="8" w:color="auto"/>
            </w:tcBorders>
            <w:shd w:val="clear" w:color="auto" w:fill="F0FFFF"/>
          </w:tcPr>
          <w:p>
            <w:pPr>
              <w:spacing w:after="0"/>
              <w:rPr>
                <w:sz w:val="15"/>
                <w:szCs w:val="15"/>
                <w:color w:val="auto"/>
              </w:rPr>
            </w:pPr>
          </w:p>
        </w:tc>
        <w:tc>
          <w:tcPr>
            <w:tcW w:w="100" w:type="dxa"/>
            <w:vAlign w:val="bottom"/>
            <w:tcBorders>
              <w:left w:val="single" w:sz="8" w:color="F0FFFF"/>
              <w:bottom w:val="single" w:sz="8" w:color="auto"/>
            </w:tcBorders>
            <w:shd w:val="clear" w:color="auto" w:fill="F0FFFF"/>
          </w:tcPr>
          <w:p>
            <w:pPr>
              <w:spacing w:after="0"/>
              <w:rPr>
                <w:sz w:val="15"/>
                <w:szCs w:val="15"/>
                <w:color w:val="auto"/>
              </w:rPr>
            </w:pPr>
          </w:p>
        </w:tc>
        <w:tc>
          <w:tcPr>
            <w:tcW w:w="80" w:type="dxa"/>
            <w:vAlign w:val="bottom"/>
            <w:tcBorders>
              <w:bottom w:val="single" w:sz="8" w:color="auto"/>
            </w:tcBorders>
            <w:shd w:val="clear" w:color="auto" w:fill="F0FFFF"/>
          </w:tcPr>
          <w:p>
            <w:pPr>
              <w:spacing w:after="0"/>
              <w:rPr>
                <w:sz w:val="15"/>
                <w:szCs w:val="15"/>
                <w:color w:val="auto"/>
              </w:rPr>
            </w:pPr>
          </w:p>
        </w:tc>
        <w:tc>
          <w:tcPr>
            <w:tcW w:w="40" w:type="dxa"/>
            <w:vAlign w:val="bottom"/>
            <w:tcBorders>
              <w:bottom w:val="single" w:sz="8" w:color="auto"/>
            </w:tcBorders>
            <w:shd w:val="clear" w:color="auto" w:fill="F0FFFF"/>
          </w:tcPr>
          <w:p>
            <w:pPr>
              <w:spacing w:after="0"/>
              <w:rPr>
                <w:sz w:val="15"/>
                <w:szCs w:val="15"/>
                <w:color w:val="auto"/>
              </w:rPr>
            </w:pPr>
          </w:p>
        </w:tc>
        <w:tc>
          <w:tcPr>
            <w:tcW w:w="180" w:type="dxa"/>
            <w:vAlign w:val="bottom"/>
            <w:tcBorders>
              <w:bottom w:val="single" w:sz="8" w:color="auto"/>
              <w:right w:val="single" w:sz="8" w:color="F0FFFF"/>
            </w:tcBorders>
            <w:shd w:val="clear" w:color="auto" w:fill="F0FFFF"/>
          </w:tcPr>
          <w:p>
            <w:pPr>
              <w:spacing w:after="0"/>
              <w:rPr>
                <w:sz w:val="15"/>
                <w:szCs w:val="15"/>
                <w:color w:val="auto"/>
              </w:rPr>
            </w:pPr>
          </w:p>
        </w:tc>
        <w:tc>
          <w:tcPr>
            <w:tcW w:w="120" w:type="dxa"/>
            <w:vAlign w:val="bottom"/>
            <w:tcBorders>
              <w:bottom w:val="single" w:sz="8" w:color="auto"/>
            </w:tcBorders>
            <w:shd w:val="clear" w:color="auto" w:fill="F0FFFF"/>
          </w:tcPr>
          <w:p>
            <w:pPr>
              <w:spacing w:after="0"/>
              <w:rPr>
                <w:sz w:val="15"/>
                <w:szCs w:val="15"/>
                <w:color w:val="auto"/>
              </w:rPr>
            </w:pPr>
          </w:p>
        </w:tc>
        <w:tc>
          <w:tcPr>
            <w:tcW w:w="120" w:type="dxa"/>
            <w:vAlign w:val="bottom"/>
            <w:tcBorders>
              <w:bottom w:val="single" w:sz="8" w:color="auto"/>
            </w:tcBorders>
            <w:shd w:val="clear" w:color="auto" w:fill="F0FFFF"/>
          </w:tcPr>
          <w:p>
            <w:pPr>
              <w:spacing w:after="0"/>
              <w:rPr>
                <w:sz w:val="15"/>
                <w:szCs w:val="15"/>
                <w:color w:val="auto"/>
              </w:rPr>
            </w:pPr>
          </w:p>
        </w:tc>
        <w:tc>
          <w:tcPr>
            <w:tcW w:w="100" w:type="dxa"/>
            <w:vAlign w:val="bottom"/>
            <w:tcBorders>
              <w:bottom w:val="single" w:sz="8" w:color="auto"/>
            </w:tcBorders>
            <w:shd w:val="clear" w:color="auto" w:fill="F0FFFF"/>
          </w:tcPr>
          <w:p>
            <w:pPr>
              <w:spacing w:after="0"/>
              <w:rPr>
                <w:sz w:val="15"/>
                <w:szCs w:val="15"/>
                <w:color w:val="auto"/>
              </w:rPr>
            </w:pPr>
          </w:p>
        </w:tc>
        <w:tc>
          <w:tcPr>
            <w:tcW w:w="60" w:type="dxa"/>
            <w:vAlign w:val="bottom"/>
            <w:tcBorders>
              <w:bottom w:val="single" w:sz="8" w:color="auto"/>
            </w:tcBorders>
            <w:shd w:val="clear" w:color="auto" w:fill="F0FFFF"/>
          </w:tcPr>
          <w:p>
            <w:pPr>
              <w:spacing w:after="0"/>
              <w:rPr>
                <w:sz w:val="15"/>
                <w:szCs w:val="15"/>
                <w:color w:val="auto"/>
              </w:rPr>
            </w:pPr>
          </w:p>
        </w:tc>
        <w:tc>
          <w:tcPr>
            <w:tcW w:w="20" w:type="dxa"/>
            <w:vAlign w:val="bottom"/>
            <w:tcBorders>
              <w:bottom w:val="single" w:sz="8" w:color="auto"/>
            </w:tcBorders>
            <w:shd w:val="clear" w:color="auto" w:fill="F0FFFF"/>
          </w:tcPr>
          <w:p>
            <w:pPr>
              <w:spacing w:after="0"/>
              <w:rPr>
                <w:sz w:val="15"/>
                <w:szCs w:val="15"/>
                <w:color w:val="auto"/>
              </w:rPr>
            </w:pPr>
          </w:p>
        </w:tc>
        <w:tc>
          <w:tcPr>
            <w:tcW w:w="120" w:type="dxa"/>
            <w:vAlign w:val="bottom"/>
            <w:tcBorders>
              <w:bottom w:val="single" w:sz="8" w:color="auto"/>
              <w:right w:val="single" w:sz="8" w:color="auto"/>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440" w:type="dxa"/>
            <w:vAlign w:val="bottom"/>
            <w:tcBorders>
              <w:left w:val="single" w:sz="8" w:color="auto"/>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80" w:type="dxa"/>
            <w:vAlign w:val="bottom"/>
            <w:tcBorders>
              <w:bottom w:val="single" w:sz="8" w:color="auto"/>
              <w:right w:val="single" w:sz="8" w:color="auto"/>
            </w:tcBorders>
            <w:gridSpan w:val="27"/>
          </w:tcPr>
          <w:p>
            <w:pPr>
              <w:jc w:val="center"/>
              <w:ind w:right="1800"/>
              <w:spacing w:after="0"/>
              <w:rPr>
                <w:sz w:val="20"/>
                <w:szCs w:val="20"/>
                <w:color w:val="auto"/>
              </w:rPr>
            </w:pPr>
            <w:r>
              <w:rPr>
                <w:rFonts w:ascii="Times New Roman" w:cs="Times New Roman" w:eastAsia="Times New Roman" w:hAnsi="Times New Roman"/>
                <w:sz w:val="13"/>
                <w:szCs w:val="13"/>
                <w:b w:val="1"/>
                <w:bCs w:val="1"/>
                <w:color w:val="auto"/>
              </w:rPr>
              <w:t>Restrictions</w:t>
            </w: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440" w:type="dxa"/>
            <w:vAlign w:val="bottom"/>
            <w:tcBorders>
              <w:left w:val="single" w:sz="8" w:color="auto"/>
              <w:right w:val="single" w:sz="8" w:color="auto"/>
            </w:tcBorders>
            <w:shd w:val="clear" w:color="auto" w:fill="F0FFFF"/>
          </w:tcPr>
          <w:p>
            <w:pPr>
              <w:ind w:left="40"/>
              <w:spacing w:after="0" w:line="144" w:lineRule="exact"/>
              <w:rPr>
                <w:sz w:val="20"/>
                <w:szCs w:val="20"/>
                <w:color w:val="auto"/>
              </w:rPr>
            </w:pPr>
            <w:r>
              <w:rPr>
                <w:rFonts w:ascii="Times New Roman" w:cs="Times New Roman" w:eastAsia="Times New Roman" w:hAnsi="Times New Roman"/>
                <w:sz w:val="13"/>
                <w:szCs w:val="13"/>
                <w:b w:val="1"/>
                <w:bCs w:val="1"/>
                <w:color w:val="auto"/>
              </w:rPr>
              <w:t>Are There Restrictions</w:t>
            </w:r>
          </w:p>
        </w:tc>
        <w:tc>
          <w:tcPr>
            <w:tcW w:w="60" w:type="dxa"/>
            <w:vAlign w:val="bottom"/>
            <w:shd w:val="clear" w:color="auto" w:fill="F0FFFF"/>
          </w:tcPr>
          <w:p>
            <w:pPr>
              <w:spacing w:after="0"/>
              <w:rPr>
                <w:sz w:val="12"/>
                <w:szCs w:val="12"/>
                <w:color w:val="auto"/>
              </w:rPr>
            </w:pPr>
          </w:p>
        </w:tc>
        <w:tc>
          <w:tcPr>
            <w:tcW w:w="4380" w:type="dxa"/>
            <w:vAlign w:val="bottom"/>
            <w:tcBorders>
              <w:right w:val="single" w:sz="8" w:color="auto"/>
            </w:tcBorders>
            <w:gridSpan w:val="41"/>
            <w:shd w:val="clear" w:color="auto" w:fill="F0FFFF"/>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Yes.</w:t>
            </w:r>
          </w:p>
        </w:tc>
        <w:tc>
          <w:tcPr>
            <w:tcW w:w="80" w:type="dxa"/>
            <w:vAlign w:val="bottom"/>
            <w:tcBorders>
              <w:right w:val="single" w:sz="8" w:color="F0FFFF"/>
            </w:tcBorders>
            <w:shd w:val="clear" w:color="auto" w:fill="F0FFFF"/>
          </w:tcPr>
          <w:p>
            <w:pPr>
              <w:spacing w:after="0"/>
              <w:rPr>
                <w:sz w:val="12"/>
                <w:szCs w:val="12"/>
                <w:color w:val="auto"/>
              </w:rPr>
            </w:pPr>
          </w:p>
        </w:tc>
        <w:tc>
          <w:tcPr>
            <w:tcW w:w="1260" w:type="dxa"/>
            <w:vAlign w:val="bottom"/>
            <w:tcBorders>
              <w:right w:val="single" w:sz="8" w:color="auto"/>
            </w:tcBorders>
            <w:gridSpan w:val="12"/>
            <w:shd w:val="clear" w:color="auto" w:fill="F0FFFF"/>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PRINCIPAL RISKS</w:t>
            </w:r>
          </w:p>
        </w:tc>
        <w:tc>
          <w:tcPr>
            <w:tcW w:w="0" w:type="dxa"/>
            <w:vAlign w:val="bottom"/>
          </w:tcPr>
          <w:p>
            <w:pPr>
              <w:spacing w:after="0"/>
              <w:rPr>
                <w:sz w:val="1"/>
                <w:szCs w:val="1"/>
                <w:color w:val="auto"/>
              </w:rPr>
            </w:pPr>
          </w:p>
        </w:tc>
      </w:tr>
      <w:tr>
        <w:trPr>
          <w:trHeight w:val="139"/>
        </w:trPr>
        <w:tc>
          <w:tcPr>
            <w:tcW w:w="1440" w:type="dxa"/>
            <w:vAlign w:val="bottom"/>
            <w:tcBorders>
              <w:left w:val="single" w:sz="8" w:color="auto"/>
              <w:right w:val="single" w:sz="8" w:color="auto"/>
            </w:tcBorders>
            <w:shd w:val="clear" w:color="auto" w:fill="F0FFFF"/>
          </w:tcPr>
          <w:p>
            <w:pPr>
              <w:ind w:left="40"/>
              <w:spacing w:after="0" w:line="139" w:lineRule="exact"/>
              <w:rPr>
                <w:sz w:val="20"/>
                <w:szCs w:val="20"/>
                <w:color w:val="auto"/>
              </w:rPr>
            </w:pPr>
            <w:r>
              <w:rPr>
                <w:rFonts w:ascii="Times New Roman" w:cs="Times New Roman" w:eastAsia="Times New Roman" w:hAnsi="Times New Roman"/>
                <w:sz w:val="13"/>
                <w:szCs w:val="13"/>
                <w:b w:val="1"/>
                <w:bCs w:val="1"/>
                <w:color w:val="auto"/>
              </w:rPr>
              <w:t>on the Investment</w:t>
            </w:r>
          </w:p>
        </w:tc>
        <w:tc>
          <w:tcPr>
            <w:tcW w:w="60" w:type="dxa"/>
            <w:vAlign w:val="bottom"/>
            <w:shd w:val="clear" w:color="auto" w:fill="F0FFFF"/>
          </w:tcPr>
          <w:p>
            <w:pPr>
              <w:spacing w:after="0"/>
              <w:rPr>
                <w:sz w:val="12"/>
                <w:szCs w:val="12"/>
                <w:color w:val="auto"/>
              </w:rPr>
            </w:pPr>
          </w:p>
        </w:tc>
        <w:tc>
          <w:tcPr>
            <w:tcW w:w="140" w:type="dxa"/>
            <w:vAlign w:val="bottom"/>
            <w:tcBorders>
              <w:right w:val="single" w:sz="8" w:color="F0FFFF"/>
            </w:tcBorders>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tcBorders>
              <w:right w:val="single" w:sz="8" w:color="F0FFFF"/>
            </w:tcBorders>
            <w:shd w:val="clear" w:color="auto" w:fill="F0FFFF"/>
          </w:tcPr>
          <w:p>
            <w:pPr>
              <w:spacing w:after="0"/>
              <w:rPr>
                <w:sz w:val="12"/>
                <w:szCs w:val="12"/>
                <w:color w:val="auto"/>
              </w:rPr>
            </w:pPr>
          </w:p>
        </w:tc>
        <w:tc>
          <w:tcPr>
            <w:tcW w:w="100" w:type="dxa"/>
            <w:vAlign w:val="bottom"/>
            <w:tcBorders>
              <w:left w:val="single" w:sz="8" w:color="F0FFFF"/>
            </w:tcBorders>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0" w:type="dxa"/>
            <w:vAlign w:val="bottom"/>
            <w:tcBorders>
              <w:left w:val="single" w:sz="8" w:color="F0FFFF"/>
            </w:tcBorders>
            <w:shd w:val="clear" w:color="auto" w:fill="F0FFFF"/>
          </w:tcPr>
          <w:p>
            <w:pPr>
              <w:spacing w:after="0"/>
              <w:rPr>
                <w:sz w:val="12"/>
                <w:szCs w:val="12"/>
                <w:color w:val="auto"/>
              </w:rPr>
            </w:pPr>
          </w:p>
        </w:tc>
        <w:tc>
          <w:tcPr>
            <w:tcW w:w="100" w:type="dxa"/>
            <w:vAlign w:val="bottom"/>
            <w:tcBorders>
              <w:left w:val="single" w:sz="8" w:color="F0FFFF"/>
              <w:right w:val="single" w:sz="8" w:color="F0FFFF"/>
            </w:tcBorders>
            <w:shd w:val="clear" w:color="auto" w:fill="F0FFFF"/>
          </w:tcPr>
          <w:p>
            <w:pPr>
              <w:spacing w:after="0"/>
              <w:rPr>
                <w:sz w:val="12"/>
                <w:szCs w:val="12"/>
                <w:color w:val="auto"/>
              </w:rPr>
            </w:pPr>
          </w:p>
        </w:tc>
        <w:tc>
          <w:tcPr>
            <w:tcW w:w="80" w:type="dxa"/>
            <w:vAlign w:val="bottom"/>
            <w:tcBorders>
              <w:right w:val="single" w:sz="8" w:color="F0FFFF"/>
            </w:tcBorders>
            <w:shd w:val="clear" w:color="auto" w:fill="F0FFFF"/>
          </w:tcPr>
          <w:p>
            <w:pPr>
              <w:spacing w:after="0"/>
              <w:rPr>
                <w:sz w:val="12"/>
                <w:szCs w:val="12"/>
                <w:color w:val="auto"/>
              </w:rPr>
            </w:pPr>
          </w:p>
        </w:tc>
        <w:tc>
          <w:tcPr>
            <w:tcW w:w="340" w:type="dxa"/>
            <w:vAlign w:val="bottom"/>
            <w:tcBorders>
              <w:left w:val="single" w:sz="8" w:color="F0FFFF"/>
              <w:right w:val="single" w:sz="8" w:color="F0FFFF"/>
            </w:tcBorders>
            <w:shd w:val="clear" w:color="auto" w:fill="F0FFFF"/>
          </w:tcPr>
          <w:p>
            <w:pPr>
              <w:spacing w:after="0"/>
              <w:rPr>
                <w:sz w:val="12"/>
                <w:szCs w:val="12"/>
                <w:color w:val="auto"/>
              </w:rPr>
            </w:pPr>
          </w:p>
        </w:tc>
        <w:tc>
          <w:tcPr>
            <w:tcW w:w="140" w:type="dxa"/>
            <w:vAlign w:val="bottom"/>
            <w:tcBorders>
              <w:right w:val="single" w:sz="8" w:color="F0FFFF"/>
            </w:tcBorders>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0" w:type="dxa"/>
            <w:vAlign w:val="bottom"/>
            <w:tcBorders>
              <w:right w:val="single" w:sz="8" w:color="F0FFFF"/>
            </w:tcBorders>
            <w:shd w:val="clear" w:color="auto" w:fill="F0FFFF"/>
          </w:tcPr>
          <w:p>
            <w:pPr>
              <w:spacing w:after="0"/>
              <w:rPr>
                <w:sz w:val="12"/>
                <w:szCs w:val="12"/>
                <w:color w:val="auto"/>
              </w:rPr>
            </w:pPr>
          </w:p>
        </w:tc>
        <w:tc>
          <w:tcPr>
            <w:tcW w:w="40" w:type="dxa"/>
            <w:vAlign w:val="bottom"/>
            <w:tcBorders>
              <w:right w:val="single" w:sz="8" w:color="F0FFFF"/>
            </w:tcBorders>
            <w:shd w:val="clear" w:color="auto" w:fill="F0FFFF"/>
          </w:tcPr>
          <w:p>
            <w:pPr>
              <w:spacing w:after="0"/>
              <w:rPr>
                <w:sz w:val="12"/>
                <w:szCs w:val="12"/>
                <w:color w:val="auto"/>
              </w:rPr>
            </w:pPr>
          </w:p>
        </w:tc>
        <w:tc>
          <w:tcPr>
            <w:tcW w:w="100" w:type="dxa"/>
            <w:vAlign w:val="bottom"/>
            <w:tcBorders>
              <w:right w:val="single" w:sz="8" w:color="F0FFFF"/>
            </w:tcBorders>
            <w:shd w:val="clear" w:color="auto" w:fill="F0FFFF"/>
          </w:tcPr>
          <w:p>
            <w:pPr>
              <w:spacing w:after="0"/>
              <w:rPr>
                <w:sz w:val="12"/>
                <w:szCs w:val="12"/>
                <w:color w:val="auto"/>
              </w:rPr>
            </w:pPr>
          </w:p>
        </w:tc>
        <w:tc>
          <w:tcPr>
            <w:tcW w:w="100" w:type="dxa"/>
            <w:vAlign w:val="bottom"/>
            <w:tcBorders>
              <w:left w:val="single" w:sz="8" w:color="F0FFFF"/>
            </w:tcBorders>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100" w:type="dxa"/>
            <w:vAlign w:val="bottom"/>
            <w:tcBorders>
              <w:left w:val="single" w:sz="8" w:color="F0FFFF"/>
            </w:tcBorders>
            <w:shd w:val="clear" w:color="auto" w:fill="F0FFFF"/>
          </w:tcPr>
          <w:p>
            <w:pPr>
              <w:spacing w:after="0"/>
              <w:rPr>
                <w:sz w:val="12"/>
                <w:szCs w:val="12"/>
                <w:color w:val="auto"/>
              </w:rPr>
            </w:pPr>
          </w:p>
        </w:tc>
        <w:tc>
          <w:tcPr>
            <w:tcW w:w="40" w:type="dxa"/>
            <w:vAlign w:val="bottom"/>
            <w:tcBorders>
              <w:right w:val="single" w:sz="8" w:color="F0FFFF"/>
            </w:tcBorders>
            <w:shd w:val="clear" w:color="auto" w:fill="F0FFFF"/>
          </w:tcPr>
          <w:p>
            <w:pPr>
              <w:spacing w:after="0"/>
              <w:rPr>
                <w:sz w:val="12"/>
                <w:szCs w:val="12"/>
                <w:color w:val="auto"/>
              </w:rPr>
            </w:pPr>
          </w:p>
        </w:tc>
        <w:tc>
          <w:tcPr>
            <w:tcW w:w="120" w:type="dxa"/>
            <w:vAlign w:val="bottom"/>
            <w:tcBorders>
              <w:left w:val="single" w:sz="8" w:color="F0FFFF"/>
              <w:right w:val="single" w:sz="8" w:color="F0FFFF"/>
            </w:tcBorders>
            <w:shd w:val="clear" w:color="auto" w:fill="F0FFFF"/>
          </w:tcPr>
          <w:p>
            <w:pPr>
              <w:spacing w:after="0"/>
              <w:rPr>
                <w:sz w:val="12"/>
                <w:szCs w:val="12"/>
                <w:color w:val="auto"/>
              </w:rPr>
            </w:pPr>
          </w:p>
        </w:tc>
        <w:tc>
          <w:tcPr>
            <w:tcW w:w="100" w:type="dxa"/>
            <w:vAlign w:val="bottom"/>
            <w:tcBorders>
              <w:left w:val="single" w:sz="8" w:color="F0FFFF"/>
            </w:tcBorders>
            <w:shd w:val="clear" w:color="auto" w:fill="F0FFFF"/>
          </w:tcPr>
          <w:p>
            <w:pPr>
              <w:spacing w:after="0"/>
              <w:rPr>
                <w:sz w:val="12"/>
                <w:szCs w:val="12"/>
                <w:color w:val="auto"/>
              </w:rPr>
            </w:pPr>
          </w:p>
        </w:tc>
        <w:tc>
          <w:tcPr>
            <w:tcW w:w="60" w:type="dxa"/>
            <w:vAlign w:val="bottom"/>
            <w:tcBorders>
              <w:right w:val="single" w:sz="8" w:color="F0FFFF"/>
            </w:tcBorders>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60" w:type="dxa"/>
            <w:vAlign w:val="bottom"/>
            <w:tcBorders>
              <w:left w:val="single" w:sz="8" w:color="F0FFFF"/>
              <w:right w:val="single" w:sz="8" w:color="F0FFFF"/>
            </w:tcBorders>
            <w:shd w:val="clear" w:color="auto" w:fill="F0FFFF"/>
          </w:tcPr>
          <w:p>
            <w:pPr>
              <w:spacing w:after="0"/>
              <w:rPr>
                <w:sz w:val="12"/>
                <w:szCs w:val="12"/>
                <w:color w:val="auto"/>
              </w:rPr>
            </w:pPr>
          </w:p>
        </w:tc>
        <w:tc>
          <w:tcPr>
            <w:tcW w:w="280" w:type="dxa"/>
            <w:vAlign w:val="bottom"/>
            <w:tcBorders>
              <w:right w:val="single" w:sz="8" w:color="F0FFFF"/>
            </w:tcBorders>
            <w:shd w:val="clear" w:color="auto" w:fill="F0FFFF"/>
          </w:tcPr>
          <w:p>
            <w:pPr>
              <w:spacing w:after="0"/>
              <w:rPr>
                <w:sz w:val="12"/>
                <w:szCs w:val="12"/>
                <w:color w:val="auto"/>
              </w:rPr>
            </w:pPr>
          </w:p>
        </w:tc>
        <w:tc>
          <w:tcPr>
            <w:tcW w:w="60" w:type="dxa"/>
            <w:vAlign w:val="bottom"/>
            <w:tcBorders>
              <w:right w:val="single" w:sz="8" w:color="F0FFFF"/>
            </w:tcBorders>
            <w:shd w:val="clear" w:color="auto" w:fill="F0FFFF"/>
          </w:tcPr>
          <w:p>
            <w:pPr>
              <w:spacing w:after="0"/>
              <w:rPr>
                <w:sz w:val="12"/>
                <w:szCs w:val="12"/>
                <w:color w:val="auto"/>
              </w:rPr>
            </w:pPr>
          </w:p>
        </w:tc>
        <w:tc>
          <w:tcPr>
            <w:tcW w:w="200" w:type="dxa"/>
            <w:vAlign w:val="bottom"/>
            <w:tcBorders>
              <w:left w:val="single" w:sz="8" w:color="F0FFFF"/>
              <w:right w:val="single" w:sz="8" w:color="F0FFFF"/>
            </w:tcBorders>
            <w:shd w:val="clear" w:color="auto" w:fill="F0FFFF"/>
          </w:tcPr>
          <w:p>
            <w:pPr>
              <w:spacing w:after="0"/>
              <w:rPr>
                <w:sz w:val="12"/>
                <w:szCs w:val="12"/>
                <w:color w:val="auto"/>
              </w:rPr>
            </w:pPr>
          </w:p>
        </w:tc>
        <w:tc>
          <w:tcPr>
            <w:tcW w:w="100" w:type="dxa"/>
            <w:vAlign w:val="bottom"/>
            <w:tcBorders>
              <w:left w:val="single" w:sz="8" w:color="F0FFFF"/>
            </w:tcBorders>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80" w:type="dxa"/>
            <w:vAlign w:val="bottom"/>
            <w:tcBorders>
              <w:right w:val="single" w:sz="8" w:color="F0FFFF"/>
            </w:tcBorders>
            <w:shd w:val="clear" w:color="auto" w:fill="F0FFFF"/>
          </w:tcPr>
          <w:p>
            <w:pPr>
              <w:spacing w:after="0"/>
              <w:rPr>
                <w:sz w:val="12"/>
                <w:szCs w:val="12"/>
                <w:color w:val="auto"/>
              </w:rPr>
            </w:pPr>
          </w:p>
        </w:tc>
        <w:tc>
          <w:tcPr>
            <w:tcW w:w="80" w:type="dxa"/>
            <w:vAlign w:val="bottom"/>
            <w:tcBorders>
              <w:left w:val="single" w:sz="8" w:color="F0FFFF"/>
            </w:tcBorders>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0" w:type="dxa"/>
            <w:vAlign w:val="bottom"/>
            <w:tcBorders>
              <w:left w:val="single" w:sz="8" w:color="F0FFFF"/>
            </w:tcBorders>
            <w:shd w:val="clear" w:color="auto" w:fill="F0FFFF"/>
          </w:tcPr>
          <w:p>
            <w:pPr>
              <w:spacing w:after="0"/>
              <w:rPr>
                <w:sz w:val="12"/>
                <w:szCs w:val="12"/>
                <w:color w:val="auto"/>
              </w:rPr>
            </w:pPr>
          </w:p>
        </w:tc>
        <w:tc>
          <w:tcPr>
            <w:tcW w:w="100" w:type="dxa"/>
            <w:vAlign w:val="bottom"/>
            <w:tcBorders>
              <w:left w:val="single" w:sz="8" w:color="F0FFFF"/>
              <w:right w:val="single" w:sz="8" w:color="F0FFFF"/>
            </w:tcBorders>
            <w:shd w:val="clear" w:color="auto" w:fill="F0FFFF"/>
          </w:tcPr>
          <w:p>
            <w:pPr>
              <w:spacing w:after="0"/>
              <w:rPr>
                <w:sz w:val="12"/>
                <w:szCs w:val="12"/>
                <w:color w:val="auto"/>
              </w:rPr>
            </w:pPr>
          </w:p>
        </w:tc>
        <w:tc>
          <w:tcPr>
            <w:tcW w:w="200" w:type="dxa"/>
            <w:vAlign w:val="bottom"/>
            <w:tcBorders>
              <w:left w:val="single" w:sz="8" w:color="F0FFFF"/>
            </w:tcBorders>
            <w:shd w:val="clear" w:color="auto" w:fill="F0FFFF"/>
          </w:tcPr>
          <w:p>
            <w:pPr>
              <w:spacing w:after="0"/>
              <w:rPr>
                <w:sz w:val="12"/>
                <w:szCs w:val="12"/>
                <w:color w:val="auto"/>
              </w:rPr>
            </w:pPr>
          </w:p>
        </w:tc>
        <w:tc>
          <w:tcPr>
            <w:tcW w:w="140" w:type="dxa"/>
            <w:vAlign w:val="bottom"/>
            <w:tcBorders>
              <w:right w:val="single" w:sz="8" w:color="auto"/>
            </w:tcBorders>
            <w:shd w:val="clear" w:color="auto" w:fill="F0FFFF"/>
          </w:tcPr>
          <w:p>
            <w:pPr>
              <w:spacing w:after="0"/>
              <w:rPr>
                <w:sz w:val="12"/>
                <w:szCs w:val="12"/>
                <w:color w:val="auto"/>
              </w:rPr>
            </w:pPr>
          </w:p>
        </w:tc>
        <w:tc>
          <w:tcPr>
            <w:tcW w:w="80" w:type="dxa"/>
            <w:vAlign w:val="bottom"/>
            <w:tcBorders>
              <w:right w:val="single" w:sz="8" w:color="F0FFFF"/>
            </w:tcBorders>
            <w:shd w:val="clear" w:color="auto" w:fill="F0FFFF"/>
          </w:tcPr>
          <w:p>
            <w:pPr>
              <w:spacing w:after="0"/>
              <w:rPr>
                <w:sz w:val="12"/>
                <w:szCs w:val="12"/>
                <w:color w:val="auto"/>
              </w:rPr>
            </w:pPr>
          </w:p>
        </w:tc>
        <w:tc>
          <w:tcPr>
            <w:tcW w:w="1260" w:type="dxa"/>
            <w:vAlign w:val="bottom"/>
            <w:tcBorders>
              <w:right w:val="single" w:sz="8" w:color="auto"/>
            </w:tcBorders>
            <w:gridSpan w:val="12"/>
            <w:shd w:val="clear" w:color="auto" w:fill="F0FFFF"/>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OF INVESTING IN</w:t>
            </w:r>
          </w:p>
        </w:tc>
        <w:tc>
          <w:tcPr>
            <w:tcW w:w="0" w:type="dxa"/>
            <w:vAlign w:val="bottom"/>
          </w:tcPr>
          <w:p>
            <w:pPr>
              <w:spacing w:after="0"/>
              <w:rPr>
                <w:sz w:val="1"/>
                <w:szCs w:val="1"/>
                <w:color w:val="auto"/>
              </w:rPr>
            </w:pPr>
          </w:p>
        </w:tc>
      </w:tr>
      <w:tr>
        <w:trPr>
          <w:trHeight w:val="144"/>
        </w:trPr>
        <w:tc>
          <w:tcPr>
            <w:tcW w:w="1440" w:type="dxa"/>
            <w:vAlign w:val="bottom"/>
            <w:tcBorders>
              <w:left w:val="single" w:sz="8" w:color="auto"/>
              <w:right w:val="single" w:sz="8" w:color="auto"/>
            </w:tcBorders>
            <w:shd w:val="clear" w:color="auto" w:fill="F0FFFF"/>
          </w:tcPr>
          <w:p>
            <w:pPr>
              <w:ind w:left="40"/>
              <w:spacing w:after="0" w:line="144" w:lineRule="exact"/>
              <w:rPr>
                <w:sz w:val="20"/>
                <w:szCs w:val="20"/>
                <w:color w:val="auto"/>
              </w:rPr>
            </w:pPr>
            <w:r>
              <w:rPr>
                <w:rFonts w:ascii="Times New Roman" w:cs="Times New Roman" w:eastAsia="Times New Roman" w:hAnsi="Times New Roman"/>
                <w:sz w:val="13"/>
                <w:szCs w:val="13"/>
                <w:b w:val="1"/>
                <w:bCs w:val="1"/>
                <w:color w:val="auto"/>
              </w:rPr>
              <w:t>Options?</w:t>
            </w:r>
          </w:p>
        </w:tc>
        <w:tc>
          <w:tcPr>
            <w:tcW w:w="60" w:type="dxa"/>
            <w:vAlign w:val="bottom"/>
            <w:shd w:val="clear" w:color="auto" w:fill="F0FFFF"/>
          </w:tcPr>
          <w:p>
            <w:pPr>
              <w:spacing w:after="0"/>
              <w:rPr>
                <w:sz w:val="12"/>
                <w:szCs w:val="12"/>
                <w:color w:val="auto"/>
              </w:rPr>
            </w:pPr>
          </w:p>
        </w:tc>
        <w:tc>
          <w:tcPr>
            <w:tcW w:w="4380" w:type="dxa"/>
            <w:vAlign w:val="bottom"/>
            <w:tcBorders>
              <w:right w:val="single" w:sz="8" w:color="auto"/>
            </w:tcBorders>
            <w:gridSpan w:val="41"/>
            <w:shd w:val="clear" w:color="auto" w:fill="F0FFFF"/>
          </w:tcPr>
          <w:p>
            <w:pPr>
              <w:spacing w:after="0" w:line="144" w:lineRule="exact"/>
              <w:rPr>
                <w:sz w:val="20"/>
                <w:szCs w:val="20"/>
                <w:color w:val="auto"/>
              </w:rPr>
            </w:pPr>
            <w:r>
              <w:rPr>
                <w:rFonts w:ascii="Times New Roman" w:cs="Times New Roman" w:eastAsia="Times New Roman" w:hAnsi="Times New Roman"/>
                <w:sz w:val="13"/>
                <w:szCs w:val="13"/>
                <w:color w:val="auto"/>
              </w:rPr>
              <w:t>● Limits on transfers.</w:t>
            </w:r>
          </w:p>
        </w:tc>
        <w:tc>
          <w:tcPr>
            <w:tcW w:w="80" w:type="dxa"/>
            <w:vAlign w:val="bottom"/>
            <w:tcBorders>
              <w:right w:val="single" w:sz="8" w:color="F0FFFF"/>
            </w:tcBorders>
            <w:shd w:val="clear" w:color="auto" w:fill="F0FFFF"/>
          </w:tcPr>
          <w:p>
            <w:pPr>
              <w:spacing w:after="0"/>
              <w:rPr>
                <w:sz w:val="12"/>
                <w:szCs w:val="12"/>
                <w:color w:val="auto"/>
              </w:rPr>
            </w:pPr>
          </w:p>
        </w:tc>
        <w:tc>
          <w:tcPr>
            <w:tcW w:w="1260" w:type="dxa"/>
            <w:vAlign w:val="bottom"/>
            <w:tcBorders>
              <w:right w:val="single" w:sz="8" w:color="auto"/>
            </w:tcBorders>
            <w:gridSpan w:val="12"/>
            <w:shd w:val="clear" w:color="auto" w:fill="F0FFFF"/>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THE CONTRACT</w:t>
            </w:r>
          </w:p>
        </w:tc>
        <w:tc>
          <w:tcPr>
            <w:tcW w:w="0" w:type="dxa"/>
            <w:vAlign w:val="bottom"/>
          </w:tcPr>
          <w:p>
            <w:pPr>
              <w:spacing w:after="0"/>
              <w:rPr>
                <w:sz w:val="1"/>
                <w:szCs w:val="1"/>
                <w:color w:val="auto"/>
              </w:rPr>
            </w:pPr>
          </w:p>
        </w:tc>
      </w:tr>
      <w:tr>
        <w:trPr>
          <w:trHeight w:val="129"/>
        </w:trPr>
        <w:tc>
          <w:tcPr>
            <w:tcW w:w="1440" w:type="dxa"/>
            <w:vAlign w:val="bottom"/>
            <w:tcBorders>
              <w:top w:val="single" w:sz="8" w:color="F0FFFF"/>
              <w:left w:val="single" w:sz="8" w:color="auto"/>
              <w:right w:val="single" w:sz="8" w:color="auto"/>
            </w:tcBorders>
            <w:shd w:val="clear" w:color="auto" w:fill="F0FFFF"/>
          </w:tcPr>
          <w:p>
            <w:pPr>
              <w:spacing w:after="0"/>
              <w:rPr>
                <w:sz w:val="11"/>
                <w:szCs w:val="11"/>
                <w:color w:val="auto"/>
              </w:rPr>
            </w:pPr>
          </w:p>
        </w:tc>
        <w:tc>
          <w:tcPr>
            <w:tcW w:w="60" w:type="dxa"/>
            <w:vAlign w:val="bottom"/>
            <w:tcBorders>
              <w:top w:val="single" w:sz="8" w:color="F0FFFF"/>
            </w:tcBorders>
            <w:shd w:val="clear" w:color="auto" w:fill="F0FFFF"/>
          </w:tcPr>
          <w:p>
            <w:pPr>
              <w:spacing w:after="0"/>
              <w:rPr>
                <w:sz w:val="11"/>
                <w:szCs w:val="11"/>
                <w:color w:val="auto"/>
              </w:rPr>
            </w:pPr>
          </w:p>
        </w:tc>
        <w:tc>
          <w:tcPr>
            <w:tcW w:w="140" w:type="dxa"/>
            <w:vAlign w:val="bottom"/>
            <w:tcBorders>
              <w:top w:val="single" w:sz="8" w:color="F0FFFF"/>
              <w:right w:val="single" w:sz="8" w:color="F0FFFF"/>
            </w:tcBorders>
            <w:shd w:val="clear" w:color="auto" w:fill="F0FFFF"/>
          </w:tcPr>
          <w:p>
            <w:pPr>
              <w:spacing w:after="0"/>
              <w:rPr>
                <w:sz w:val="11"/>
                <w:szCs w:val="11"/>
                <w:color w:val="auto"/>
              </w:rPr>
            </w:pPr>
          </w:p>
        </w:tc>
        <w:tc>
          <w:tcPr>
            <w:tcW w:w="4240" w:type="dxa"/>
            <w:vAlign w:val="bottom"/>
            <w:tcBorders>
              <w:top w:val="single" w:sz="8" w:color="F0FFFF"/>
              <w:right w:val="single" w:sz="8" w:color="auto"/>
            </w:tcBorders>
            <w:gridSpan w:val="40"/>
            <w:shd w:val="clear" w:color="auto" w:fill="F0FFFF"/>
          </w:tcPr>
          <w:p>
            <w:pPr>
              <w:spacing w:after="0" w:line="129" w:lineRule="exact"/>
              <w:rPr>
                <w:sz w:val="20"/>
                <w:szCs w:val="20"/>
                <w:color w:val="auto"/>
              </w:rPr>
            </w:pPr>
            <w:r>
              <w:rPr>
                <w:rFonts w:ascii="Times New Roman" w:cs="Times New Roman" w:eastAsia="Times New Roman" w:hAnsi="Times New Roman"/>
                <w:sz w:val="13"/>
                <w:szCs w:val="13"/>
                <w:color w:val="auto"/>
              </w:rPr>
              <w:t>○  Transfers may only be made during the Accumulation Period, and only to</w:t>
            </w:r>
          </w:p>
        </w:tc>
        <w:tc>
          <w:tcPr>
            <w:tcW w:w="80" w:type="dxa"/>
            <w:vAlign w:val="bottom"/>
            <w:tcBorders>
              <w:top w:val="single" w:sz="8" w:color="F0FFFF"/>
              <w:right w:val="single" w:sz="8" w:color="F0FFFF"/>
            </w:tcBorders>
            <w:shd w:val="clear" w:color="auto" w:fill="F0FFFF"/>
          </w:tcPr>
          <w:p>
            <w:pPr>
              <w:spacing w:after="0"/>
              <w:rPr>
                <w:sz w:val="11"/>
                <w:szCs w:val="11"/>
                <w:color w:val="auto"/>
              </w:rPr>
            </w:pPr>
          </w:p>
        </w:tc>
        <w:tc>
          <w:tcPr>
            <w:tcW w:w="320" w:type="dxa"/>
            <w:vAlign w:val="bottom"/>
            <w:tcBorders>
              <w:top w:val="single" w:sz="8" w:color="F0FFFF"/>
            </w:tcBorders>
            <w:gridSpan w:val="2"/>
            <w:shd w:val="clear" w:color="auto" w:fill="F0FF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 </w:t>
            </w:r>
          </w:p>
        </w:tc>
        <w:tc>
          <w:tcPr>
            <w:tcW w:w="180" w:type="dxa"/>
            <w:vAlign w:val="bottom"/>
            <w:tcBorders>
              <w:top w:val="single" w:sz="8" w:color="auto"/>
              <w:left w:val="single" w:sz="8" w:color="F0FFFF"/>
            </w:tcBorders>
            <w:gridSpan w:val="2"/>
            <w:shd w:val="clear" w:color="auto" w:fill="F0FFFF"/>
          </w:tcPr>
          <w:p>
            <w:pPr>
              <w:spacing w:after="0"/>
              <w:rPr>
                <w:sz w:val="11"/>
                <w:szCs w:val="11"/>
                <w:color w:val="auto"/>
              </w:rPr>
            </w:pPr>
          </w:p>
        </w:tc>
        <w:tc>
          <w:tcPr>
            <w:tcW w:w="340" w:type="dxa"/>
            <w:vAlign w:val="bottom"/>
            <w:tcBorders>
              <w:top w:val="single" w:sz="8" w:color="auto"/>
            </w:tcBorders>
            <w:gridSpan w:val="3"/>
            <w:shd w:val="clear" w:color="auto" w:fill="F0FFFF"/>
          </w:tcPr>
          <w:p>
            <w:pPr>
              <w:spacing w:after="0"/>
              <w:rPr>
                <w:sz w:val="11"/>
                <w:szCs w:val="11"/>
                <w:color w:val="auto"/>
              </w:rPr>
            </w:pPr>
          </w:p>
        </w:tc>
        <w:tc>
          <w:tcPr>
            <w:tcW w:w="220" w:type="dxa"/>
            <w:vAlign w:val="bottom"/>
            <w:tcBorders>
              <w:top w:val="single" w:sz="8" w:color="auto"/>
            </w:tcBorders>
            <w:gridSpan w:val="2"/>
            <w:shd w:val="clear" w:color="auto" w:fill="F0FFFF"/>
          </w:tcPr>
          <w:p>
            <w:pPr>
              <w:spacing w:after="0"/>
              <w:rPr>
                <w:sz w:val="11"/>
                <w:szCs w:val="11"/>
                <w:color w:val="auto"/>
              </w:rPr>
            </w:pPr>
          </w:p>
        </w:tc>
        <w:tc>
          <w:tcPr>
            <w:tcW w:w="60" w:type="dxa"/>
            <w:vAlign w:val="bottom"/>
            <w:tcBorders>
              <w:top w:val="single" w:sz="8" w:color="F0FFFF"/>
            </w:tcBorders>
            <w:shd w:val="clear" w:color="auto" w:fill="F0FFFF"/>
          </w:tcPr>
          <w:p>
            <w:pPr>
              <w:spacing w:after="0"/>
              <w:rPr>
                <w:sz w:val="11"/>
                <w:szCs w:val="11"/>
                <w:color w:val="auto"/>
              </w:rPr>
            </w:pPr>
          </w:p>
        </w:tc>
        <w:tc>
          <w:tcPr>
            <w:tcW w:w="140" w:type="dxa"/>
            <w:vAlign w:val="bottom"/>
            <w:tcBorders>
              <w:top w:val="single" w:sz="8" w:color="F0FFFF"/>
              <w:right w:val="single" w:sz="8" w:color="auto"/>
            </w:tcBorders>
            <w:gridSpan w:val="2"/>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140" w:type="dxa"/>
            <w:vAlign w:val="bottom"/>
            <w:tcBorders>
              <w:right w:val="single" w:sz="8" w:color="F0FFFF"/>
            </w:tcBorders>
            <w:shd w:val="clear" w:color="auto" w:fill="F0FFFF"/>
          </w:tcPr>
          <w:p>
            <w:pPr>
              <w:spacing w:after="0" w:line="20" w:lineRule="exact"/>
              <w:rPr>
                <w:sz w:val="1"/>
                <w:szCs w:val="1"/>
                <w:color w:val="auto"/>
              </w:rPr>
            </w:pPr>
          </w:p>
        </w:tc>
        <w:tc>
          <w:tcPr>
            <w:tcW w:w="2300" w:type="dxa"/>
            <w:vAlign w:val="bottom"/>
            <w:gridSpan w:val="21"/>
            <w:vMerge w:val="restart"/>
            <w:shd w:val="clear" w:color="auto" w:fill="F0FFFF"/>
          </w:tcPr>
          <w:p>
            <w:pPr>
              <w:ind w:left="100"/>
              <w:spacing w:after="0"/>
              <w:rPr>
                <w:sz w:val="20"/>
                <w:szCs w:val="20"/>
                <w:color w:val="auto"/>
              </w:rPr>
            </w:pPr>
            <w:r>
              <w:rPr>
                <w:rFonts w:ascii="Times New Roman" w:cs="Times New Roman" w:eastAsia="Times New Roman" w:hAnsi="Times New Roman"/>
                <w:sz w:val="13"/>
                <w:szCs w:val="13"/>
                <w:color w:val="auto"/>
              </w:rPr>
              <w:t>or from the Fixed Account, to or from the</w:t>
            </w:r>
          </w:p>
        </w:tc>
        <w:tc>
          <w:tcPr>
            <w:tcW w:w="20" w:type="dxa"/>
            <w:vAlign w:val="bottom"/>
            <w:shd w:val="clear" w:color="auto" w:fill="000000"/>
          </w:tcPr>
          <w:p>
            <w:pPr>
              <w:spacing w:after="0" w:line="20" w:lineRule="exact"/>
              <w:rPr>
                <w:sz w:val="1"/>
                <w:szCs w:val="1"/>
                <w:color w:val="auto"/>
              </w:rPr>
            </w:pPr>
          </w:p>
        </w:tc>
        <w:tc>
          <w:tcPr>
            <w:tcW w:w="700" w:type="dxa"/>
            <w:vAlign w:val="bottom"/>
            <w:tcBorders>
              <w:left w:val="single" w:sz="8" w:color="auto"/>
              <w:right w:val="single" w:sz="8" w:color="auto"/>
            </w:tcBorders>
            <w:gridSpan w:val="4"/>
            <w:shd w:val="clear" w:color="auto" w:fill="000000"/>
          </w:tcPr>
          <w:p>
            <w:pPr>
              <w:spacing w:after="0" w:line="20" w:lineRule="exact"/>
              <w:rPr>
                <w:sz w:val="1"/>
                <w:szCs w:val="1"/>
                <w:color w:val="auto"/>
              </w:rPr>
            </w:pPr>
          </w:p>
        </w:tc>
        <w:tc>
          <w:tcPr>
            <w:tcW w:w="24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440" w:type="dxa"/>
            <w:vAlign w:val="bottom"/>
            <w:tcBorders>
              <w:right w:val="single" w:sz="8" w:color="F0FFFF"/>
            </w:tcBorders>
            <w:gridSpan w:val="7"/>
            <w:shd w:val="clear" w:color="auto" w:fill="F0FFFF"/>
          </w:tcPr>
          <w:p>
            <w:pPr>
              <w:spacing w:after="0" w:line="20" w:lineRule="exact"/>
              <w:rPr>
                <w:sz w:val="1"/>
                <w:szCs w:val="1"/>
                <w:color w:val="auto"/>
              </w:rPr>
            </w:pPr>
          </w:p>
        </w:tc>
        <w:tc>
          <w:tcPr>
            <w:tcW w:w="340" w:type="dxa"/>
            <w:vAlign w:val="bottom"/>
            <w:tcBorders>
              <w:left w:val="single" w:sz="8" w:color="F0FFFF"/>
              <w:right w:val="single" w:sz="8" w:color="auto"/>
            </w:tcBorders>
            <w:gridSpan w:val="2"/>
            <w:shd w:val="clear" w:color="auto" w:fill="F0FFFF"/>
          </w:tcPr>
          <w:p>
            <w:pPr>
              <w:spacing w:after="0" w:line="20" w:lineRule="exact"/>
              <w:rPr>
                <w:sz w:val="1"/>
                <w:szCs w:val="1"/>
                <w:color w:val="auto"/>
              </w:rPr>
            </w:pPr>
          </w:p>
        </w:tc>
        <w:tc>
          <w:tcPr>
            <w:tcW w:w="80" w:type="dxa"/>
            <w:vAlign w:val="bottom"/>
            <w:tcBorders>
              <w:right w:val="single" w:sz="8" w:color="F0FFFF"/>
            </w:tcBorders>
            <w:shd w:val="clear" w:color="auto" w:fill="F0FFFF"/>
          </w:tcPr>
          <w:p>
            <w:pPr>
              <w:spacing w:after="0" w:line="20" w:lineRule="exact"/>
              <w:rPr>
                <w:sz w:val="1"/>
                <w:szCs w:val="1"/>
                <w:color w:val="auto"/>
              </w:rPr>
            </w:pPr>
          </w:p>
        </w:tc>
        <w:tc>
          <w:tcPr>
            <w:tcW w:w="1260" w:type="dxa"/>
            <w:vAlign w:val="bottom"/>
            <w:tcBorders>
              <w:right w:val="single" w:sz="8" w:color="auto"/>
            </w:tcBorders>
            <w:gridSpan w:val="12"/>
            <w:vMerge w:val="restart"/>
            <w:shd w:val="clear" w:color="auto" w:fill="F0FFFF"/>
          </w:tcPr>
          <w:p>
            <w:pPr>
              <w:spacing w:after="0"/>
              <w:rPr>
                <w:sz w:val="20"/>
                <w:szCs w:val="20"/>
                <w:color w:val="auto"/>
              </w:rPr>
            </w:pPr>
            <w:r>
              <w:rPr>
                <w:rFonts w:ascii="Times New Roman" w:cs="Times New Roman" w:eastAsia="Times New Roman" w:hAnsi="Times New Roman"/>
                <w:sz w:val="13"/>
                <w:szCs w:val="13"/>
                <w:b w:val="1"/>
                <w:bCs w:val="1"/>
                <w:color w:val="auto"/>
              </w:rPr>
              <w:t>PURCHASE</w:t>
            </w:r>
          </w:p>
        </w:tc>
        <w:tc>
          <w:tcPr>
            <w:tcW w:w="0" w:type="dxa"/>
            <w:vAlign w:val="bottom"/>
          </w:tcPr>
          <w:p>
            <w:pPr>
              <w:spacing w:after="0" w:line="20" w:lineRule="exact"/>
              <w:rPr>
                <w:sz w:val="1"/>
                <w:szCs w:val="1"/>
                <w:color w:val="auto"/>
              </w:rPr>
            </w:pPr>
          </w:p>
        </w:tc>
      </w:tr>
      <w:tr>
        <w:trPr>
          <w:trHeight w:val="129"/>
        </w:trPr>
        <w:tc>
          <w:tcPr>
            <w:tcW w:w="1440" w:type="dxa"/>
            <w:vAlign w:val="bottom"/>
            <w:tcBorders>
              <w:left w:val="single" w:sz="8" w:color="auto"/>
              <w:right w:val="single" w:sz="8" w:color="auto"/>
            </w:tcBorders>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140" w:type="dxa"/>
            <w:vAlign w:val="bottom"/>
            <w:tcBorders>
              <w:right w:val="single" w:sz="8" w:color="F0FFFF"/>
            </w:tcBorders>
            <w:shd w:val="clear" w:color="auto" w:fill="F0FFFF"/>
          </w:tcPr>
          <w:p>
            <w:pPr>
              <w:spacing w:after="0"/>
              <w:rPr>
                <w:sz w:val="11"/>
                <w:szCs w:val="11"/>
                <w:color w:val="auto"/>
              </w:rPr>
            </w:pPr>
          </w:p>
        </w:tc>
        <w:tc>
          <w:tcPr>
            <w:tcW w:w="2300" w:type="dxa"/>
            <w:vAlign w:val="bottom"/>
            <w:gridSpan w:val="21"/>
            <w:vMerge w:val="continue"/>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1920" w:type="dxa"/>
            <w:vAlign w:val="bottom"/>
            <w:tcBorders>
              <w:left w:val="single" w:sz="8" w:color="F0FFFF"/>
              <w:right w:val="single" w:sz="8" w:color="auto"/>
            </w:tcBorders>
            <w:gridSpan w:val="18"/>
            <w:shd w:val="clear" w:color="auto" w:fill="F0FFFF"/>
          </w:tcPr>
          <w:p>
            <w:pPr>
              <w:ind w:left="20"/>
              <w:spacing w:after="0" w:line="129" w:lineRule="exact"/>
              <w:rPr>
                <w:sz w:val="20"/>
                <w:szCs w:val="20"/>
                <w:color w:val="auto"/>
              </w:rPr>
            </w:pPr>
            <w:r>
              <w:rPr>
                <w:rFonts w:ascii="Times New Roman" w:cs="Times New Roman" w:eastAsia="Times New Roman" w:hAnsi="Times New Roman"/>
                <w:sz w:val="13"/>
                <w:szCs w:val="13"/>
                <w:color w:val="auto"/>
              </w:rPr>
              <w:t>Shield Option(s), and from the</w:t>
            </w:r>
          </w:p>
        </w:tc>
        <w:tc>
          <w:tcPr>
            <w:tcW w:w="80" w:type="dxa"/>
            <w:vAlign w:val="bottom"/>
            <w:tcBorders>
              <w:right w:val="single" w:sz="8" w:color="F0FFFF"/>
            </w:tcBorders>
            <w:shd w:val="clear" w:color="auto" w:fill="F0FFFF"/>
          </w:tcPr>
          <w:p>
            <w:pPr>
              <w:spacing w:after="0"/>
              <w:rPr>
                <w:sz w:val="11"/>
                <w:szCs w:val="11"/>
                <w:color w:val="auto"/>
              </w:rPr>
            </w:pPr>
          </w:p>
        </w:tc>
        <w:tc>
          <w:tcPr>
            <w:tcW w:w="1260" w:type="dxa"/>
            <w:vAlign w:val="bottom"/>
            <w:tcBorders>
              <w:right w:val="single" w:sz="8" w:color="auto"/>
            </w:tcBorders>
            <w:gridSpan w:val="12"/>
            <w:vMerge w:val="continue"/>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140" w:type="dxa"/>
            <w:vAlign w:val="bottom"/>
            <w:tcBorders>
              <w:right w:val="single" w:sz="8" w:color="F0FFFF"/>
            </w:tcBorders>
            <w:shd w:val="clear" w:color="auto" w:fill="F0FFFF"/>
          </w:tcPr>
          <w:p>
            <w:pPr>
              <w:spacing w:after="0" w:line="20" w:lineRule="exact"/>
              <w:rPr>
                <w:sz w:val="1"/>
                <w:szCs w:val="1"/>
                <w:color w:val="auto"/>
              </w:rPr>
            </w:pPr>
          </w:p>
        </w:tc>
        <w:tc>
          <w:tcPr>
            <w:tcW w:w="120" w:type="dxa"/>
            <w:vAlign w:val="bottom"/>
            <w:tcBorders>
              <w:right w:val="single" w:sz="8" w:color="F0FFFF"/>
            </w:tcBorders>
            <w:shd w:val="clear" w:color="auto" w:fill="F0FFFF"/>
          </w:tcPr>
          <w:p>
            <w:pPr>
              <w:spacing w:after="0" w:line="20" w:lineRule="exact"/>
              <w:rPr>
                <w:sz w:val="1"/>
                <w:szCs w:val="1"/>
                <w:color w:val="auto"/>
              </w:rPr>
            </w:pPr>
          </w:p>
        </w:tc>
        <w:tc>
          <w:tcPr>
            <w:tcW w:w="600" w:type="dxa"/>
            <w:vAlign w:val="bottom"/>
            <w:tcBorders>
              <w:right w:val="single" w:sz="8" w:color="F0FFFF"/>
            </w:tcBorders>
            <w:gridSpan w:val="6"/>
            <w:shd w:val="clear" w:color="auto" w:fill="F0FFFF"/>
          </w:tcPr>
          <w:p>
            <w:pPr>
              <w:spacing w:after="0" w:line="20" w:lineRule="exact"/>
              <w:rPr>
                <w:sz w:val="1"/>
                <w:szCs w:val="1"/>
                <w:color w:val="auto"/>
              </w:rPr>
            </w:pPr>
          </w:p>
        </w:tc>
        <w:tc>
          <w:tcPr>
            <w:tcW w:w="3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gridSpan w:val="4"/>
            <w:shd w:val="clear" w:color="auto" w:fill="000000"/>
          </w:tcPr>
          <w:p>
            <w:pPr>
              <w:spacing w:after="0" w:line="20" w:lineRule="exact"/>
              <w:rPr>
                <w:sz w:val="1"/>
                <w:szCs w:val="1"/>
                <w:color w:val="auto"/>
              </w:rPr>
            </w:pPr>
          </w:p>
        </w:tc>
        <w:tc>
          <w:tcPr>
            <w:tcW w:w="560" w:type="dxa"/>
            <w:vAlign w:val="bottom"/>
            <w:tcBorders>
              <w:left w:val="single" w:sz="8" w:color="F0FFFF"/>
              <w:right w:val="single" w:sz="8" w:color="F0FFFF"/>
            </w:tcBorders>
            <w:gridSpan w:val="7"/>
            <w:vMerge w:val="restart"/>
            <w:shd w:val="clear" w:color="auto" w:fill="F0FFFF"/>
          </w:tcPr>
          <w:p>
            <w:pPr>
              <w:spacing w:after="0" w:line="20" w:lineRule="exact"/>
              <w:rPr>
                <w:sz w:val="1"/>
                <w:szCs w:val="1"/>
                <w:color w:val="auto"/>
              </w:rPr>
            </w:pPr>
          </w:p>
        </w:tc>
        <w:tc>
          <w:tcPr>
            <w:tcW w:w="200" w:type="dxa"/>
            <w:vAlign w:val="bottom"/>
            <w:gridSpan w:val="2"/>
            <w:vMerge w:val="restart"/>
            <w:shd w:val="clear" w:color="auto" w:fill="F0FFFF"/>
          </w:tcPr>
          <w:p>
            <w:pPr>
              <w:spacing w:after="0" w:line="20" w:lineRule="exact"/>
              <w:rPr>
                <w:sz w:val="1"/>
                <w:szCs w:val="1"/>
                <w:color w:val="auto"/>
              </w:rPr>
            </w:pPr>
          </w:p>
        </w:tc>
        <w:tc>
          <w:tcPr>
            <w:tcW w:w="700" w:type="dxa"/>
            <w:vAlign w:val="bottom"/>
            <w:tcBorders>
              <w:left w:val="single" w:sz="8" w:color="F0FFFF"/>
              <w:right w:val="single" w:sz="8" w:color="auto"/>
            </w:tcBorders>
            <w:gridSpan w:val="4"/>
            <w:shd w:val="clear" w:color="auto" w:fill="000000"/>
          </w:tcPr>
          <w:p>
            <w:pPr>
              <w:spacing w:after="0" w:line="20" w:lineRule="exact"/>
              <w:rPr>
                <w:sz w:val="1"/>
                <w:szCs w:val="1"/>
                <w:color w:val="auto"/>
              </w:rPr>
            </w:pPr>
          </w:p>
        </w:tc>
        <w:tc>
          <w:tcPr>
            <w:tcW w:w="24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200" w:type="dxa"/>
            <w:vAlign w:val="bottom"/>
            <w:tcBorders>
              <w:left w:val="single" w:sz="8" w:color="F0FFFF"/>
              <w:right w:val="single" w:sz="8" w:color="F0FFFF"/>
            </w:tcBorders>
            <w:gridSpan w:val="2"/>
            <w:vMerge w:val="restart"/>
            <w:shd w:val="clear" w:color="auto" w:fill="F0FFFF"/>
          </w:tcPr>
          <w:p>
            <w:pPr>
              <w:spacing w:after="0" w:line="20" w:lineRule="exact"/>
              <w:rPr>
                <w:sz w:val="1"/>
                <w:szCs w:val="1"/>
                <w:color w:val="auto"/>
              </w:rPr>
            </w:pPr>
          </w:p>
        </w:tc>
        <w:tc>
          <w:tcPr>
            <w:tcW w:w="440" w:type="dxa"/>
            <w:vAlign w:val="bottom"/>
            <w:tcBorders>
              <w:right w:val="single" w:sz="8" w:color="F0FFFF"/>
            </w:tcBorders>
            <w:gridSpan w:val="7"/>
            <w:vMerge w:val="restart"/>
            <w:shd w:val="clear" w:color="auto" w:fill="F0FFFF"/>
          </w:tcPr>
          <w:p>
            <w:pPr>
              <w:spacing w:after="0" w:line="20" w:lineRule="exact"/>
              <w:rPr>
                <w:sz w:val="1"/>
                <w:szCs w:val="1"/>
                <w:color w:val="auto"/>
              </w:rPr>
            </w:pPr>
          </w:p>
        </w:tc>
        <w:tc>
          <w:tcPr>
            <w:tcW w:w="340" w:type="dxa"/>
            <w:vAlign w:val="bottom"/>
            <w:tcBorders>
              <w:left w:val="single" w:sz="8" w:color="F0FFFF"/>
              <w:right w:val="single" w:sz="8" w:color="auto"/>
            </w:tcBorders>
            <w:gridSpan w:val="2"/>
            <w:vMerge w:val="restart"/>
            <w:shd w:val="clear" w:color="auto" w:fill="F0FFFF"/>
          </w:tcPr>
          <w:p>
            <w:pPr>
              <w:spacing w:after="0" w:line="20" w:lineRule="exact"/>
              <w:rPr>
                <w:sz w:val="1"/>
                <w:szCs w:val="1"/>
                <w:color w:val="auto"/>
              </w:rPr>
            </w:pPr>
          </w:p>
        </w:tc>
        <w:tc>
          <w:tcPr>
            <w:tcW w:w="80" w:type="dxa"/>
            <w:vAlign w:val="bottom"/>
            <w:tcBorders>
              <w:right w:val="single" w:sz="8" w:color="F0FFFF"/>
            </w:tcBorders>
            <w:shd w:val="clear" w:color="auto" w:fill="F0FFFF"/>
          </w:tcPr>
          <w:p>
            <w:pPr>
              <w:spacing w:after="0" w:line="20" w:lineRule="exact"/>
              <w:rPr>
                <w:sz w:val="1"/>
                <w:szCs w:val="1"/>
                <w:color w:val="auto"/>
              </w:rPr>
            </w:pPr>
          </w:p>
        </w:tc>
        <w:tc>
          <w:tcPr>
            <w:tcW w:w="1260" w:type="dxa"/>
            <w:vAlign w:val="bottom"/>
            <w:tcBorders>
              <w:right w:val="single" w:sz="8" w:color="auto"/>
            </w:tcBorders>
            <w:gridSpan w:val="12"/>
            <w:vMerge w:val="restart"/>
            <w:shd w:val="clear" w:color="auto" w:fill="F0FFFF"/>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 </w:t>
            </w:r>
          </w:p>
        </w:tc>
        <w:tc>
          <w:tcPr>
            <w:tcW w:w="0" w:type="dxa"/>
            <w:vAlign w:val="bottom"/>
          </w:tcPr>
          <w:p>
            <w:pPr>
              <w:spacing w:after="0" w:line="20" w:lineRule="exact"/>
              <w:rPr>
                <w:sz w:val="1"/>
                <w:szCs w:val="1"/>
                <w:color w:val="auto"/>
              </w:rPr>
            </w:pPr>
          </w:p>
        </w:tc>
      </w:tr>
      <w:tr>
        <w:trPr>
          <w:trHeight w:val="119"/>
        </w:trPr>
        <w:tc>
          <w:tcPr>
            <w:tcW w:w="1440" w:type="dxa"/>
            <w:vAlign w:val="bottom"/>
            <w:tcBorders>
              <w:left w:val="single" w:sz="8" w:color="auto"/>
              <w:right w:val="single" w:sz="8" w:color="auto"/>
            </w:tcBorders>
            <w:shd w:val="clear" w:color="auto" w:fill="F0FFFF"/>
          </w:tcPr>
          <w:p>
            <w:pPr>
              <w:spacing w:after="0"/>
              <w:rPr>
                <w:sz w:val="10"/>
                <w:szCs w:val="10"/>
                <w:color w:val="auto"/>
              </w:rPr>
            </w:pPr>
          </w:p>
        </w:tc>
        <w:tc>
          <w:tcPr>
            <w:tcW w:w="60" w:type="dxa"/>
            <w:vAlign w:val="bottom"/>
            <w:shd w:val="clear" w:color="auto" w:fill="F0FFFF"/>
          </w:tcPr>
          <w:p>
            <w:pPr>
              <w:spacing w:after="0"/>
              <w:rPr>
                <w:sz w:val="10"/>
                <w:szCs w:val="10"/>
                <w:color w:val="auto"/>
              </w:rPr>
            </w:pPr>
          </w:p>
        </w:tc>
        <w:tc>
          <w:tcPr>
            <w:tcW w:w="140" w:type="dxa"/>
            <w:vAlign w:val="bottom"/>
            <w:tcBorders>
              <w:right w:val="single" w:sz="8" w:color="F0FFFF"/>
            </w:tcBorders>
            <w:shd w:val="clear" w:color="auto" w:fill="F0FFFF"/>
          </w:tcPr>
          <w:p>
            <w:pPr>
              <w:spacing w:after="0"/>
              <w:rPr>
                <w:sz w:val="10"/>
                <w:szCs w:val="10"/>
                <w:color w:val="auto"/>
              </w:rPr>
            </w:pPr>
          </w:p>
        </w:tc>
        <w:tc>
          <w:tcPr>
            <w:tcW w:w="1560" w:type="dxa"/>
            <w:vAlign w:val="bottom"/>
            <w:tcBorders>
              <w:right w:val="single" w:sz="8" w:color="F0FFFF"/>
            </w:tcBorders>
            <w:gridSpan w:val="13"/>
            <w:shd w:val="clear" w:color="auto" w:fill="F0FFFF"/>
          </w:tcPr>
          <w:p>
            <w:pPr>
              <w:ind w:left="100"/>
              <w:spacing w:after="0" w:line="119" w:lineRule="exact"/>
              <w:rPr>
                <w:sz w:val="20"/>
                <w:szCs w:val="20"/>
                <w:color w:val="auto"/>
              </w:rPr>
            </w:pPr>
            <w:r>
              <w:rPr>
                <w:rFonts w:ascii="Times New Roman" w:cs="Times New Roman" w:eastAsia="Times New Roman" w:hAnsi="Times New Roman"/>
                <w:sz w:val="13"/>
                <w:szCs w:val="13"/>
                <w:color w:val="auto"/>
              </w:rPr>
              <w:t>Holding Account.</w:t>
            </w:r>
          </w:p>
        </w:tc>
        <w:tc>
          <w:tcPr>
            <w:tcW w:w="560" w:type="dxa"/>
            <w:vAlign w:val="bottom"/>
            <w:tcBorders>
              <w:left w:val="single" w:sz="8" w:color="F0FFFF"/>
              <w:right w:val="single" w:sz="8" w:color="F0FFFF"/>
            </w:tcBorders>
            <w:gridSpan w:val="7"/>
            <w:vMerge w:val="continue"/>
            <w:shd w:val="clear" w:color="auto" w:fill="F0FFFF"/>
          </w:tcPr>
          <w:p>
            <w:pPr>
              <w:spacing w:after="0"/>
              <w:rPr>
                <w:sz w:val="10"/>
                <w:szCs w:val="10"/>
                <w:color w:val="auto"/>
              </w:rPr>
            </w:pPr>
          </w:p>
        </w:tc>
        <w:tc>
          <w:tcPr>
            <w:tcW w:w="200" w:type="dxa"/>
            <w:vAlign w:val="bottom"/>
            <w:gridSpan w:val="2"/>
            <w:vMerge w:val="continue"/>
            <w:shd w:val="clear" w:color="auto" w:fill="F0FFFF"/>
          </w:tcPr>
          <w:p>
            <w:pPr>
              <w:spacing w:after="0"/>
              <w:rPr>
                <w:sz w:val="10"/>
                <w:szCs w:val="10"/>
                <w:color w:val="auto"/>
              </w:rPr>
            </w:pPr>
          </w:p>
        </w:tc>
        <w:tc>
          <w:tcPr>
            <w:tcW w:w="700" w:type="dxa"/>
            <w:vAlign w:val="bottom"/>
            <w:tcBorders>
              <w:left w:val="single" w:sz="8" w:color="F0FFFF"/>
              <w:right w:val="single" w:sz="8" w:color="F0FFFF"/>
            </w:tcBorders>
            <w:gridSpan w:val="4"/>
            <w:shd w:val="clear" w:color="auto" w:fill="F0FFFF"/>
          </w:tcPr>
          <w:p>
            <w:pPr>
              <w:spacing w:after="0"/>
              <w:rPr>
                <w:sz w:val="10"/>
                <w:szCs w:val="10"/>
                <w:color w:val="auto"/>
              </w:rPr>
            </w:pPr>
          </w:p>
        </w:tc>
        <w:tc>
          <w:tcPr>
            <w:tcW w:w="240" w:type="dxa"/>
            <w:vAlign w:val="bottom"/>
            <w:tcBorders>
              <w:left w:val="single" w:sz="8" w:color="F0FFFF"/>
              <w:right w:val="single" w:sz="8" w:color="F0FFFF"/>
            </w:tcBorders>
            <w:gridSpan w:val="3"/>
            <w:shd w:val="clear" w:color="auto" w:fill="F0FFFF"/>
          </w:tcPr>
          <w:p>
            <w:pPr>
              <w:spacing w:after="0"/>
              <w:rPr>
                <w:sz w:val="10"/>
                <w:szCs w:val="10"/>
                <w:color w:val="auto"/>
              </w:rPr>
            </w:pPr>
          </w:p>
        </w:tc>
        <w:tc>
          <w:tcPr>
            <w:tcW w:w="200" w:type="dxa"/>
            <w:vAlign w:val="bottom"/>
            <w:tcBorders>
              <w:left w:val="single" w:sz="8" w:color="F0FFFF"/>
              <w:right w:val="single" w:sz="8" w:color="F0FFFF"/>
            </w:tcBorders>
            <w:gridSpan w:val="2"/>
            <w:vMerge w:val="continue"/>
            <w:shd w:val="clear" w:color="auto" w:fill="F0FFFF"/>
          </w:tcPr>
          <w:p>
            <w:pPr>
              <w:spacing w:after="0"/>
              <w:rPr>
                <w:sz w:val="10"/>
                <w:szCs w:val="10"/>
                <w:color w:val="auto"/>
              </w:rPr>
            </w:pPr>
          </w:p>
        </w:tc>
        <w:tc>
          <w:tcPr>
            <w:tcW w:w="440" w:type="dxa"/>
            <w:vAlign w:val="bottom"/>
            <w:tcBorders>
              <w:right w:val="single" w:sz="8" w:color="F0FFFF"/>
            </w:tcBorders>
            <w:gridSpan w:val="7"/>
            <w:vMerge w:val="continue"/>
            <w:shd w:val="clear" w:color="auto" w:fill="F0FFFF"/>
          </w:tcPr>
          <w:p>
            <w:pPr>
              <w:spacing w:after="0"/>
              <w:rPr>
                <w:sz w:val="10"/>
                <w:szCs w:val="10"/>
                <w:color w:val="auto"/>
              </w:rPr>
            </w:pPr>
          </w:p>
        </w:tc>
        <w:tc>
          <w:tcPr>
            <w:tcW w:w="340" w:type="dxa"/>
            <w:vAlign w:val="bottom"/>
            <w:tcBorders>
              <w:left w:val="single" w:sz="8" w:color="F0FFFF"/>
              <w:right w:val="single" w:sz="8" w:color="auto"/>
            </w:tcBorders>
            <w:gridSpan w:val="2"/>
            <w:vMerge w:val="continue"/>
            <w:shd w:val="clear" w:color="auto" w:fill="F0FFFF"/>
          </w:tcPr>
          <w:p>
            <w:pPr>
              <w:spacing w:after="0"/>
              <w:rPr>
                <w:sz w:val="10"/>
                <w:szCs w:val="10"/>
                <w:color w:val="auto"/>
              </w:rPr>
            </w:pPr>
          </w:p>
        </w:tc>
        <w:tc>
          <w:tcPr>
            <w:tcW w:w="80" w:type="dxa"/>
            <w:vAlign w:val="bottom"/>
            <w:tcBorders>
              <w:right w:val="single" w:sz="8" w:color="F0FFFF"/>
            </w:tcBorders>
            <w:shd w:val="clear" w:color="auto" w:fill="F0FFFF"/>
          </w:tcPr>
          <w:p>
            <w:pPr>
              <w:spacing w:after="0"/>
              <w:rPr>
                <w:sz w:val="10"/>
                <w:szCs w:val="10"/>
                <w:color w:val="auto"/>
              </w:rPr>
            </w:pPr>
          </w:p>
        </w:tc>
        <w:tc>
          <w:tcPr>
            <w:tcW w:w="1260" w:type="dxa"/>
            <w:vAlign w:val="bottom"/>
            <w:tcBorders>
              <w:right w:val="single" w:sz="8" w:color="auto"/>
            </w:tcBorders>
            <w:gridSpan w:val="12"/>
            <w:vMerge w:val="continue"/>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440" w:type="dxa"/>
            <w:vAlign w:val="bottom"/>
            <w:tcBorders>
              <w:top w:val="single" w:sz="8" w:color="F0FFFF"/>
              <w:left w:val="single" w:sz="8" w:color="auto"/>
              <w:right w:val="single" w:sz="8" w:color="auto"/>
            </w:tcBorders>
            <w:shd w:val="clear" w:color="auto" w:fill="F0FFFF"/>
          </w:tcPr>
          <w:p>
            <w:pPr>
              <w:spacing w:after="0"/>
              <w:rPr>
                <w:sz w:val="11"/>
                <w:szCs w:val="11"/>
                <w:color w:val="auto"/>
              </w:rPr>
            </w:pPr>
          </w:p>
        </w:tc>
        <w:tc>
          <w:tcPr>
            <w:tcW w:w="60" w:type="dxa"/>
            <w:vAlign w:val="bottom"/>
            <w:tcBorders>
              <w:top w:val="single" w:sz="8" w:color="F0FFFF"/>
            </w:tcBorders>
            <w:shd w:val="clear" w:color="auto" w:fill="F0FFFF"/>
          </w:tcPr>
          <w:p>
            <w:pPr>
              <w:spacing w:after="0"/>
              <w:rPr>
                <w:sz w:val="11"/>
                <w:szCs w:val="11"/>
                <w:color w:val="auto"/>
              </w:rPr>
            </w:pPr>
          </w:p>
        </w:tc>
        <w:tc>
          <w:tcPr>
            <w:tcW w:w="140" w:type="dxa"/>
            <w:vAlign w:val="bottom"/>
            <w:tcBorders>
              <w:top w:val="single" w:sz="8" w:color="F0FFFF"/>
              <w:right w:val="single" w:sz="8" w:color="F0FFFF"/>
            </w:tcBorders>
            <w:shd w:val="clear" w:color="auto" w:fill="F0FFFF"/>
          </w:tcPr>
          <w:p>
            <w:pPr>
              <w:spacing w:after="0"/>
              <w:rPr>
                <w:sz w:val="11"/>
                <w:szCs w:val="11"/>
                <w:color w:val="auto"/>
              </w:rPr>
            </w:pPr>
          </w:p>
        </w:tc>
        <w:tc>
          <w:tcPr>
            <w:tcW w:w="120" w:type="dxa"/>
            <w:vAlign w:val="bottom"/>
            <w:tcBorders>
              <w:top w:val="single" w:sz="8" w:color="F0FFFF"/>
              <w:right w:val="single" w:sz="8" w:color="F0FFFF"/>
            </w:tcBorders>
            <w:shd w:val="clear" w:color="auto" w:fill="F0FF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top w:val="single" w:sz="8" w:color="auto"/>
              <w:right w:val="single" w:sz="8" w:color="F0FFFF"/>
            </w:tcBorders>
            <w:gridSpan w:val="7"/>
            <w:shd w:val="clear" w:color="auto" w:fill="F0FFFF"/>
          </w:tcPr>
          <w:p>
            <w:pPr>
              <w:ind w:left="80"/>
              <w:spacing w:after="0" w:line="129" w:lineRule="exact"/>
              <w:rPr>
                <w:sz w:val="20"/>
                <w:szCs w:val="20"/>
                <w:color w:val="auto"/>
              </w:rPr>
            </w:pPr>
            <w:r>
              <w:rPr>
                <w:rFonts w:ascii="Times New Roman" w:cs="Times New Roman" w:eastAsia="Times New Roman" w:hAnsi="Times New Roman"/>
                <w:sz w:val="13"/>
                <w:szCs w:val="13"/>
                <w:color w:val="auto"/>
              </w:rPr>
              <w:t>Transfers may</w:t>
            </w:r>
          </w:p>
        </w:tc>
        <w:tc>
          <w:tcPr>
            <w:tcW w:w="3180" w:type="dxa"/>
            <w:vAlign w:val="bottom"/>
            <w:tcBorders>
              <w:top w:val="single" w:sz="8" w:color="F0FFFF"/>
              <w:right w:val="single" w:sz="8" w:color="auto"/>
            </w:tcBorders>
            <w:gridSpan w:val="32"/>
            <w:shd w:val="clear" w:color="auto" w:fill="F0FFFF"/>
          </w:tcPr>
          <w:p>
            <w:pPr>
              <w:spacing w:after="0" w:line="129" w:lineRule="exact"/>
              <w:rPr>
                <w:sz w:val="20"/>
                <w:szCs w:val="20"/>
                <w:color w:val="auto"/>
              </w:rPr>
            </w:pPr>
            <w:r>
              <w:rPr>
                <w:rFonts w:ascii="Times New Roman" w:cs="Times New Roman" w:eastAsia="Times New Roman" w:hAnsi="Times New Roman"/>
                <w:sz w:val="13"/>
                <w:szCs w:val="13"/>
                <w:color w:val="auto"/>
              </w:rPr>
              <w:t>not be made into the Holding Account.</w:t>
            </w:r>
          </w:p>
        </w:tc>
        <w:tc>
          <w:tcPr>
            <w:tcW w:w="80" w:type="dxa"/>
            <w:vAlign w:val="bottom"/>
            <w:tcBorders>
              <w:top w:val="single" w:sz="8" w:color="F0FFFF"/>
              <w:right w:val="single" w:sz="8" w:color="F0FFFF"/>
            </w:tcBorders>
            <w:shd w:val="clear" w:color="auto" w:fill="F0FFFF"/>
          </w:tcPr>
          <w:p>
            <w:pPr>
              <w:spacing w:after="0"/>
              <w:rPr>
                <w:sz w:val="11"/>
                <w:szCs w:val="11"/>
                <w:color w:val="auto"/>
              </w:rPr>
            </w:pPr>
          </w:p>
        </w:tc>
        <w:tc>
          <w:tcPr>
            <w:tcW w:w="1260" w:type="dxa"/>
            <w:vAlign w:val="bottom"/>
            <w:tcBorders>
              <w:top w:val="single" w:sz="8" w:color="F0FFFF"/>
              <w:right w:val="single" w:sz="8" w:color="auto"/>
            </w:tcBorders>
            <w:gridSpan w:val="12"/>
            <w:shd w:val="clear" w:color="auto" w:fill="F0FF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SHIELD OPTIONS</w:t>
            </w: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140" w:type="dxa"/>
            <w:vAlign w:val="bottom"/>
            <w:tcBorders>
              <w:right w:val="single" w:sz="8" w:color="F0FFFF"/>
            </w:tcBorders>
            <w:shd w:val="clear" w:color="auto" w:fill="F0FFFF"/>
          </w:tcPr>
          <w:p>
            <w:pPr>
              <w:spacing w:after="0" w:line="20" w:lineRule="exact"/>
              <w:rPr>
                <w:sz w:val="1"/>
                <w:szCs w:val="1"/>
                <w:color w:val="auto"/>
              </w:rPr>
            </w:pPr>
          </w:p>
        </w:tc>
        <w:tc>
          <w:tcPr>
            <w:tcW w:w="720" w:type="dxa"/>
            <w:vAlign w:val="bottom"/>
            <w:tcBorders>
              <w:right w:val="single" w:sz="8" w:color="F0FFFF"/>
            </w:tcBorders>
            <w:gridSpan w:val="7"/>
            <w:shd w:val="clear" w:color="auto" w:fill="F0FFFF"/>
          </w:tcPr>
          <w:p>
            <w:pPr>
              <w:spacing w:after="0" w:line="20" w:lineRule="exact"/>
              <w:rPr>
                <w:sz w:val="1"/>
                <w:szCs w:val="1"/>
                <w:color w:val="auto"/>
              </w:rPr>
            </w:pPr>
          </w:p>
        </w:tc>
        <w:tc>
          <w:tcPr>
            <w:tcW w:w="480" w:type="dxa"/>
            <w:vAlign w:val="bottom"/>
            <w:tcBorders>
              <w:left w:val="single" w:sz="8" w:color="F0FFFF"/>
              <w:right w:val="single" w:sz="8" w:color="F0FFFF"/>
            </w:tcBorders>
            <w:gridSpan w:val="2"/>
            <w:shd w:val="clear" w:color="auto" w:fill="F0FFFF"/>
          </w:tcPr>
          <w:p>
            <w:pPr>
              <w:spacing w:after="0" w:line="20" w:lineRule="exact"/>
              <w:rPr>
                <w:sz w:val="1"/>
                <w:szCs w:val="1"/>
                <w:color w:val="auto"/>
              </w:rPr>
            </w:pPr>
          </w:p>
        </w:tc>
        <w:tc>
          <w:tcPr>
            <w:tcW w:w="920" w:type="dxa"/>
            <w:vAlign w:val="bottom"/>
            <w:tcBorders>
              <w:right w:val="single" w:sz="8" w:color="auto"/>
            </w:tcBorders>
            <w:gridSpan w:val="11"/>
            <w:shd w:val="clear" w:color="auto" w:fill="F0FFFF"/>
          </w:tcPr>
          <w:p>
            <w:pPr>
              <w:spacing w:after="0" w:line="20" w:lineRule="exact"/>
              <w:rPr>
                <w:sz w:val="1"/>
                <w:szCs w:val="1"/>
                <w:color w:val="auto"/>
              </w:rPr>
            </w:pPr>
          </w:p>
        </w:tc>
        <w:tc>
          <w:tcPr>
            <w:tcW w:w="900" w:type="dxa"/>
            <w:vAlign w:val="bottom"/>
            <w:tcBorders>
              <w:right w:val="single" w:sz="8" w:color="F0FFFF"/>
            </w:tcBorders>
            <w:gridSpan w:val="6"/>
            <w:shd w:val="clear" w:color="auto" w:fill="000000"/>
          </w:tcPr>
          <w:p>
            <w:pPr>
              <w:spacing w:after="0" w:line="20" w:lineRule="exact"/>
              <w:rPr>
                <w:sz w:val="1"/>
                <w:szCs w:val="1"/>
                <w:color w:val="auto"/>
              </w:rPr>
            </w:pPr>
          </w:p>
        </w:tc>
        <w:tc>
          <w:tcPr>
            <w:tcW w:w="440" w:type="dxa"/>
            <w:vAlign w:val="bottom"/>
            <w:tcBorders>
              <w:left w:val="single" w:sz="8" w:color="F0FFFF"/>
              <w:right w:val="single" w:sz="8" w:color="F0FFFF"/>
            </w:tcBorders>
            <w:gridSpan w:val="5"/>
            <w:shd w:val="clear" w:color="auto" w:fill="F0FFFF"/>
          </w:tcPr>
          <w:p>
            <w:pPr>
              <w:spacing w:after="0" w:line="20" w:lineRule="exact"/>
              <w:rPr>
                <w:sz w:val="1"/>
                <w:szCs w:val="1"/>
                <w:color w:val="auto"/>
              </w:rPr>
            </w:pPr>
          </w:p>
        </w:tc>
        <w:tc>
          <w:tcPr>
            <w:tcW w:w="440" w:type="dxa"/>
            <w:vAlign w:val="bottom"/>
            <w:tcBorders>
              <w:right w:val="single" w:sz="8" w:color="F0FFFF"/>
            </w:tcBorders>
            <w:gridSpan w:val="7"/>
            <w:shd w:val="clear" w:color="auto" w:fill="F0FFFF"/>
          </w:tcPr>
          <w:p>
            <w:pPr>
              <w:spacing w:after="0" w:line="20" w:lineRule="exact"/>
              <w:rPr>
                <w:sz w:val="1"/>
                <w:szCs w:val="1"/>
                <w:color w:val="auto"/>
              </w:rPr>
            </w:pPr>
          </w:p>
        </w:tc>
        <w:tc>
          <w:tcPr>
            <w:tcW w:w="340" w:type="dxa"/>
            <w:vAlign w:val="bottom"/>
            <w:tcBorders>
              <w:left w:val="single" w:sz="8" w:color="F0FFFF"/>
              <w:right w:val="single" w:sz="8" w:color="auto"/>
            </w:tcBorders>
            <w:gridSpan w:val="2"/>
            <w:shd w:val="clear" w:color="auto" w:fill="F0FFFF"/>
          </w:tcPr>
          <w:p>
            <w:pPr>
              <w:spacing w:after="0" w:line="20" w:lineRule="exact"/>
              <w:rPr>
                <w:sz w:val="1"/>
                <w:szCs w:val="1"/>
                <w:color w:val="auto"/>
              </w:rPr>
            </w:pPr>
          </w:p>
        </w:tc>
        <w:tc>
          <w:tcPr>
            <w:tcW w:w="80" w:type="dxa"/>
            <w:vAlign w:val="bottom"/>
            <w:tcBorders>
              <w:right w:val="single" w:sz="8" w:color="F0FFFF"/>
            </w:tcBorders>
            <w:shd w:val="clear" w:color="auto" w:fill="F0FF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140" w:type="dxa"/>
            <w:vAlign w:val="bottom"/>
            <w:tcBorders>
              <w:right w:val="single" w:sz="8" w:color="auto"/>
            </w:tcBorders>
            <w:gridSpan w:val="2"/>
            <w:vMerge w:val="restart"/>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440" w:type="dxa"/>
            <w:vAlign w:val="bottom"/>
            <w:tcBorders>
              <w:left w:val="single" w:sz="8" w:color="auto"/>
              <w:right w:val="single" w:sz="8" w:color="auto"/>
            </w:tcBorders>
            <w:shd w:val="clear" w:color="auto" w:fill="F0FFFF"/>
          </w:tcPr>
          <w:p>
            <w:pPr>
              <w:spacing w:after="0"/>
              <w:rPr>
                <w:sz w:val="10"/>
                <w:szCs w:val="10"/>
                <w:color w:val="auto"/>
              </w:rPr>
            </w:pPr>
          </w:p>
        </w:tc>
        <w:tc>
          <w:tcPr>
            <w:tcW w:w="60" w:type="dxa"/>
            <w:vAlign w:val="bottom"/>
            <w:shd w:val="clear" w:color="auto" w:fill="F0FFFF"/>
          </w:tcPr>
          <w:p>
            <w:pPr>
              <w:spacing w:after="0"/>
              <w:rPr>
                <w:sz w:val="10"/>
                <w:szCs w:val="10"/>
                <w:color w:val="auto"/>
              </w:rPr>
            </w:pPr>
          </w:p>
        </w:tc>
        <w:tc>
          <w:tcPr>
            <w:tcW w:w="140" w:type="dxa"/>
            <w:vAlign w:val="bottom"/>
            <w:tcBorders>
              <w:right w:val="single" w:sz="8" w:color="F0FFFF"/>
            </w:tcBorders>
            <w:shd w:val="clear" w:color="auto" w:fill="F0FFFF"/>
          </w:tcPr>
          <w:p>
            <w:pPr>
              <w:spacing w:after="0"/>
              <w:rPr>
                <w:sz w:val="10"/>
                <w:szCs w:val="10"/>
                <w:color w:val="auto"/>
              </w:rPr>
            </w:pPr>
          </w:p>
        </w:tc>
        <w:tc>
          <w:tcPr>
            <w:tcW w:w="4240" w:type="dxa"/>
            <w:vAlign w:val="bottom"/>
            <w:tcBorders>
              <w:right w:val="single" w:sz="8" w:color="auto"/>
            </w:tcBorders>
            <w:gridSpan w:val="40"/>
            <w:shd w:val="clear" w:color="auto" w:fill="F0FFFF"/>
          </w:tcPr>
          <w:p>
            <w:pPr>
              <w:spacing w:after="0" w:line="124" w:lineRule="exact"/>
              <w:rPr>
                <w:sz w:val="20"/>
                <w:szCs w:val="20"/>
                <w:color w:val="auto"/>
              </w:rPr>
            </w:pPr>
            <w:r>
              <w:rPr>
                <w:rFonts w:ascii="Times New Roman" w:cs="Times New Roman" w:eastAsia="Times New Roman" w:hAnsi="Times New Roman"/>
                <w:sz w:val="13"/>
                <w:szCs w:val="13"/>
                <w:color w:val="auto"/>
              </w:rPr>
              <w:t>○  If you have not exercised the Performance Lock, transfers among the</w:t>
            </w:r>
          </w:p>
        </w:tc>
        <w:tc>
          <w:tcPr>
            <w:tcW w:w="80" w:type="dxa"/>
            <w:vAlign w:val="bottom"/>
            <w:tcBorders>
              <w:right w:val="single" w:sz="8" w:color="F0FFFF"/>
            </w:tcBorders>
            <w:shd w:val="clear" w:color="auto" w:fill="F0FFFF"/>
          </w:tcPr>
          <w:p>
            <w:pPr>
              <w:spacing w:after="0"/>
              <w:rPr>
                <w:sz w:val="10"/>
                <w:szCs w:val="10"/>
                <w:color w:val="auto"/>
              </w:rPr>
            </w:pPr>
          </w:p>
        </w:tc>
        <w:tc>
          <w:tcPr>
            <w:tcW w:w="1120" w:type="dxa"/>
            <w:vAlign w:val="bottom"/>
            <w:gridSpan w:val="10"/>
            <w:shd w:val="clear" w:color="auto" w:fill="F0FFFF"/>
          </w:tcPr>
          <w:p>
            <w:pPr>
              <w:spacing w:after="0" w:line="124" w:lineRule="exact"/>
              <w:rPr>
                <w:sz w:val="20"/>
                <w:szCs w:val="20"/>
                <w:color w:val="auto"/>
              </w:rPr>
            </w:pPr>
            <w:r>
              <w:rPr>
                <w:rFonts w:ascii="Times New Roman" w:cs="Times New Roman" w:eastAsia="Times New Roman" w:hAnsi="Times New Roman"/>
                <w:sz w:val="13"/>
                <w:szCs w:val="13"/>
                <w:b w:val="1"/>
                <w:bCs w:val="1"/>
                <w:color w:val="auto"/>
              </w:rPr>
              <w:t> </w:t>
            </w:r>
          </w:p>
        </w:tc>
        <w:tc>
          <w:tcPr>
            <w:tcW w:w="140" w:type="dxa"/>
            <w:vAlign w:val="bottom"/>
            <w:tcBorders>
              <w:right w:val="single" w:sz="8" w:color="auto"/>
            </w:tcBorders>
            <w:gridSpan w:val="2"/>
            <w:vMerge w:val="continue"/>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40" w:type="dxa"/>
            <w:vAlign w:val="bottom"/>
            <w:tcBorders>
              <w:left w:val="single" w:sz="8" w:color="auto"/>
              <w:right w:val="single" w:sz="8" w:color="auto"/>
            </w:tcBorders>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40" w:type="dxa"/>
            <w:vAlign w:val="bottom"/>
            <w:tcBorders>
              <w:right w:val="single" w:sz="8" w:color="F0FFFF"/>
            </w:tcBorders>
            <w:shd w:val="clear" w:color="auto" w:fill="F0FFFF"/>
          </w:tcPr>
          <w:p>
            <w:pPr>
              <w:spacing w:after="0"/>
              <w:rPr>
                <w:sz w:val="12"/>
                <w:szCs w:val="12"/>
                <w:color w:val="auto"/>
              </w:rPr>
            </w:pPr>
          </w:p>
        </w:tc>
        <w:tc>
          <w:tcPr>
            <w:tcW w:w="4240" w:type="dxa"/>
            <w:vAlign w:val="bottom"/>
            <w:tcBorders>
              <w:right w:val="single" w:sz="8" w:color="auto"/>
            </w:tcBorders>
            <w:gridSpan w:val="40"/>
            <w:shd w:val="clear" w:color="auto" w:fill="F0FFFF"/>
          </w:tcPr>
          <w:p>
            <w:pPr>
              <w:ind w:left="100"/>
              <w:spacing w:after="0"/>
              <w:rPr>
                <w:sz w:val="20"/>
                <w:szCs w:val="20"/>
                <w:color w:val="auto"/>
              </w:rPr>
            </w:pPr>
            <w:r>
              <w:rPr>
                <w:rFonts w:ascii="Times New Roman" w:cs="Times New Roman" w:eastAsia="Times New Roman" w:hAnsi="Times New Roman"/>
                <w:sz w:val="13"/>
                <w:szCs w:val="13"/>
                <w:color w:val="auto"/>
              </w:rPr>
              <w:t>Fixed Account and the Shield Options may only be made during the</w:t>
            </w:r>
          </w:p>
        </w:tc>
        <w:tc>
          <w:tcPr>
            <w:tcW w:w="80" w:type="dxa"/>
            <w:vAlign w:val="bottom"/>
            <w:tcBorders>
              <w:right w:val="single" w:sz="8" w:color="F0FFFF"/>
            </w:tcBorders>
            <w:shd w:val="clear" w:color="auto" w:fill="F0FFFF"/>
          </w:tcPr>
          <w:p>
            <w:pPr>
              <w:spacing w:after="0"/>
              <w:rPr>
                <w:sz w:val="12"/>
                <w:szCs w:val="12"/>
                <w:color w:val="auto"/>
              </w:rPr>
            </w:pPr>
          </w:p>
        </w:tc>
        <w:tc>
          <w:tcPr>
            <w:tcW w:w="1260" w:type="dxa"/>
            <w:vAlign w:val="bottom"/>
            <w:tcBorders>
              <w:right w:val="single" w:sz="8" w:color="auto"/>
            </w:tcBorders>
            <w:gridSpan w:val="12"/>
            <w:shd w:val="clear" w:color="auto" w:fill="F0FFFF"/>
          </w:tcPr>
          <w:p>
            <w:pPr>
              <w:spacing w:after="0"/>
              <w:rPr>
                <w:sz w:val="20"/>
                <w:szCs w:val="20"/>
                <w:color w:val="auto"/>
              </w:rPr>
            </w:pPr>
            <w:r>
              <w:rPr>
                <w:rFonts w:ascii="Times New Roman" w:cs="Times New Roman" w:eastAsia="Times New Roman" w:hAnsi="Times New Roman"/>
                <w:sz w:val="13"/>
                <w:szCs w:val="13"/>
                <w:b w:val="1"/>
                <w:bCs w:val="1"/>
                <w:color w:val="auto"/>
              </w:rPr>
              <w:t>ADDITION OR</w:t>
            </w:r>
          </w:p>
        </w:tc>
        <w:tc>
          <w:tcPr>
            <w:tcW w:w="0" w:type="dxa"/>
            <w:vAlign w:val="bottom"/>
          </w:tcPr>
          <w:p>
            <w:pPr>
              <w:spacing w:after="0"/>
              <w:rPr>
                <w:sz w:val="1"/>
                <w:szCs w:val="1"/>
                <w:color w:val="auto"/>
              </w:rPr>
            </w:pPr>
          </w:p>
        </w:tc>
      </w:tr>
      <w:tr>
        <w:trPr>
          <w:trHeight w:val="149"/>
        </w:trPr>
        <w:tc>
          <w:tcPr>
            <w:tcW w:w="1440" w:type="dxa"/>
            <w:vAlign w:val="bottom"/>
            <w:tcBorders>
              <w:left w:val="single" w:sz="8" w:color="auto"/>
              <w:right w:val="single" w:sz="8" w:color="auto"/>
            </w:tcBorders>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40" w:type="dxa"/>
            <w:vAlign w:val="bottom"/>
            <w:tcBorders>
              <w:right w:val="single" w:sz="8" w:color="F0FFFF"/>
            </w:tcBorders>
            <w:shd w:val="clear" w:color="auto" w:fill="F0FFFF"/>
          </w:tcPr>
          <w:p>
            <w:pPr>
              <w:spacing w:after="0"/>
              <w:rPr>
                <w:sz w:val="12"/>
                <w:szCs w:val="12"/>
                <w:color w:val="auto"/>
              </w:rPr>
            </w:pPr>
          </w:p>
        </w:tc>
        <w:tc>
          <w:tcPr>
            <w:tcW w:w="4240" w:type="dxa"/>
            <w:vAlign w:val="bottom"/>
            <w:tcBorders>
              <w:right w:val="single" w:sz="8" w:color="auto"/>
            </w:tcBorders>
            <w:gridSpan w:val="40"/>
            <w:shd w:val="clear" w:color="auto" w:fill="F0FFFF"/>
          </w:tcPr>
          <w:p>
            <w:pPr>
              <w:ind w:left="100"/>
              <w:spacing w:after="0"/>
              <w:rPr>
                <w:sz w:val="20"/>
                <w:szCs w:val="20"/>
                <w:color w:val="auto"/>
              </w:rPr>
            </w:pPr>
            <w:r>
              <w:rPr>
                <w:rFonts w:ascii="Times New Roman" w:cs="Times New Roman" w:eastAsia="Times New Roman" w:hAnsi="Times New Roman"/>
                <w:sz w:val="13"/>
                <w:szCs w:val="13"/>
                <w:color w:val="auto"/>
              </w:rPr>
              <w:t>Transfer Period at the end of each Term.</w:t>
            </w:r>
          </w:p>
        </w:tc>
        <w:tc>
          <w:tcPr>
            <w:tcW w:w="80" w:type="dxa"/>
            <w:vAlign w:val="bottom"/>
            <w:tcBorders>
              <w:right w:val="single" w:sz="8" w:color="F0FFFF"/>
            </w:tcBorders>
            <w:shd w:val="clear" w:color="auto" w:fill="F0FFFF"/>
          </w:tcPr>
          <w:p>
            <w:pPr>
              <w:spacing w:after="0"/>
              <w:rPr>
                <w:sz w:val="12"/>
                <w:szCs w:val="12"/>
                <w:color w:val="auto"/>
              </w:rPr>
            </w:pPr>
          </w:p>
        </w:tc>
        <w:tc>
          <w:tcPr>
            <w:tcW w:w="1260" w:type="dxa"/>
            <w:vAlign w:val="bottom"/>
            <w:tcBorders>
              <w:right w:val="single" w:sz="8" w:color="auto"/>
            </w:tcBorders>
            <w:gridSpan w:val="12"/>
            <w:shd w:val="clear" w:color="auto" w:fill="F0FFFF"/>
          </w:tcPr>
          <w:p>
            <w:pPr>
              <w:spacing w:after="0"/>
              <w:rPr>
                <w:sz w:val="20"/>
                <w:szCs w:val="20"/>
                <w:color w:val="auto"/>
              </w:rPr>
            </w:pPr>
            <w:r>
              <w:rPr>
                <w:rFonts w:ascii="Times New Roman" w:cs="Times New Roman" w:eastAsia="Times New Roman" w:hAnsi="Times New Roman"/>
                <w:sz w:val="13"/>
                <w:szCs w:val="13"/>
                <w:b w:val="1"/>
                <w:bCs w:val="1"/>
                <w:color w:val="auto"/>
              </w:rPr>
              <w:t>DISCONTINUANCE</w:t>
            </w:r>
          </w:p>
        </w:tc>
        <w:tc>
          <w:tcPr>
            <w:tcW w:w="0" w:type="dxa"/>
            <w:vAlign w:val="bottom"/>
          </w:tcPr>
          <w:p>
            <w:pPr>
              <w:spacing w:after="0"/>
              <w:rPr>
                <w:sz w:val="1"/>
                <w:szCs w:val="1"/>
                <w:color w:val="auto"/>
              </w:rPr>
            </w:pPr>
          </w:p>
        </w:tc>
      </w:tr>
      <w:tr>
        <w:trPr>
          <w:trHeight w:val="144"/>
        </w:trPr>
        <w:tc>
          <w:tcPr>
            <w:tcW w:w="1440" w:type="dxa"/>
            <w:vAlign w:val="bottom"/>
            <w:tcBorders>
              <w:left w:val="single" w:sz="8" w:color="auto"/>
              <w:right w:val="single" w:sz="8" w:color="auto"/>
            </w:tcBorders>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40" w:type="dxa"/>
            <w:vAlign w:val="bottom"/>
            <w:tcBorders>
              <w:right w:val="single" w:sz="8" w:color="F0FFFF"/>
            </w:tcBorders>
            <w:shd w:val="clear" w:color="auto" w:fill="F0FFFF"/>
          </w:tcPr>
          <w:p>
            <w:pPr>
              <w:spacing w:after="0"/>
              <w:rPr>
                <w:sz w:val="12"/>
                <w:szCs w:val="12"/>
                <w:color w:val="auto"/>
              </w:rPr>
            </w:pPr>
          </w:p>
        </w:tc>
        <w:tc>
          <w:tcPr>
            <w:tcW w:w="4240" w:type="dxa"/>
            <w:vAlign w:val="bottom"/>
            <w:tcBorders>
              <w:right w:val="single" w:sz="8" w:color="auto"/>
            </w:tcBorders>
            <w:gridSpan w:val="40"/>
            <w:shd w:val="clear" w:color="auto" w:fill="F0FFFF"/>
          </w:tcPr>
          <w:p>
            <w:pPr>
              <w:spacing w:after="0" w:line="144" w:lineRule="exact"/>
              <w:rPr>
                <w:sz w:val="20"/>
                <w:szCs w:val="20"/>
                <w:color w:val="auto"/>
              </w:rPr>
            </w:pPr>
            <w:r>
              <w:rPr>
                <w:rFonts w:ascii="Times New Roman" w:cs="Times New Roman" w:eastAsia="Times New Roman" w:hAnsi="Times New Roman"/>
                <w:sz w:val="13"/>
                <w:szCs w:val="13"/>
                <w:color w:val="auto"/>
              </w:rPr>
              <w:t>○  If you have exercised the Performance Lock, you may transfer on any</w:t>
            </w:r>
          </w:p>
        </w:tc>
        <w:tc>
          <w:tcPr>
            <w:tcW w:w="80" w:type="dxa"/>
            <w:vAlign w:val="bottom"/>
            <w:tcBorders>
              <w:right w:val="single" w:sz="8" w:color="F0FFFF"/>
            </w:tcBorders>
            <w:shd w:val="clear" w:color="auto" w:fill="F0FFFF"/>
          </w:tcPr>
          <w:p>
            <w:pPr>
              <w:spacing w:after="0"/>
              <w:rPr>
                <w:sz w:val="12"/>
                <w:szCs w:val="12"/>
                <w:color w:val="auto"/>
              </w:rPr>
            </w:pPr>
          </w:p>
        </w:tc>
        <w:tc>
          <w:tcPr>
            <w:tcW w:w="1260" w:type="dxa"/>
            <w:vAlign w:val="bottom"/>
            <w:tcBorders>
              <w:right w:val="single" w:sz="8" w:color="auto"/>
            </w:tcBorders>
            <w:gridSpan w:val="12"/>
            <w:shd w:val="clear" w:color="auto" w:fill="F0FFFF"/>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OF A SHIELD</w:t>
            </w: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140" w:type="dxa"/>
            <w:vAlign w:val="bottom"/>
            <w:tcBorders>
              <w:right w:val="single" w:sz="8" w:color="F0FFFF"/>
            </w:tcBorders>
            <w:shd w:val="clear" w:color="auto" w:fill="F0FFFF"/>
          </w:tcPr>
          <w:p>
            <w:pPr>
              <w:spacing w:after="0" w:line="20" w:lineRule="exact"/>
              <w:rPr>
                <w:sz w:val="1"/>
                <w:szCs w:val="1"/>
                <w:color w:val="auto"/>
              </w:rPr>
            </w:pPr>
          </w:p>
        </w:tc>
        <w:tc>
          <w:tcPr>
            <w:tcW w:w="4240" w:type="dxa"/>
            <w:vAlign w:val="bottom"/>
            <w:tcBorders>
              <w:right w:val="single" w:sz="8" w:color="auto"/>
            </w:tcBorders>
            <w:gridSpan w:val="40"/>
            <w:vMerge w:val="restart"/>
            <w:shd w:val="clear" w:color="auto" w:fill="F0FFFF"/>
          </w:tcPr>
          <w:p>
            <w:pPr>
              <w:ind w:left="100"/>
              <w:spacing w:after="0" w:line="139" w:lineRule="exact"/>
              <w:rPr>
                <w:sz w:val="20"/>
                <w:szCs w:val="20"/>
                <w:color w:val="auto"/>
              </w:rPr>
            </w:pPr>
            <w:r>
              <w:rPr>
                <w:rFonts w:ascii="Times New Roman" w:cs="Times New Roman" w:eastAsia="Times New Roman" w:hAnsi="Times New Roman"/>
                <w:sz w:val="13"/>
                <w:szCs w:val="13"/>
                <w:color w:val="auto"/>
              </w:rPr>
              <w:t>Contract Anniversary prior to the end of the Term and on the Term End</w:t>
            </w:r>
          </w:p>
        </w:tc>
        <w:tc>
          <w:tcPr>
            <w:tcW w:w="80" w:type="dxa"/>
            <w:vAlign w:val="bottom"/>
            <w:tcBorders>
              <w:right w:val="single" w:sz="8" w:color="F0FFFF"/>
            </w:tcBorders>
            <w:shd w:val="clear" w:color="auto" w:fill="F0FFFF"/>
          </w:tcPr>
          <w:p>
            <w:pPr>
              <w:spacing w:after="0" w:line="20" w:lineRule="exact"/>
              <w:rPr>
                <w:sz w:val="1"/>
                <w:szCs w:val="1"/>
                <w:color w:val="auto"/>
              </w:rPr>
            </w:pPr>
          </w:p>
        </w:tc>
        <w:tc>
          <w:tcPr>
            <w:tcW w:w="30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80" w:type="dxa"/>
            <w:vAlign w:val="bottom"/>
            <w:tcBorders>
              <w:left w:val="single" w:sz="8" w:color="F0FFFF"/>
            </w:tcBorders>
            <w:gridSpan w:val="2"/>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420" w:type="dxa"/>
            <w:vAlign w:val="bottom"/>
            <w:tcBorders>
              <w:right w:val="single" w:sz="8" w:color="auto"/>
            </w:tcBorders>
            <w:gridSpan w:val="5"/>
            <w:vMerge w:val="restart"/>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440" w:type="dxa"/>
            <w:vAlign w:val="bottom"/>
            <w:tcBorders>
              <w:left w:val="single" w:sz="8" w:color="auto"/>
              <w:right w:val="single" w:sz="8" w:color="auto"/>
            </w:tcBorders>
            <w:shd w:val="clear" w:color="auto" w:fill="F0FFFF"/>
          </w:tcPr>
          <w:p>
            <w:pPr>
              <w:spacing w:after="0"/>
              <w:rPr>
                <w:sz w:val="10"/>
                <w:szCs w:val="10"/>
                <w:color w:val="auto"/>
              </w:rPr>
            </w:pPr>
          </w:p>
        </w:tc>
        <w:tc>
          <w:tcPr>
            <w:tcW w:w="60" w:type="dxa"/>
            <w:vAlign w:val="bottom"/>
            <w:shd w:val="clear" w:color="auto" w:fill="F0FFFF"/>
          </w:tcPr>
          <w:p>
            <w:pPr>
              <w:spacing w:after="0"/>
              <w:rPr>
                <w:sz w:val="10"/>
                <w:szCs w:val="10"/>
                <w:color w:val="auto"/>
              </w:rPr>
            </w:pPr>
          </w:p>
        </w:tc>
        <w:tc>
          <w:tcPr>
            <w:tcW w:w="140" w:type="dxa"/>
            <w:vAlign w:val="bottom"/>
            <w:tcBorders>
              <w:right w:val="single" w:sz="8" w:color="F0FFFF"/>
            </w:tcBorders>
            <w:shd w:val="clear" w:color="auto" w:fill="F0FFFF"/>
          </w:tcPr>
          <w:p>
            <w:pPr>
              <w:spacing w:after="0"/>
              <w:rPr>
                <w:sz w:val="10"/>
                <w:szCs w:val="10"/>
                <w:color w:val="auto"/>
              </w:rPr>
            </w:pPr>
          </w:p>
        </w:tc>
        <w:tc>
          <w:tcPr>
            <w:tcW w:w="4240" w:type="dxa"/>
            <w:vAlign w:val="bottom"/>
            <w:tcBorders>
              <w:right w:val="single" w:sz="8" w:color="auto"/>
            </w:tcBorders>
            <w:gridSpan w:val="40"/>
            <w:vMerge w:val="continue"/>
            <w:shd w:val="clear" w:color="auto" w:fill="F0FFFF"/>
          </w:tcPr>
          <w:p>
            <w:pPr>
              <w:spacing w:after="0"/>
              <w:rPr>
                <w:sz w:val="10"/>
                <w:szCs w:val="10"/>
                <w:color w:val="auto"/>
              </w:rPr>
            </w:pPr>
          </w:p>
        </w:tc>
        <w:tc>
          <w:tcPr>
            <w:tcW w:w="80" w:type="dxa"/>
            <w:vAlign w:val="bottom"/>
            <w:tcBorders>
              <w:right w:val="single" w:sz="8" w:color="F0FFFF"/>
            </w:tcBorders>
            <w:shd w:val="clear" w:color="auto" w:fill="F0FFFF"/>
          </w:tcPr>
          <w:p>
            <w:pPr>
              <w:spacing w:after="0"/>
              <w:rPr>
                <w:sz w:val="10"/>
                <w:szCs w:val="10"/>
                <w:color w:val="auto"/>
              </w:rPr>
            </w:pPr>
          </w:p>
        </w:tc>
        <w:tc>
          <w:tcPr>
            <w:tcW w:w="840" w:type="dxa"/>
            <w:vAlign w:val="bottom"/>
            <w:gridSpan w:val="7"/>
            <w:shd w:val="clear" w:color="auto" w:fill="F0FFFF"/>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OPTION</w:t>
            </w:r>
          </w:p>
        </w:tc>
        <w:tc>
          <w:tcPr>
            <w:tcW w:w="420" w:type="dxa"/>
            <w:vAlign w:val="bottom"/>
            <w:tcBorders>
              <w:right w:val="single" w:sz="8" w:color="auto"/>
            </w:tcBorders>
            <w:gridSpan w:val="5"/>
            <w:vMerge w:val="continue"/>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440" w:type="dxa"/>
            <w:vAlign w:val="bottom"/>
            <w:tcBorders>
              <w:top w:val="single" w:sz="8" w:color="F0FFFF"/>
              <w:left w:val="single" w:sz="8" w:color="auto"/>
              <w:right w:val="single" w:sz="8" w:color="auto"/>
            </w:tcBorders>
            <w:shd w:val="clear" w:color="auto" w:fill="F0FFFF"/>
          </w:tcPr>
          <w:p>
            <w:pPr>
              <w:spacing w:after="0"/>
              <w:rPr>
                <w:sz w:val="11"/>
                <w:szCs w:val="11"/>
                <w:color w:val="auto"/>
              </w:rPr>
            </w:pPr>
          </w:p>
        </w:tc>
        <w:tc>
          <w:tcPr>
            <w:tcW w:w="60" w:type="dxa"/>
            <w:vAlign w:val="bottom"/>
            <w:tcBorders>
              <w:top w:val="single" w:sz="8" w:color="F0FFFF"/>
            </w:tcBorders>
            <w:shd w:val="clear" w:color="auto" w:fill="F0FFFF"/>
          </w:tcPr>
          <w:p>
            <w:pPr>
              <w:spacing w:after="0"/>
              <w:rPr>
                <w:sz w:val="11"/>
                <w:szCs w:val="11"/>
                <w:color w:val="auto"/>
              </w:rPr>
            </w:pPr>
          </w:p>
        </w:tc>
        <w:tc>
          <w:tcPr>
            <w:tcW w:w="140" w:type="dxa"/>
            <w:vAlign w:val="bottom"/>
            <w:tcBorders>
              <w:top w:val="single" w:sz="8" w:color="F0FFFF"/>
              <w:right w:val="single" w:sz="8" w:color="F0FFFF"/>
            </w:tcBorders>
            <w:shd w:val="clear" w:color="auto" w:fill="F0FFFF"/>
          </w:tcPr>
          <w:p>
            <w:pPr>
              <w:spacing w:after="0"/>
              <w:rPr>
                <w:sz w:val="11"/>
                <w:szCs w:val="11"/>
                <w:color w:val="auto"/>
              </w:rPr>
            </w:pPr>
          </w:p>
        </w:tc>
        <w:tc>
          <w:tcPr>
            <w:tcW w:w="4240" w:type="dxa"/>
            <w:vAlign w:val="bottom"/>
            <w:tcBorders>
              <w:top w:val="single" w:sz="8" w:color="F0FFFF"/>
              <w:right w:val="single" w:sz="8" w:color="auto"/>
            </w:tcBorders>
            <w:gridSpan w:val="40"/>
            <w:shd w:val="clear" w:color="auto" w:fill="F0FFFF"/>
          </w:tcPr>
          <w:p>
            <w:pPr>
              <w:ind w:left="100"/>
              <w:spacing w:after="0" w:line="134" w:lineRule="exact"/>
              <w:rPr>
                <w:sz w:val="20"/>
                <w:szCs w:val="20"/>
                <w:color w:val="auto"/>
              </w:rPr>
            </w:pPr>
            <w:r>
              <w:rPr>
                <w:rFonts w:ascii="Times New Roman" w:cs="Times New Roman" w:eastAsia="Times New Roman" w:hAnsi="Times New Roman"/>
                <w:sz w:val="13"/>
                <w:szCs w:val="13"/>
                <w:color w:val="auto"/>
              </w:rPr>
              <w:t>Date. If you transfer the Performance Lock Value on a Contract</w:t>
            </w:r>
          </w:p>
        </w:tc>
        <w:tc>
          <w:tcPr>
            <w:tcW w:w="80" w:type="dxa"/>
            <w:vAlign w:val="bottom"/>
            <w:tcBorders>
              <w:top w:val="single" w:sz="8" w:color="F0FFFF"/>
              <w:right w:val="single" w:sz="8" w:color="F0FFFF"/>
            </w:tcBorders>
            <w:shd w:val="clear" w:color="auto" w:fill="F0FFFF"/>
          </w:tcPr>
          <w:p>
            <w:pPr>
              <w:spacing w:after="0"/>
              <w:rPr>
                <w:sz w:val="11"/>
                <w:szCs w:val="11"/>
                <w:color w:val="auto"/>
              </w:rPr>
            </w:pPr>
          </w:p>
        </w:tc>
        <w:tc>
          <w:tcPr>
            <w:tcW w:w="500" w:type="dxa"/>
            <w:vAlign w:val="bottom"/>
            <w:tcBorders>
              <w:top w:val="single" w:sz="8" w:color="auto"/>
            </w:tcBorders>
            <w:gridSpan w:val="4"/>
            <w:shd w:val="clear" w:color="auto" w:fill="F0FFFF"/>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 </w:t>
            </w:r>
          </w:p>
        </w:tc>
        <w:tc>
          <w:tcPr>
            <w:tcW w:w="760" w:type="dxa"/>
            <w:vAlign w:val="bottom"/>
            <w:tcBorders>
              <w:top w:val="single" w:sz="8" w:color="F0FFFF"/>
              <w:right w:val="single" w:sz="8" w:color="auto"/>
            </w:tcBorders>
            <w:gridSpan w:val="8"/>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440" w:type="dxa"/>
            <w:vAlign w:val="bottom"/>
            <w:tcBorders>
              <w:left w:val="single" w:sz="8" w:color="auto"/>
              <w:right w:val="single" w:sz="8" w:color="auto"/>
            </w:tcBorders>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40" w:type="dxa"/>
            <w:vAlign w:val="bottom"/>
            <w:tcBorders>
              <w:right w:val="single" w:sz="8" w:color="F0FFFF"/>
            </w:tcBorders>
            <w:shd w:val="clear" w:color="auto" w:fill="F0FFFF"/>
          </w:tcPr>
          <w:p>
            <w:pPr>
              <w:spacing w:after="0"/>
              <w:rPr>
                <w:sz w:val="12"/>
                <w:szCs w:val="12"/>
                <w:color w:val="auto"/>
              </w:rPr>
            </w:pPr>
          </w:p>
        </w:tc>
        <w:tc>
          <w:tcPr>
            <w:tcW w:w="4240" w:type="dxa"/>
            <w:vAlign w:val="bottom"/>
            <w:tcBorders>
              <w:right w:val="single" w:sz="8" w:color="auto"/>
            </w:tcBorders>
            <w:gridSpan w:val="40"/>
            <w:shd w:val="clear" w:color="auto" w:fill="F0FFFF"/>
          </w:tcPr>
          <w:p>
            <w:pPr>
              <w:ind w:left="100"/>
              <w:spacing w:after="0" w:line="139" w:lineRule="exact"/>
              <w:rPr>
                <w:sz w:val="20"/>
                <w:szCs w:val="20"/>
                <w:color w:val="auto"/>
              </w:rPr>
            </w:pPr>
            <w:r>
              <w:rPr>
                <w:rFonts w:ascii="Times New Roman" w:cs="Times New Roman" w:eastAsia="Times New Roman" w:hAnsi="Times New Roman"/>
                <w:sz w:val="13"/>
                <w:szCs w:val="13"/>
                <w:color w:val="auto"/>
              </w:rPr>
              <w:t>Anniversary before the Term End Date, you may only transfer the entire</w:t>
            </w:r>
          </w:p>
        </w:tc>
        <w:tc>
          <w:tcPr>
            <w:tcW w:w="80" w:type="dxa"/>
            <w:vAlign w:val="bottom"/>
            <w:tcBorders>
              <w:right w:val="single" w:sz="8" w:color="F0FFFF"/>
            </w:tcBorders>
            <w:shd w:val="clear" w:color="auto" w:fill="F0FFFF"/>
          </w:tcPr>
          <w:p>
            <w:pPr>
              <w:spacing w:after="0"/>
              <w:rPr>
                <w:sz w:val="12"/>
                <w:szCs w:val="12"/>
                <w:color w:val="auto"/>
              </w:rPr>
            </w:pPr>
          </w:p>
        </w:tc>
        <w:tc>
          <w:tcPr>
            <w:tcW w:w="1260" w:type="dxa"/>
            <w:vAlign w:val="bottom"/>
            <w:tcBorders>
              <w:right w:val="single" w:sz="8" w:color="auto"/>
            </w:tcBorders>
            <w:gridSpan w:val="12"/>
            <w:shd w:val="clear" w:color="auto" w:fill="F0FFFF"/>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TRANSFERS</w:t>
            </w:r>
          </w:p>
        </w:tc>
        <w:tc>
          <w:tcPr>
            <w:tcW w:w="0" w:type="dxa"/>
            <w:vAlign w:val="bottom"/>
          </w:tcPr>
          <w:p>
            <w:pPr>
              <w:spacing w:after="0"/>
              <w:rPr>
                <w:sz w:val="1"/>
                <w:szCs w:val="1"/>
                <w:color w:val="auto"/>
              </w:rPr>
            </w:pPr>
          </w:p>
        </w:tc>
      </w:tr>
      <w:tr>
        <w:trPr>
          <w:trHeight w:val="149"/>
        </w:trPr>
        <w:tc>
          <w:tcPr>
            <w:tcW w:w="1440" w:type="dxa"/>
            <w:vAlign w:val="bottom"/>
            <w:tcBorders>
              <w:left w:val="single" w:sz="8" w:color="auto"/>
              <w:right w:val="single" w:sz="8" w:color="auto"/>
            </w:tcBorders>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40" w:type="dxa"/>
            <w:vAlign w:val="bottom"/>
            <w:tcBorders>
              <w:right w:val="single" w:sz="8" w:color="F0FFFF"/>
            </w:tcBorders>
            <w:shd w:val="clear" w:color="auto" w:fill="F0FFFF"/>
          </w:tcPr>
          <w:p>
            <w:pPr>
              <w:spacing w:after="0"/>
              <w:rPr>
                <w:sz w:val="12"/>
                <w:szCs w:val="12"/>
                <w:color w:val="auto"/>
              </w:rPr>
            </w:pPr>
          </w:p>
        </w:tc>
        <w:tc>
          <w:tcPr>
            <w:tcW w:w="4240" w:type="dxa"/>
            <w:vAlign w:val="bottom"/>
            <w:tcBorders>
              <w:right w:val="single" w:sz="8" w:color="auto"/>
            </w:tcBorders>
            <w:gridSpan w:val="40"/>
            <w:shd w:val="clear" w:color="auto" w:fill="F0FFFF"/>
          </w:tcPr>
          <w:p>
            <w:pPr>
              <w:ind w:left="100"/>
              <w:spacing w:after="0"/>
              <w:rPr>
                <w:sz w:val="20"/>
                <w:szCs w:val="20"/>
                <w:color w:val="auto"/>
              </w:rPr>
            </w:pPr>
            <w:r>
              <w:rPr>
                <w:rFonts w:ascii="Times New Roman" w:cs="Times New Roman" w:eastAsia="Times New Roman" w:hAnsi="Times New Roman"/>
                <w:sz w:val="13"/>
                <w:szCs w:val="13"/>
                <w:color w:val="auto"/>
              </w:rPr>
              <w:t>amount of the Performance Lock Value. If you transfer the Performance</w:t>
            </w:r>
          </w:p>
        </w:tc>
        <w:tc>
          <w:tcPr>
            <w:tcW w:w="80" w:type="dxa"/>
            <w:vAlign w:val="bottom"/>
            <w:tcBorders>
              <w:right w:val="single" w:sz="8" w:color="F0FFFF"/>
            </w:tcBorders>
            <w:shd w:val="clear" w:color="auto" w:fill="F0FFFF"/>
          </w:tcPr>
          <w:p>
            <w:pPr>
              <w:spacing w:after="0"/>
              <w:rPr>
                <w:sz w:val="12"/>
                <w:szCs w:val="12"/>
                <w:color w:val="auto"/>
              </w:rPr>
            </w:pPr>
          </w:p>
        </w:tc>
        <w:tc>
          <w:tcPr>
            <w:tcW w:w="1260" w:type="dxa"/>
            <w:vAlign w:val="bottom"/>
            <w:tcBorders>
              <w:right w:val="single" w:sz="8" w:color="auto"/>
            </w:tcBorders>
            <w:gridSpan w:val="12"/>
            <w:shd w:val="clear" w:color="auto" w:fill="F0FFFF"/>
          </w:tcPr>
          <w:p>
            <w:pPr>
              <w:spacing w:after="0"/>
              <w:rPr>
                <w:sz w:val="20"/>
                <w:szCs w:val="20"/>
                <w:color w:val="auto"/>
              </w:rPr>
            </w:pPr>
            <w:r>
              <w:rPr>
                <w:rFonts w:ascii="Times New Roman" w:cs="Times New Roman" w:eastAsia="Times New Roman" w:hAnsi="Times New Roman"/>
                <w:sz w:val="13"/>
                <w:szCs w:val="13"/>
                <w:b w:val="1"/>
                <w:bCs w:val="1"/>
                <w:color w:val="auto"/>
              </w:rPr>
              <w:t> </w:t>
            </w:r>
          </w:p>
        </w:tc>
        <w:tc>
          <w:tcPr>
            <w:tcW w:w="0" w:type="dxa"/>
            <w:vAlign w:val="bottom"/>
          </w:tcPr>
          <w:p>
            <w:pPr>
              <w:spacing w:after="0"/>
              <w:rPr>
                <w:sz w:val="1"/>
                <w:szCs w:val="1"/>
                <w:color w:val="auto"/>
              </w:rPr>
            </w:pPr>
          </w:p>
        </w:tc>
      </w:tr>
      <w:tr>
        <w:trPr>
          <w:trHeight w:val="144"/>
        </w:trPr>
        <w:tc>
          <w:tcPr>
            <w:tcW w:w="1440" w:type="dxa"/>
            <w:vAlign w:val="bottom"/>
            <w:tcBorders>
              <w:left w:val="single" w:sz="8" w:color="auto"/>
              <w:right w:val="single" w:sz="8" w:color="auto"/>
            </w:tcBorders>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40" w:type="dxa"/>
            <w:vAlign w:val="bottom"/>
            <w:tcBorders>
              <w:right w:val="single" w:sz="8" w:color="F0FFFF"/>
            </w:tcBorders>
            <w:shd w:val="clear" w:color="auto" w:fill="F0FFFF"/>
          </w:tcPr>
          <w:p>
            <w:pPr>
              <w:spacing w:after="0"/>
              <w:rPr>
                <w:sz w:val="12"/>
                <w:szCs w:val="12"/>
                <w:color w:val="auto"/>
              </w:rPr>
            </w:pPr>
          </w:p>
        </w:tc>
        <w:tc>
          <w:tcPr>
            <w:tcW w:w="4240" w:type="dxa"/>
            <w:vAlign w:val="bottom"/>
            <w:tcBorders>
              <w:right w:val="single" w:sz="8" w:color="auto"/>
            </w:tcBorders>
            <w:gridSpan w:val="40"/>
            <w:shd w:val="clear" w:color="auto" w:fill="F0FFFF"/>
          </w:tcPr>
          <w:p>
            <w:pPr>
              <w:ind w:left="100"/>
              <w:spacing w:after="0" w:line="144" w:lineRule="exact"/>
              <w:rPr>
                <w:sz w:val="20"/>
                <w:szCs w:val="20"/>
                <w:color w:val="auto"/>
              </w:rPr>
            </w:pPr>
            <w:r>
              <w:rPr>
                <w:rFonts w:ascii="Times New Roman" w:cs="Times New Roman" w:eastAsia="Times New Roman" w:hAnsi="Times New Roman"/>
                <w:sz w:val="13"/>
                <w:szCs w:val="13"/>
                <w:color w:val="auto"/>
              </w:rPr>
              <w:t>Lock Value on the Term End Date, you may transfer all or a portion of the</w:t>
            </w:r>
          </w:p>
        </w:tc>
        <w:tc>
          <w:tcPr>
            <w:tcW w:w="80" w:type="dxa"/>
            <w:vAlign w:val="bottom"/>
            <w:tcBorders>
              <w:right w:val="single" w:sz="8" w:color="F0FFFF"/>
            </w:tcBorders>
            <w:shd w:val="clear" w:color="auto" w:fill="F0FFFF"/>
          </w:tcPr>
          <w:p>
            <w:pPr>
              <w:spacing w:after="0"/>
              <w:rPr>
                <w:sz w:val="12"/>
                <w:szCs w:val="12"/>
                <w:color w:val="auto"/>
              </w:rPr>
            </w:pPr>
          </w:p>
        </w:tc>
        <w:tc>
          <w:tcPr>
            <w:tcW w:w="1260" w:type="dxa"/>
            <w:vAlign w:val="bottom"/>
            <w:tcBorders>
              <w:right w:val="single" w:sz="8" w:color="auto"/>
            </w:tcBorders>
            <w:gridSpan w:val="12"/>
            <w:shd w:val="clear" w:color="auto" w:fill="F0FFFF"/>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THE FIXED</w:t>
            </w: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140" w:type="dxa"/>
            <w:vAlign w:val="bottom"/>
            <w:tcBorders>
              <w:right w:val="single" w:sz="8" w:color="F0FFFF"/>
            </w:tcBorders>
            <w:shd w:val="clear" w:color="auto" w:fill="F0FFFF"/>
          </w:tcPr>
          <w:p>
            <w:pPr>
              <w:spacing w:after="0" w:line="20" w:lineRule="exact"/>
              <w:rPr>
                <w:sz w:val="1"/>
                <w:szCs w:val="1"/>
                <w:color w:val="auto"/>
              </w:rPr>
            </w:pPr>
          </w:p>
        </w:tc>
        <w:tc>
          <w:tcPr>
            <w:tcW w:w="4240" w:type="dxa"/>
            <w:vAlign w:val="bottom"/>
            <w:tcBorders>
              <w:right w:val="single" w:sz="8" w:color="auto"/>
            </w:tcBorders>
            <w:gridSpan w:val="40"/>
            <w:vMerge w:val="restart"/>
            <w:shd w:val="clear" w:color="auto" w:fill="F0FFFF"/>
          </w:tcPr>
          <w:p>
            <w:pPr>
              <w:ind w:left="100"/>
              <w:spacing w:after="0" w:line="139" w:lineRule="exact"/>
              <w:rPr>
                <w:sz w:val="20"/>
                <w:szCs w:val="20"/>
                <w:color w:val="auto"/>
              </w:rPr>
            </w:pPr>
            <w:r>
              <w:rPr>
                <w:rFonts w:ascii="Times New Roman" w:cs="Times New Roman" w:eastAsia="Times New Roman" w:hAnsi="Times New Roman"/>
                <w:sz w:val="13"/>
                <w:szCs w:val="13"/>
                <w:color w:val="auto"/>
              </w:rPr>
              <w:t>Performance Lock Value. Partial transfers of the Performance Lock Value</w:t>
            </w:r>
          </w:p>
        </w:tc>
        <w:tc>
          <w:tcPr>
            <w:tcW w:w="80" w:type="dxa"/>
            <w:vAlign w:val="bottom"/>
            <w:tcBorders>
              <w:right w:val="single" w:sz="8" w:color="F0FFFF"/>
            </w:tcBorders>
            <w:shd w:val="clear" w:color="auto" w:fill="F0FFFF"/>
          </w:tcPr>
          <w:p>
            <w:pPr>
              <w:spacing w:after="0" w:line="20" w:lineRule="exact"/>
              <w:rPr>
                <w:sz w:val="1"/>
                <w:szCs w:val="1"/>
                <w:color w:val="auto"/>
              </w:rPr>
            </w:pPr>
          </w:p>
        </w:tc>
        <w:tc>
          <w:tcPr>
            <w:tcW w:w="300" w:type="dxa"/>
            <w:vAlign w:val="bottom"/>
            <w:shd w:val="clear" w:color="auto" w:fill="F0FFFF"/>
          </w:tcPr>
          <w:p>
            <w:pPr>
              <w:spacing w:after="0" w:line="20" w:lineRule="exact"/>
              <w:rPr>
                <w:sz w:val="1"/>
                <w:szCs w:val="1"/>
                <w:color w:val="auto"/>
              </w:rPr>
            </w:pPr>
          </w:p>
        </w:tc>
        <w:tc>
          <w:tcPr>
            <w:tcW w:w="420" w:type="dxa"/>
            <w:vAlign w:val="bottom"/>
            <w:tcBorders>
              <w:right w:val="single" w:sz="8" w:color="auto"/>
            </w:tcBorders>
            <w:gridSpan w:val="5"/>
            <w:shd w:val="clear" w:color="auto" w:fill="000000"/>
          </w:tcPr>
          <w:p>
            <w:pPr>
              <w:spacing w:after="0" w:line="20" w:lineRule="exact"/>
              <w:rPr>
                <w:sz w:val="1"/>
                <w:szCs w:val="1"/>
                <w:color w:val="auto"/>
              </w:rPr>
            </w:pPr>
          </w:p>
        </w:tc>
        <w:tc>
          <w:tcPr>
            <w:tcW w:w="540" w:type="dxa"/>
            <w:vAlign w:val="bottom"/>
            <w:tcBorders>
              <w:right w:val="single" w:sz="8" w:color="auto"/>
            </w:tcBorders>
            <w:gridSpan w:val="6"/>
            <w:vMerge w:val="restart"/>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440" w:type="dxa"/>
            <w:vAlign w:val="bottom"/>
            <w:tcBorders>
              <w:left w:val="single" w:sz="8" w:color="auto"/>
              <w:right w:val="single" w:sz="8" w:color="auto"/>
            </w:tcBorders>
            <w:shd w:val="clear" w:color="auto" w:fill="F0FFFF"/>
          </w:tcPr>
          <w:p>
            <w:pPr>
              <w:spacing w:after="0"/>
              <w:rPr>
                <w:sz w:val="10"/>
                <w:szCs w:val="10"/>
                <w:color w:val="auto"/>
              </w:rPr>
            </w:pPr>
          </w:p>
        </w:tc>
        <w:tc>
          <w:tcPr>
            <w:tcW w:w="60" w:type="dxa"/>
            <w:vAlign w:val="bottom"/>
            <w:shd w:val="clear" w:color="auto" w:fill="F0FFFF"/>
          </w:tcPr>
          <w:p>
            <w:pPr>
              <w:spacing w:after="0"/>
              <w:rPr>
                <w:sz w:val="10"/>
                <w:szCs w:val="10"/>
                <w:color w:val="auto"/>
              </w:rPr>
            </w:pPr>
          </w:p>
        </w:tc>
        <w:tc>
          <w:tcPr>
            <w:tcW w:w="140" w:type="dxa"/>
            <w:vAlign w:val="bottom"/>
            <w:tcBorders>
              <w:right w:val="single" w:sz="8" w:color="F0FFFF"/>
            </w:tcBorders>
            <w:shd w:val="clear" w:color="auto" w:fill="F0FFFF"/>
          </w:tcPr>
          <w:p>
            <w:pPr>
              <w:spacing w:after="0"/>
              <w:rPr>
                <w:sz w:val="10"/>
                <w:szCs w:val="10"/>
                <w:color w:val="auto"/>
              </w:rPr>
            </w:pPr>
          </w:p>
        </w:tc>
        <w:tc>
          <w:tcPr>
            <w:tcW w:w="4240" w:type="dxa"/>
            <w:vAlign w:val="bottom"/>
            <w:tcBorders>
              <w:right w:val="single" w:sz="8" w:color="auto"/>
            </w:tcBorders>
            <w:gridSpan w:val="40"/>
            <w:vMerge w:val="continue"/>
            <w:shd w:val="clear" w:color="auto" w:fill="F0FFFF"/>
          </w:tcPr>
          <w:p>
            <w:pPr>
              <w:spacing w:after="0"/>
              <w:rPr>
                <w:sz w:val="10"/>
                <w:szCs w:val="10"/>
                <w:color w:val="auto"/>
              </w:rPr>
            </w:pPr>
          </w:p>
        </w:tc>
        <w:tc>
          <w:tcPr>
            <w:tcW w:w="80" w:type="dxa"/>
            <w:vAlign w:val="bottom"/>
            <w:tcBorders>
              <w:right w:val="single" w:sz="8" w:color="F0FFFF"/>
            </w:tcBorders>
            <w:shd w:val="clear" w:color="auto" w:fill="F0FFFF"/>
          </w:tcPr>
          <w:p>
            <w:pPr>
              <w:spacing w:after="0"/>
              <w:rPr>
                <w:sz w:val="10"/>
                <w:szCs w:val="10"/>
                <w:color w:val="auto"/>
              </w:rPr>
            </w:pPr>
          </w:p>
        </w:tc>
        <w:tc>
          <w:tcPr>
            <w:tcW w:w="720" w:type="dxa"/>
            <w:vAlign w:val="bottom"/>
            <w:tcBorders>
              <w:right w:val="single" w:sz="8" w:color="F0FFFF"/>
            </w:tcBorders>
            <w:gridSpan w:val="6"/>
            <w:shd w:val="clear" w:color="auto" w:fill="F0FFFF"/>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ACCOUNT</w:t>
            </w:r>
          </w:p>
        </w:tc>
        <w:tc>
          <w:tcPr>
            <w:tcW w:w="540" w:type="dxa"/>
            <w:vAlign w:val="bottom"/>
            <w:tcBorders>
              <w:right w:val="single" w:sz="8" w:color="auto"/>
            </w:tcBorders>
            <w:gridSpan w:val="6"/>
            <w:vMerge w:val="continue"/>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440" w:type="dxa"/>
            <w:vAlign w:val="bottom"/>
            <w:tcBorders>
              <w:top w:val="single" w:sz="8" w:color="F0FFFF"/>
              <w:left w:val="single" w:sz="8" w:color="auto"/>
              <w:right w:val="single" w:sz="8" w:color="auto"/>
            </w:tcBorders>
            <w:shd w:val="clear" w:color="auto" w:fill="F0FFFF"/>
          </w:tcPr>
          <w:p>
            <w:pPr>
              <w:spacing w:after="0"/>
              <w:rPr>
                <w:sz w:val="11"/>
                <w:szCs w:val="11"/>
                <w:color w:val="auto"/>
              </w:rPr>
            </w:pPr>
          </w:p>
        </w:tc>
        <w:tc>
          <w:tcPr>
            <w:tcW w:w="60" w:type="dxa"/>
            <w:vAlign w:val="bottom"/>
            <w:tcBorders>
              <w:top w:val="single" w:sz="8" w:color="F0FFFF"/>
            </w:tcBorders>
            <w:shd w:val="clear" w:color="auto" w:fill="F0FFFF"/>
          </w:tcPr>
          <w:p>
            <w:pPr>
              <w:spacing w:after="0"/>
              <w:rPr>
                <w:sz w:val="11"/>
                <w:szCs w:val="11"/>
                <w:color w:val="auto"/>
              </w:rPr>
            </w:pPr>
          </w:p>
        </w:tc>
        <w:tc>
          <w:tcPr>
            <w:tcW w:w="140" w:type="dxa"/>
            <w:vAlign w:val="bottom"/>
            <w:tcBorders>
              <w:top w:val="single" w:sz="8" w:color="F0FFFF"/>
              <w:right w:val="single" w:sz="8" w:color="F0FFFF"/>
            </w:tcBorders>
            <w:shd w:val="clear" w:color="auto" w:fill="F0FFFF"/>
          </w:tcPr>
          <w:p>
            <w:pPr>
              <w:spacing w:after="0"/>
              <w:rPr>
                <w:sz w:val="11"/>
                <w:szCs w:val="11"/>
                <w:color w:val="auto"/>
              </w:rPr>
            </w:pPr>
          </w:p>
        </w:tc>
        <w:tc>
          <w:tcPr>
            <w:tcW w:w="4240" w:type="dxa"/>
            <w:vAlign w:val="bottom"/>
            <w:tcBorders>
              <w:top w:val="single" w:sz="8" w:color="F0FFFF"/>
              <w:right w:val="single" w:sz="8" w:color="auto"/>
            </w:tcBorders>
            <w:gridSpan w:val="40"/>
            <w:shd w:val="clear" w:color="auto" w:fill="F0FFFF"/>
          </w:tcPr>
          <w:p>
            <w:pPr>
              <w:ind w:left="100"/>
              <w:spacing w:after="0" w:line="136" w:lineRule="exact"/>
              <w:rPr>
                <w:sz w:val="20"/>
                <w:szCs w:val="20"/>
                <w:color w:val="auto"/>
              </w:rPr>
            </w:pPr>
            <w:r>
              <w:rPr>
                <w:rFonts w:ascii="Times New Roman" w:cs="Times New Roman" w:eastAsia="Times New Roman" w:hAnsi="Times New Roman"/>
                <w:sz w:val="13"/>
                <w:szCs w:val="13"/>
                <w:color w:val="auto"/>
              </w:rPr>
              <w:t>prior to the Term End Date are not permitted.</w:t>
            </w:r>
          </w:p>
        </w:tc>
        <w:tc>
          <w:tcPr>
            <w:tcW w:w="80" w:type="dxa"/>
            <w:vAlign w:val="bottom"/>
            <w:tcBorders>
              <w:top w:val="single" w:sz="8" w:color="F0FFFF"/>
              <w:right w:val="single" w:sz="8" w:color="F0FFFF"/>
            </w:tcBorders>
            <w:shd w:val="clear" w:color="auto" w:fill="F0FFFF"/>
          </w:tcPr>
          <w:p>
            <w:pPr>
              <w:spacing w:after="0"/>
              <w:rPr>
                <w:sz w:val="11"/>
                <w:szCs w:val="11"/>
                <w:color w:val="auto"/>
              </w:rPr>
            </w:pPr>
          </w:p>
        </w:tc>
        <w:tc>
          <w:tcPr>
            <w:tcW w:w="300" w:type="dxa"/>
            <w:vAlign w:val="bottom"/>
            <w:tcBorders>
              <w:top w:val="single" w:sz="8" w:color="auto"/>
            </w:tcBorders>
            <w:shd w:val="clear" w:color="auto" w:fill="F0FFFF"/>
          </w:tcPr>
          <w:p>
            <w:pPr>
              <w:spacing w:after="0"/>
              <w:rPr>
                <w:sz w:val="11"/>
                <w:szCs w:val="11"/>
                <w:color w:val="auto"/>
              </w:rPr>
            </w:pPr>
          </w:p>
        </w:tc>
        <w:tc>
          <w:tcPr>
            <w:tcW w:w="20" w:type="dxa"/>
            <w:vAlign w:val="bottom"/>
            <w:tcBorders>
              <w:top w:val="single" w:sz="8" w:color="auto"/>
            </w:tcBorders>
            <w:shd w:val="clear" w:color="auto" w:fill="F0FFFF"/>
          </w:tcPr>
          <w:p>
            <w:pPr>
              <w:spacing w:after="0"/>
              <w:rPr>
                <w:sz w:val="11"/>
                <w:szCs w:val="11"/>
                <w:color w:val="auto"/>
              </w:rPr>
            </w:pPr>
          </w:p>
        </w:tc>
        <w:tc>
          <w:tcPr>
            <w:tcW w:w="100" w:type="dxa"/>
            <w:vAlign w:val="bottom"/>
            <w:tcBorders>
              <w:top w:val="single" w:sz="8" w:color="auto"/>
              <w:left w:val="single" w:sz="8" w:color="F0FFFF"/>
            </w:tcBorders>
            <w:shd w:val="clear" w:color="auto" w:fill="F0FFFF"/>
          </w:tcPr>
          <w:p>
            <w:pPr>
              <w:spacing w:after="0"/>
              <w:rPr>
                <w:sz w:val="11"/>
                <w:szCs w:val="11"/>
                <w:color w:val="auto"/>
              </w:rPr>
            </w:pPr>
          </w:p>
        </w:tc>
        <w:tc>
          <w:tcPr>
            <w:tcW w:w="80" w:type="dxa"/>
            <w:vAlign w:val="bottom"/>
            <w:tcBorders>
              <w:top w:val="single" w:sz="8" w:color="auto"/>
            </w:tcBorders>
            <w:shd w:val="clear" w:color="auto" w:fill="F0FFFF"/>
          </w:tcPr>
          <w:p>
            <w:pPr>
              <w:spacing w:after="0"/>
              <w:rPr>
                <w:sz w:val="11"/>
                <w:szCs w:val="11"/>
                <w:color w:val="auto"/>
              </w:rPr>
            </w:pPr>
          </w:p>
        </w:tc>
        <w:tc>
          <w:tcPr>
            <w:tcW w:w="40" w:type="dxa"/>
            <w:vAlign w:val="bottom"/>
            <w:tcBorders>
              <w:top w:val="single" w:sz="8" w:color="auto"/>
            </w:tcBorders>
            <w:shd w:val="clear" w:color="auto" w:fill="F0FFFF"/>
          </w:tcPr>
          <w:p>
            <w:pPr>
              <w:spacing w:after="0"/>
              <w:rPr>
                <w:sz w:val="11"/>
                <w:szCs w:val="11"/>
                <w:color w:val="auto"/>
              </w:rPr>
            </w:pPr>
          </w:p>
        </w:tc>
        <w:tc>
          <w:tcPr>
            <w:tcW w:w="180" w:type="dxa"/>
            <w:vAlign w:val="bottom"/>
            <w:tcBorders>
              <w:top w:val="single" w:sz="8" w:color="auto"/>
              <w:right w:val="single" w:sz="8" w:color="F0FFFF"/>
            </w:tcBorders>
            <w:shd w:val="clear" w:color="auto" w:fill="F0FFFF"/>
          </w:tcPr>
          <w:p>
            <w:pPr>
              <w:spacing w:after="0"/>
              <w:rPr>
                <w:sz w:val="11"/>
                <w:szCs w:val="11"/>
                <w:color w:val="auto"/>
              </w:rPr>
            </w:pPr>
          </w:p>
        </w:tc>
        <w:tc>
          <w:tcPr>
            <w:tcW w:w="120" w:type="dxa"/>
            <w:vAlign w:val="bottom"/>
            <w:tcBorders>
              <w:top w:val="single" w:sz="8" w:color="F0FFFF"/>
            </w:tcBorders>
            <w:shd w:val="clear" w:color="auto" w:fill="F0FFFF"/>
          </w:tcPr>
          <w:p>
            <w:pPr>
              <w:spacing w:after="0"/>
              <w:rPr>
                <w:sz w:val="11"/>
                <w:szCs w:val="11"/>
                <w:color w:val="auto"/>
              </w:rPr>
            </w:pPr>
          </w:p>
        </w:tc>
        <w:tc>
          <w:tcPr>
            <w:tcW w:w="120" w:type="dxa"/>
            <w:vAlign w:val="bottom"/>
            <w:tcBorders>
              <w:top w:val="single" w:sz="8" w:color="F0FFFF"/>
            </w:tcBorders>
            <w:shd w:val="clear" w:color="auto" w:fill="F0FFFF"/>
          </w:tcPr>
          <w:p>
            <w:pPr>
              <w:spacing w:after="0"/>
              <w:rPr>
                <w:sz w:val="11"/>
                <w:szCs w:val="11"/>
                <w:color w:val="auto"/>
              </w:rPr>
            </w:pPr>
          </w:p>
        </w:tc>
        <w:tc>
          <w:tcPr>
            <w:tcW w:w="100" w:type="dxa"/>
            <w:vAlign w:val="bottom"/>
            <w:tcBorders>
              <w:top w:val="single" w:sz="8" w:color="F0FFFF"/>
            </w:tcBorders>
            <w:shd w:val="clear" w:color="auto" w:fill="F0FFFF"/>
          </w:tcPr>
          <w:p>
            <w:pPr>
              <w:spacing w:after="0"/>
              <w:rPr>
                <w:sz w:val="11"/>
                <w:szCs w:val="11"/>
                <w:color w:val="auto"/>
              </w:rPr>
            </w:pPr>
          </w:p>
        </w:tc>
        <w:tc>
          <w:tcPr>
            <w:tcW w:w="60" w:type="dxa"/>
            <w:vAlign w:val="bottom"/>
            <w:tcBorders>
              <w:top w:val="single" w:sz="8" w:color="F0FFFF"/>
            </w:tcBorders>
            <w:shd w:val="clear" w:color="auto" w:fill="F0FFFF"/>
          </w:tcPr>
          <w:p>
            <w:pPr>
              <w:spacing w:after="0"/>
              <w:rPr>
                <w:sz w:val="11"/>
                <w:szCs w:val="11"/>
                <w:color w:val="auto"/>
              </w:rPr>
            </w:pPr>
          </w:p>
        </w:tc>
        <w:tc>
          <w:tcPr>
            <w:tcW w:w="20" w:type="dxa"/>
            <w:vAlign w:val="bottom"/>
            <w:tcBorders>
              <w:top w:val="single" w:sz="8" w:color="F0FFFF"/>
            </w:tcBorders>
            <w:shd w:val="clear" w:color="auto" w:fill="F0FFFF"/>
          </w:tcPr>
          <w:p>
            <w:pPr>
              <w:spacing w:after="0"/>
              <w:rPr>
                <w:sz w:val="11"/>
                <w:szCs w:val="11"/>
                <w:color w:val="auto"/>
              </w:rPr>
            </w:pPr>
          </w:p>
        </w:tc>
        <w:tc>
          <w:tcPr>
            <w:tcW w:w="120" w:type="dxa"/>
            <w:vAlign w:val="bottom"/>
            <w:tcBorders>
              <w:top w:val="single" w:sz="8" w:color="F0FFFF"/>
              <w:right w:val="single" w:sz="8" w:color="auto"/>
            </w:tcBorders>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440" w:type="dxa"/>
            <w:vAlign w:val="bottom"/>
            <w:tcBorders>
              <w:left w:val="single" w:sz="8" w:color="auto"/>
              <w:right w:val="single" w:sz="8" w:color="auto"/>
            </w:tcBorders>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40" w:type="dxa"/>
            <w:vAlign w:val="bottom"/>
            <w:tcBorders>
              <w:right w:val="single" w:sz="8" w:color="F0FFFF"/>
            </w:tcBorders>
            <w:shd w:val="clear" w:color="auto" w:fill="F0FFFF"/>
          </w:tcPr>
          <w:p>
            <w:pPr>
              <w:spacing w:after="0"/>
              <w:rPr>
                <w:sz w:val="12"/>
                <w:szCs w:val="12"/>
                <w:color w:val="auto"/>
              </w:rPr>
            </w:pPr>
          </w:p>
        </w:tc>
        <w:tc>
          <w:tcPr>
            <w:tcW w:w="4240" w:type="dxa"/>
            <w:vAlign w:val="bottom"/>
            <w:tcBorders>
              <w:right w:val="single" w:sz="8" w:color="auto"/>
            </w:tcBorders>
            <w:gridSpan w:val="40"/>
            <w:shd w:val="clear" w:color="auto" w:fill="F0FFFF"/>
          </w:tcPr>
          <w:p>
            <w:pPr>
              <w:spacing w:after="0" w:line="142" w:lineRule="exact"/>
              <w:rPr>
                <w:sz w:val="20"/>
                <w:szCs w:val="20"/>
                <w:color w:val="auto"/>
              </w:rPr>
            </w:pPr>
            <w:r>
              <w:rPr>
                <w:rFonts w:ascii="Times New Roman" w:cs="Times New Roman" w:eastAsia="Times New Roman" w:hAnsi="Times New Roman"/>
                <w:sz w:val="13"/>
                <w:szCs w:val="13"/>
                <w:color w:val="auto"/>
              </w:rPr>
              <w:t>○  Transfers from the Holding Account may only be made on a Contract</w:t>
            </w:r>
          </w:p>
        </w:tc>
        <w:tc>
          <w:tcPr>
            <w:tcW w:w="80" w:type="dxa"/>
            <w:vAlign w:val="bottom"/>
            <w:tcBorders>
              <w:right w:val="single" w:sz="8" w:color="F0FFFF"/>
            </w:tcBorders>
            <w:shd w:val="clear" w:color="auto" w:fill="F0FFFF"/>
          </w:tcPr>
          <w:p>
            <w:pPr>
              <w:spacing w:after="0"/>
              <w:rPr>
                <w:sz w:val="12"/>
                <w:szCs w:val="12"/>
                <w:color w:val="auto"/>
              </w:rPr>
            </w:pPr>
          </w:p>
        </w:tc>
        <w:tc>
          <w:tcPr>
            <w:tcW w:w="3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tcBorders>
              <w:lef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18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2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440" w:type="dxa"/>
            <w:vAlign w:val="bottom"/>
            <w:tcBorders>
              <w:top w:val="single" w:sz="8" w:color="F0FFFF"/>
              <w:left w:val="single" w:sz="8" w:color="auto"/>
              <w:right w:val="single" w:sz="8" w:color="auto"/>
            </w:tcBorders>
            <w:shd w:val="clear" w:color="auto" w:fill="F0FFFF"/>
          </w:tcPr>
          <w:p>
            <w:pPr>
              <w:spacing w:after="0"/>
              <w:rPr>
                <w:sz w:val="10"/>
                <w:szCs w:val="10"/>
                <w:color w:val="auto"/>
              </w:rPr>
            </w:pPr>
          </w:p>
        </w:tc>
        <w:tc>
          <w:tcPr>
            <w:tcW w:w="60" w:type="dxa"/>
            <w:vAlign w:val="bottom"/>
            <w:tcBorders>
              <w:top w:val="single" w:sz="8" w:color="F0FFFF"/>
            </w:tcBorders>
            <w:shd w:val="clear" w:color="auto" w:fill="F0FFFF"/>
          </w:tcPr>
          <w:p>
            <w:pPr>
              <w:spacing w:after="0"/>
              <w:rPr>
                <w:sz w:val="10"/>
                <w:szCs w:val="10"/>
                <w:color w:val="auto"/>
              </w:rPr>
            </w:pPr>
          </w:p>
        </w:tc>
        <w:tc>
          <w:tcPr>
            <w:tcW w:w="140" w:type="dxa"/>
            <w:vAlign w:val="bottom"/>
            <w:tcBorders>
              <w:top w:val="single" w:sz="8" w:color="F0FFFF"/>
              <w:right w:val="single" w:sz="8" w:color="F0FFFF"/>
            </w:tcBorders>
            <w:shd w:val="clear" w:color="auto" w:fill="F0FFFF"/>
          </w:tcPr>
          <w:p>
            <w:pPr>
              <w:spacing w:after="0"/>
              <w:rPr>
                <w:sz w:val="10"/>
                <w:szCs w:val="10"/>
                <w:color w:val="auto"/>
              </w:rPr>
            </w:pPr>
          </w:p>
        </w:tc>
        <w:tc>
          <w:tcPr>
            <w:tcW w:w="1200" w:type="dxa"/>
            <w:vAlign w:val="bottom"/>
            <w:tcBorders>
              <w:top w:val="single" w:sz="8" w:color="F0FFFF"/>
              <w:right w:val="single" w:sz="8" w:color="F0FFFF"/>
            </w:tcBorders>
            <w:gridSpan w:val="9"/>
            <w:shd w:val="clear" w:color="auto" w:fill="F0FFFF"/>
          </w:tcPr>
          <w:p>
            <w:pPr>
              <w:ind w:left="100"/>
              <w:spacing w:after="0" w:line="119" w:lineRule="exact"/>
              <w:rPr>
                <w:sz w:val="20"/>
                <w:szCs w:val="20"/>
                <w:color w:val="auto"/>
              </w:rPr>
            </w:pPr>
            <w:r>
              <w:rPr>
                <w:rFonts w:ascii="Times New Roman" w:cs="Times New Roman" w:eastAsia="Times New Roman" w:hAnsi="Times New Roman"/>
                <w:sz w:val="13"/>
                <w:szCs w:val="13"/>
                <w:color w:val="auto"/>
              </w:rPr>
              <w:t>Anniversary.</w:t>
            </w:r>
          </w:p>
        </w:tc>
        <w:tc>
          <w:tcPr>
            <w:tcW w:w="920" w:type="dxa"/>
            <w:vAlign w:val="bottom"/>
            <w:tcBorders>
              <w:top w:val="single" w:sz="8" w:color="auto"/>
              <w:right w:val="single" w:sz="8" w:color="F0FFFF"/>
            </w:tcBorders>
            <w:gridSpan w:val="11"/>
            <w:shd w:val="clear" w:color="auto" w:fill="F0FFFF"/>
          </w:tcPr>
          <w:p>
            <w:pPr>
              <w:spacing w:after="0"/>
              <w:rPr>
                <w:sz w:val="10"/>
                <w:szCs w:val="10"/>
                <w:color w:val="auto"/>
              </w:rPr>
            </w:pPr>
          </w:p>
        </w:tc>
        <w:tc>
          <w:tcPr>
            <w:tcW w:w="1340" w:type="dxa"/>
            <w:vAlign w:val="bottom"/>
            <w:tcBorders>
              <w:top w:val="single" w:sz="8" w:color="F0FFFF"/>
              <w:right w:val="single" w:sz="8" w:color="F0FFFF"/>
            </w:tcBorders>
            <w:gridSpan w:val="11"/>
            <w:shd w:val="clear" w:color="auto" w:fill="F0FFFF"/>
          </w:tcPr>
          <w:p>
            <w:pPr>
              <w:spacing w:after="0"/>
              <w:rPr>
                <w:sz w:val="10"/>
                <w:szCs w:val="10"/>
                <w:color w:val="auto"/>
              </w:rPr>
            </w:pPr>
          </w:p>
        </w:tc>
        <w:tc>
          <w:tcPr>
            <w:tcW w:w="440" w:type="dxa"/>
            <w:vAlign w:val="bottom"/>
            <w:tcBorders>
              <w:top w:val="single" w:sz="8" w:color="auto"/>
              <w:right w:val="single" w:sz="8" w:color="F0FFFF"/>
            </w:tcBorders>
            <w:gridSpan w:val="7"/>
            <w:shd w:val="clear" w:color="auto" w:fill="F0FFFF"/>
          </w:tcPr>
          <w:p>
            <w:pPr>
              <w:spacing w:after="0"/>
              <w:rPr>
                <w:sz w:val="10"/>
                <w:szCs w:val="10"/>
                <w:color w:val="auto"/>
              </w:rPr>
            </w:pPr>
          </w:p>
        </w:tc>
        <w:tc>
          <w:tcPr>
            <w:tcW w:w="340" w:type="dxa"/>
            <w:vAlign w:val="bottom"/>
            <w:tcBorders>
              <w:top w:val="single" w:sz="8" w:color="F0FFFF"/>
              <w:left w:val="single" w:sz="8" w:color="F0FFFF"/>
              <w:right w:val="single" w:sz="8" w:color="auto"/>
            </w:tcBorders>
            <w:gridSpan w:val="2"/>
            <w:shd w:val="clear" w:color="auto" w:fill="F0FFFF"/>
          </w:tcPr>
          <w:p>
            <w:pPr>
              <w:spacing w:after="0"/>
              <w:rPr>
                <w:sz w:val="10"/>
                <w:szCs w:val="10"/>
                <w:color w:val="auto"/>
              </w:rPr>
            </w:pPr>
          </w:p>
        </w:tc>
        <w:tc>
          <w:tcPr>
            <w:tcW w:w="80" w:type="dxa"/>
            <w:vAlign w:val="bottom"/>
            <w:tcBorders>
              <w:top w:val="single" w:sz="8" w:color="F0FFFF"/>
              <w:right w:val="single" w:sz="8" w:color="F0FFFF"/>
            </w:tcBorders>
            <w:shd w:val="clear" w:color="auto" w:fill="F0FFFF"/>
          </w:tcPr>
          <w:p>
            <w:pPr>
              <w:spacing w:after="0"/>
              <w:rPr>
                <w:sz w:val="10"/>
                <w:szCs w:val="10"/>
                <w:color w:val="auto"/>
              </w:rPr>
            </w:pPr>
          </w:p>
        </w:tc>
        <w:tc>
          <w:tcPr>
            <w:tcW w:w="300" w:type="dxa"/>
            <w:vAlign w:val="bottom"/>
            <w:tcBorders>
              <w:top w:val="single" w:sz="8" w:color="F0FFFF"/>
            </w:tcBorders>
            <w:shd w:val="clear" w:color="auto" w:fill="F0FFFF"/>
          </w:tcPr>
          <w:p>
            <w:pPr>
              <w:spacing w:after="0"/>
              <w:rPr>
                <w:sz w:val="10"/>
                <w:szCs w:val="10"/>
                <w:color w:val="auto"/>
              </w:rPr>
            </w:pPr>
          </w:p>
        </w:tc>
        <w:tc>
          <w:tcPr>
            <w:tcW w:w="20" w:type="dxa"/>
            <w:vAlign w:val="bottom"/>
            <w:tcBorders>
              <w:top w:val="single" w:sz="8" w:color="F0FFFF"/>
            </w:tcBorders>
            <w:shd w:val="clear" w:color="auto" w:fill="F0FFFF"/>
          </w:tcPr>
          <w:p>
            <w:pPr>
              <w:spacing w:after="0"/>
              <w:rPr>
                <w:sz w:val="10"/>
                <w:szCs w:val="10"/>
                <w:color w:val="auto"/>
              </w:rPr>
            </w:pPr>
          </w:p>
        </w:tc>
        <w:tc>
          <w:tcPr>
            <w:tcW w:w="100" w:type="dxa"/>
            <w:vAlign w:val="bottom"/>
            <w:tcBorders>
              <w:top w:val="single" w:sz="8" w:color="F0FFFF"/>
              <w:left w:val="single" w:sz="8" w:color="F0FFFF"/>
            </w:tcBorders>
            <w:shd w:val="clear" w:color="auto" w:fill="F0FFFF"/>
          </w:tcPr>
          <w:p>
            <w:pPr>
              <w:spacing w:after="0"/>
              <w:rPr>
                <w:sz w:val="10"/>
                <w:szCs w:val="10"/>
                <w:color w:val="auto"/>
              </w:rPr>
            </w:pPr>
          </w:p>
        </w:tc>
        <w:tc>
          <w:tcPr>
            <w:tcW w:w="80" w:type="dxa"/>
            <w:vAlign w:val="bottom"/>
            <w:tcBorders>
              <w:top w:val="single" w:sz="8" w:color="F0FFFF"/>
            </w:tcBorders>
            <w:shd w:val="clear" w:color="auto" w:fill="F0FFFF"/>
          </w:tcPr>
          <w:p>
            <w:pPr>
              <w:spacing w:after="0"/>
              <w:rPr>
                <w:sz w:val="10"/>
                <w:szCs w:val="10"/>
                <w:color w:val="auto"/>
              </w:rPr>
            </w:pPr>
          </w:p>
        </w:tc>
        <w:tc>
          <w:tcPr>
            <w:tcW w:w="40" w:type="dxa"/>
            <w:vAlign w:val="bottom"/>
            <w:tcBorders>
              <w:top w:val="single" w:sz="8" w:color="F0FFFF"/>
            </w:tcBorders>
            <w:shd w:val="clear" w:color="auto" w:fill="F0FFFF"/>
          </w:tcPr>
          <w:p>
            <w:pPr>
              <w:spacing w:after="0"/>
              <w:rPr>
                <w:sz w:val="10"/>
                <w:szCs w:val="10"/>
                <w:color w:val="auto"/>
              </w:rPr>
            </w:pPr>
          </w:p>
        </w:tc>
        <w:tc>
          <w:tcPr>
            <w:tcW w:w="180" w:type="dxa"/>
            <w:vAlign w:val="bottom"/>
            <w:tcBorders>
              <w:top w:val="single" w:sz="8" w:color="F0FFFF"/>
              <w:right w:val="single" w:sz="8" w:color="F0FFFF"/>
            </w:tcBorders>
            <w:shd w:val="clear" w:color="auto" w:fill="F0FFFF"/>
          </w:tcPr>
          <w:p>
            <w:pPr>
              <w:spacing w:after="0"/>
              <w:rPr>
                <w:sz w:val="10"/>
                <w:szCs w:val="10"/>
                <w:color w:val="auto"/>
              </w:rPr>
            </w:pPr>
          </w:p>
        </w:tc>
        <w:tc>
          <w:tcPr>
            <w:tcW w:w="120" w:type="dxa"/>
            <w:vAlign w:val="bottom"/>
            <w:tcBorders>
              <w:top w:val="single" w:sz="8" w:color="F0FFFF"/>
            </w:tcBorders>
            <w:shd w:val="clear" w:color="auto" w:fill="F0FFFF"/>
          </w:tcPr>
          <w:p>
            <w:pPr>
              <w:spacing w:after="0"/>
              <w:rPr>
                <w:sz w:val="10"/>
                <w:szCs w:val="10"/>
                <w:color w:val="auto"/>
              </w:rPr>
            </w:pPr>
          </w:p>
        </w:tc>
        <w:tc>
          <w:tcPr>
            <w:tcW w:w="120" w:type="dxa"/>
            <w:vAlign w:val="bottom"/>
            <w:tcBorders>
              <w:top w:val="single" w:sz="8" w:color="F0FFFF"/>
            </w:tcBorders>
            <w:shd w:val="clear" w:color="auto" w:fill="F0FFFF"/>
          </w:tcPr>
          <w:p>
            <w:pPr>
              <w:spacing w:after="0"/>
              <w:rPr>
                <w:sz w:val="10"/>
                <w:szCs w:val="10"/>
                <w:color w:val="auto"/>
              </w:rPr>
            </w:pPr>
          </w:p>
        </w:tc>
        <w:tc>
          <w:tcPr>
            <w:tcW w:w="100" w:type="dxa"/>
            <w:vAlign w:val="bottom"/>
            <w:tcBorders>
              <w:top w:val="single" w:sz="8" w:color="F0FFFF"/>
            </w:tcBorders>
            <w:shd w:val="clear" w:color="auto" w:fill="F0FFFF"/>
          </w:tcPr>
          <w:p>
            <w:pPr>
              <w:spacing w:after="0"/>
              <w:rPr>
                <w:sz w:val="10"/>
                <w:szCs w:val="10"/>
                <w:color w:val="auto"/>
              </w:rPr>
            </w:pPr>
          </w:p>
        </w:tc>
        <w:tc>
          <w:tcPr>
            <w:tcW w:w="60" w:type="dxa"/>
            <w:vAlign w:val="bottom"/>
            <w:tcBorders>
              <w:top w:val="single" w:sz="8" w:color="F0FFFF"/>
            </w:tcBorders>
            <w:shd w:val="clear" w:color="auto" w:fill="F0FFFF"/>
          </w:tcPr>
          <w:p>
            <w:pPr>
              <w:spacing w:after="0"/>
              <w:rPr>
                <w:sz w:val="10"/>
                <w:szCs w:val="10"/>
                <w:color w:val="auto"/>
              </w:rPr>
            </w:pPr>
          </w:p>
        </w:tc>
        <w:tc>
          <w:tcPr>
            <w:tcW w:w="20" w:type="dxa"/>
            <w:vAlign w:val="bottom"/>
            <w:tcBorders>
              <w:top w:val="single" w:sz="8" w:color="F0FFFF"/>
            </w:tcBorders>
            <w:shd w:val="clear" w:color="auto" w:fill="F0FFFF"/>
          </w:tcPr>
          <w:p>
            <w:pPr>
              <w:spacing w:after="0"/>
              <w:rPr>
                <w:sz w:val="10"/>
                <w:szCs w:val="10"/>
                <w:color w:val="auto"/>
              </w:rPr>
            </w:pPr>
          </w:p>
        </w:tc>
        <w:tc>
          <w:tcPr>
            <w:tcW w:w="120" w:type="dxa"/>
            <w:vAlign w:val="bottom"/>
            <w:tcBorders>
              <w:top w:val="single" w:sz="8" w:color="F0FFFF"/>
              <w:right w:val="single" w:sz="8" w:color="auto"/>
            </w:tcBorders>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1440" w:type="dxa"/>
            <w:vAlign w:val="bottom"/>
            <w:tcBorders>
              <w:top w:val="single" w:sz="8" w:color="F0FFFF"/>
              <w:left w:val="single" w:sz="8" w:color="auto"/>
              <w:bottom w:val="single" w:sz="8" w:color="auto"/>
              <w:right w:val="single" w:sz="8" w:color="auto"/>
            </w:tcBorders>
            <w:shd w:val="clear" w:color="auto" w:fill="F0FFFF"/>
          </w:tcPr>
          <w:p>
            <w:pPr>
              <w:spacing w:after="0"/>
              <w:rPr>
                <w:sz w:val="18"/>
                <w:szCs w:val="18"/>
                <w:color w:val="auto"/>
              </w:rPr>
            </w:pPr>
          </w:p>
        </w:tc>
        <w:tc>
          <w:tcPr>
            <w:tcW w:w="200" w:type="dxa"/>
            <w:vAlign w:val="bottom"/>
            <w:tcBorders>
              <w:top w:val="single" w:sz="8" w:color="F0FFFF"/>
              <w:bottom w:val="single" w:sz="8" w:color="auto"/>
              <w:right w:val="single" w:sz="8" w:color="F0FFFF"/>
            </w:tcBorders>
            <w:gridSpan w:val="2"/>
            <w:shd w:val="clear" w:color="auto" w:fill="F0FFFF"/>
          </w:tcPr>
          <w:p>
            <w:pPr>
              <w:spacing w:after="0"/>
              <w:rPr>
                <w:sz w:val="18"/>
                <w:szCs w:val="18"/>
                <w:color w:val="auto"/>
              </w:rPr>
            </w:pPr>
          </w:p>
        </w:tc>
        <w:tc>
          <w:tcPr>
            <w:tcW w:w="120" w:type="dxa"/>
            <w:vAlign w:val="bottom"/>
            <w:tcBorders>
              <w:top w:val="single" w:sz="8" w:color="F0FFFF"/>
              <w:bottom w:val="single" w:sz="8" w:color="auto"/>
              <w:right w:val="single" w:sz="8" w:color="F0FFFF"/>
            </w:tcBorders>
            <w:shd w:val="clear" w:color="auto" w:fill="F0FFFF"/>
          </w:tcPr>
          <w:p>
            <w:pPr>
              <w:spacing w:after="0"/>
              <w:rPr>
                <w:sz w:val="18"/>
                <w:szCs w:val="18"/>
                <w:color w:val="auto"/>
              </w:rPr>
            </w:pPr>
          </w:p>
        </w:tc>
        <w:tc>
          <w:tcPr>
            <w:tcW w:w="100" w:type="dxa"/>
            <w:vAlign w:val="bottom"/>
            <w:tcBorders>
              <w:top w:val="single" w:sz="8" w:color="auto"/>
              <w:bottom w:val="single" w:sz="8" w:color="auto"/>
              <w:right w:val="single" w:sz="8" w:color="F0FFFF"/>
            </w:tcBorders>
            <w:shd w:val="clear" w:color="auto" w:fill="F0FFFF"/>
          </w:tcPr>
          <w:p>
            <w:pPr>
              <w:spacing w:after="0"/>
              <w:rPr>
                <w:sz w:val="18"/>
                <w:szCs w:val="18"/>
                <w:color w:val="auto"/>
              </w:rPr>
            </w:pPr>
          </w:p>
        </w:tc>
        <w:tc>
          <w:tcPr>
            <w:tcW w:w="240" w:type="dxa"/>
            <w:vAlign w:val="bottom"/>
            <w:tcBorders>
              <w:top w:val="single" w:sz="8" w:color="auto"/>
              <w:left w:val="single" w:sz="8" w:color="F0FFFF"/>
              <w:bottom w:val="single" w:sz="8" w:color="auto"/>
            </w:tcBorders>
            <w:gridSpan w:val="2"/>
            <w:shd w:val="clear" w:color="auto" w:fill="F0FFFF"/>
          </w:tcPr>
          <w:p>
            <w:pPr>
              <w:spacing w:after="0"/>
              <w:rPr>
                <w:sz w:val="18"/>
                <w:szCs w:val="18"/>
                <w:color w:val="auto"/>
              </w:rPr>
            </w:pPr>
          </w:p>
        </w:tc>
        <w:tc>
          <w:tcPr>
            <w:tcW w:w="80" w:type="dxa"/>
            <w:vAlign w:val="bottom"/>
            <w:tcBorders>
              <w:top w:val="single" w:sz="8" w:color="auto"/>
              <w:left w:val="single" w:sz="8" w:color="F0FFFF"/>
              <w:bottom w:val="single" w:sz="8" w:color="auto"/>
            </w:tcBorders>
            <w:shd w:val="clear" w:color="auto" w:fill="F0FFFF"/>
          </w:tcPr>
          <w:p>
            <w:pPr>
              <w:spacing w:after="0"/>
              <w:rPr>
                <w:sz w:val="18"/>
                <w:szCs w:val="18"/>
                <w:color w:val="auto"/>
              </w:rPr>
            </w:pPr>
          </w:p>
        </w:tc>
        <w:tc>
          <w:tcPr>
            <w:tcW w:w="100" w:type="dxa"/>
            <w:vAlign w:val="bottom"/>
            <w:tcBorders>
              <w:top w:val="single" w:sz="8" w:color="auto"/>
              <w:left w:val="single" w:sz="8" w:color="F0FFFF"/>
              <w:bottom w:val="single" w:sz="8" w:color="auto"/>
              <w:right w:val="single" w:sz="8" w:color="F0FFFF"/>
            </w:tcBorders>
            <w:shd w:val="clear" w:color="auto" w:fill="F0FFFF"/>
          </w:tcPr>
          <w:p>
            <w:pPr>
              <w:spacing w:after="0"/>
              <w:rPr>
                <w:sz w:val="18"/>
                <w:szCs w:val="18"/>
                <w:color w:val="auto"/>
              </w:rPr>
            </w:pPr>
          </w:p>
        </w:tc>
        <w:tc>
          <w:tcPr>
            <w:tcW w:w="80" w:type="dxa"/>
            <w:vAlign w:val="bottom"/>
            <w:tcBorders>
              <w:top w:val="single" w:sz="8" w:color="auto"/>
              <w:bottom w:val="single" w:sz="8" w:color="auto"/>
              <w:right w:val="single" w:sz="8" w:color="F0FFFF"/>
            </w:tcBorders>
            <w:shd w:val="clear" w:color="auto" w:fill="F0FFFF"/>
          </w:tcPr>
          <w:p>
            <w:pPr>
              <w:spacing w:after="0"/>
              <w:rPr>
                <w:sz w:val="18"/>
                <w:szCs w:val="18"/>
                <w:color w:val="auto"/>
              </w:rPr>
            </w:pPr>
          </w:p>
        </w:tc>
        <w:tc>
          <w:tcPr>
            <w:tcW w:w="340" w:type="dxa"/>
            <w:vAlign w:val="bottom"/>
            <w:tcBorders>
              <w:top w:val="single" w:sz="8" w:color="F0FFFF"/>
              <w:left w:val="single" w:sz="8" w:color="F0FFFF"/>
              <w:bottom w:val="single" w:sz="8" w:color="auto"/>
              <w:right w:val="single" w:sz="8" w:color="F0FFFF"/>
            </w:tcBorders>
            <w:shd w:val="clear" w:color="auto" w:fill="F0FFFF"/>
          </w:tcPr>
          <w:p>
            <w:pPr>
              <w:spacing w:after="0"/>
              <w:rPr>
                <w:sz w:val="18"/>
                <w:szCs w:val="18"/>
                <w:color w:val="auto"/>
              </w:rPr>
            </w:pPr>
          </w:p>
        </w:tc>
        <w:tc>
          <w:tcPr>
            <w:tcW w:w="140" w:type="dxa"/>
            <w:vAlign w:val="bottom"/>
            <w:tcBorders>
              <w:top w:val="single" w:sz="8" w:color="F0FFFF"/>
              <w:bottom w:val="single" w:sz="8" w:color="auto"/>
              <w:right w:val="single" w:sz="8" w:color="F0FFFF"/>
            </w:tcBorders>
            <w:shd w:val="clear" w:color="auto" w:fill="F0FFFF"/>
          </w:tcPr>
          <w:p>
            <w:pPr>
              <w:spacing w:after="0"/>
              <w:rPr>
                <w:sz w:val="18"/>
                <w:szCs w:val="18"/>
                <w:color w:val="auto"/>
              </w:rPr>
            </w:pPr>
          </w:p>
        </w:tc>
        <w:tc>
          <w:tcPr>
            <w:tcW w:w="220" w:type="dxa"/>
            <w:vAlign w:val="bottom"/>
            <w:tcBorders>
              <w:top w:val="single" w:sz="8" w:color="F0FFFF"/>
              <w:bottom w:val="single" w:sz="8" w:color="auto"/>
              <w:right w:val="single" w:sz="8" w:color="F0FFFF"/>
            </w:tcBorders>
            <w:gridSpan w:val="2"/>
            <w:shd w:val="clear" w:color="auto" w:fill="F0FFFF"/>
          </w:tcPr>
          <w:p>
            <w:pPr>
              <w:spacing w:after="0"/>
              <w:rPr>
                <w:sz w:val="18"/>
                <w:szCs w:val="18"/>
                <w:color w:val="auto"/>
              </w:rPr>
            </w:pPr>
          </w:p>
        </w:tc>
        <w:tc>
          <w:tcPr>
            <w:tcW w:w="40" w:type="dxa"/>
            <w:vAlign w:val="bottom"/>
            <w:tcBorders>
              <w:top w:val="single" w:sz="8" w:color="F0FFFF"/>
              <w:bottom w:val="single" w:sz="8" w:color="auto"/>
              <w:right w:val="single" w:sz="8" w:color="F0FFFF"/>
            </w:tcBorders>
            <w:shd w:val="clear" w:color="auto" w:fill="F0FFFF"/>
          </w:tcPr>
          <w:p>
            <w:pPr>
              <w:spacing w:after="0"/>
              <w:rPr>
                <w:sz w:val="18"/>
                <w:szCs w:val="18"/>
                <w:color w:val="auto"/>
              </w:rPr>
            </w:pPr>
          </w:p>
        </w:tc>
        <w:tc>
          <w:tcPr>
            <w:tcW w:w="100" w:type="dxa"/>
            <w:vAlign w:val="bottom"/>
            <w:tcBorders>
              <w:top w:val="single" w:sz="8" w:color="F0FFFF"/>
              <w:bottom w:val="single" w:sz="8" w:color="auto"/>
              <w:right w:val="single" w:sz="8" w:color="F0FFFF"/>
            </w:tcBorders>
            <w:shd w:val="clear" w:color="auto" w:fill="F0FFFF"/>
          </w:tcPr>
          <w:p>
            <w:pPr>
              <w:spacing w:after="0"/>
              <w:rPr>
                <w:sz w:val="18"/>
                <w:szCs w:val="18"/>
                <w:color w:val="auto"/>
              </w:rPr>
            </w:pPr>
          </w:p>
        </w:tc>
        <w:tc>
          <w:tcPr>
            <w:tcW w:w="140" w:type="dxa"/>
            <w:vAlign w:val="bottom"/>
            <w:tcBorders>
              <w:top w:val="single" w:sz="8" w:color="F0FFFF"/>
              <w:left w:val="single" w:sz="8" w:color="F0FFFF"/>
              <w:bottom w:val="single" w:sz="8" w:color="auto"/>
            </w:tcBorders>
            <w:gridSpan w:val="2"/>
            <w:shd w:val="clear" w:color="auto" w:fill="F0FFFF"/>
          </w:tcPr>
          <w:p>
            <w:pPr>
              <w:spacing w:after="0"/>
              <w:rPr>
                <w:sz w:val="18"/>
                <w:szCs w:val="18"/>
                <w:color w:val="auto"/>
              </w:rPr>
            </w:pPr>
          </w:p>
        </w:tc>
        <w:tc>
          <w:tcPr>
            <w:tcW w:w="140" w:type="dxa"/>
            <w:vAlign w:val="bottom"/>
            <w:tcBorders>
              <w:top w:val="single" w:sz="8" w:color="F0FFFF"/>
              <w:left w:val="single" w:sz="8" w:color="F0FFFF"/>
              <w:bottom w:val="single" w:sz="8" w:color="auto"/>
              <w:right w:val="single" w:sz="8" w:color="F0FFFF"/>
            </w:tcBorders>
            <w:gridSpan w:val="2"/>
            <w:shd w:val="clear" w:color="auto" w:fill="F0FFFF"/>
          </w:tcPr>
          <w:p>
            <w:pPr>
              <w:spacing w:after="0"/>
              <w:rPr>
                <w:sz w:val="18"/>
                <w:szCs w:val="18"/>
                <w:color w:val="auto"/>
              </w:rPr>
            </w:pPr>
          </w:p>
        </w:tc>
        <w:tc>
          <w:tcPr>
            <w:tcW w:w="120" w:type="dxa"/>
            <w:vAlign w:val="bottom"/>
            <w:tcBorders>
              <w:top w:val="single" w:sz="8" w:color="F0FFFF"/>
              <w:left w:val="single" w:sz="8" w:color="F0FFFF"/>
              <w:bottom w:val="single" w:sz="8" w:color="auto"/>
              <w:right w:val="single" w:sz="8" w:color="F0FFFF"/>
            </w:tcBorders>
            <w:shd w:val="clear" w:color="auto" w:fill="F0FFFF"/>
          </w:tcPr>
          <w:p>
            <w:pPr>
              <w:spacing w:after="0"/>
              <w:rPr>
                <w:sz w:val="18"/>
                <w:szCs w:val="18"/>
                <w:color w:val="auto"/>
              </w:rPr>
            </w:pPr>
          </w:p>
        </w:tc>
        <w:tc>
          <w:tcPr>
            <w:tcW w:w="160" w:type="dxa"/>
            <w:vAlign w:val="bottom"/>
            <w:tcBorders>
              <w:top w:val="single" w:sz="8" w:color="F0FFFF"/>
              <w:left w:val="single" w:sz="8" w:color="F0FFFF"/>
              <w:bottom w:val="single" w:sz="8" w:color="auto"/>
              <w:right w:val="single" w:sz="8" w:color="F0FFFF"/>
            </w:tcBorders>
            <w:gridSpan w:val="2"/>
            <w:shd w:val="clear" w:color="auto" w:fill="F0FFFF"/>
          </w:tcPr>
          <w:p>
            <w:pPr>
              <w:spacing w:after="0"/>
              <w:rPr>
                <w:sz w:val="18"/>
                <w:szCs w:val="18"/>
                <w:color w:val="auto"/>
              </w:rPr>
            </w:pPr>
          </w:p>
        </w:tc>
        <w:tc>
          <w:tcPr>
            <w:tcW w:w="200" w:type="dxa"/>
            <w:vAlign w:val="bottom"/>
            <w:tcBorders>
              <w:top w:val="single" w:sz="8" w:color="F0FFFF"/>
              <w:bottom w:val="single" w:sz="8" w:color="auto"/>
            </w:tcBorders>
            <w:gridSpan w:val="2"/>
            <w:shd w:val="clear" w:color="auto" w:fill="F0FFFF"/>
          </w:tcPr>
          <w:p>
            <w:pPr>
              <w:spacing w:after="0"/>
              <w:rPr>
                <w:sz w:val="18"/>
                <w:szCs w:val="18"/>
                <w:color w:val="auto"/>
              </w:rPr>
            </w:pPr>
          </w:p>
        </w:tc>
        <w:tc>
          <w:tcPr>
            <w:tcW w:w="160" w:type="dxa"/>
            <w:vAlign w:val="bottom"/>
            <w:tcBorders>
              <w:top w:val="single" w:sz="8" w:color="F0FFFF"/>
              <w:left w:val="single" w:sz="8" w:color="F0FFFF"/>
              <w:bottom w:val="single" w:sz="8" w:color="auto"/>
              <w:right w:val="single" w:sz="8" w:color="F0FFFF"/>
            </w:tcBorders>
            <w:shd w:val="clear" w:color="auto" w:fill="F0FFFF"/>
          </w:tcPr>
          <w:p>
            <w:pPr>
              <w:spacing w:after="0"/>
              <w:rPr>
                <w:sz w:val="18"/>
                <w:szCs w:val="18"/>
                <w:color w:val="auto"/>
              </w:rPr>
            </w:pPr>
          </w:p>
        </w:tc>
        <w:tc>
          <w:tcPr>
            <w:tcW w:w="280" w:type="dxa"/>
            <w:vAlign w:val="bottom"/>
            <w:tcBorders>
              <w:top w:val="single" w:sz="8" w:color="F0FFFF"/>
              <w:bottom w:val="single" w:sz="8" w:color="auto"/>
              <w:right w:val="single" w:sz="8" w:color="F0FFFF"/>
            </w:tcBorders>
            <w:shd w:val="clear" w:color="auto" w:fill="F0FFFF"/>
          </w:tcPr>
          <w:p>
            <w:pPr>
              <w:spacing w:after="0"/>
              <w:rPr>
                <w:sz w:val="18"/>
                <w:szCs w:val="18"/>
                <w:color w:val="auto"/>
              </w:rPr>
            </w:pPr>
          </w:p>
        </w:tc>
        <w:tc>
          <w:tcPr>
            <w:tcW w:w="60" w:type="dxa"/>
            <w:vAlign w:val="bottom"/>
            <w:tcBorders>
              <w:top w:val="single" w:sz="8" w:color="F0FFFF"/>
              <w:bottom w:val="single" w:sz="8" w:color="auto"/>
              <w:right w:val="single" w:sz="8" w:color="F0FFFF"/>
            </w:tcBorders>
            <w:shd w:val="clear" w:color="auto" w:fill="F0FFFF"/>
          </w:tcPr>
          <w:p>
            <w:pPr>
              <w:spacing w:after="0"/>
              <w:rPr>
                <w:sz w:val="18"/>
                <w:szCs w:val="18"/>
                <w:color w:val="auto"/>
              </w:rPr>
            </w:pPr>
          </w:p>
        </w:tc>
        <w:tc>
          <w:tcPr>
            <w:tcW w:w="200" w:type="dxa"/>
            <w:vAlign w:val="bottom"/>
            <w:tcBorders>
              <w:top w:val="single" w:sz="8" w:color="F0FFFF"/>
              <w:left w:val="single" w:sz="8" w:color="F0FFFF"/>
              <w:bottom w:val="single" w:sz="8" w:color="auto"/>
              <w:right w:val="single" w:sz="8" w:color="F0FFFF"/>
            </w:tcBorders>
            <w:shd w:val="clear" w:color="auto" w:fill="F0FFFF"/>
          </w:tcPr>
          <w:p>
            <w:pPr>
              <w:spacing w:after="0"/>
              <w:rPr>
                <w:sz w:val="18"/>
                <w:szCs w:val="18"/>
                <w:color w:val="auto"/>
              </w:rPr>
            </w:pPr>
          </w:p>
        </w:tc>
        <w:tc>
          <w:tcPr>
            <w:tcW w:w="240" w:type="dxa"/>
            <w:vAlign w:val="bottom"/>
            <w:tcBorders>
              <w:top w:val="single" w:sz="8" w:color="F0FFFF"/>
              <w:left w:val="single" w:sz="8" w:color="F0FFFF"/>
              <w:bottom w:val="single" w:sz="8" w:color="auto"/>
              <w:right w:val="single" w:sz="8" w:color="F0FFFF"/>
            </w:tcBorders>
            <w:gridSpan w:val="3"/>
            <w:shd w:val="clear" w:color="auto" w:fill="F0FFFF"/>
          </w:tcPr>
          <w:p>
            <w:pPr>
              <w:spacing w:after="0"/>
              <w:rPr>
                <w:sz w:val="18"/>
                <w:szCs w:val="18"/>
                <w:color w:val="auto"/>
              </w:rPr>
            </w:pPr>
          </w:p>
        </w:tc>
        <w:tc>
          <w:tcPr>
            <w:tcW w:w="200" w:type="dxa"/>
            <w:vAlign w:val="bottom"/>
            <w:tcBorders>
              <w:top w:val="single" w:sz="8" w:color="F0FFFF"/>
              <w:left w:val="single" w:sz="8" w:color="F0FFFF"/>
              <w:bottom w:val="single" w:sz="8" w:color="auto"/>
              <w:right w:val="single" w:sz="8" w:color="F0FFFF"/>
            </w:tcBorders>
            <w:gridSpan w:val="2"/>
            <w:shd w:val="clear" w:color="auto" w:fill="F0FFFF"/>
          </w:tcPr>
          <w:p>
            <w:pPr>
              <w:spacing w:after="0"/>
              <w:rPr>
                <w:sz w:val="18"/>
                <w:szCs w:val="18"/>
                <w:color w:val="auto"/>
              </w:rPr>
            </w:pPr>
          </w:p>
        </w:tc>
        <w:tc>
          <w:tcPr>
            <w:tcW w:w="240" w:type="dxa"/>
            <w:vAlign w:val="bottom"/>
            <w:tcBorders>
              <w:top w:val="single" w:sz="8" w:color="F0FFFF"/>
              <w:bottom w:val="single" w:sz="8" w:color="auto"/>
            </w:tcBorders>
            <w:gridSpan w:val="5"/>
            <w:shd w:val="clear" w:color="auto" w:fill="F0FFFF"/>
          </w:tcPr>
          <w:p>
            <w:pPr>
              <w:spacing w:after="0"/>
              <w:rPr>
                <w:sz w:val="18"/>
                <w:szCs w:val="18"/>
                <w:color w:val="auto"/>
              </w:rPr>
            </w:pPr>
          </w:p>
        </w:tc>
        <w:tc>
          <w:tcPr>
            <w:tcW w:w="100" w:type="dxa"/>
            <w:vAlign w:val="bottom"/>
            <w:tcBorders>
              <w:top w:val="single" w:sz="8" w:color="F0FFFF"/>
              <w:left w:val="single" w:sz="8" w:color="F0FFFF"/>
              <w:bottom w:val="single" w:sz="8" w:color="auto"/>
            </w:tcBorders>
            <w:shd w:val="clear" w:color="auto" w:fill="F0FFFF"/>
          </w:tcPr>
          <w:p>
            <w:pPr>
              <w:spacing w:after="0"/>
              <w:rPr>
                <w:sz w:val="18"/>
                <w:szCs w:val="18"/>
                <w:color w:val="auto"/>
              </w:rPr>
            </w:pPr>
          </w:p>
        </w:tc>
        <w:tc>
          <w:tcPr>
            <w:tcW w:w="100" w:type="dxa"/>
            <w:vAlign w:val="bottom"/>
            <w:tcBorders>
              <w:top w:val="single" w:sz="8" w:color="F0FFFF"/>
              <w:left w:val="single" w:sz="8" w:color="F0FFFF"/>
              <w:bottom w:val="single" w:sz="8" w:color="auto"/>
              <w:right w:val="single" w:sz="8" w:color="F0FFFF"/>
            </w:tcBorders>
            <w:shd w:val="clear" w:color="auto" w:fill="F0FFFF"/>
          </w:tcPr>
          <w:p>
            <w:pPr>
              <w:spacing w:after="0"/>
              <w:rPr>
                <w:sz w:val="18"/>
                <w:szCs w:val="18"/>
                <w:color w:val="auto"/>
              </w:rPr>
            </w:pPr>
          </w:p>
        </w:tc>
        <w:tc>
          <w:tcPr>
            <w:tcW w:w="340" w:type="dxa"/>
            <w:vAlign w:val="bottom"/>
            <w:tcBorders>
              <w:top w:val="single" w:sz="8" w:color="F0FFFF"/>
              <w:left w:val="single" w:sz="8" w:color="F0FFFF"/>
              <w:bottom w:val="single" w:sz="8" w:color="auto"/>
              <w:right w:val="single" w:sz="8" w:color="auto"/>
            </w:tcBorders>
            <w:gridSpan w:val="2"/>
            <w:shd w:val="clear" w:color="auto" w:fill="F0FFFF"/>
          </w:tcPr>
          <w:p>
            <w:pPr>
              <w:spacing w:after="0"/>
              <w:rPr>
                <w:sz w:val="18"/>
                <w:szCs w:val="18"/>
                <w:color w:val="auto"/>
              </w:rPr>
            </w:pPr>
          </w:p>
        </w:tc>
        <w:tc>
          <w:tcPr>
            <w:tcW w:w="80" w:type="dxa"/>
            <w:vAlign w:val="bottom"/>
            <w:tcBorders>
              <w:top w:val="single" w:sz="8" w:color="F0FFFF"/>
              <w:bottom w:val="single" w:sz="8" w:color="auto"/>
              <w:right w:val="single" w:sz="8" w:color="F0FFFF"/>
            </w:tcBorders>
            <w:shd w:val="clear" w:color="auto" w:fill="F0FFFF"/>
          </w:tcPr>
          <w:p>
            <w:pPr>
              <w:spacing w:after="0"/>
              <w:rPr>
                <w:sz w:val="18"/>
                <w:szCs w:val="18"/>
                <w:color w:val="auto"/>
              </w:rPr>
            </w:pPr>
          </w:p>
        </w:tc>
        <w:tc>
          <w:tcPr>
            <w:tcW w:w="320" w:type="dxa"/>
            <w:vAlign w:val="bottom"/>
            <w:tcBorders>
              <w:top w:val="single" w:sz="8" w:color="F0FFFF"/>
              <w:bottom w:val="single" w:sz="8" w:color="auto"/>
            </w:tcBorders>
            <w:gridSpan w:val="2"/>
            <w:shd w:val="clear" w:color="auto" w:fill="F0FFFF"/>
          </w:tcPr>
          <w:p>
            <w:pPr>
              <w:spacing w:after="0"/>
              <w:rPr>
                <w:sz w:val="18"/>
                <w:szCs w:val="18"/>
                <w:color w:val="auto"/>
              </w:rPr>
            </w:pPr>
          </w:p>
        </w:tc>
        <w:tc>
          <w:tcPr>
            <w:tcW w:w="400" w:type="dxa"/>
            <w:vAlign w:val="bottom"/>
            <w:tcBorders>
              <w:top w:val="single" w:sz="8" w:color="F0FFFF"/>
              <w:left w:val="single" w:sz="8" w:color="F0FFFF"/>
              <w:bottom w:val="single" w:sz="8" w:color="auto"/>
              <w:right w:val="single" w:sz="8" w:color="F0FFFF"/>
            </w:tcBorders>
            <w:gridSpan w:val="4"/>
            <w:shd w:val="clear" w:color="auto" w:fill="F0FFFF"/>
          </w:tcPr>
          <w:p>
            <w:pPr>
              <w:spacing w:after="0"/>
              <w:rPr>
                <w:sz w:val="18"/>
                <w:szCs w:val="18"/>
                <w:color w:val="auto"/>
              </w:rPr>
            </w:pPr>
          </w:p>
        </w:tc>
        <w:tc>
          <w:tcPr>
            <w:tcW w:w="540" w:type="dxa"/>
            <w:vAlign w:val="bottom"/>
            <w:tcBorders>
              <w:top w:val="single" w:sz="8" w:color="F0FFFF"/>
              <w:bottom w:val="single" w:sz="8" w:color="auto"/>
              <w:right w:val="single" w:sz="8" w:color="auto"/>
            </w:tcBorders>
            <w:gridSpan w:val="6"/>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13"/>
          </w:tcPr>
          <w:p>
            <w:pPr>
              <w:ind w:left="1340"/>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3915" cy="381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-6078220</wp:posOffset>
            </wp:positionV>
            <wp:extent cx="4573270" cy="38239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573270" cy="3823970"/>
                    </a:xfrm>
                    <a:prstGeom prst="rect">
                      <a:avLst/>
                    </a:prstGeom>
                    <a:noFill/>
                  </pic:spPr>
                </pic:pic>
              </a:graphicData>
            </a:graphic>
          </wp:anchor>
        </w:drawing>
      </w:r>
    </w:p>
    <w:p>
      <w:pPr>
        <w:sectPr>
          <w:pgSz w:w="11900" w:h="16838" w:orient="portrait"/>
          <w:cols w:equalWidth="0" w:num="1">
            <w:col w:w="9259"/>
          </w:cols>
          <w:pgMar w:left="1200" w:top="1037" w:right="1440" w:bottom="1440" w:gutter="0" w:footer="0" w:header="0"/>
        </w:sectPr>
      </w:pPr>
    </w:p>
    <w:bookmarkStart w:id="16" w:name="page17"/>
    <w:bookmarkEnd w:id="16"/>
    <w:tbl>
      <w:tblPr>
        <w:tblLayout w:type="fixed"/>
        <w:tblInd w:w="10" w:type="dxa"/>
        <w:tblCellMar>
          <w:top w:w="0" w:type="dxa"/>
          <w:left w:w="0" w:type="dxa"/>
          <w:bottom w:w="0" w:type="dxa"/>
          <w:right w:w="0" w:type="dxa"/>
        </w:tblCellMar>
      </w:tblPr>
      <w:tr>
        <w:trPr>
          <w:trHeight w:val="179"/>
        </w:trPr>
        <w:tc>
          <w:tcPr>
            <w:tcW w:w="820" w:type="dxa"/>
            <w:vAlign w:val="bottom"/>
            <w:tcBorders>
              <w:top w:val="single" w:sz="8" w:color="auto"/>
              <w:left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620" w:type="dxa"/>
            <w:vAlign w:val="bottom"/>
            <w:tcBorders>
              <w:top w:val="single" w:sz="8" w:color="auto"/>
              <w:right w:val="single" w:sz="8" w:color="auto"/>
            </w:tcBorders>
            <w:gridSpan w:val="16"/>
          </w:tcPr>
          <w:p>
            <w:pPr>
              <w:jc w:val="center"/>
              <w:ind w:right="1920"/>
              <w:spacing w:after="0"/>
              <w:rPr>
                <w:sz w:val="20"/>
                <w:szCs w:val="20"/>
                <w:color w:val="auto"/>
              </w:rPr>
            </w:pPr>
            <w:r>
              <w:rPr>
                <w:rFonts w:ascii="Times New Roman" w:cs="Times New Roman" w:eastAsia="Times New Roman" w:hAnsi="Times New Roman"/>
                <w:sz w:val="13"/>
                <w:szCs w:val="13"/>
                <w:b w:val="1"/>
                <w:bCs w:val="1"/>
                <w:color w:val="auto"/>
                <w:w w:val="99"/>
              </w:rPr>
              <w:t>Restrictions</w:t>
            </w:r>
          </w:p>
        </w:tc>
        <w:tc>
          <w:tcPr>
            <w:tcW w:w="1300" w:type="dxa"/>
            <w:vAlign w:val="bottom"/>
            <w:tcBorders>
              <w:top w:val="single" w:sz="8" w:color="auto"/>
              <w:right w:val="single" w:sz="8" w:color="auto"/>
            </w:tcBorders>
            <w:gridSpan w:val="5"/>
          </w:tcPr>
          <w:p>
            <w:pPr>
              <w:ind w:left="300"/>
              <w:spacing w:after="0"/>
              <w:rPr>
                <w:sz w:val="20"/>
                <w:szCs w:val="20"/>
                <w:color w:val="auto"/>
              </w:rPr>
            </w:pPr>
            <w:r>
              <w:rPr>
                <w:rFonts w:ascii="Times New Roman" w:cs="Times New Roman" w:eastAsia="Times New Roman" w:hAnsi="Times New Roman"/>
                <w:sz w:val="13"/>
                <w:szCs w:val="13"/>
                <w:b w:val="1"/>
                <w:bCs w:val="1"/>
                <w:color w:val="auto"/>
              </w:rPr>
              <w:t>Location in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1300" w:type="dxa"/>
            <w:vAlign w:val="bottom"/>
            <w:tcBorders>
              <w:bottom w:val="single" w:sz="8" w:color="auto"/>
              <w:right w:val="single" w:sz="8" w:color="auto"/>
            </w:tcBorders>
            <w:gridSpan w:val="5"/>
          </w:tcPr>
          <w:p>
            <w:pPr>
              <w:ind w:left="220"/>
              <w:spacing w:after="0"/>
              <w:rPr>
                <w:sz w:val="20"/>
                <w:szCs w:val="20"/>
                <w:color w:val="auto"/>
              </w:rPr>
            </w:pPr>
            <w:r>
              <w:rPr>
                <w:rFonts w:ascii="Times New Roman" w:cs="Times New Roman" w:eastAsia="Times New Roman" w:hAnsi="Times New Roman"/>
                <w:sz w:val="13"/>
                <w:szCs w:val="13"/>
                <w:b w:val="1"/>
                <w:bCs w:val="1"/>
                <w:color w:val="auto"/>
              </w:rPr>
              <w:t>the Prospectus</w:t>
            </w:r>
          </w:p>
        </w:tc>
        <w:tc>
          <w:tcPr>
            <w:tcW w:w="0" w:type="dxa"/>
            <w:vAlign w:val="bottom"/>
          </w:tcPr>
          <w:p>
            <w:pPr>
              <w:spacing w:after="0"/>
              <w:rPr>
                <w:sz w:val="1"/>
                <w:szCs w:val="1"/>
                <w:color w:val="auto"/>
              </w:rPr>
            </w:pPr>
          </w:p>
        </w:tc>
      </w:tr>
      <w:tr>
        <w:trPr>
          <w:trHeight w:val="205"/>
        </w:trPr>
        <w:tc>
          <w:tcPr>
            <w:tcW w:w="820" w:type="dxa"/>
            <w:vAlign w:val="bottom"/>
            <w:tcBorders>
              <w:left w:val="single" w:sz="8" w:color="auto"/>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50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100" w:type="dxa"/>
            <w:vAlign w:val="bottom"/>
            <w:tcBorders>
              <w:right w:val="single" w:sz="8" w:color="auto"/>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4260" w:type="dxa"/>
            <w:vAlign w:val="bottom"/>
            <w:tcBorders>
              <w:right w:val="single" w:sz="8" w:color="auto"/>
            </w:tcBorders>
            <w:gridSpan w:val="21"/>
            <w:shd w:val="clear" w:color="auto" w:fill="F0FFFF"/>
          </w:tcPr>
          <w:p>
            <w:pPr>
              <w:spacing w:after="0"/>
              <w:rPr>
                <w:sz w:val="20"/>
                <w:szCs w:val="20"/>
                <w:color w:val="auto"/>
              </w:rPr>
            </w:pPr>
            <w:r>
              <w:rPr>
                <w:rFonts w:ascii="Times New Roman" w:cs="Times New Roman" w:eastAsia="Times New Roman" w:hAnsi="Times New Roman"/>
                <w:sz w:val="13"/>
                <w:szCs w:val="13"/>
                <w:color w:val="auto"/>
              </w:rPr>
              <w:t>○  The minimum transfer amount is $500.</w:t>
            </w:r>
          </w:p>
        </w:tc>
        <w:tc>
          <w:tcPr>
            <w:tcW w:w="300" w:type="dxa"/>
            <w:vAlign w:val="bottom"/>
            <w:shd w:val="clear" w:color="auto" w:fill="F0FFFF"/>
          </w:tcPr>
          <w:p>
            <w:pPr>
              <w:spacing w:after="0"/>
              <w:rPr>
                <w:sz w:val="17"/>
                <w:szCs w:val="17"/>
                <w:color w:val="auto"/>
              </w:rPr>
            </w:pPr>
          </w:p>
        </w:tc>
        <w:tc>
          <w:tcPr>
            <w:tcW w:w="520" w:type="dxa"/>
            <w:vAlign w:val="bottom"/>
            <w:tcBorders>
              <w:right w:val="single" w:sz="8" w:color="F0FFFF"/>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60" w:type="dxa"/>
            <w:vAlign w:val="bottom"/>
            <w:tcBorders>
              <w:right w:val="single" w:sz="8" w:color="auto"/>
            </w:tcBorders>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20" w:type="dxa"/>
            <w:vAlign w:val="bottom"/>
            <w:tcBorders>
              <w:left w:val="single" w:sz="8" w:color="auto"/>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tcBorders>
              <w:right w:val="single" w:sz="8" w:color="auto"/>
            </w:tcBorders>
            <w:shd w:val="clear" w:color="auto" w:fill="F0FFFF"/>
          </w:tcPr>
          <w:p>
            <w:pPr>
              <w:spacing w:after="0"/>
              <w:rPr>
                <w:sz w:val="12"/>
                <w:szCs w:val="12"/>
                <w:color w:val="auto"/>
              </w:rPr>
            </w:pPr>
          </w:p>
        </w:tc>
        <w:tc>
          <w:tcPr>
            <w:tcW w:w="4440" w:type="dxa"/>
            <w:vAlign w:val="bottom"/>
            <w:tcBorders>
              <w:right w:val="single" w:sz="8" w:color="auto"/>
            </w:tcBorders>
            <w:gridSpan w:val="22"/>
            <w:shd w:val="clear" w:color="auto" w:fill="F0FFFF"/>
          </w:tcPr>
          <w:p>
            <w:pPr>
              <w:ind w:left="60"/>
              <w:spacing w:after="0" w:line="142" w:lineRule="exact"/>
              <w:rPr>
                <w:sz w:val="20"/>
                <w:szCs w:val="20"/>
                <w:color w:val="auto"/>
              </w:rPr>
            </w:pPr>
            <w:r>
              <w:rPr>
                <w:rFonts w:ascii="Times New Roman" w:cs="Times New Roman" w:eastAsia="Times New Roman" w:hAnsi="Times New Roman"/>
                <w:sz w:val="13"/>
                <w:szCs w:val="13"/>
                <w:color w:val="auto"/>
              </w:rPr>
              <w:t>● Your selling firm may choose not to recommend certain Shield Options</w:t>
            </w:r>
          </w:p>
        </w:tc>
        <w:tc>
          <w:tcPr>
            <w:tcW w:w="300" w:type="dxa"/>
            <w:vAlign w:val="bottom"/>
            <w:shd w:val="clear" w:color="auto" w:fill="F0FFFF"/>
          </w:tcPr>
          <w:p>
            <w:pPr>
              <w:spacing w:after="0"/>
              <w:rPr>
                <w:sz w:val="12"/>
                <w:szCs w:val="12"/>
                <w:color w:val="auto"/>
              </w:rPr>
            </w:pPr>
          </w:p>
        </w:tc>
        <w:tc>
          <w:tcPr>
            <w:tcW w:w="520" w:type="dxa"/>
            <w:vAlign w:val="bottom"/>
            <w:tcBorders>
              <w:righ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6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left w:val="single" w:sz="8" w:color="auto"/>
            </w:tcBorders>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50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00" w:type="dxa"/>
            <w:vAlign w:val="bottom"/>
            <w:tcBorders>
              <w:right w:val="single" w:sz="8" w:color="auto"/>
            </w:tcBorders>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4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shd w:val="clear" w:color="auto" w:fill="F0FFFF"/>
          </w:tcPr>
          <w:p>
            <w:pPr>
              <w:spacing w:after="0" w:line="20" w:lineRule="exact"/>
              <w:rPr>
                <w:sz w:val="1"/>
                <w:szCs w:val="1"/>
                <w:color w:val="auto"/>
              </w:rPr>
            </w:pPr>
          </w:p>
        </w:tc>
        <w:tc>
          <w:tcPr>
            <w:tcW w:w="400" w:type="dxa"/>
            <w:vAlign w:val="bottom"/>
            <w:tcBorders>
              <w:right w:val="single" w:sz="8" w:color="F0FFFF"/>
            </w:tcBorders>
            <w:shd w:val="clear" w:color="auto" w:fill="F0FFFF"/>
          </w:tcPr>
          <w:p>
            <w:pPr>
              <w:spacing w:after="0" w:line="20" w:lineRule="exact"/>
              <w:rPr>
                <w:sz w:val="1"/>
                <w:szCs w:val="1"/>
                <w:color w:val="auto"/>
              </w:rPr>
            </w:pPr>
          </w:p>
        </w:tc>
        <w:tc>
          <w:tcPr>
            <w:tcW w:w="180" w:type="dxa"/>
            <w:vAlign w:val="bottom"/>
            <w:tcBorders>
              <w:right w:val="single" w:sz="8" w:color="F0FFFF"/>
            </w:tcBorders>
            <w:shd w:val="clear" w:color="auto" w:fill="F0FFFF"/>
          </w:tcPr>
          <w:p>
            <w:pPr>
              <w:spacing w:after="0" w:line="20" w:lineRule="exact"/>
              <w:rPr>
                <w:sz w:val="1"/>
                <w:szCs w:val="1"/>
                <w:color w:val="auto"/>
              </w:rPr>
            </w:pPr>
          </w:p>
        </w:tc>
        <w:tc>
          <w:tcPr>
            <w:tcW w:w="440" w:type="dxa"/>
            <w:vAlign w:val="bottom"/>
            <w:tcBorders>
              <w:right w:val="single" w:sz="8" w:color="F0FFFF"/>
            </w:tcBorders>
            <w:shd w:val="clear" w:color="auto" w:fill="F0FFFF"/>
          </w:tcPr>
          <w:p>
            <w:pPr>
              <w:spacing w:after="0" w:line="20" w:lineRule="exact"/>
              <w:rPr>
                <w:sz w:val="1"/>
                <w:szCs w:val="1"/>
                <w:color w:val="auto"/>
              </w:rPr>
            </w:pPr>
          </w:p>
        </w:tc>
        <w:tc>
          <w:tcPr>
            <w:tcW w:w="12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26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80" w:type="dxa"/>
            <w:vAlign w:val="bottom"/>
            <w:tcBorders>
              <w:left w:val="single" w:sz="8" w:color="F0FFFF"/>
            </w:tcBorders>
            <w:shd w:val="clear" w:color="auto" w:fill="F0FFFF"/>
          </w:tcPr>
          <w:p>
            <w:pPr>
              <w:spacing w:after="0" w:line="20" w:lineRule="exact"/>
              <w:rPr>
                <w:sz w:val="1"/>
                <w:szCs w:val="1"/>
                <w:color w:val="auto"/>
              </w:rPr>
            </w:pPr>
          </w:p>
        </w:tc>
        <w:tc>
          <w:tcPr>
            <w:tcW w:w="220" w:type="dxa"/>
            <w:vAlign w:val="bottom"/>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tcBorders>
              <w:right w:val="single" w:sz="8" w:color="F0FFFF"/>
            </w:tcBorders>
            <w:shd w:val="clear" w:color="auto" w:fill="000000"/>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300" w:type="dxa"/>
            <w:vAlign w:val="bottom"/>
            <w:shd w:val="clear" w:color="auto" w:fill="F0FFFF"/>
          </w:tcPr>
          <w:p>
            <w:pPr>
              <w:spacing w:after="0" w:line="20" w:lineRule="exact"/>
              <w:rPr>
                <w:sz w:val="1"/>
                <w:szCs w:val="1"/>
                <w:color w:val="auto"/>
              </w:rPr>
            </w:pPr>
          </w:p>
        </w:tc>
        <w:tc>
          <w:tcPr>
            <w:tcW w:w="520" w:type="dxa"/>
            <w:vAlign w:val="bottom"/>
            <w:tcBorders>
              <w:right w:val="single" w:sz="8" w:color="F0FFFF"/>
            </w:tcBorders>
            <w:shd w:val="clear" w:color="auto" w:fill="F0FFFF"/>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16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20" w:type="dxa"/>
            <w:vAlign w:val="bottom"/>
            <w:tcBorders>
              <w:left w:val="single" w:sz="8" w:color="auto"/>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tcBorders>
              <w:right w:val="single" w:sz="8" w:color="auto"/>
            </w:tcBorders>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4260" w:type="dxa"/>
            <w:vAlign w:val="bottom"/>
            <w:tcBorders>
              <w:right w:val="single" w:sz="8" w:color="auto"/>
            </w:tcBorders>
            <w:gridSpan w:val="21"/>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described in this prospectus when your Contract is issued or at the Term</w:t>
            </w:r>
          </w:p>
        </w:tc>
        <w:tc>
          <w:tcPr>
            <w:tcW w:w="300" w:type="dxa"/>
            <w:vAlign w:val="bottom"/>
            <w:shd w:val="clear" w:color="auto" w:fill="F0FFFF"/>
          </w:tcPr>
          <w:p>
            <w:pPr>
              <w:spacing w:after="0"/>
              <w:rPr>
                <w:sz w:val="12"/>
                <w:szCs w:val="12"/>
                <w:color w:val="auto"/>
              </w:rPr>
            </w:pPr>
          </w:p>
        </w:tc>
        <w:tc>
          <w:tcPr>
            <w:tcW w:w="520" w:type="dxa"/>
            <w:vAlign w:val="bottom"/>
            <w:tcBorders>
              <w:righ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6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20" w:type="dxa"/>
            <w:vAlign w:val="bottom"/>
            <w:tcBorders>
              <w:top w:val="single" w:sz="8" w:color="F0FFFF"/>
              <w:left w:val="single" w:sz="8" w:color="auto"/>
            </w:tcBorders>
            <w:shd w:val="clear" w:color="auto" w:fill="F0FFFF"/>
          </w:tcPr>
          <w:p>
            <w:pPr>
              <w:spacing w:after="0"/>
              <w:rPr>
                <w:sz w:val="13"/>
                <w:szCs w:val="13"/>
                <w:color w:val="auto"/>
              </w:rPr>
            </w:pPr>
          </w:p>
        </w:tc>
        <w:tc>
          <w:tcPr>
            <w:tcW w:w="100" w:type="dxa"/>
            <w:vAlign w:val="bottom"/>
            <w:tcBorders>
              <w:top w:val="single" w:sz="8" w:color="F0FFFF"/>
            </w:tcBorders>
            <w:shd w:val="clear" w:color="auto" w:fill="F0FFFF"/>
          </w:tcPr>
          <w:p>
            <w:pPr>
              <w:spacing w:after="0"/>
              <w:rPr>
                <w:sz w:val="13"/>
                <w:szCs w:val="13"/>
                <w:color w:val="auto"/>
              </w:rPr>
            </w:pPr>
          </w:p>
        </w:tc>
        <w:tc>
          <w:tcPr>
            <w:tcW w:w="500" w:type="dxa"/>
            <w:vAlign w:val="bottom"/>
            <w:tcBorders>
              <w:top w:val="single" w:sz="8" w:color="F0FFFF"/>
            </w:tcBorders>
            <w:shd w:val="clear" w:color="auto" w:fill="F0FFFF"/>
          </w:tcPr>
          <w:p>
            <w:pPr>
              <w:spacing w:after="0"/>
              <w:rPr>
                <w:sz w:val="13"/>
                <w:szCs w:val="13"/>
                <w:color w:val="auto"/>
              </w:rPr>
            </w:pPr>
          </w:p>
        </w:tc>
        <w:tc>
          <w:tcPr>
            <w:tcW w:w="20" w:type="dxa"/>
            <w:vAlign w:val="bottom"/>
            <w:tcBorders>
              <w:top w:val="single" w:sz="8" w:color="F0FFFF"/>
            </w:tcBorders>
            <w:shd w:val="clear" w:color="auto" w:fill="F0FFFF"/>
          </w:tcPr>
          <w:p>
            <w:pPr>
              <w:spacing w:after="0"/>
              <w:rPr>
                <w:sz w:val="13"/>
                <w:szCs w:val="13"/>
                <w:color w:val="auto"/>
              </w:rPr>
            </w:pPr>
          </w:p>
        </w:tc>
        <w:tc>
          <w:tcPr>
            <w:tcW w:w="100" w:type="dxa"/>
            <w:vAlign w:val="bottom"/>
            <w:tcBorders>
              <w:top w:val="single" w:sz="8" w:color="F0FFFF"/>
              <w:right w:val="single" w:sz="8" w:color="auto"/>
            </w:tcBorders>
            <w:shd w:val="clear" w:color="auto" w:fill="F0FFFF"/>
          </w:tcPr>
          <w:p>
            <w:pPr>
              <w:spacing w:after="0"/>
              <w:rPr>
                <w:sz w:val="13"/>
                <w:szCs w:val="13"/>
                <w:color w:val="auto"/>
              </w:rPr>
            </w:pPr>
          </w:p>
        </w:tc>
        <w:tc>
          <w:tcPr>
            <w:tcW w:w="180" w:type="dxa"/>
            <w:vAlign w:val="bottom"/>
            <w:tcBorders>
              <w:top w:val="single" w:sz="8" w:color="F0FFFF"/>
            </w:tcBorders>
            <w:shd w:val="clear" w:color="auto" w:fill="F0FFFF"/>
          </w:tcPr>
          <w:p>
            <w:pPr>
              <w:spacing w:after="0"/>
              <w:rPr>
                <w:sz w:val="13"/>
                <w:szCs w:val="13"/>
                <w:color w:val="auto"/>
              </w:rPr>
            </w:pPr>
          </w:p>
        </w:tc>
        <w:tc>
          <w:tcPr>
            <w:tcW w:w="2120" w:type="dxa"/>
            <w:vAlign w:val="bottom"/>
            <w:tcBorders>
              <w:top w:val="single" w:sz="8" w:color="F0FFFF"/>
              <w:right w:val="single" w:sz="8" w:color="F0FFFF"/>
            </w:tcBorders>
            <w:gridSpan w:val="8"/>
            <w:shd w:val="clear" w:color="auto" w:fill="F0FFFF"/>
          </w:tcPr>
          <w:p>
            <w:pPr>
              <w:spacing w:after="0"/>
              <w:rPr>
                <w:sz w:val="20"/>
                <w:szCs w:val="20"/>
                <w:color w:val="auto"/>
              </w:rPr>
            </w:pPr>
            <w:r>
              <w:rPr>
                <w:rFonts w:ascii="Times New Roman" w:cs="Times New Roman" w:eastAsia="Times New Roman" w:hAnsi="Times New Roman"/>
                <w:sz w:val="13"/>
                <w:szCs w:val="13"/>
                <w:color w:val="auto"/>
              </w:rPr>
              <w:t>End Date.</w:t>
            </w:r>
          </w:p>
        </w:tc>
        <w:tc>
          <w:tcPr>
            <w:tcW w:w="420" w:type="dxa"/>
            <w:vAlign w:val="bottom"/>
            <w:tcBorders>
              <w:top w:val="single" w:sz="8" w:color="auto"/>
            </w:tcBorders>
            <w:gridSpan w:val="3"/>
            <w:shd w:val="clear" w:color="auto" w:fill="F0FFFF"/>
          </w:tcPr>
          <w:p>
            <w:pPr>
              <w:spacing w:after="0"/>
              <w:rPr>
                <w:sz w:val="13"/>
                <w:szCs w:val="13"/>
                <w:color w:val="auto"/>
              </w:rPr>
            </w:pPr>
          </w:p>
        </w:tc>
        <w:tc>
          <w:tcPr>
            <w:tcW w:w="1720" w:type="dxa"/>
            <w:vAlign w:val="bottom"/>
            <w:tcBorders>
              <w:top w:val="single" w:sz="8" w:color="F0FFFF"/>
              <w:right w:val="single" w:sz="8" w:color="auto"/>
            </w:tcBorders>
            <w:gridSpan w:val="10"/>
            <w:shd w:val="clear" w:color="auto" w:fill="F0FFFF"/>
          </w:tcPr>
          <w:p>
            <w:pPr>
              <w:spacing w:after="0"/>
              <w:rPr>
                <w:sz w:val="13"/>
                <w:szCs w:val="13"/>
                <w:color w:val="auto"/>
              </w:rPr>
            </w:pPr>
          </w:p>
        </w:tc>
        <w:tc>
          <w:tcPr>
            <w:tcW w:w="300" w:type="dxa"/>
            <w:vAlign w:val="bottom"/>
            <w:tcBorders>
              <w:top w:val="single" w:sz="8" w:color="F0FFFF"/>
            </w:tcBorders>
            <w:shd w:val="clear" w:color="auto" w:fill="F0FFFF"/>
          </w:tcPr>
          <w:p>
            <w:pPr>
              <w:spacing w:after="0"/>
              <w:rPr>
                <w:sz w:val="13"/>
                <w:szCs w:val="13"/>
                <w:color w:val="auto"/>
              </w:rPr>
            </w:pPr>
          </w:p>
        </w:tc>
        <w:tc>
          <w:tcPr>
            <w:tcW w:w="520" w:type="dxa"/>
            <w:vAlign w:val="bottom"/>
            <w:tcBorders>
              <w:top w:val="single" w:sz="8" w:color="F0FFFF"/>
              <w:right w:val="single" w:sz="8" w:color="F0FFFF"/>
            </w:tcBorders>
            <w:shd w:val="clear" w:color="auto" w:fill="F0FFFF"/>
          </w:tcPr>
          <w:p>
            <w:pPr>
              <w:spacing w:after="0"/>
              <w:rPr>
                <w:sz w:val="13"/>
                <w:szCs w:val="13"/>
                <w:color w:val="auto"/>
              </w:rPr>
            </w:pPr>
          </w:p>
        </w:tc>
        <w:tc>
          <w:tcPr>
            <w:tcW w:w="240" w:type="dxa"/>
            <w:vAlign w:val="bottom"/>
            <w:tcBorders>
              <w:top w:val="single" w:sz="8" w:color="F0FFFF"/>
            </w:tcBorders>
            <w:shd w:val="clear" w:color="auto" w:fill="F0FFFF"/>
          </w:tcPr>
          <w:p>
            <w:pPr>
              <w:spacing w:after="0"/>
              <w:rPr>
                <w:sz w:val="13"/>
                <w:szCs w:val="13"/>
                <w:color w:val="auto"/>
              </w:rPr>
            </w:pPr>
          </w:p>
        </w:tc>
        <w:tc>
          <w:tcPr>
            <w:tcW w:w="80" w:type="dxa"/>
            <w:vAlign w:val="bottom"/>
            <w:tcBorders>
              <w:top w:val="single" w:sz="8" w:color="F0FFFF"/>
            </w:tcBorders>
            <w:shd w:val="clear" w:color="auto" w:fill="F0FFFF"/>
          </w:tcPr>
          <w:p>
            <w:pPr>
              <w:spacing w:after="0"/>
              <w:rPr>
                <w:sz w:val="13"/>
                <w:szCs w:val="13"/>
                <w:color w:val="auto"/>
              </w:rPr>
            </w:pPr>
          </w:p>
        </w:tc>
        <w:tc>
          <w:tcPr>
            <w:tcW w:w="160" w:type="dxa"/>
            <w:vAlign w:val="bottom"/>
            <w:tcBorders>
              <w:top w:val="single" w:sz="8" w:color="F0FFFF"/>
              <w:right w:val="single" w:sz="8" w:color="auto"/>
            </w:tcBorders>
            <w:shd w:val="clear" w:color="auto" w:fill="F0FF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20" w:type="dxa"/>
            <w:vAlign w:val="bottom"/>
            <w:tcBorders>
              <w:left w:val="single" w:sz="8" w:color="auto"/>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tcBorders>
              <w:right w:val="single" w:sz="8" w:color="auto"/>
            </w:tcBorders>
            <w:shd w:val="clear" w:color="auto" w:fill="F0FFFF"/>
          </w:tcPr>
          <w:p>
            <w:pPr>
              <w:spacing w:after="0"/>
              <w:rPr>
                <w:sz w:val="12"/>
                <w:szCs w:val="12"/>
                <w:color w:val="auto"/>
              </w:rPr>
            </w:pPr>
          </w:p>
        </w:tc>
        <w:tc>
          <w:tcPr>
            <w:tcW w:w="4440" w:type="dxa"/>
            <w:vAlign w:val="bottom"/>
            <w:tcBorders>
              <w:right w:val="single" w:sz="8" w:color="auto"/>
            </w:tcBorders>
            <w:gridSpan w:val="22"/>
            <w:shd w:val="clear" w:color="auto" w:fill="F0FFFF"/>
          </w:tcPr>
          <w:p>
            <w:pPr>
              <w:ind w:left="60"/>
              <w:spacing w:after="0" w:line="142" w:lineRule="exact"/>
              <w:rPr>
                <w:sz w:val="20"/>
                <w:szCs w:val="20"/>
                <w:color w:val="auto"/>
              </w:rPr>
            </w:pPr>
            <w:r>
              <w:rPr>
                <w:rFonts w:ascii="Times New Roman" w:cs="Times New Roman" w:eastAsia="Times New Roman" w:hAnsi="Times New Roman"/>
                <w:sz w:val="13"/>
                <w:szCs w:val="13"/>
                <w:color w:val="auto"/>
              </w:rPr>
              <w:t>● We can add or discontinue any Shield Option. We are not obligated to offer</w:t>
            </w:r>
          </w:p>
        </w:tc>
        <w:tc>
          <w:tcPr>
            <w:tcW w:w="300" w:type="dxa"/>
            <w:vAlign w:val="bottom"/>
            <w:shd w:val="clear" w:color="auto" w:fill="F0FFFF"/>
          </w:tcPr>
          <w:p>
            <w:pPr>
              <w:spacing w:after="0"/>
              <w:rPr>
                <w:sz w:val="12"/>
                <w:szCs w:val="12"/>
                <w:color w:val="auto"/>
              </w:rPr>
            </w:pPr>
          </w:p>
        </w:tc>
        <w:tc>
          <w:tcPr>
            <w:tcW w:w="520" w:type="dxa"/>
            <w:vAlign w:val="bottom"/>
            <w:tcBorders>
              <w:righ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6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left w:val="single" w:sz="8" w:color="auto"/>
            </w:tcBorders>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50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00" w:type="dxa"/>
            <w:vAlign w:val="bottom"/>
            <w:tcBorders>
              <w:right w:val="single" w:sz="8" w:color="auto"/>
            </w:tcBorders>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4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shd w:val="clear" w:color="auto" w:fill="F0FFFF"/>
          </w:tcPr>
          <w:p>
            <w:pPr>
              <w:spacing w:after="0" w:line="20" w:lineRule="exact"/>
              <w:rPr>
                <w:sz w:val="1"/>
                <w:szCs w:val="1"/>
                <w:color w:val="auto"/>
              </w:rPr>
            </w:pPr>
          </w:p>
        </w:tc>
        <w:tc>
          <w:tcPr>
            <w:tcW w:w="400" w:type="dxa"/>
            <w:vAlign w:val="bottom"/>
            <w:tcBorders>
              <w:right w:val="single" w:sz="8" w:color="F0FFFF"/>
            </w:tcBorders>
            <w:shd w:val="clear" w:color="auto" w:fill="F0FFFF"/>
          </w:tcPr>
          <w:p>
            <w:pPr>
              <w:spacing w:after="0" w:line="20" w:lineRule="exact"/>
              <w:rPr>
                <w:sz w:val="1"/>
                <w:szCs w:val="1"/>
                <w:color w:val="auto"/>
              </w:rPr>
            </w:pPr>
          </w:p>
        </w:tc>
        <w:tc>
          <w:tcPr>
            <w:tcW w:w="180" w:type="dxa"/>
            <w:vAlign w:val="bottom"/>
            <w:tcBorders>
              <w:right w:val="single" w:sz="8" w:color="F0FFFF"/>
            </w:tcBorders>
            <w:shd w:val="clear" w:color="auto" w:fill="F0FFFF"/>
          </w:tcPr>
          <w:p>
            <w:pPr>
              <w:spacing w:after="0" w:line="20" w:lineRule="exact"/>
              <w:rPr>
                <w:sz w:val="1"/>
                <w:szCs w:val="1"/>
                <w:color w:val="auto"/>
              </w:rPr>
            </w:pPr>
          </w:p>
        </w:tc>
        <w:tc>
          <w:tcPr>
            <w:tcW w:w="440" w:type="dxa"/>
            <w:vAlign w:val="bottom"/>
            <w:tcBorders>
              <w:right w:val="single" w:sz="8" w:color="F0FFFF"/>
            </w:tcBorders>
            <w:shd w:val="clear" w:color="auto" w:fill="F0FFFF"/>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80" w:type="dxa"/>
            <w:vAlign w:val="bottom"/>
            <w:tcBorders>
              <w:left w:val="single" w:sz="8" w:color="F0FFFF"/>
            </w:tcBorders>
            <w:shd w:val="clear" w:color="auto" w:fill="F0FFFF"/>
          </w:tcPr>
          <w:p>
            <w:pPr>
              <w:spacing w:after="0" w:line="20" w:lineRule="exact"/>
              <w:rPr>
                <w:sz w:val="1"/>
                <w:szCs w:val="1"/>
                <w:color w:val="auto"/>
              </w:rPr>
            </w:pPr>
          </w:p>
        </w:tc>
        <w:tc>
          <w:tcPr>
            <w:tcW w:w="220" w:type="dxa"/>
            <w:vAlign w:val="bottom"/>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14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300" w:type="dxa"/>
            <w:vAlign w:val="bottom"/>
            <w:shd w:val="clear" w:color="auto" w:fill="F0FFFF"/>
          </w:tcPr>
          <w:p>
            <w:pPr>
              <w:spacing w:after="0" w:line="20" w:lineRule="exact"/>
              <w:rPr>
                <w:sz w:val="1"/>
                <w:szCs w:val="1"/>
                <w:color w:val="auto"/>
              </w:rPr>
            </w:pPr>
          </w:p>
        </w:tc>
        <w:tc>
          <w:tcPr>
            <w:tcW w:w="520" w:type="dxa"/>
            <w:vAlign w:val="bottom"/>
            <w:tcBorders>
              <w:right w:val="single" w:sz="8" w:color="F0FFFF"/>
            </w:tcBorders>
            <w:shd w:val="clear" w:color="auto" w:fill="F0FFFF"/>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16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20" w:type="dxa"/>
            <w:vAlign w:val="bottom"/>
            <w:tcBorders>
              <w:left w:val="single" w:sz="8" w:color="auto"/>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tcBorders>
              <w:right w:val="single" w:sz="8" w:color="auto"/>
            </w:tcBorders>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4260" w:type="dxa"/>
            <w:vAlign w:val="bottom"/>
            <w:tcBorders>
              <w:right w:val="single" w:sz="8" w:color="auto"/>
            </w:tcBorders>
            <w:gridSpan w:val="21"/>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any one particular Shield Option, but after your Contract is issued, there will</w:t>
            </w:r>
          </w:p>
        </w:tc>
        <w:tc>
          <w:tcPr>
            <w:tcW w:w="300" w:type="dxa"/>
            <w:vAlign w:val="bottom"/>
            <w:shd w:val="clear" w:color="auto" w:fill="F0FFFF"/>
          </w:tcPr>
          <w:p>
            <w:pPr>
              <w:spacing w:after="0"/>
              <w:rPr>
                <w:sz w:val="12"/>
                <w:szCs w:val="12"/>
                <w:color w:val="auto"/>
              </w:rPr>
            </w:pPr>
          </w:p>
        </w:tc>
        <w:tc>
          <w:tcPr>
            <w:tcW w:w="520" w:type="dxa"/>
            <w:vAlign w:val="bottom"/>
            <w:tcBorders>
              <w:righ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6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left w:val="single" w:sz="8" w:color="auto"/>
            </w:tcBorders>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50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00" w:type="dxa"/>
            <w:vAlign w:val="bottom"/>
            <w:tcBorders>
              <w:right w:val="single" w:sz="8" w:color="auto"/>
            </w:tcBorders>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4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shd w:val="clear" w:color="auto" w:fill="F0FFFF"/>
          </w:tcPr>
          <w:p>
            <w:pPr>
              <w:spacing w:after="0" w:line="20" w:lineRule="exact"/>
              <w:rPr>
                <w:sz w:val="1"/>
                <w:szCs w:val="1"/>
                <w:color w:val="auto"/>
              </w:rPr>
            </w:pPr>
          </w:p>
        </w:tc>
        <w:tc>
          <w:tcPr>
            <w:tcW w:w="400" w:type="dxa"/>
            <w:vAlign w:val="bottom"/>
            <w:tcBorders>
              <w:right w:val="single" w:sz="8" w:color="auto"/>
            </w:tcBorders>
            <w:shd w:val="clear" w:color="auto" w:fill="F0FFFF"/>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F0FFFF"/>
            </w:tcBorders>
            <w:shd w:val="clear" w:color="auto" w:fill="000000"/>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26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80" w:type="dxa"/>
            <w:vAlign w:val="bottom"/>
            <w:tcBorders>
              <w:left w:val="single" w:sz="8" w:color="F0FFFF"/>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F0FFFF"/>
            </w:tcBorders>
            <w:shd w:val="clear" w:color="auto" w:fill="000000"/>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14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300" w:type="dxa"/>
            <w:vAlign w:val="bottom"/>
            <w:shd w:val="clear" w:color="auto" w:fill="F0FFFF"/>
          </w:tcPr>
          <w:p>
            <w:pPr>
              <w:spacing w:after="0" w:line="20" w:lineRule="exact"/>
              <w:rPr>
                <w:sz w:val="1"/>
                <w:szCs w:val="1"/>
                <w:color w:val="auto"/>
              </w:rPr>
            </w:pPr>
          </w:p>
        </w:tc>
        <w:tc>
          <w:tcPr>
            <w:tcW w:w="520" w:type="dxa"/>
            <w:vAlign w:val="bottom"/>
            <w:tcBorders>
              <w:right w:val="single" w:sz="8" w:color="F0FFFF"/>
            </w:tcBorders>
            <w:shd w:val="clear" w:color="auto" w:fill="F0FFFF"/>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16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20" w:type="dxa"/>
            <w:vAlign w:val="bottom"/>
            <w:tcBorders>
              <w:left w:val="single" w:sz="8" w:color="auto"/>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tcBorders>
              <w:right w:val="single" w:sz="8" w:color="auto"/>
            </w:tcBorders>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4260" w:type="dxa"/>
            <w:vAlign w:val="bottom"/>
            <w:tcBorders>
              <w:right w:val="single" w:sz="8" w:color="auto"/>
            </w:tcBorders>
            <w:gridSpan w:val="21"/>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always be one Shield Option available, although it may not be substantially</w:t>
            </w:r>
          </w:p>
        </w:tc>
        <w:tc>
          <w:tcPr>
            <w:tcW w:w="300" w:type="dxa"/>
            <w:vAlign w:val="bottom"/>
            <w:shd w:val="clear" w:color="auto" w:fill="F0FFFF"/>
          </w:tcPr>
          <w:p>
            <w:pPr>
              <w:spacing w:after="0"/>
              <w:rPr>
                <w:sz w:val="12"/>
                <w:szCs w:val="12"/>
                <w:color w:val="auto"/>
              </w:rPr>
            </w:pPr>
          </w:p>
        </w:tc>
        <w:tc>
          <w:tcPr>
            <w:tcW w:w="520" w:type="dxa"/>
            <w:vAlign w:val="bottom"/>
            <w:tcBorders>
              <w:righ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6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left w:val="single" w:sz="8" w:color="auto"/>
            </w:tcBorders>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50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00" w:type="dxa"/>
            <w:vAlign w:val="bottom"/>
            <w:tcBorders>
              <w:right w:val="single" w:sz="8" w:color="auto"/>
            </w:tcBorders>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4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shd w:val="clear" w:color="auto" w:fill="F0FFFF"/>
          </w:tcPr>
          <w:p>
            <w:pPr>
              <w:spacing w:after="0" w:line="20" w:lineRule="exact"/>
              <w:rPr>
                <w:sz w:val="1"/>
                <w:szCs w:val="1"/>
                <w:color w:val="auto"/>
              </w:rPr>
            </w:pPr>
          </w:p>
        </w:tc>
        <w:tc>
          <w:tcPr>
            <w:tcW w:w="400" w:type="dxa"/>
            <w:vAlign w:val="bottom"/>
            <w:tcBorders>
              <w:right w:val="single" w:sz="8" w:color="auto"/>
            </w:tcBorders>
            <w:shd w:val="clear" w:color="auto" w:fill="F0FFFF"/>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26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300" w:type="dxa"/>
            <w:vAlign w:val="bottom"/>
            <w:tcBorders>
              <w:left w:val="single" w:sz="8" w:color="F0FFFF"/>
            </w:tcBorders>
            <w:gridSpan w:val="2"/>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14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300" w:type="dxa"/>
            <w:vAlign w:val="bottom"/>
            <w:shd w:val="clear" w:color="auto" w:fill="F0FFFF"/>
          </w:tcPr>
          <w:p>
            <w:pPr>
              <w:spacing w:after="0" w:line="20" w:lineRule="exact"/>
              <w:rPr>
                <w:sz w:val="1"/>
                <w:szCs w:val="1"/>
                <w:color w:val="auto"/>
              </w:rPr>
            </w:pPr>
          </w:p>
        </w:tc>
        <w:tc>
          <w:tcPr>
            <w:tcW w:w="520" w:type="dxa"/>
            <w:vAlign w:val="bottom"/>
            <w:tcBorders>
              <w:right w:val="single" w:sz="8" w:color="F0FFFF"/>
            </w:tcBorders>
            <w:shd w:val="clear" w:color="auto" w:fill="F0FFFF"/>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16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20" w:type="dxa"/>
            <w:vAlign w:val="bottom"/>
            <w:tcBorders>
              <w:left w:val="single" w:sz="8" w:color="auto"/>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tcBorders>
              <w:right w:val="single" w:sz="8" w:color="auto"/>
            </w:tcBorders>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4260" w:type="dxa"/>
            <w:vAlign w:val="bottom"/>
            <w:tcBorders>
              <w:right w:val="single" w:sz="8" w:color="auto"/>
            </w:tcBorders>
            <w:gridSpan w:val="21"/>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similar to any one of the currently available Shield Options.</w:t>
            </w:r>
          </w:p>
        </w:tc>
        <w:tc>
          <w:tcPr>
            <w:tcW w:w="300" w:type="dxa"/>
            <w:vAlign w:val="bottom"/>
            <w:shd w:val="clear" w:color="auto" w:fill="F0FFFF"/>
          </w:tcPr>
          <w:p>
            <w:pPr>
              <w:spacing w:after="0"/>
              <w:rPr>
                <w:sz w:val="12"/>
                <w:szCs w:val="12"/>
                <w:color w:val="auto"/>
              </w:rPr>
            </w:pPr>
          </w:p>
        </w:tc>
        <w:tc>
          <w:tcPr>
            <w:tcW w:w="520" w:type="dxa"/>
            <w:vAlign w:val="bottom"/>
            <w:tcBorders>
              <w:righ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6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left w:val="single" w:sz="8" w:color="auto"/>
            </w:tcBorders>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50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00" w:type="dxa"/>
            <w:vAlign w:val="bottom"/>
            <w:tcBorders>
              <w:right w:val="single" w:sz="8" w:color="auto"/>
            </w:tcBorders>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4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shd w:val="clear" w:color="auto" w:fill="F0FFFF"/>
          </w:tcPr>
          <w:p>
            <w:pPr>
              <w:spacing w:after="0" w:line="20" w:lineRule="exact"/>
              <w:rPr>
                <w:sz w:val="1"/>
                <w:szCs w:val="1"/>
                <w:color w:val="auto"/>
              </w:rPr>
            </w:pPr>
          </w:p>
        </w:tc>
        <w:tc>
          <w:tcPr>
            <w:tcW w:w="400" w:type="dxa"/>
            <w:vAlign w:val="bottom"/>
            <w:tcBorders>
              <w:right w:val="single" w:sz="8" w:color="F0FFFF"/>
            </w:tcBorders>
            <w:shd w:val="clear" w:color="auto" w:fill="F0FFFF"/>
          </w:tcPr>
          <w:p>
            <w:pPr>
              <w:spacing w:after="0" w:line="20" w:lineRule="exact"/>
              <w:rPr>
                <w:sz w:val="1"/>
                <w:szCs w:val="1"/>
                <w:color w:val="auto"/>
              </w:rPr>
            </w:pPr>
          </w:p>
        </w:tc>
        <w:tc>
          <w:tcPr>
            <w:tcW w:w="180" w:type="dxa"/>
            <w:vAlign w:val="bottom"/>
            <w:tcBorders>
              <w:right w:val="single" w:sz="8" w:color="F0FFFF"/>
            </w:tcBorders>
            <w:shd w:val="clear" w:color="auto" w:fill="F0FFFF"/>
          </w:tcPr>
          <w:p>
            <w:pPr>
              <w:spacing w:after="0" w:line="20" w:lineRule="exact"/>
              <w:rPr>
                <w:sz w:val="1"/>
                <w:szCs w:val="1"/>
                <w:color w:val="auto"/>
              </w:rPr>
            </w:pPr>
          </w:p>
        </w:tc>
        <w:tc>
          <w:tcPr>
            <w:tcW w:w="440" w:type="dxa"/>
            <w:vAlign w:val="bottom"/>
            <w:tcBorders>
              <w:right w:val="single" w:sz="8" w:color="F0FFFF"/>
            </w:tcBorders>
            <w:shd w:val="clear" w:color="auto" w:fill="F0FFFF"/>
          </w:tcPr>
          <w:p>
            <w:pPr>
              <w:spacing w:after="0" w:line="20" w:lineRule="exact"/>
              <w:rPr>
                <w:sz w:val="1"/>
                <w:szCs w:val="1"/>
                <w:color w:val="auto"/>
              </w:rPr>
            </w:pPr>
          </w:p>
        </w:tc>
        <w:tc>
          <w:tcPr>
            <w:tcW w:w="12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260" w:type="dxa"/>
            <w:vAlign w:val="bottom"/>
            <w:tcBorders>
              <w:right w:val="single" w:sz="8" w:color="auto"/>
            </w:tcBorders>
            <w:shd w:val="clear" w:color="auto" w:fill="F0FF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14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300" w:type="dxa"/>
            <w:vAlign w:val="bottom"/>
            <w:shd w:val="clear" w:color="auto" w:fill="F0FFFF"/>
          </w:tcPr>
          <w:p>
            <w:pPr>
              <w:spacing w:after="0" w:line="20" w:lineRule="exact"/>
              <w:rPr>
                <w:sz w:val="1"/>
                <w:szCs w:val="1"/>
                <w:color w:val="auto"/>
              </w:rPr>
            </w:pPr>
          </w:p>
        </w:tc>
        <w:tc>
          <w:tcPr>
            <w:tcW w:w="520" w:type="dxa"/>
            <w:vAlign w:val="bottom"/>
            <w:tcBorders>
              <w:right w:val="single" w:sz="8" w:color="F0FFFF"/>
            </w:tcBorders>
            <w:shd w:val="clear" w:color="auto" w:fill="F0FFFF"/>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16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20" w:type="dxa"/>
            <w:vAlign w:val="bottom"/>
            <w:tcBorders>
              <w:left w:val="single" w:sz="8" w:color="auto"/>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tcBorders>
              <w:right w:val="single" w:sz="8" w:color="auto"/>
            </w:tcBorders>
            <w:shd w:val="clear" w:color="auto" w:fill="F0FFFF"/>
          </w:tcPr>
          <w:p>
            <w:pPr>
              <w:spacing w:after="0"/>
              <w:rPr>
                <w:sz w:val="12"/>
                <w:szCs w:val="12"/>
                <w:color w:val="auto"/>
              </w:rPr>
            </w:pPr>
          </w:p>
        </w:tc>
        <w:tc>
          <w:tcPr>
            <w:tcW w:w="4440" w:type="dxa"/>
            <w:vAlign w:val="bottom"/>
            <w:tcBorders>
              <w:right w:val="single" w:sz="8" w:color="auto"/>
            </w:tcBorders>
            <w:gridSpan w:val="22"/>
            <w:shd w:val="clear" w:color="auto" w:fill="F0FFFF"/>
          </w:tcPr>
          <w:p>
            <w:pPr>
              <w:ind w:left="60"/>
              <w:spacing w:after="0" w:line="139" w:lineRule="exact"/>
              <w:rPr>
                <w:sz w:val="20"/>
                <w:szCs w:val="20"/>
                <w:color w:val="auto"/>
              </w:rPr>
            </w:pPr>
            <w:r>
              <w:rPr>
                <w:rFonts w:ascii="Times New Roman" w:cs="Times New Roman" w:eastAsia="Times New Roman" w:hAnsi="Times New Roman"/>
                <w:sz w:val="13"/>
                <w:szCs w:val="13"/>
                <w:color w:val="auto"/>
              </w:rPr>
              <w:t>● We have the right to substitute a comparable index prior to the Term End</w:t>
            </w:r>
          </w:p>
        </w:tc>
        <w:tc>
          <w:tcPr>
            <w:tcW w:w="300" w:type="dxa"/>
            <w:vAlign w:val="bottom"/>
            <w:shd w:val="clear" w:color="auto" w:fill="F0FFFF"/>
          </w:tcPr>
          <w:p>
            <w:pPr>
              <w:spacing w:after="0"/>
              <w:rPr>
                <w:sz w:val="12"/>
                <w:szCs w:val="12"/>
                <w:color w:val="auto"/>
              </w:rPr>
            </w:pPr>
          </w:p>
        </w:tc>
        <w:tc>
          <w:tcPr>
            <w:tcW w:w="520" w:type="dxa"/>
            <w:vAlign w:val="bottom"/>
            <w:tcBorders>
              <w:righ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6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left w:val="single" w:sz="8" w:color="auto"/>
            </w:tcBorders>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50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00" w:type="dxa"/>
            <w:vAlign w:val="bottom"/>
            <w:tcBorders>
              <w:right w:val="single" w:sz="8" w:color="auto"/>
            </w:tcBorders>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4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shd w:val="clear" w:color="auto" w:fill="F0FFFF"/>
          </w:tcPr>
          <w:p>
            <w:pPr>
              <w:spacing w:after="0" w:line="20" w:lineRule="exact"/>
              <w:rPr>
                <w:sz w:val="1"/>
                <w:szCs w:val="1"/>
                <w:color w:val="auto"/>
              </w:rPr>
            </w:pPr>
          </w:p>
        </w:tc>
        <w:tc>
          <w:tcPr>
            <w:tcW w:w="400" w:type="dxa"/>
            <w:vAlign w:val="bottom"/>
            <w:tcBorders>
              <w:right w:val="single" w:sz="8" w:color="F0FFFF"/>
            </w:tcBorders>
            <w:shd w:val="clear" w:color="auto" w:fill="F0FFFF"/>
          </w:tcPr>
          <w:p>
            <w:pPr>
              <w:spacing w:after="0" w:line="20" w:lineRule="exact"/>
              <w:rPr>
                <w:sz w:val="1"/>
                <w:szCs w:val="1"/>
                <w:color w:val="auto"/>
              </w:rPr>
            </w:pPr>
          </w:p>
        </w:tc>
        <w:tc>
          <w:tcPr>
            <w:tcW w:w="180" w:type="dxa"/>
            <w:vAlign w:val="bottom"/>
            <w:tcBorders>
              <w:right w:val="single" w:sz="8" w:color="F0FFFF"/>
            </w:tcBorders>
            <w:shd w:val="clear" w:color="auto" w:fill="F0FFFF"/>
          </w:tcPr>
          <w:p>
            <w:pPr>
              <w:spacing w:after="0" w:line="20" w:lineRule="exact"/>
              <w:rPr>
                <w:sz w:val="1"/>
                <w:szCs w:val="1"/>
                <w:color w:val="auto"/>
              </w:rPr>
            </w:pPr>
          </w:p>
        </w:tc>
        <w:tc>
          <w:tcPr>
            <w:tcW w:w="440" w:type="dxa"/>
            <w:vAlign w:val="bottom"/>
            <w:tcBorders>
              <w:right w:val="single" w:sz="8" w:color="F0FFFF"/>
            </w:tcBorders>
            <w:shd w:val="clear" w:color="auto" w:fill="F0FFFF"/>
          </w:tcPr>
          <w:p>
            <w:pPr>
              <w:spacing w:after="0" w:line="20" w:lineRule="exact"/>
              <w:rPr>
                <w:sz w:val="1"/>
                <w:szCs w:val="1"/>
                <w:color w:val="auto"/>
              </w:rPr>
            </w:pPr>
          </w:p>
        </w:tc>
        <w:tc>
          <w:tcPr>
            <w:tcW w:w="12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26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300" w:type="dxa"/>
            <w:vAlign w:val="bottom"/>
            <w:tcBorders>
              <w:left w:val="single" w:sz="8" w:color="F0FFFF"/>
            </w:tcBorders>
            <w:gridSpan w:val="2"/>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300" w:type="dxa"/>
            <w:vAlign w:val="bottom"/>
            <w:shd w:val="clear" w:color="auto" w:fill="F0FFFF"/>
          </w:tcPr>
          <w:p>
            <w:pPr>
              <w:spacing w:after="0" w:line="20" w:lineRule="exact"/>
              <w:rPr>
                <w:sz w:val="1"/>
                <w:szCs w:val="1"/>
                <w:color w:val="auto"/>
              </w:rPr>
            </w:pPr>
          </w:p>
        </w:tc>
        <w:tc>
          <w:tcPr>
            <w:tcW w:w="520" w:type="dxa"/>
            <w:vAlign w:val="bottom"/>
            <w:tcBorders>
              <w:right w:val="single" w:sz="8" w:color="F0FFFF"/>
            </w:tcBorders>
            <w:shd w:val="clear" w:color="auto" w:fill="F0FFFF"/>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16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20" w:type="dxa"/>
            <w:vAlign w:val="bottom"/>
            <w:tcBorders>
              <w:left w:val="single" w:sz="8" w:color="auto"/>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tcBorders>
              <w:right w:val="single" w:sz="8" w:color="auto"/>
            </w:tcBorders>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4260" w:type="dxa"/>
            <w:vAlign w:val="bottom"/>
            <w:tcBorders>
              <w:right w:val="single" w:sz="8" w:color="auto"/>
            </w:tcBorders>
            <w:gridSpan w:val="21"/>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Date if any Index is discontinued or we determine that our use of such</w:t>
            </w:r>
          </w:p>
        </w:tc>
        <w:tc>
          <w:tcPr>
            <w:tcW w:w="300" w:type="dxa"/>
            <w:vAlign w:val="bottom"/>
            <w:shd w:val="clear" w:color="auto" w:fill="F0FFFF"/>
          </w:tcPr>
          <w:p>
            <w:pPr>
              <w:spacing w:after="0"/>
              <w:rPr>
                <w:sz w:val="12"/>
                <w:szCs w:val="12"/>
                <w:color w:val="auto"/>
              </w:rPr>
            </w:pPr>
          </w:p>
        </w:tc>
        <w:tc>
          <w:tcPr>
            <w:tcW w:w="520" w:type="dxa"/>
            <w:vAlign w:val="bottom"/>
            <w:tcBorders>
              <w:righ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6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left w:val="single" w:sz="8" w:color="auto"/>
            </w:tcBorders>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50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00" w:type="dxa"/>
            <w:vAlign w:val="bottom"/>
            <w:tcBorders>
              <w:right w:val="single" w:sz="8" w:color="auto"/>
            </w:tcBorders>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F0FFFF"/>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F0FFFF"/>
            </w:tcBorders>
            <w:shd w:val="clear" w:color="auto" w:fill="F0FFFF"/>
          </w:tcPr>
          <w:p>
            <w:pPr>
              <w:spacing w:after="0" w:line="20" w:lineRule="exact"/>
              <w:rPr>
                <w:sz w:val="1"/>
                <w:szCs w:val="1"/>
                <w:color w:val="auto"/>
              </w:rPr>
            </w:pPr>
          </w:p>
        </w:tc>
        <w:tc>
          <w:tcPr>
            <w:tcW w:w="440" w:type="dxa"/>
            <w:vAlign w:val="bottom"/>
            <w:tcBorders>
              <w:right w:val="single" w:sz="8" w:color="F0FFFF"/>
            </w:tcBorders>
            <w:shd w:val="clear" w:color="auto" w:fill="F0FFFF"/>
          </w:tcPr>
          <w:p>
            <w:pPr>
              <w:spacing w:after="0" w:line="20" w:lineRule="exact"/>
              <w:rPr>
                <w:sz w:val="1"/>
                <w:szCs w:val="1"/>
                <w:color w:val="auto"/>
              </w:rPr>
            </w:pPr>
          </w:p>
        </w:tc>
        <w:tc>
          <w:tcPr>
            <w:tcW w:w="12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26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300" w:type="dxa"/>
            <w:vAlign w:val="bottom"/>
            <w:tcBorders>
              <w:left w:val="single" w:sz="8" w:color="F0FFFF"/>
            </w:tcBorders>
            <w:gridSpan w:val="2"/>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320" w:type="dxa"/>
            <w:vAlign w:val="bottom"/>
            <w:tcBorders>
              <w:right w:val="single" w:sz="8" w:color="F0FFFF"/>
            </w:tcBorders>
            <w:gridSpan w:val="2"/>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300" w:type="dxa"/>
            <w:vAlign w:val="bottom"/>
            <w:shd w:val="clear" w:color="auto" w:fill="F0FFFF"/>
          </w:tcPr>
          <w:p>
            <w:pPr>
              <w:spacing w:after="0" w:line="20" w:lineRule="exact"/>
              <w:rPr>
                <w:sz w:val="1"/>
                <w:szCs w:val="1"/>
                <w:color w:val="auto"/>
              </w:rPr>
            </w:pPr>
          </w:p>
        </w:tc>
        <w:tc>
          <w:tcPr>
            <w:tcW w:w="520" w:type="dxa"/>
            <w:vAlign w:val="bottom"/>
            <w:tcBorders>
              <w:right w:val="single" w:sz="8" w:color="F0FFFF"/>
            </w:tcBorders>
            <w:shd w:val="clear" w:color="auto" w:fill="F0FFFF"/>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16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20" w:type="dxa"/>
            <w:vAlign w:val="bottom"/>
            <w:tcBorders>
              <w:left w:val="single" w:sz="8" w:color="auto"/>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tcBorders>
              <w:right w:val="single" w:sz="8" w:color="auto"/>
            </w:tcBorders>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4260" w:type="dxa"/>
            <w:vAlign w:val="bottom"/>
            <w:tcBorders>
              <w:right w:val="single" w:sz="8" w:color="auto"/>
            </w:tcBorders>
            <w:gridSpan w:val="21"/>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Index should be discontinued because we are no longer licensed to use the</w:t>
            </w:r>
          </w:p>
        </w:tc>
        <w:tc>
          <w:tcPr>
            <w:tcW w:w="300" w:type="dxa"/>
            <w:vAlign w:val="bottom"/>
            <w:shd w:val="clear" w:color="auto" w:fill="F0FFFF"/>
          </w:tcPr>
          <w:p>
            <w:pPr>
              <w:spacing w:after="0"/>
              <w:rPr>
                <w:sz w:val="12"/>
                <w:szCs w:val="12"/>
                <w:color w:val="auto"/>
              </w:rPr>
            </w:pPr>
          </w:p>
        </w:tc>
        <w:tc>
          <w:tcPr>
            <w:tcW w:w="520" w:type="dxa"/>
            <w:vAlign w:val="bottom"/>
            <w:tcBorders>
              <w:righ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6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left w:val="single" w:sz="8" w:color="auto"/>
            </w:tcBorders>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50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00" w:type="dxa"/>
            <w:vAlign w:val="bottom"/>
            <w:tcBorders>
              <w:right w:val="single" w:sz="8" w:color="auto"/>
            </w:tcBorders>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tcBorders>
              <w:right w:val="single" w:sz="8" w:color="F0FFFF"/>
            </w:tcBorders>
            <w:gridSpan w:val="2"/>
            <w:shd w:val="clear" w:color="auto" w:fill="F0FFFF"/>
          </w:tcPr>
          <w:p>
            <w:pPr>
              <w:spacing w:after="0" w:line="20" w:lineRule="exact"/>
              <w:rPr>
                <w:sz w:val="1"/>
                <w:szCs w:val="1"/>
                <w:color w:val="auto"/>
              </w:rPr>
            </w:pPr>
          </w:p>
        </w:tc>
        <w:tc>
          <w:tcPr>
            <w:tcW w:w="180" w:type="dxa"/>
            <w:vAlign w:val="bottom"/>
            <w:tcBorders>
              <w:right w:val="single" w:sz="8" w:color="F0FFFF"/>
            </w:tcBorders>
            <w:shd w:val="clear" w:color="auto" w:fill="F0FFFF"/>
          </w:tcPr>
          <w:p>
            <w:pPr>
              <w:spacing w:after="0" w:line="20" w:lineRule="exact"/>
              <w:rPr>
                <w:sz w:val="1"/>
                <w:szCs w:val="1"/>
                <w:color w:val="auto"/>
              </w:rPr>
            </w:pPr>
          </w:p>
        </w:tc>
        <w:tc>
          <w:tcPr>
            <w:tcW w:w="440" w:type="dxa"/>
            <w:vAlign w:val="bottom"/>
            <w:tcBorders>
              <w:right w:val="single" w:sz="8" w:color="F0FFFF"/>
            </w:tcBorders>
            <w:shd w:val="clear" w:color="auto" w:fill="F0FFFF"/>
          </w:tcPr>
          <w:p>
            <w:pPr>
              <w:spacing w:after="0" w:line="20" w:lineRule="exact"/>
              <w:rPr>
                <w:sz w:val="1"/>
                <w:szCs w:val="1"/>
                <w:color w:val="auto"/>
              </w:rPr>
            </w:pPr>
          </w:p>
        </w:tc>
        <w:tc>
          <w:tcPr>
            <w:tcW w:w="12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26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300" w:type="dxa"/>
            <w:vAlign w:val="bottom"/>
            <w:tcBorders>
              <w:left w:val="single" w:sz="8" w:color="F0FFFF"/>
            </w:tcBorders>
            <w:gridSpan w:val="2"/>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320" w:type="dxa"/>
            <w:vAlign w:val="bottom"/>
            <w:tcBorders>
              <w:right w:val="single" w:sz="8" w:color="F0FFFF"/>
            </w:tcBorders>
            <w:gridSpan w:val="2"/>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300" w:type="dxa"/>
            <w:vAlign w:val="bottom"/>
            <w:shd w:val="clear" w:color="auto" w:fill="F0FFFF"/>
          </w:tcPr>
          <w:p>
            <w:pPr>
              <w:spacing w:after="0" w:line="20" w:lineRule="exact"/>
              <w:rPr>
                <w:sz w:val="1"/>
                <w:szCs w:val="1"/>
                <w:color w:val="auto"/>
              </w:rPr>
            </w:pPr>
          </w:p>
        </w:tc>
        <w:tc>
          <w:tcPr>
            <w:tcW w:w="520" w:type="dxa"/>
            <w:vAlign w:val="bottom"/>
            <w:tcBorders>
              <w:right w:val="single" w:sz="8" w:color="F0FFFF"/>
            </w:tcBorders>
            <w:shd w:val="clear" w:color="auto" w:fill="F0FFFF"/>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16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20" w:type="dxa"/>
            <w:vAlign w:val="bottom"/>
            <w:tcBorders>
              <w:left w:val="single" w:sz="8" w:color="auto"/>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tcBorders>
              <w:right w:val="single" w:sz="8" w:color="auto"/>
            </w:tcBorders>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4260" w:type="dxa"/>
            <w:vAlign w:val="bottom"/>
            <w:tcBorders>
              <w:right w:val="single" w:sz="8" w:color="auto"/>
            </w:tcBorders>
            <w:gridSpan w:val="21"/>
            <w:shd w:val="clear" w:color="auto" w:fill="F0FFFF"/>
          </w:tcPr>
          <w:p>
            <w:pPr>
              <w:spacing w:after="0"/>
              <w:rPr>
                <w:sz w:val="20"/>
                <w:szCs w:val="20"/>
                <w:color w:val="auto"/>
              </w:rPr>
            </w:pPr>
            <w:r>
              <w:rPr>
                <w:rFonts w:ascii="Times New Roman" w:cs="Times New Roman" w:eastAsia="Times New Roman" w:hAnsi="Times New Roman"/>
                <w:sz w:val="13"/>
                <w:szCs w:val="13"/>
                <w:color w:val="auto"/>
              </w:rPr>
              <w:t>Index , the method of calculation of the Index Value is substantially changed,</w:t>
            </w:r>
          </w:p>
        </w:tc>
        <w:tc>
          <w:tcPr>
            <w:tcW w:w="300" w:type="dxa"/>
            <w:vAlign w:val="bottom"/>
            <w:shd w:val="clear" w:color="auto" w:fill="F0FFFF"/>
          </w:tcPr>
          <w:p>
            <w:pPr>
              <w:spacing w:after="0"/>
              <w:rPr>
                <w:sz w:val="12"/>
                <w:szCs w:val="12"/>
                <w:color w:val="auto"/>
              </w:rPr>
            </w:pPr>
          </w:p>
        </w:tc>
        <w:tc>
          <w:tcPr>
            <w:tcW w:w="520" w:type="dxa"/>
            <w:vAlign w:val="bottom"/>
            <w:tcBorders>
              <w:righ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6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left w:val="single" w:sz="8" w:color="auto"/>
            </w:tcBorders>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50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00" w:type="dxa"/>
            <w:vAlign w:val="bottom"/>
            <w:tcBorders>
              <w:right w:val="single" w:sz="8" w:color="auto"/>
            </w:tcBorders>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tcBorders>
              <w:right w:val="single" w:sz="8" w:color="F0FFFF"/>
            </w:tcBorders>
            <w:gridSpan w:val="2"/>
            <w:shd w:val="clear" w:color="auto" w:fill="F0FFFF"/>
          </w:tcPr>
          <w:p>
            <w:pPr>
              <w:spacing w:after="0" w:line="20" w:lineRule="exact"/>
              <w:rPr>
                <w:sz w:val="1"/>
                <w:szCs w:val="1"/>
                <w:color w:val="auto"/>
              </w:rPr>
            </w:pPr>
          </w:p>
        </w:tc>
        <w:tc>
          <w:tcPr>
            <w:tcW w:w="180" w:type="dxa"/>
            <w:vAlign w:val="bottom"/>
            <w:tcBorders>
              <w:right w:val="single" w:sz="8" w:color="F0FFFF"/>
            </w:tcBorders>
            <w:shd w:val="clear" w:color="auto" w:fill="F0FFFF"/>
          </w:tcPr>
          <w:p>
            <w:pPr>
              <w:spacing w:after="0" w:line="20" w:lineRule="exact"/>
              <w:rPr>
                <w:sz w:val="1"/>
                <w:szCs w:val="1"/>
                <w:color w:val="auto"/>
              </w:rPr>
            </w:pPr>
          </w:p>
        </w:tc>
        <w:tc>
          <w:tcPr>
            <w:tcW w:w="440" w:type="dxa"/>
            <w:vAlign w:val="bottom"/>
            <w:tcBorders>
              <w:right w:val="single" w:sz="8" w:color="F0FFFF"/>
            </w:tcBorders>
            <w:shd w:val="clear" w:color="auto" w:fill="F0FFFF"/>
          </w:tcPr>
          <w:p>
            <w:pPr>
              <w:spacing w:after="0" w:line="20" w:lineRule="exact"/>
              <w:rPr>
                <w:sz w:val="1"/>
                <w:szCs w:val="1"/>
                <w:color w:val="auto"/>
              </w:rPr>
            </w:pPr>
          </w:p>
        </w:tc>
        <w:tc>
          <w:tcPr>
            <w:tcW w:w="12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320" w:type="dxa"/>
            <w:vAlign w:val="bottom"/>
            <w:tcBorders>
              <w:right w:val="single" w:sz="8" w:color="F0FFFF"/>
            </w:tcBorders>
            <w:gridSpan w:val="2"/>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300" w:type="dxa"/>
            <w:vAlign w:val="bottom"/>
            <w:shd w:val="clear" w:color="auto" w:fill="F0FFFF"/>
          </w:tcPr>
          <w:p>
            <w:pPr>
              <w:spacing w:after="0" w:line="20" w:lineRule="exact"/>
              <w:rPr>
                <w:sz w:val="1"/>
                <w:szCs w:val="1"/>
                <w:color w:val="auto"/>
              </w:rPr>
            </w:pPr>
          </w:p>
        </w:tc>
        <w:tc>
          <w:tcPr>
            <w:tcW w:w="520" w:type="dxa"/>
            <w:vAlign w:val="bottom"/>
            <w:tcBorders>
              <w:right w:val="single" w:sz="8" w:color="F0FFFF"/>
            </w:tcBorders>
            <w:shd w:val="clear" w:color="auto" w:fill="F0FFFF"/>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16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20" w:type="dxa"/>
            <w:vAlign w:val="bottom"/>
            <w:tcBorders>
              <w:left w:val="single" w:sz="8" w:color="auto"/>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tcBorders>
              <w:right w:val="single" w:sz="8" w:color="auto"/>
            </w:tcBorders>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4260" w:type="dxa"/>
            <w:vAlign w:val="bottom"/>
            <w:tcBorders>
              <w:right w:val="single" w:sz="8" w:color="auto"/>
            </w:tcBorders>
            <w:gridSpan w:val="21"/>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or if Index Values become unavailable for any reason.</w:t>
            </w:r>
          </w:p>
        </w:tc>
        <w:tc>
          <w:tcPr>
            <w:tcW w:w="300" w:type="dxa"/>
            <w:vAlign w:val="bottom"/>
            <w:shd w:val="clear" w:color="auto" w:fill="F0FFFF"/>
          </w:tcPr>
          <w:p>
            <w:pPr>
              <w:spacing w:after="0"/>
              <w:rPr>
                <w:sz w:val="12"/>
                <w:szCs w:val="12"/>
                <w:color w:val="auto"/>
              </w:rPr>
            </w:pPr>
          </w:p>
        </w:tc>
        <w:tc>
          <w:tcPr>
            <w:tcW w:w="520" w:type="dxa"/>
            <w:vAlign w:val="bottom"/>
            <w:tcBorders>
              <w:righ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6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left w:val="single" w:sz="8" w:color="auto"/>
            </w:tcBorders>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50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00" w:type="dxa"/>
            <w:vAlign w:val="bottom"/>
            <w:tcBorders>
              <w:right w:val="single" w:sz="8" w:color="auto"/>
            </w:tcBorders>
            <w:shd w:val="clear" w:color="auto" w:fill="F0FFFF"/>
          </w:tcPr>
          <w:p>
            <w:pPr>
              <w:spacing w:after="0" w:line="20" w:lineRule="exact"/>
              <w:rPr>
                <w:sz w:val="1"/>
                <w:szCs w:val="1"/>
                <w:color w:val="auto"/>
              </w:rPr>
            </w:pPr>
          </w:p>
        </w:tc>
        <w:tc>
          <w:tcPr>
            <w:tcW w:w="520" w:type="dxa"/>
            <w:vAlign w:val="bottom"/>
            <w:tcBorders>
              <w:right w:val="single" w:sz="8" w:color="auto"/>
            </w:tcBorders>
            <w:gridSpan w:val="2"/>
            <w:shd w:val="clear" w:color="auto" w:fill="F0FFFF"/>
          </w:tcPr>
          <w:p>
            <w:pPr>
              <w:spacing w:after="0" w:line="20" w:lineRule="exact"/>
              <w:rPr>
                <w:sz w:val="1"/>
                <w:szCs w:val="1"/>
                <w:color w:val="auto"/>
              </w:rPr>
            </w:pPr>
          </w:p>
        </w:tc>
        <w:tc>
          <w:tcPr>
            <w:tcW w:w="68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right w:val="single" w:sz="8" w:color="F0FFFF"/>
            </w:tcBorders>
            <w:shd w:val="clear" w:color="auto" w:fill="F0FFFF"/>
          </w:tcPr>
          <w:p>
            <w:pPr>
              <w:spacing w:after="0" w:line="20" w:lineRule="exact"/>
              <w:rPr>
                <w:sz w:val="1"/>
                <w:szCs w:val="1"/>
                <w:color w:val="auto"/>
              </w:rPr>
            </w:pPr>
          </w:p>
        </w:tc>
        <w:tc>
          <w:tcPr>
            <w:tcW w:w="440" w:type="dxa"/>
            <w:vAlign w:val="bottom"/>
            <w:tcBorders>
              <w:right w:val="single" w:sz="8" w:color="F0FFFF"/>
            </w:tcBorders>
            <w:shd w:val="clear" w:color="auto" w:fill="F0FFFF"/>
          </w:tcPr>
          <w:p>
            <w:pPr>
              <w:spacing w:after="0" w:line="20" w:lineRule="exact"/>
              <w:rPr>
                <w:sz w:val="1"/>
                <w:szCs w:val="1"/>
                <w:color w:val="auto"/>
              </w:rPr>
            </w:pPr>
          </w:p>
        </w:tc>
        <w:tc>
          <w:tcPr>
            <w:tcW w:w="12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26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460" w:type="dxa"/>
            <w:vAlign w:val="bottom"/>
            <w:tcBorders>
              <w:left w:val="single" w:sz="8" w:color="F0FFFF"/>
              <w:right w:val="single" w:sz="8" w:color="F0FFFF"/>
            </w:tcBorders>
            <w:gridSpan w:val="3"/>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320" w:type="dxa"/>
            <w:vAlign w:val="bottom"/>
            <w:tcBorders>
              <w:right w:val="single" w:sz="8" w:color="F0FFFF"/>
            </w:tcBorders>
            <w:gridSpan w:val="2"/>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300" w:type="dxa"/>
            <w:vAlign w:val="bottom"/>
            <w:shd w:val="clear" w:color="auto" w:fill="F0FFFF"/>
          </w:tcPr>
          <w:p>
            <w:pPr>
              <w:spacing w:after="0" w:line="20" w:lineRule="exact"/>
              <w:rPr>
                <w:sz w:val="1"/>
                <w:szCs w:val="1"/>
                <w:color w:val="auto"/>
              </w:rPr>
            </w:pPr>
          </w:p>
        </w:tc>
        <w:tc>
          <w:tcPr>
            <w:tcW w:w="520" w:type="dxa"/>
            <w:vAlign w:val="bottom"/>
            <w:tcBorders>
              <w:right w:val="single" w:sz="8" w:color="F0FFFF"/>
            </w:tcBorders>
            <w:shd w:val="clear" w:color="auto" w:fill="F0FFFF"/>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16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20" w:type="dxa"/>
            <w:vAlign w:val="bottom"/>
            <w:tcBorders>
              <w:left w:val="single" w:sz="8" w:color="auto"/>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tcBorders>
              <w:right w:val="single" w:sz="8" w:color="auto"/>
            </w:tcBorders>
            <w:shd w:val="clear" w:color="auto" w:fill="F0FFFF"/>
          </w:tcPr>
          <w:p>
            <w:pPr>
              <w:spacing w:after="0"/>
              <w:rPr>
                <w:sz w:val="12"/>
                <w:szCs w:val="12"/>
                <w:color w:val="auto"/>
              </w:rPr>
            </w:pPr>
          </w:p>
        </w:tc>
        <w:tc>
          <w:tcPr>
            <w:tcW w:w="4440" w:type="dxa"/>
            <w:vAlign w:val="bottom"/>
            <w:tcBorders>
              <w:right w:val="single" w:sz="8" w:color="auto"/>
            </w:tcBorders>
            <w:gridSpan w:val="22"/>
            <w:shd w:val="clear" w:color="auto" w:fill="F0FFFF"/>
          </w:tcPr>
          <w:p>
            <w:pPr>
              <w:ind w:left="60"/>
              <w:spacing w:after="0" w:line="139" w:lineRule="exact"/>
              <w:rPr>
                <w:sz w:val="20"/>
                <w:szCs w:val="20"/>
                <w:color w:val="auto"/>
              </w:rPr>
            </w:pPr>
            <w:r>
              <w:rPr>
                <w:rFonts w:ascii="Times New Roman" w:cs="Times New Roman" w:eastAsia="Times New Roman" w:hAnsi="Times New Roman"/>
                <w:sz w:val="13"/>
                <w:szCs w:val="13"/>
                <w:color w:val="auto"/>
              </w:rPr>
              <w:t>● We may change Cap Rates, Step Rates, and Edge Rates declared for the</w:t>
            </w:r>
          </w:p>
        </w:tc>
        <w:tc>
          <w:tcPr>
            <w:tcW w:w="300" w:type="dxa"/>
            <w:vAlign w:val="bottom"/>
            <w:shd w:val="clear" w:color="auto" w:fill="F0FFFF"/>
          </w:tcPr>
          <w:p>
            <w:pPr>
              <w:spacing w:after="0"/>
              <w:rPr>
                <w:sz w:val="12"/>
                <w:szCs w:val="12"/>
                <w:color w:val="auto"/>
              </w:rPr>
            </w:pPr>
          </w:p>
        </w:tc>
        <w:tc>
          <w:tcPr>
            <w:tcW w:w="520" w:type="dxa"/>
            <w:vAlign w:val="bottom"/>
            <w:tcBorders>
              <w:righ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6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left w:val="single" w:sz="8" w:color="auto"/>
            </w:tcBorders>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50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00" w:type="dxa"/>
            <w:vAlign w:val="bottom"/>
            <w:tcBorders>
              <w:right w:val="single" w:sz="8" w:color="auto"/>
            </w:tcBorders>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40" w:type="dxa"/>
            <w:vAlign w:val="bottom"/>
            <w:tcBorders>
              <w:right w:val="single" w:sz="8" w:color="F0FFFF"/>
            </w:tcBorders>
            <w:shd w:val="clear" w:color="auto" w:fill="F0FFFF"/>
          </w:tcPr>
          <w:p>
            <w:pPr>
              <w:spacing w:after="0" w:line="20" w:lineRule="exact"/>
              <w:rPr>
                <w:sz w:val="1"/>
                <w:szCs w:val="1"/>
                <w:color w:val="auto"/>
              </w:rPr>
            </w:pPr>
          </w:p>
        </w:tc>
        <w:tc>
          <w:tcPr>
            <w:tcW w:w="680" w:type="dxa"/>
            <w:vAlign w:val="bottom"/>
            <w:tcBorders>
              <w:right w:val="single" w:sz="8" w:color="auto"/>
            </w:tcBorders>
            <w:gridSpan w:val="2"/>
            <w:shd w:val="clear" w:color="auto" w:fill="F0FFFF"/>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260" w:type="dxa"/>
            <w:vAlign w:val="bottom"/>
            <w:tcBorders>
              <w:right w:val="single" w:sz="8" w:color="auto"/>
            </w:tcBorders>
            <w:shd w:val="clear" w:color="auto" w:fill="F0FF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320" w:type="dxa"/>
            <w:vAlign w:val="bottom"/>
            <w:tcBorders>
              <w:right w:val="single" w:sz="8" w:color="F0FFFF"/>
            </w:tcBorders>
            <w:gridSpan w:val="2"/>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300" w:type="dxa"/>
            <w:vAlign w:val="bottom"/>
            <w:shd w:val="clear" w:color="auto" w:fill="F0FFFF"/>
          </w:tcPr>
          <w:p>
            <w:pPr>
              <w:spacing w:after="0" w:line="20" w:lineRule="exact"/>
              <w:rPr>
                <w:sz w:val="1"/>
                <w:szCs w:val="1"/>
                <w:color w:val="auto"/>
              </w:rPr>
            </w:pPr>
          </w:p>
        </w:tc>
        <w:tc>
          <w:tcPr>
            <w:tcW w:w="520" w:type="dxa"/>
            <w:vAlign w:val="bottom"/>
            <w:tcBorders>
              <w:right w:val="single" w:sz="8" w:color="F0FFFF"/>
            </w:tcBorders>
            <w:shd w:val="clear" w:color="auto" w:fill="F0FFFF"/>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16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20" w:type="dxa"/>
            <w:vAlign w:val="bottom"/>
            <w:tcBorders>
              <w:left w:val="single" w:sz="8" w:color="auto"/>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tcBorders>
              <w:right w:val="single" w:sz="8" w:color="auto"/>
            </w:tcBorders>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4260" w:type="dxa"/>
            <w:vAlign w:val="bottom"/>
            <w:tcBorders>
              <w:right w:val="single" w:sz="8" w:color="auto"/>
            </w:tcBorders>
            <w:gridSpan w:val="21"/>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Shield Options from one Term to the next, subject to the minimum</w:t>
            </w:r>
          </w:p>
        </w:tc>
        <w:tc>
          <w:tcPr>
            <w:tcW w:w="300" w:type="dxa"/>
            <w:vAlign w:val="bottom"/>
            <w:shd w:val="clear" w:color="auto" w:fill="F0FFFF"/>
          </w:tcPr>
          <w:p>
            <w:pPr>
              <w:spacing w:after="0"/>
              <w:rPr>
                <w:sz w:val="12"/>
                <w:szCs w:val="12"/>
                <w:color w:val="auto"/>
              </w:rPr>
            </w:pPr>
          </w:p>
        </w:tc>
        <w:tc>
          <w:tcPr>
            <w:tcW w:w="520" w:type="dxa"/>
            <w:vAlign w:val="bottom"/>
            <w:tcBorders>
              <w:righ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6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left w:val="single" w:sz="8" w:color="auto"/>
            </w:tcBorders>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50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00" w:type="dxa"/>
            <w:vAlign w:val="bottom"/>
            <w:tcBorders>
              <w:right w:val="single" w:sz="8" w:color="auto"/>
            </w:tcBorders>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right w:val="single" w:sz="8" w:color="F0FFFF"/>
            </w:tcBorders>
            <w:shd w:val="clear" w:color="auto" w:fill="F0FFFF"/>
          </w:tcPr>
          <w:p>
            <w:pPr>
              <w:spacing w:after="0" w:line="20" w:lineRule="exact"/>
              <w:rPr>
                <w:sz w:val="1"/>
                <w:szCs w:val="1"/>
                <w:color w:val="auto"/>
              </w:rPr>
            </w:pPr>
          </w:p>
        </w:tc>
        <w:tc>
          <w:tcPr>
            <w:tcW w:w="440" w:type="dxa"/>
            <w:vAlign w:val="bottom"/>
            <w:tcBorders>
              <w:right w:val="single" w:sz="8" w:color="auto"/>
            </w:tcBorders>
            <w:shd w:val="clear" w:color="auto" w:fill="F0FFFF"/>
          </w:tcPr>
          <w:p>
            <w:pPr>
              <w:spacing w:after="0" w:line="20" w:lineRule="exact"/>
              <w:rPr>
                <w:sz w:val="1"/>
                <w:szCs w:val="1"/>
                <w:color w:val="auto"/>
              </w:rPr>
            </w:pPr>
          </w:p>
        </w:tc>
        <w:tc>
          <w:tcPr>
            <w:tcW w:w="12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340" w:type="dxa"/>
            <w:vAlign w:val="bottom"/>
            <w:gridSpan w:val="2"/>
            <w:shd w:val="clear" w:color="auto" w:fill="F0FFFF"/>
          </w:tcPr>
          <w:p>
            <w:pPr>
              <w:spacing w:after="0" w:line="20" w:lineRule="exact"/>
              <w:rPr>
                <w:sz w:val="1"/>
                <w:szCs w:val="1"/>
                <w:color w:val="auto"/>
              </w:rPr>
            </w:pPr>
          </w:p>
        </w:tc>
        <w:tc>
          <w:tcPr>
            <w:tcW w:w="460" w:type="dxa"/>
            <w:vAlign w:val="bottom"/>
            <w:tcBorders>
              <w:left w:val="single" w:sz="8" w:color="F0FFFF"/>
              <w:right w:val="single" w:sz="8" w:color="F0FFFF"/>
            </w:tcBorders>
            <w:gridSpan w:val="3"/>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320" w:type="dxa"/>
            <w:vAlign w:val="bottom"/>
            <w:tcBorders>
              <w:right w:val="single" w:sz="8" w:color="F0FFFF"/>
            </w:tcBorders>
            <w:gridSpan w:val="2"/>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300" w:type="dxa"/>
            <w:vAlign w:val="bottom"/>
            <w:shd w:val="clear" w:color="auto" w:fill="F0FFFF"/>
          </w:tcPr>
          <w:p>
            <w:pPr>
              <w:spacing w:after="0" w:line="20" w:lineRule="exact"/>
              <w:rPr>
                <w:sz w:val="1"/>
                <w:szCs w:val="1"/>
                <w:color w:val="auto"/>
              </w:rPr>
            </w:pPr>
          </w:p>
        </w:tc>
        <w:tc>
          <w:tcPr>
            <w:tcW w:w="520" w:type="dxa"/>
            <w:vAlign w:val="bottom"/>
            <w:tcBorders>
              <w:right w:val="single" w:sz="8" w:color="F0FFFF"/>
            </w:tcBorders>
            <w:shd w:val="clear" w:color="auto" w:fill="F0FFFF"/>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16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20" w:type="dxa"/>
            <w:vAlign w:val="bottom"/>
            <w:tcBorders>
              <w:left w:val="single" w:sz="8" w:color="auto"/>
            </w:tcBorders>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500" w:type="dxa"/>
            <w:vAlign w:val="bottom"/>
            <w:shd w:val="clear" w:color="auto" w:fill="F0FFFF"/>
          </w:tcPr>
          <w:p>
            <w:pPr>
              <w:spacing w:after="0"/>
              <w:rPr>
                <w:sz w:val="13"/>
                <w:szCs w:val="13"/>
                <w:color w:val="auto"/>
              </w:rPr>
            </w:pPr>
          </w:p>
        </w:tc>
        <w:tc>
          <w:tcPr>
            <w:tcW w:w="20" w:type="dxa"/>
            <w:vAlign w:val="bottom"/>
            <w:shd w:val="clear" w:color="auto" w:fill="F0FFFF"/>
          </w:tcPr>
          <w:p>
            <w:pPr>
              <w:spacing w:after="0"/>
              <w:rPr>
                <w:sz w:val="13"/>
                <w:szCs w:val="13"/>
                <w:color w:val="auto"/>
              </w:rPr>
            </w:pPr>
          </w:p>
        </w:tc>
        <w:tc>
          <w:tcPr>
            <w:tcW w:w="100" w:type="dxa"/>
            <w:vAlign w:val="bottom"/>
            <w:tcBorders>
              <w:right w:val="single" w:sz="8" w:color="auto"/>
            </w:tcBorders>
            <w:shd w:val="clear" w:color="auto" w:fill="F0FFFF"/>
          </w:tcPr>
          <w:p>
            <w:pPr>
              <w:spacing w:after="0"/>
              <w:rPr>
                <w:sz w:val="13"/>
                <w:szCs w:val="13"/>
                <w:color w:val="auto"/>
              </w:rPr>
            </w:pPr>
          </w:p>
        </w:tc>
        <w:tc>
          <w:tcPr>
            <w:tcW w:w="180" w:type="dxa"/>
            <w:vAlign w:val="bottom"/>
            <w:shd w:val="clear" w:color="auto" w:fill="F0FFFF"/>
          </w:tcPr>
          <w:p>
            <w:pPr>
              <w:spacing w:after="0"/>
              <w:rPr>
                <w:sz w:val="13"/>
                <w:szCs w:val="13"/>
                <w:color w:val="auto"/>
              </w:rPr>
            </w:pPr>
          </w:p>
        </w:tc>
        <w:tc>
          <w:tcPr>
            <w:tcW w:w="4260" w:type="dxa"/>
            <w:vAlign w:val="bottom"/>
            <w:tcBorders>
              <w:right w:val="single" w:sz="8" w:color="auto"/>
            </w:tcBorders>
            <w:gridSpan w:val="21"/>
            <w:shd w:val="clear" w:color="auto" w:fill="F0FFFF"/>
          </w:tcPr>
          <w:p>
            <w:pPr>
              <w:spacing w:after="0"/>
              <w:rPr>
                <w:sz w:val="20"/>
                <w:szCs w:val="20"/>
                <w:color w:val="auto"/>
              </w:rPr>
            </w:pPr>
            <w:r>
              <w:rPr>
                <w:rFonts w:ascii="Times New Roman" w:cs="Times New Roman" w:eastAsia="Times New Roman" w:hAnsi="Times New Roman"/>
                <w:sz w:val="13"/>
                <w:szCs w:val="13"/>
                <w:color w:val="auto"/>
              </w:rPr>
              <w:t>guaranteed rates.</w:t>
            </w:r>
          </w:p>
        </w:tc>
        <w:tc>
          <w:tcPr>
            <w:tcW w:w="300" w:type="dxa"/>
            <w:vAlign w:val="bottom"/>
            <w:shd w:val="clear" w:color="auto" w:fill="F0FFFF"/>
          </w:tcPr>
          <w:p>
            <w:pPr>
              <w:spacing w:after="0"/>
              <w:rPr>
                <w:sz w:val="13"/>
                <w:szCs w:val="13"/>
                <w:color w:val="auto"/>
              </w:rPr>
            </w:pPr>
          </w:p>
        </w:tc>
        <w:tc>
          <w:tcPr>
            <w:tcW w:w="520" w:type="dxa"/>
            <w:vAlign w:val="bottom"/>
            <w:tcBorders>
              <w:right w:val="single" w:sz="8" w:color="F0FFFF"/>
            </w:tcBorders>
            <w:shd w:val="clear" w:color="auto" w:fill="F0FFFF"/>
          </w:tcPr>
          <w:p>
            <w:pPr>
              <w:spacing w:after="0"/>
              <w:rPr>
                <w:sz w:val="13"/>
                <w:szCs w:val="13"/>
                <w:color w:val="auto"/>
              </w:rPr>
            </w:pPr>
          </w:p>
        </w:tc>
        <w:tc>
          <w:tcPr>
            <w:tcW w:w="24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160" w:type="dxa"/>
            <w:vAlign w:val="bottom"/>
            <w:tcBorders>
              <w:right w:val="single" w:sz="8" w:color="auto"/>
            </w:tcBorders>
            <w:shd w:val="clear" w:color="auto" w:fill="F0FF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20" w:type="dxa"/>
            <w:vAlign w:val="bottom"/>
            <w:tcBorders>
              <w:left w:val="single" w:sz="8" w:color="auto"/>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tcBorders>
              <w:right w:val="single" w:sz="8" w:color="auto"/>
            </w:tcBorders>
            <w:shd w:val="clear" w:color="auto" w:fill="F0FFFF"/>
          </w:tcPr>
          <w:p>
            <w:pPr>
              <w:spacing w:after="0"/>
              <w:rPr>
                <w:sz w:val="12"/>
                <w:szCs w:val="12"/>
                <w:color w:val="auto"/>
              </w:rPr>
            </w:pPr>
          </w:p>
        </w:tc>
        <w:tc>
          <w:tcPr>
            <w:tcW w:w="4440" w:type="dxa"/>
            <w:vAlign w:val="bottom"/>
            <w:tcBorders>
              <w:right w:val="single" w:sz="8" w:color="auto"/>
            </w:tcBorders>
            <w:gridSpan w:val="22"/>
            <w:shd w:val="clear" w:color="auto" w:fill="F0FFFF"/>
          </w:tcPr>
          <w:p>
            <w:pPr>
              <w:ind w:left="60"/>
              <w:spacing w:after="0" w:line="142" w:lineRule="exact"/>
              <w:rPr>
                <w:sz w:val="20"/>
                <w:szCs w:val="20"/>
                <w:color w:val="auto"/>
              </w:rPr>
            </w:pPr>
            <w:r>
              <w:rPr>
                <w:rFonts w:ascii="Times New Roman" w:cs="Times New Roman" w:eastAsia="Times New Roman" w:hAnsi="Times New Roman"/>
                <w:sz w:val="13"/>
                <w:szCs w:val="13"/>
                <w:color w:val="auto"/>
              </w:rPr>
              <w:t>● Each Shield Option’s Shield Rate is guaranteed not to change for the life of</w:t>
            </w:r>
          </w:p>
        </w:tc>
        <w:tc>
          <w:tcPr>
            <w:tcW w:w="300" w:type="dxa"/>
            <w:vAlign w:val="bottom"/>
            <w:shd w:val="clear" w:color="auto" w:fill="F0FFFF"/>
          </w:tcPr>
          <w:p>
            <w:pPr>
              <w:spacing w:after="0"/>
              <w:rPr>
                <w:sz w:val="12"/>
                <w:szCs w:val="12"/>
                <w:color w:val="auto"/>
              </w:rPr>
            </w:pPr>
          </w:p>
        </w:tc>
        <w:tc>
          <w:tcPr>
            <w:tcW w:w="520" w:type="dxa"/>
            <w:vAlign w:val="bottom"/>
            <w:tcBorders>
              <w:righ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6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left w:val="single" w:sz="8" w:color="auto"/>
            </w:tcBorders>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50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00" w:type="dxa"/>
            <w:vAlign w:val="bottom"/>
            <w:tcBorders>
              <w:right w:val="single" w:sz="8" w:color="auto"/>
            </w:tcBorders>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40" w:type="dxa"/>
            <w:vAlign w:val="bottom"/>
            <w:tcBorders>
              <w:right w:val="single" w:sz="8" w:color="auto"/>
            </w:tcBorders>
            <w:shd w:val="clear" w:color="auto" w:fill="F0FFFF"/>
          </w:tcPr>
          <w:p>
            <w:pPr>
              <w:spacing w:after="0" w:line="20" w:lineRule="exact"/>
              <w:rPr>
                <w:sz w:val="1"/>
                <w:szCs w:val="1"/>
                <w:color w:val="auto"/>
              </w:rPr>
            </w:pPr>
          </w:p>
        </w:tc>
        <w:tc>
          <w:tcPr>
            <w:tcW w:w="68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340" w:type="dxa"/>
            <w:vAlign w:val="bottom"/>
            <w:gridSpan w:val="2"/>
            <w:shd w:val="clear" w:color="auto" w:fill="F0FFFF"/>
          </w:tcPr>
          <w:p>
            <w:pPr>
              <w:spacing w:after="0" w:line="20" w:lineRule="exact"/>
              <w:rPr>
                <w:sz w:val="1"/>
                <w:szCs w:val="1"/>
                <w:color w:val="auto"/>
              </w:rPr>
            </w:pPr>
          </w:p>
        </w:tc>
        <w:tc>
          <w:tcPr>
            <w:tcW w:w="460" w:type="dxa"/>
            <w:vAlign w:val="bottom"/>
            <w:tcBorders>
              <w:left w:val="single" w:sz="8" w:color="F0FFFF"/>
              <w:right w:val="single" w:sz="8" w:color="F0FFFF"/>
            </w:tcBorders>
            <w:gridSpan w:val="3"/>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320" w:type="dxa"/>
            <w:vAlign w:val="bottom"/>
            <w:tcBorders>
              <w:right w:val="single" w:sz="8" w:color="F0FFFF"/>
            </w:tcBorders>
            <w:gridSpan w:val="2"/>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300" w:type="dxa"/>
            <w:vAlign w:val="bottom"/>
            <w:shd w:val="clear" w:color="auto" w:fill="F0FFFF"/>
          </w:tcPr>
          <w:p>
            <w:pPr>
              <w:spacing w:after="0" w:line="20" w:lineRule="exact"/>
              <w:rPr>
                <w:sz w:val="1"/>
                <w:szCs w:val="1"/>
                <w:color w:val="auto"/>
              </w:rPr>
            </w:pPr>
          </w:p>
        </w:tc>
        <w:tc>
          <w:tcPr>
            <w:tcW w:w="520" w:type="dxa"/>
            <w:vAlign w:val="bottom"/>
            <w:tcBorders>
              <w:right w:val="single" w:sz="8" w:color="F0FFFF"/>
            </w:tcBorders>
            <w:shd w:val="clear" w:color="auto" w:fill="F0FFFF"/>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16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20" w:type="dxa"/>
            <w:vAlign w:val="bottom"/>
            <w:tcBorders>
              <w:left w:val="single" w:sz="8" w:color="auto"/>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tcBorders>
              <w:right w:val="single" w:sz="8" w:color="auto"/>
            </w:tcBorders>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4260" w:type="dxa"/>
            <w:vAlign w:val="bottom"/>
            <w:tcBorders>
              <w:right w:val="single" w:sz="8" w:color="auto"/>
            </w:tcBorders>
            <w:gridSpan w:val="21"/>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the currently offered Shield Options. However, we may add or discontinue</w:t>
            </w:r>
          </w:p>
        </w:tc>
        <w:tc>
          <w:tcPr>
            <w:tcW w:w="300" w:type="dxa"/>
            <w:vAlign w:val="bottom"/>
            <w:shd w:val="clear" w:color="auto" w:fill="F0FFFF"/>
          </w:tcPr>
          <w:p>
            <w:pPr>
              <w:spacing w:after="0"/>
              <w:rPr>
                <w:sz w:val="12"/>
                <w:szCs w:val="12"/>
                <w:color w:val="auto"/>
              </w:rPr>
            </w:pPr>
          </w:p>
        </w:tc>
        <w:tc>
          <w:tcPr>
            <w:tcW w:w="520" w:type="dxa"/>
            <w:vAlign w:val="bottom"/>
            <w:tcBorders>
              <w:righ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6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left w:val="single" w:sz="8" w:color="auto"/>
            </w:tcBorders>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50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00" w:type="dxa"/>
            <w:vAlign w:val="bottom"/>
            <w:tcBorders>
              <w:right w:val="single" w:sz="8" w:color="auto"/>
            </w:tcBorders>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40" w:type="dxa"/>
            <w:vAlign w:val="bottom"/>
            <w:tcBorders>
              <w:right w:val="single" w:sz="8" w:color="F0FFFF"/>
            </w:tcBorders>
            <w:shd w:val="clear" w:color="auto" w:fill="F0FFFF"/>
          </w:tcPr>
          <w:p>
            <w:pPr>
              <w:spacing w:after="0" w:line="20" w:lineRule="exact"/>
              <w:rPr>
                <w:sz w:val="1"/>
                <w:szCs w:val="1"/>
                <w:color w:val="auto"/>
              </w:rPr>
            </w:pPr>
          </w:p>
        </w:tc>
        <w:tc>
          <w:tcPr>
            <w:tcW w:w="680" w:type="dxa"/>
            <w:vAlign w:val="bottom"/>
            <w:tcBorders>
              <w:right w:val="single" w:sz="8" w:color="F0FFFF"/>
            </w:tcBorders>
            <w:gridSpan w:val="2"/>
            <w:shd w:val="clear" w:color="auto" w:fill="F0FFFF"/>
          </w:tcPr>
          <w:p>
            <w:pPr>
              <w:spacing w:after="0" w:line="20" w:lineRule="exact"/>
              <w:rPr>
                <w:sz w:val="1"/>
                <w:szCs w:val="1"/>
                <w:color w:val="auto"/>
              </w:rPr>
            </w:pPr>
          </w:p>
        </w:tc>
        <w:tc>
          <w:tcPr>
            <w:tcW w:w="180" w:type="dxa"/>
            <w:vAlign w:val="bottom"/>
            <w:tcBorders>
              <w:right w:val="single" w:sz="8" w:color="auto"/>
            </w:tcBorders>
            <w:shd w:val="clear" w:color="auto" w:fill="F0FFFF"/>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Borders>
              <w:right w:val="single" w:sz="8" w:color="F0FFFF"/>
            </w:tcBorders>
            <w:gridSpan w:val="2"/>
            <w:shd w:val="clear" w:color="auto" w:fill="000000"/>
          </w:tcPr>
          <w:p>
            <w:pPr>
              <w:spacing w:after="0" w:line="20" w:lineRule="exact"/>
              <w:rPr>
                <w:sz w:val="1"/>
                <w:szCs w:val="1"/>
                <w:color w:val="auto"/>
              </w:rPr>
            </w:pPr>
          </w:p>
        </w:tc>
        <w:tc>
          <w:tcPr>
            <w:tcW w:w="8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340" w:type="dxa"/>
            <w:vAlign w:val="bottom"/>
            <w:gridSpan w:val="2"/>
            <w:shd w:val="clear" w:color="auto" w:fill="F0FFFF"/>
          </w:tcPr>
          <w:p>
            <w:pPr>
              <w:spacing w:after="0" w:line="20" w:lineRule="exact"/>
              <w:rPr>
                <w:sz w:val="1"/>
                <w:szCs w:val="1"/>
                <w:color w:val="auto"/>
              </w:rPr>
            </w:pPr>
          </w:p>
        </w:tc>
        <w:tc>
          <w:tcPr>
            <w:tcW w:w="460" w:type="dxa"/>
            <w:vAlign w:val="bottom"/>
            <w:tcBorders>
              <w:left w:val="single" w:sz="8" w:color="F0FFFF"/>
              <w:right w:val="single" w:sz="8" w:color="F0FFFF"/>
            </w:tcBorders>
            <w:gridSpan w:val="3"/>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320" w:type="dxa"/>
            <w:vAlign w:val="bottom"/>
            <w:tcBorders>
              <w:right w:val="single" w:sz="8" w:color="F0FFFF"/>
            </w:tcBorders>
            <w:gridSpan w:val="2"/>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300" w:type="dxa"/>
            <w:vAlign w:val="bottom"/>
            <w:shd w:val="clear" w:color="auto" w:fill="F0FFFF"/>
          </w:tcPr>
          <w:p>
            <w:pPr>
              <w:spacing w:after="0" w:line="20" w:lineRule="exact"/>
              <w:rPr>
                <w:sz w:val="1"/>
                <w:szCs w:val="1"/>
                <w:color w:val="auto"/>
              </w:rPr>
            </w:pPr>
          </w:p>
        </w:tc>
        <w:tc>
          <w:tcPr>
            <w:tcW w:w="520" w:type="dxa"/>
            <w:vAlign w:val="bottom"/>
            <w:tcBorders>
              <w:right w:val="single" w:sz="8" w:color="F0FFFF"/>
            </w:tcBorders>
            <w:shd w:val="clear" w:color="auto" w:fill="F0FFFF"/>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16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20" w:type="dxa"/>
            <w:vAlign w:val="bottom"/>
            <w:tcBorders>
              <w:left w:val="single" w:sz="8" w:color="auto"/>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tcBorders>
              <w:right w:val="single" w:sz="8" w:color="auto"/>
            </w:tcBorders>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4260" w:type="dxa"/>
            <w:vAlign w:val="bottom"/>
            <w:tcBorders>
              <w:right w:val="single" w:sz="8" w:color="auto"/>
            </w:tcBorders>
            <w:gridSpan w:val="21"/>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any Shield Option, so the Shield Rates offered under the Contract may</w:t>
            </w:r>
          </w:p>
        </w:tc>
        <w:tc>
          <w:tcPr>
            <w:tcW w:w="300" w:type="dxa"/>
            <w:vAlign w:val="bottom"/>
            <w:shd w:val="clear" w:color="auto" w:fill="F0FFFF"/>
          </w:tcPr>
          <w:p>
            <w:pPr>
              <w:spacing w:after="0"/>
              <w:rPr>
                <w:sz w:val="12"/>
                <w:szCs w:val="12"/>
                <w:color w:val="auto"/>
              </w:rPr>
            </w:pPr>
          </w:p>
        </w:tc>
        <w:tc>
          <w:tcPr>
            <w:tcW w:w="520" w:type="dxa"/>
            <w:vAlign w:val="bottom"/>
            <w:tcBorders>
              <w:righ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6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left w:val="single" w:sz="8" w:color="auto"/>
            </w:tcBorders>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50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00" w:type="dxa"/>
            <w:vAlign w:val="bottom"/>
            <w:tcBorders>
              <w:right w:val="single" w:sz="8" w:color="auto"/>
            </w:tcBorders>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40" w:type="dxa"/>
            <w:vAlign w:val="bottom"/>
            <w:tcBorders>
              <w:right w:val="single" w:sz="8" w:color="auto"/>
            </w:tcBorders>
            <w:shd w:val="clear" w:color="auto" w:fill="F0FFFF"/>
          </w:tcPr>
          <w:p>
            <w:pPr>
              <w:spacing w:after="0" w:line="20" w:lineRule="exact"/>
              <w:rPr>
                <w:sz w:val="1"/>
                <w:szCs w:val="1"/>
                <w:color w:val="auto"/>
              </w:rPr>
            </w:pPr>
          </w:p>
        </w:tc>
        <w:tc>
          <w:tcPr>
            <w:tcW w:w="68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right w:val="single" w:sz="8" w:color="F0FFFF"/>
            </w:tcBorders>
            <w:shd w:val="clear" w:color="auto" w:fill="F0FFFF"/>
          </w:tcPr>
          <w:p>
            <w:pPr>
              <w:spacing w:after="0" w:line="20" w:lineRule="exact"/>
              <w:rPr>
                <w:sz w:val="1"/>
                <w:szCs w:val="1"/>
                <w:color w:val="auto"/>
              </w:rPr>
            </w:pPr>
          </w:p>
        </w:tc>
        <w:tc>
          <w:tcPr>
            <w:tcW w:w="440" w:type="dxa"/>
            <w:vAlign w:val="bottom"/>
            <w:tcBorders>
              <w:right w:val="single" w:sz="8" w:color="auto"/>
            </w:tcBorders>
            <w:shd w:val="clear" w:color="auto" w:fill="F0FFFF"/>
          </w:tcPr>
          <w:p>
            <w:pPr>
              <w:spacing w:after="0" w:line="20" w:lineRule="exact"/>
              <w:rPr>
                <w:sz w:val="1"/>
                <w:szCs w:val="1"/>
                <w:color w:val="auto"/>
              </w:rPr>
            </w:pPr>
          </w:p>
        </w:tc>
        <w:tc>
          <w:tcPr>
            <w:tcW w:w="40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right w:val="single" w:sz="8" w:color="F0FFFF"/>
            </w:tcBorders>
            <w:shd w:val="clear" w:color="auto" w:fill="F0FFFF"/>
          </w:tcPr>
          <w:p>
            <w:pPr>
              <w:spacing w:after="0" w:line="20" w:lineRule="exact"/>
              <w:rPr>
                <w:sz w:val="1"/>
                <w:szCs w:val="1"/>
                <w:color w:val="auto"/>
              </w:rPr>
            </w:pPr>
          </w:p>
        </w:tc>
        <w:tc>
          <w:tcPr>
            <w:tcW w:w="340" w:type="dxa"/>
            <w:vAlign w:val="bottom"/>
            <w:gridSpan w:val="2"/>
            <w:shd w:val="clear" w:color="auto" w:fill="F0FFFF"/>
          </w:tcPr>
          <w:p>
            <w:pPr>
              <w:spacing w:after="0" w:line="20" w:lineRule="exact"/>
              <w:rPr>
                <w:sz w:val="1"/>
                <w:szCs w:val="1"/>
                <w:color w:val="auto"/>
              </w:rPr>
            </w:pPr>
          </w:p>
        </w:tc>
        <w:tc>
          <w:tcPr>
            <w:tcW w:w="460" w:type="dxa"/>
            <w:vAlign w:val="bottom"/>
            <w:tcBorders>
              <w:left w:val="single" w:sz="8" w:color="F0FFFF"/>
              <w:right w:val="single" w:sz="8" w:color="F0FFFF"/>
            </w:tcBorders>
            <w:gridSpan w:val="3"/>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32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300" w:type="dxa"/>
            <w:vAlign w:val="bottom"/>
            <w:shd w:val="clear" w:color="auto" w:fill="F0FFFF"/>
          </w:tcPr>
          <w:p>
            <w:pPr>
              <w:spacing w:after="0" w:line="20" w:lineRule="exact"/>
              <w:rPr>
                <w:sz w:val="1"/>
                <w:szCs w:val="1"/>
                <w:color w:val="auto"/>
              </w:rPr>
            </w:pPr>
          </w:p>
        </w:tc>
        <w:tc>
          <w:tcPr>
            <w:tcW w:w="520" w:type="dxa"/>
            <w:vAlign w:val="bottom"/>
            <w:tcBorders>
              <w:right w:val="single" w:sz="8" w:color="F0FFFF"/>
            </w:tcBorders>
            <w:shd w:val="clear" w:color="auto" w:fill="F0FFFF"/>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16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20" w:type="dxa"/>
            <w:vAlign w:val="bottom"/>
            <w:tcBorders>
              <w:left w:val="single" w:sz="8" w:color="auto"/>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tcBorders>
              <w:right w:val="single" w:sz="8" w:color="auto"/>
            </w:tcBorders>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4260" w:type="dxa"/>
            <w:vAlign w:val="bottom"/>
            <w:tcBorders>
              <w:right w:val="single" w:sz="8" w:color="auto"/>
            </w:tcBorders>
            <w:gridSpan w:val="21"/>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change from one Term to the next.</w:t>
            </w:r>
          </w:p>
        </w:tc>
        <w:tc>
          <w:tcPr>
            <w:tcW w:w="300" w:type="dxa"/>
            <w:vAlign w:val="bottom"/>
            <w:shd w:val="clear" w:color="auto" w:fill="F0FFFF"/>
          </w:tcPr>
          <w:p>
            <w:pPr>
              <w:spacing w:after="0"/>
              <w:rPr>
                <w:sz w:val="12"/>
                <w:szCs w:val="12"/>
                <w:color w:val="auto"/>
              </w:rPr>
            </w:pPr>
          </w:p>
        </w:tc>
        <w:tc>
          <w:tcPr>
            <w:tcW w:w="520" w:type="dxa"/>
            <w:vAlign w:val="bottom"/>
            <w:tcBorders>
              <w:righ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6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left w:val="single" w:sz="8" w:color="auto"/>
            </w:tcBorders>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50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00" w:type="dxa"/>
            <w:vAlign w:val="bottom"/>
            <w:tcBorders>
              <w:right w:val="single" w:sz="8" w:color="auto"/>
            </w:tcBorders>
            <w:shd w:val="clear" w:color="auto" w:fill="F0FFFF"/>
          </w:tcPr>
          <w:p>
            <w:pPr>
              <w:spacing w:after="0" w:line="20" w:lineRule="exact"/>
              <w:rPr>
                <w:sz w:val="1"/>
                <w:szCs w:val="1"/>
                <w:color w:val="auto"/>
              </w:rPr>
            </w:pPr>
          </w:p>
        </w:tc>
        <w:tc>
          <w:tcPr>
            <w:tcW w:w="520" w:type="dxa"/>
            <w:vAlign w:val="bottom"/>
            <w:tcBorders>
              <w:right w:val="single" w:sz="8" w:color="F0FFFF"/>
            </w:tcBorders>
            <w:gridSpan w:val="2"/>
            <w:shd w:val="clear" w:color="auto" w:fill="F0FFFF"/>
          </w:tcPr>
          <w:p>
            <w:pPr>
              <w:spacing w:after="0" w:line="20" w:lineRule="exact"/>
              <w:rPr>
                <w:sz w:val="1"/>
                <w:szCs w:val="1"/>
                <w:color w:val="auto"/>
              </w:rPr>
            </w:pPr>
          </w:p>
        </w:tc>
        <w:tc>
          <w:tcPr>
            <w:tcW w:w="680" w:type="dxa"/>
            <w:vAlign w:val="bottom"/>
            <w:tcBorders>
              <w:right w:val="single" w:sz="8" w:color="auto"/>
            </w:tcBorders>
            <w:gridSpan w:val="2"/>
            <w:shd w:val="clear" w:color="auto" w:fill="F0FFFF"/>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Borders>
              <w:right w:val="single" w:sz="8" w:color="F0FFFF"/>
            </w:tcBorders>
            <w:shd w:val="clear" w:color="auto" w:fill="F0FFFF"/>
          </w:tcPr>
          <w:p>
            <w:pPr>
              <w:spacing w:after="0" w:line="20" w:lineRule="exact"/>
              <w:rPr>
                <w:sz w:val="1"/>
                <w:szCs w:val="1"/>
                <w:color w:val="auto"/>
              </w:rPr>
            </w:pPr>
          </w:p>
        </w:tc>
        <w:tc>
          <w:tcPr>
            <w:tcW w:w="400" w:type="dxa"/>
            <w:vAlign w:val="bottom"/>
            <w:tcBorders>
              <w:right w:val="single" w:sz="8" w:color="F0FFFF"/>
            </w:tcBorders>
            <w:gridSpan w:val="2"/>
            <w:shd w:val="clear" w:color="auto" w:fill="F0FFFF"/>
          </w:tcPr>
          <w:p>
            <w:pPr>
              <w:spacing w:after="0" w:line="20" w:lineRule="exact"/>
              <w:rPr>
                <w:sz w:val="1"/>
                <w:szCs w:val="1"/>
                <w:color w:val="auto"/>
              </w:rPr>
            </w:pPr>
          </w:p>
        </w:tc>
        <w:tc>
          <w:tcPr>
            <w:tcW w:w="8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340" w:type="dxa"/>
            <w:vAlign w:val="bottom"/>
            <w:gridSpan w:val="2"/>
            <w:shd w:val="clear" w:color="auto" w:fill="F0FFFF"/>
          </w:tcPr>
          <w:p>
            <w:pPr>
              <w:spacing w:after="0" w:line="20" w:lineRule="exact"/>
              <w:rPr>
                <w:sz w:val="1"/>
                <w:szCs w:val="1"/>
                <w:color w:val="auto"/>
              </w:rPr>
            </w:pPr>
          </w:p>
        </w:tc>
        <w:tc>
          <w:tcPr>
            <w:tcW w:w="460" w:type="dxa"/>
            <w:vAlign w:val="bottom"/>
            <w:tcBorders>
              <w:left w:val="single" w:sz="8" w:color="F0FFFF"/>
              <w:right w:val="single" w:sz="8" w:color="F0FFFF"/>
            </w:tcBorders>
            <w:gridSpan w:val="3"/>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320" w:type="dxa"/>
            <w:vAlign w:val="bottom"/>
            <w:tcBorders>
              <w:right w:val="single" w:sz="8" w:color="F0FFFF"/>
            </w:tcBorders>
            <w:gridSpan w:val="2"/>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300" w:type="dxa"/>
            <w:vAlign w:val="bottom"/>
            <w:shd w:val="clear" w:color="auto" w:fill="F0FFFF"/>
          </w:tcPr>
          <w:p>
            <w:pPr>
              <w:spacing w:after="0" w:line="20" w:lineRule="exact"/>
              <w:rPr>
                <w:sz w:val="1"/>
                <w:szCs w:val="1"/>
                <w:color w:val="auto"/>
              </w:rPr>
            </w:pPr>
          </w:p>
        </w:tc>
        <w:tc>
          <w:tcPr>
            <w:tcW w:w="520" w:type="dxa"/>
            <w:vAlign w:val="bottom"/>
            <w:tcBorders>
              <w:right w:val="single" w:sz="8" w:color="F0FFFF"/>
            </w:tcBorders>
            <w:shd w:val="clear" w:color="auto" w:fill="F0FFFF"/>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16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20" w:type="dxa"/>
            <w:vAlign w:val="bottom"/>
            <w:tcBorders>
              <w:left w:val="single" w:sz="8" w:color="auto"/>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tcBorders>
              <w:right w:val="single" w:sz="8" w:color="auto"/>
            </w:tcBorders>
            <w:shd w:val="clear" w:color="auto" w:fill="F0FFFF"/>
          </w:tcPr>
          <w:p>
            <w:pPr>
              <w:spacing w:after="0"/>
              <w:rPr>
                <w:sz w:val="12"/>
                <w:szCs w:val="12"/>
                <w:color w:val="auto"/>
              </w:rPr>
            </w:pPr>
          </w:p>
        </w:tc>
        <w:tc>
          <w:tcPr>
            <w:tcW w:w="4440" w:type="dxa"/>
            <w:vAlign w:val="bottom"/>
            <w:tcBorders>
              <w:right w:val="single" w:sz="8" w:color="auto"/>
            </w:tcBorders>
            <w:gridSpan w:val="22"/>
            <w:shd w:val="clear" w:color="auto" w:fill="F0FFFF"/>
          </w:tcPr>
          <w:p>
            <w:pPr>
              <w:ind w:left="60"/>
              <w:spacing w:after="0" w:line="139" w:lineRule="exact"/>
              <w:rPr>
                <w:sz w:val="20"/>
                <w:szCs w:val="20"/>
                <w:color w:val="auto"/>
              </w:rPr>
            </w:pPr>
            <w:r>
              <w:rPr>
                <w:rFonts w:ascii="Times New Roman" w:cs="Times New Roman" w:eastAsia="Times New Roman" w:hAnsi="Times New Roman"/>
                <w:sz w:val="13"/>
                <w:szCs w:val="13"/>
                <w:color w:val="auto"/>
              </w:rPr>
              <w:t>● We may change the interest rate for the Fixed Account declared from one</w:t>
            </w:r>
          </w:p>
        </w:tc>
        <w:tc>
          <w:tcPr>
            <w:tcW w:w="300" w:type="dxa"/>
            <w:vAlign w:val="bottom"/>
            <w:shd w:val="clear" w:color="auto" w:fill="F0FFFF"/>
          </w:tcPr>
          <w:p>
            <w:pPr>
              <w:spacing w:after="0"/>
              <w:rPr>
                <w:sz w:val="12"/>
                <w:szCs w:val="12"/>
                <w:color w:val="auto"/>
              </w:rPr>
            </w:pPr>
          </w:p>
        </w:tc>
        <w:tc>
          <w:tcPr>
            <w:tcW w:w="520" w:type="dxa"/>
            <w:vAlign w:val="bottom"/>
            <w:tcBorders>
              <w:righ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6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left w:val="single" w:sz="8" w:color="auto"/>
            </w:tcBorders>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50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00" w:type="dxa"/>
            <w:vAlign w:val="bottom"/>
            <w:tcBorders>
              <w:right w:val="single" w:sz="8" w:color="auto"/>
            </w:tcBorders>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40" w:type="dxa"/>
            <w:vAlign w:val="bottom"/>
            <w:tcBorders>
              <w:right w:val="single" w:sz="8" w:color="F0FFFF"/>
            </w:tcBorders>
            <w:shd w:val="clear" w:color="auto" w:fill="F0FFFF"/>
          </w:tcPr>
          <w:p>
            <w:pPr>
              <w:spacing w:after="0" w:line="20" w:lineRule="exact"/>
              <w:rPr>
                <w:sz w:val="1"/>
                <w:szCs w:val="1"/>
                <w:color w:val="auto"/>
              </w:rPr>
            </w:pPr>
          </w:p>
        </w:tc>
        <w:tc>
          <w:tcPr>
            <w:tcW w:w="680" w:type="dxa"/>
            <w:vAlign w:val="bottom"/>
            <w:tcBorders>
              <w:right w:val="single" w:sz="8" w:color="F0FFFF"/>
            </w:tcBorders>
            <w:gridSpan w:val="2"/>
            <w:shd w:val="clear" w:color="auto" w:fill="F0FFFF"/>
          </w:tcPr>
          <w:p>
            <w:pPr>
              <w:spacing w:after="0" w:line="20" w:lineRule="exact"/>
              <w:rPr>
                <w:sz w:val="1"/>
                <w:szCs w:val="1"/>
                <w:color w:val="auto"/>
              </w:rPr>
            </w:pPr>
          </w:p>
        </w:tc>
        <w:tc>
          <w:tcPr>
            <w:tcW w:w="180" w:type="dxa"/>
            <w:vAlign w:val="bottom"/>
            <w:tcBorders>
              <w:right w:val="single" w:sz="8" w:color="F0FFFF"/>
            </w:tcBorders>
            <w:shd w:val="clear" w:color="auto" w:fill="F0FFFF"/>
          </w:tcPr>
          <w:p>
            <w:pPr>
              <w:spacing w:after="0" w:line="20" w:lineRule="exact"/>
              <w:rPr>
                <w:sz w:val="1"/>
                <w:szCs w:val="1"/>
                <w:color w:val="auto"/>
              </w:rPr>
            </w:pPr>
          </w:p>
        </w:tc>
        <w:tc>
          <w:tcPr>
            <w:tcW w:w="440" w:type="dxa"/>
            <w:vAlign w:val="bottom"/>
            <w:tcBorders>
              <w:right w:val="single" w:sz="8" w:color="F0FFFF"/>
            </w:tcBorders>
            <w:shd w:val="clear" w:color="auto" w:fill="F0FFFF"/>
          </w:tcPr>
          <w:p>
            <w:pPr>
              <w:spacing w:after="0" w:line="20" w:lineRule="exact"/>
              <w:rPr>
                <w:sz w:val="1"/>
                <w:szCs w:val="1"/>
                <w:color w:val="auto"/>
              </w:rPr>
            </w:pPr>
          </w:p>
        </w:tc>
        <w:tc>
          <w:tcPr>
            <w:tcW w:w="400" w:type="dxa"/>
            <w:vAlign w:val="bottom"/>
            <w:tcBorders>
              <w:right w:val="single" w:sz="8" w:color="F0FFFF"/>
            </w:tcBorders>
            <w:gridSpan w:val="2"/>
            <w:shd w:val="clear" w:color="auto" w:fill="F0FFFF"/>
          </w:tcPr>
          <w:p>
            <w:pPr>
              <w:spacing w:after="0" w:line="20" w:lineRule="exact"/>
              <w:rPr>
                <w:sz w:val="1"/>
                <w:szCs w:val="1"/>
                <w:color w:val="auto"/>
              </w:rPr>
            </w:pPr>
          </w:p>
        </w:tc>
        <w:tc>
          <w:tcPr>
            <w:tcW w:w="80" w:type="dxa"/>
            <w:vAlign w:val="bottom"/>
            <w:tcBorders>
              <w:left w:val="single" w:sz="8" w:color="F0FFFF"/>
              <w:right w:val="single" w:sz="8" w:color="auto"/>
            </w:tcBorders>
            <w:shd w:val="clear" w:color="auto" w:fill="F0FF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46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320" w:type="dxa"/>
            <w:vAlign w:val="bottom"/>
            <w:tcBorders>
              <w:right w:val="single" w:sz="8" w:color="F0FFFF"/>
            </w:tcBorders>
            <w:gridSpan w:val="2"/>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300" w:type="dxa"/>
            <w:vAlign w:val="bottom"/>
            <w:shd w:val="clear" w:color="auto" w:fill="F0FFFF"/>
          </w:tcPr>
          <w:p>
            <w:pPr>
              <w:spacing w:after="0" w:line="20" w:lineRule="exact"/>
              <w:rPr>
                <w:sz w:val="1"/>
                <w:szCs w:val="1"/>
                <w:color w:val="auto"/>
              </w:rPr>
            </w:pPr>
          </w:p>
        </w:tc>
        <w:tc>
          <w:tcPr>
            <w:tcW w:w="520" w:type="dxa"/>
            <w:vAlign w:val="bottom"/>
            <w:tcBorders>
              <w:right w:val="single" w:sz="8" w:color="F0FFFF"/>
            </w:tcBorders>
            <w:shd w:val="clear" w:color="auto" w:fill="F0FFFF"/>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16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20" w:type="dxa"/>
            <w:vAlign w:val="bottom"/>
            <w:tcBorders>
              <w:left w:val="single" w:sz="8" w:color="auto"/>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tcBorders>
              <w:right w:val="single" w:sz="8" w:color="auto"/>
            </w:tcBorders>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4260" w:type="dxa"/>
            <w:vAlign w:val="bottom"/>
            <w:tcBorders>
              <w:right w:val="single" w:sz="8" w:color="auto"/>
            </w:tcBorders>
            <w:gridSpan w:val="21"/>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Fixed Account Term to the next, subject to the Minimum Guaranteed</w:t>
            </w:r>
          </w:p>
        </w:tc>
        <w:tc>
          <w:tcPr>
            <w:tcW w:w="300" w:type="dxa"/>
            <w:vAlign w:val="bottom"/>
            <w:shd w:val="clear" w:color="auto" w:fill="F0FFFF"/>
          </w:tcPr>
          <w:p>
            <w:pPr>
              <w:spacing w:after="0"/>
              <w:rPr>
                <w:sz w:val="12"/>
                <w:szCs w:val="12"/>
                <w:color w:val="auto"/>
              </w:rPr>
            </w:pPr>
          </w:p>
        </w:tc>
        <w:tc>
          <w:tcPr>
            <w:tcW w:w="520" w:type="dxa"/>
            <w:vAlign w:val="bottom"/>
            <w:tcBorders>
              <w:righ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6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left w:val="single" w:sz="8" w:color="auto"/>
            </w:tcBorders>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50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00" w:type="dxa"/>
            <w:vAlign w:val="bottom"/>
            <w:tcBorders>
              <w:right w:val="single" w:sz="8" w:color="auto"/>
            </w:tcBorders>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right w:val="single" w:sz="8" w:color="F0FFFF"/>
            </w:tcBorders>
            <w:shd w:val="clear" w:color="auto" w:fill="000000"/>
          </w:tcPr>
          <w:p>
            <w:pPr>
              <w:spacing w:after="0" w:line="20" w:lineRule="exact"/>
              <w:rPr>
                <w:sz w:val="1"/>
                <w:szCs w:val="1"/>
                <w:color w:val="auto"/>
              </w:rPr>
            </w:pPr>
          </w:p>
        </w:tc>
        <w:tc>
          <w:tcPr>
            <w:tcW w:w="440" w:type="dxa"/>
            <w:vAlign w:val="bottom"/>
            <w:tcBorders>
              <w:right w:val="single" w:sz="8" w:color="F0FFFF"/>
            </w:tcBorders>
            <w:shd w:val="clear" w:color="auto" w:fill="F0FFFF"/>
          </w:tcPr>
          <w:p>
            <w:pPr>
              <w:spacing w:after="0" w:line="20" w:lineRule="exact"/>
              <w:rPr>
                <w:sz w:val="1"/>
                <w:szCs w:val="1"/>
                <w:color w:val="auto"/>
              </w:rPr>
            </w:pPr>
          </w:p>
        </w:tc>
        <w:tc>
          <w:tcPr>
            <w:tcW w:w="400" w:type="dxa"/>
            <w:vAlign w:val="bottom"/>
            <w:tcBorders>
              <w:right w:val="single" w:sz="8" w:color="F0FFFF"/>
            </w:tcBorders>
            <w:gridSpan w:val="2"/>
            <w:shd w:val="clear" w:color="auto" w:fill="F0FFFF"/>
          </w:tcPr>
          <w:p>
            <w:pPr>
              <w:spacing w:after="0" w:line="20" w:lineRule="exact"/>
              <w:rPr>
                <w:sz w:val="1"/>
                <w:szCs w:val="1"/>
                <w:color w:val="auto"/>
              </w:rPr>
            </w:pPr>
          </w:p>
        </w:tc>
        <w:tc>
          <w:tcPr>
            <w:tcW w:w="8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340" w:type="dxa"/>
            <w:vAlign w:val="bottom"/>
            <w:gridSpan w:val="2"/>
            <w:shd w:val="clear" w:color="auto" w:fill="F0FFFF"/>
          </w:tcPr>
          <w:p>
            <w:pPr>
              <w:spacing w:after="0" w:line="20" w:lineRule="exact"/>
              <w:rPr>
                <w:sz w:val="1"/>
                <w:szCs w:val="1"/>
                <w:color w:val="auto"/>
              </w:rPr>
            </w:pPr>
          </w:p>
        </w:tc>
        <w:tc>
          <w:tcPr>
            <w:tcW w:w="460" w:type="dxa"/>
            <w:vAlign w:val="bottom"/>
            <w:tcBorders>
              <w:left w:val="single" w:sz="8" w:color="F0FFFF"/>
              <w:right w:val="single" w:sz="8" w:color="F0FFFF"/>
            </w:tcBorders>
            <w:gridSpan w:val="3"/>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320" w:type="dxa"/>
            <w:vAlign w:val="bottom"/>
            <w:tcBorders>
              <w:right w:val="single" w:sz="8" w:color="F0FFFF"/>
            </w:tcBorders>
            <w:gridSpan w:val="2"/>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300" w:type="dxa"/>
            <w:vAlign w:val="bottom"/>
            <w:shd w:val="clear" w:color="auto" w:fill="F0FFFF"/>
          </w:tcPr>
          <w:p>
            <w:pPr>
              <w:spacing w:after="0" w:line="20" w:lineRule="exact"/>
              <w:rPr>
                <w:sz w:val="1"/>
                <w:szCs w:val="1"/>
                <w:color w:val="auto"/>
              </w:rPr>
            </w:pPr>
          </w:p>
        </w:tc>
        <w:tc>
          <w:tcPr>
            <w:tcW w:w="520" w:type="dxa"/>
            <w:vAlign w:val="bottom"/>
            <w:tcBorders>
              <w:right w:val="single" w:sz="8" w:color="F0FFFF"/>
            </w:tcBorders>
            <w:shd w:val="clear" w:color="auto" w:fill="F0FFFF"/>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16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20" w:type="dxa"/>
            <w:vAlign w:val="bottom"/>
            <w:tcBorders>
              <w:left w:val="single" w:sz="8" w:color="auto"/>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tcBorders>
              <w:right w:val="single" w:sz="8" w:color="auto"/>
            </w:tcBorders>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4260" w:type="dxa"/>
            <w:vAlign w:val="bottom"/>
            <w:tcBorders>
              <w:right w:val="single" w:sz="8" w:color="auto"/>
            </w:tcBorders>
            <w:gridSpan w:val="21"/>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Interest rate applicable to any Contract, which will not be less than 1%.</w:t>
            </w:r>
          </w:p>
        </w:tc>
        <w:tc>
          <w:tcPr>
            <w:tcW w:w="300" w:type="dxa"/>
            <w:vAlign w:val="bottom"/>
            <w:shd w:val="clear" w:color="auto" w:fill="F0FFFF"/>
          </w:tcPr>
          <w:p>
            <w:pPr>
              <w:spacing w:after="0"/>
              <w:rPr>
                <w:sz w:val="12"/>
                <w:szCs w:val="12"/>
                <w:color w:val="auto"/>
              </w:rPr>
            </w:pPr>
          </w:p>
        </w:tc>
        <w:tc>
          <w:tcPr>
            <w:tcW w:w="520" w:type="dxa"/>
            <w:vAlign w:val="bottom"/>
            <w:tcBorders>
              <w:righ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6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left w:val="single" w:sz="8" w:color="auto"/>
            </w:tcBorders>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50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00" w:type="dxa"/>
            <w:vAlign w:val="bottom"/>
            <w:tcBorders>
              <w:right w:val="single" w:sz="8" w:color="auto"/>
            </w:tcBorders>
            <w:shd w:val="clear" w:color="auto" w:fill="F0FFFF"/>
          </w:tcPr>
          <w:p>
            <w:pPr>
              <w:spacing w:after="0" w:line="20" w:lineRule="exact"/>
              <w:rPr>
                <w:sz w:val="1"/>
                <w:szCs w:val="1"/>
                <w:color w:val="auto"/>
              </w:rPr>
            </w:pPr>
          </w:p>
        </w:tc>
        <w:tc>
          <w:tcPr>
            <w:tcW w:w="520" w:type="dxa"/>
            <w:vAlign w:val="bottom"/>
            <w:tcBorders>
              <w:right w:val="single" w:sz="8" w:color="F0FFFF"/>
            </w:tcBorders>
            <w:gridSpan w:val="2"/>
            <w:shd w:val="clear" w:color="auto" w:fill="F0FFFF"/>
          </w:tcPr>
          <w:p>
            <w:pPr>
              <w:spacing w:after="0" w:line="20" w:lineRule="exact"/>
              <w:rPr>
                <w:sz w:val="1"/>
                <w:szCs w:val="1"/>
                <w:color w:val="auto"/>
              </w:rPr>
            </w:pPr>
          </w:p>
        </w:tc>
        <w:tc>
          <w:tcPr>
            <w:tcW w:w="680" w:type="dxa"/>
            <w:vAlign w:val="bottom"/>
            <w:tcBorders>
              <w:right w:val="single" w:sz="8" w:color="F0FFFF"/>
            </w:tcBorders>
            <w:gridSpan w:val="2"/>
            <w:shd w:val="clear" w:color="auto" w:fill="F0FFFF"/>
          </w:tcPr>
          <w:p>
            <w:pPr>
              <w:spacing w:after="0" w:line="20" w:lineRule="exact"/>
              <w:rPr>
                <w:sz w:val="1"/>
                <w:szCs w:val="1"/>
                <w:color w:val="auto"/>
              </w:rPr>
            </w:pPr>
          </w:p>
        </w:tc>
        <w:tc>
          <w:tcPr>
            <w:tcW w:w="620" w:type="dxa"/>
            <w:vAlign w:val="bottom"/>
            <w:tcBorders>
              <w:right w:val="single" w:sz="8" w:color="auto"/>
            </w:tcBorders>
            <w:gridSpan w:val="2"/>
            <w:shd w:val="clear" w:color="auto" w:fill="F0FFFF"/>
          </w:tcPr>
          <w:p>
            <w:pPr>
              <w:spacing w:after="0" w:line="20" w:lineRule="exact"/>
              <w:rPr>
                <w:sz w:val="1"/>
                <w:szCs w:val="1"/>
                <w:color w:val="auto"/>
              </w:rPr>
            </w:pPr>
          </w:p>
        </w:tc>
        <w:tc>
          <w:tcPr>
            <w:tcW w:w="40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right w:val="single" w:sz="8" w:color="F0FFFF"/>
            </w:tcBorders>
            <w:shd w:val="clear" w:color="auto" w:fill="F0FFFF"/>
          </w:tcPr>
          <w:p>
            <w:pPr>
              <w:spacing w:after="0" w:line="20" w:lineRule="exact"/>
              <w:rPr>
                <w:sz w:val="1"/>
                <w:szCs w:val="1"/>
                <w:color w:val="auto"/>
              </w:rPr>
            </w:pPr>
          </w:p>
        </w:tc>
        <w:tc>
          <w:tcPr>
            <w:tcW w:w="340" w:type="dxa"/>
            <w:vAlign w:val="bottom"/>
            <w:gridSpan w:val="2"/>
            <w:shd w:val="clear" w:color="auto" w:fill="F0FFFF"/>
          </w:tcPr>
          <w:p>
            <w:pPr>
              <w:spacing w:after="0" w:line="20" w:lineRule="exact"/>
              <w:rPr>
                <w:sz w:val="1"/>
                <w:szCs w:val="1"/>
                <w:color w:val="auto"/>
              </w:rPr>
            </w:pPr>
          </w:p>
        </w:tc>
        <w:tc>
          <w:tcPr>
            <w:tcW w:w="460" w:type="dxa"/>
            <w:vAlign w:val="bottom"/>
            <w:tcBorders>
              <w:left w:val="single" w:sz="8" w:color="F0FFFF"/>
              <w:right w:val="single" w:sz="8" w:color="F0FFFF"/>
            </w:tcBorders>
            <w:gridSpan w:val="3"/>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320" w:type="dxa"/>
            <w:vAlign w:val="bottom"/>
            <w:tcBorders>
              <w:right w:val="single" w:sz="8" w:color="F0FFFF"/>
            </w:tcBorders>
            <w:gridSpan w:val="2"/>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300" w:type="dxa"/>
            <w:vAlign w:val="bottom"/>
            <w:shd w:val="clear" w:color="auto" w:fill="F0FFFF"/>
          </w:tcPr>
          <w:p>
            <w:pPr>
              <w:spacing w:after="0" w:line="20" w:lineRule="exact"/>
              <w:rPr>
                <w:sz w:val="1"/>
                <w:szCs w:val="1"/>
                <w:color w:val="auto"/>
              </w:rPr>
            </w:pPr>
          </w:p>
        </w:tc>
        <w:tc>
          <w:tcPr>
            <w:tcW w:w="520" w:type="dxa"/>
            <w:vAlign w:val="bottom"/>
            <w:tcBorders>
              <w:right w:val="single" w:sz="8" w:color="F0FFFF"/>
            </w:tcBorders>
            <w:shd w:val="clear" w:color="auto" w:fill="F0FFFF"/>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16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20" w:type="dxa"/>
            <w:vAlign w:val="bottom"/>
            <w:tcBorders>
              <w:left w:val="single" w:sz="8" w:color="auto"/>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tcBorders>
              <w:right w:val="single" w:sz="8" w:color="auto"/>
            </w:tcBorders>
            <w:shd w:val="clear" w:color="auto" w:fill="F0FFFF"/>
          </w:tcPr>
          <w:p>
            <w:pPr>
              <w:spacing w:after="0"/>
              <w:rPr>
                <w:sz w:val="12"/>
                <w:szCs w:val="12"/>
                <w:color w:val="auto"/>
              </w:rPr>
            </w:pPr>
          </w:p>
        </w:tc>
        <w:tc>
          <w:tcPr>
            <w:tcW w:w="4440" w:type="dxa"/>
            <w:vAlign w:val="bottom"/>
            <w:tcBorders>
              <w:right w:val="single" w:sz="8" w:color="auto"/>
            </w:tcBorders>
            <w:gridSpan w:val="22"/>
            <w:shd w:val="clear" w:color="auto" w:fill="F0FFFF"/>
          </w:tcPr>
          <w:p>
            <w:pPr>
              <w:ind w:left="60"/>
              <w:spacing w:after="0" w:line="139" w:lineRule="exact"/>
              <w:rPr>
                <w:sz w:val="20"/>
                <w:szCs w:val="20"/>
                <w:color w:val="auto"/>
              </w:rPr>
            </w:pPr>
            <w:r>
              <w:rPr>
                <w:rFonts w:ascii="Times New Roman" w:cs="Times New Roman" w:eastAsia="Times New Roman" w:hAnsi="Times New Roman"/>
                <w:sz w:val="13"/>
                <w:szCs w:val="13"/>
                <w:color w:val="auto"/>
              </w:rPr>
              <w:t>● The Contract is a single premium product. Additional Purchase Payments</w:t>
            </w:r>
          </w:p>
        </w:tc>
        <w:tc>
          <w:tcPr>
            <w:tcW w:w="300" w:type="dxa"/>
            <w:vAlign w:val="bottom"/>
            <w:shd w:val="clear" w:color="auto" w:fill="F0FFFF"/>
          </w:tcPr>
          <w:p>
            <w:pPr>
              <w:spacing w:after="0"/>
              <w:rPr>
                <w:sz w:val="12"/>
                <w:szCs w:val="12"/>
                <w:color w:val="auto"/>
              </w:rPr>
            </w:pPr>
          </w:p>
        </w:tc>
        <w:tc>
          <w:tcPr>
            <w:tcW w:w="520" w:type="dxa"/>
            <w:vAlign w:val="bottom"/>
            <w:tcBorders>
              <w:righ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6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left w:val="single" w:sz="8" w:color="auto"/>
            </w:tcBorders>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50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00" w:type="dxa"/>
            <w:vAlign w:val="bottom"/>
            <w:tcBorders>
              <w:right w:val="single" w:sz="8" w:color="auto"/>
            </w:tcBorders>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40" w:type="dxa"/>
            <w:vAlign w:val="bottom"/>
            <w:tcBorders>
              <w:right w:val="single" w:sz="8" w:color="auto"/>
            </w:tcBorders>
            <w:shd w:val="clear" w:color="auto" w:fill="F0FFFF"/>
          </w:tcPr>
          <w:p>
            <w:pPr>
              <w:spacing w:after="0" w:line="20" w:lineRule="exact"/>
              <w:rPr>
                <w:sz w:val="1"/>
                <w:szCs w:val="1"/>
                <w:color w:val="auto"/>
              </w:rPr>
            </w:pPr>
          </w:p>
        </w:tc>
        <w:tc>
          <w:tcPr>
            <w:tcW w:w="680" w:type="dxa"/>
            <w:vAlign w:val="bottom"/>
            <w:tcBorders>
              <w:right w:val="single" w:sz="8" w:color="F0FFFF"/>
            </w:tcBorders>
            <w:gridSpan w:val="2"/>
            <w:shd w:val="clear" w:color="auto" w:fill="000000"/>
          </w:tcPr>
          <w:p>
            <w:pPr>
              <w:spacing w:after="0" w:line="20" w:lineRule="exact"/>
              <w:rPr>
                <w:sz w:val="1"/>
                <w:szCs w:val="1"/>
                <w:color w:val="auto"/>
              </w:rPr>
            </w:pPr>
          </w:p>
        </w:tc>
        <w:tc>
          <w:tcPr>
            <w:tcW w:w="620" w:type="dxa"/>
            <w:vAlign w:val="bottom"/>
            <w:tcBorders>
              <w:right w:val="single" w:sz="8" w:color="F0FFFF"/>
            </w:tcBorders>
            <w:gridSpan w:val="2"/>
            <w:shd w:val="clear" w:color="auto" w:fill="F0FFFF"/>
          </w:tcPr>
          <w:p>
            <w:pPr>
              <w:spacing w:after="0" w:line="20" w:lineRule="exact"/>
              <w:rPr>
                <w:sz w:val="1"/>
                <w:szCs w:val="1"/>
                <w:color w:val="auto"/>
              </w:rPr>
            </w:pPr>
          </w:p>
        </w:tc>
        <w:tc>
          <w:tcPr>
            <w:tcW w:w="400" w:type="dxa"/>
            <w:vAlign w:val="bottom"/>
            <w:tcBorders>
              <w:right w:val="single" w:sz="8" w:color="F0FFFF"/>
            </w:tcBorders>
            <w:gridSpan w:val="2"/>
            <w:shd w:val="clear" w:color="auto" w:fill="F0FFFF"/>
          </w:tcPr>
          <w:p>
            <w:pPr>
              <w:spacing w:after="0" w:line="20" w:lineRule="exact"/>
              <w:rPr>
                <w:sz w:val="1"/>
                <w:szCs w:val="1"/>
                <w:color w:val="auto"/>
              </w:rPr>
            </w:pPr>
          </w:p>
        </w:tc>
        <w:tc>
          <w:tcPr>
            <w:tcW w:w="8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340" w:type="dxa"/>
            <w:vAlign w:val="bottom"/>
            <w:gridSpan w:val="2"/>
            <w:shd w:val="clear" w:color="auto" w:fill="F0FFFF"/>
          </w:tcPr>
          <w:p>
            <w:pPr>
              <w:spacing w:after="0" w:line="20" w:lineRule="exact"/>
              <w:rPr>
                <w:sz w:val="1"/>
                <w:szCs w:val="1"/>
                <w:color w:val="auto"/>
              </w:rPr>
            </w:pPr>
          </w:p>
        </w:tc>
        <w:tc>
          <w:tcPr>
            <w:tcW w:w="460" w:type="dxa"/>
            <w:vAlign w:val="bottom"/>
            <w:tcBorders>
              <w:left w:val="single" w:sz="8" w:color="F0FFFF"/>
              <w:right w:val="single" w:sz="8" w:color="auto"/>
            </w:tcBorders>
            <w:gridSpan w:val="3"/>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300" w:type="dxa"/>
            <w:vAlign w:val="bottom"/>
            <w:shd w:val="clear" w:color="auto" w:fill="F0FFFF"/>
          </w:tcPr>
          <w:p>
            <w:pPr>
              <w:spacing w:after="0" w:line="20" w:lineRule="exact"/>
              <w:rPr>
                <w:sz w:val="1"/>
                <w:szCs w:val="1"/>
                <w:color w:val="auto"/>
              </w:rPr>
            </w:pPr>
          </w:p>
        </w:tc>
        <w:tc>
          <w:tcPr>
            <w:tcW w:w="520" w:type="dxa"/>
            <w:vAlign w:val="bottom"/>
            <w:tcBorders>
              <w:right w:val="single" w:sz="8" w:color="F0FFFF"/>
            </w:tcBorders>
            <w:shd w:val="clear" w:color="auto" w:fill="F0FFFF"/>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16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20" w:type="dxa"/>
            <w:vAlign w:val="bottom"/>
            <w:tcBorders>
              <w:left w:val="single" w:sz="8" w:color="auto"/>
              <w:bottom w:val="single" w:sz="8" w:color="auto"/>
            </w:tcBorders>
            <w:shd w:val="clear" w:color="auto" w:fill="F0FFFF"/>
          </w:tcPr>
          <w:p>
            <w:pPr>
              <w:spacing w:after="0"/>
              <w:rPr>
                <w:sz w:val="15"/>
                <w:szCs w:val="15"/>
                <w:color w:val="auto"/>
              </w:rPr>
            </w:pPr>
          </w:p>
        </w:tc>
        <w:tc>
          <w:tcPr>
            <w:tcW w:w="100" w:type="dxa"/>
            <w:vAlign w:val="bottom"/>
            <w:tcBorders>
              <w:bottom w:val="single" w:sz="8" w:color="auto"/>
            </w:tcBorders>
            <w:shd w:val="clear" w:color="auto" w:fill="F0FFFF"/>
          </w:tcPr>
          <w:p>
            <w:pPr>
              <w:spacing w:after="0"/>
              <w:rPr>
                <w:sz w:val="15"/>
                <w:szCs w:val="15"/>
                <w:color w:val="auto"/>
              </w:rPr>
            </w:pPr>
          </w:p>
        </w:tc>
        <w:tc>
          <w:tcPr>
            <w:tcW w:w="500" w:type="dxa"/>
            <w:vAlign w:val="bottom"/>
            <w:tcBorders>
              <w:bottom w:val="single" w:sz="8" w:color="auto"/>
            </w:tcBorders>
            <w:shd w:val="clear" w:color="auto" w:fill="F0FFFF"/>
          </w:tcPr>
          <w:p>
            <w:pPr>
              <w:spacing w:after="0"/>
              <w:rPr>
                <w:sz w:val="15"/>
                <w:szCs w:val="15"/>
                <w:color w:val="auto"/>
              </w:rPr>
            </w:pPr>
          </w:p>
        </w:tc>
        <w:tc>
          <w:tcPr>
            <w:tcW w:w="20" w:type="dxa"/>
            <w:vAlign w:val="bottom"/>
            <w:tcBorders>
              <w:bottom w:val="single" w:sz="8" w:color="auto"/>
            </w:tcBorders>
            <w:shd w:val="clear" w:color="auto" w:fill="F0FFFF"/>
          </w:tcPr>
          <w:p>
            <w:pPr>
              <w:spacing w:after="0"/>
              <w:rPr>
                <w:sz w:val="15"/>
                <w:szCs w:val="15"/>
                <w:color w:val="auto"/>
              </w:rPr>
            </w:pPr>
          </w:p>
        </w:tc>
        <w:tc>
          <w:tcPr>
            <w:tcW w:w="100" w:type="dxa"/>
            <w:vAlign w:val="bottom"/>
            <w:tcBorders>
              <w:bottom w:val="single" w:sz="8" w:color="auto"/>
              <w:right w:val="single" w:sz="8" w:color="auto"/>
            </w:tcBorders>
            <w:shd w:val="clear" w:color="auto" w:fill="F0FFFF"/>
          </w:tcPr>
          <w:p>
            <w:pPr>
              <w:spacing w:after="0"/>
              <w:rPr>
                <w:sz w:val="15"/>
                <w:szCs w:val="15"/>
                <w:color w:val="auto"/>
              </w:rPr>
            </w:pPr>
          </w:p>
        </w:tc>
        <w:tc>
          <w:tcPr>
            <w:tcW w:w="180" w:type="dxa"/>
            <w:vAlign w:val="bottom"/>
            <w:tcBorders>
              <w:bottom w:val="single" w:sz="8" w:color="auto"/>
            </w:tcBorders>
            <w:shd w:val="clear" w:color="auto" w:fill="F0FFFF"/>
          </w:tcPr>
          <w:p>
            <w:pPr>
              <w:spacing w:after="0"/>
              <w:rPr>
                <w:sz w:val="15"/>
                <w:szCs w:val="15"/>
                <w:color w:val="auto"/>
              </w:rPr>
            </w:pPr>
          </w:p>
        </w:tc>
        <w:tc>
          <w:tcPr>
            <w:tcW w:w="4260" w:type="dxa"/>
            <w:vAlign w:val="bottom"/>
            <w:tcBorders>
              <w:bottom w:val="single" w:sz="8" w:color="auto"/>
              <w:right w:val="single" w:sz="8" w:color="auto"/>
            </w:tcBorders>
            <w:gridSpan w:val="21"/>
            <w:shd w:val="clear" w:color="auto" w:fill="F0FFFF"/>
          </w:tcPr>
          <w:p>
            <w:pPr>
              <w:spacing w:after="0"/>
              <w:rPr>
                <w:sz w:val="20"/>
                <w:szCs w:val="20"/>
                <w:color w:val="auto"/>
              </w:rPr>
            </w:pPr>
            <w:r>
              <w:rPr>
                <w:rFonts w:ascii="Times New Roman" w:cs="Times New Roman" w:eastAsia="Times New Roman" w:hAnsi="Times New Roman"/>
                <w:sz w:val="13"/>
                <w:szCs w:val="13"/>
                <w:color w:val="auto"/>
              </w:rPr>
              <w:t>will not be accepted.</w:t>
            </w:r>
          </w:p>
        </w:tc>
        <w:tc>
          <w:tcPr>
            <w:tcW w:w="300" w:type="dxa"/>
            <w:vAlign w:val="bottom"/>
            <w:tcBorders>
              <w:bottom w:val="single" w:sz="8" w:color="auto"/>
            </w:tcBorders>
            <w:shd w:val="clear" w:color="auto" w:fill="F0FFFF"/>
          </w:tcPr>
          <w:p>
            <w:pPr>
              <w:spacing w:after="0"/>
              <w:rPr>
                <w:sz w:val="15"/>
                <w:szCs w:val="15"/>
                <w:color w:val="auto"/>
              </w:rPr>
            </w:pPr>
          </w:p>
        </w:tc>
        <w:tc>
          <w:tcPr>
            <w:tcW w:w="520" w:type="dxa"/>
            <w:vAlign w:val="bottom"/>
            <w:tcBorders>
              <w:bottom w:val="single" w:sz="8" w:color="auto"/>
              <w:right w:val="single" w:sz="8" w:color="F0FFFF"/>
            </w:tcBorders>
            <w:shd w:val="clear" w:color="auto" w:fill="F0FFFF"/>
          </w:tcPr>
          <w:p>
            <w:pPr>
              <w:spacing w:after="0"/>
              <w:rPr>
                <w:sz w:val="15"/>
                <w:szCs w:val="15"/>
                <w:color w:val="auto"/>
              </w:rPr>
            </w:pPr>
          </w:p>
        </w:tc>
        <w:tc>
          <w:tcPr>
            <w:tcW w:w="240" w:type="dxa"/>
            <w:vAlign w:val="bottom"/>
            <w:tcBorders>
              <w:bottom w:val="single" w:sz="8" w:color="auto"/>
            </w:tcBorders>
            <w:shd w:val="clear" w:color="auto" w:fill="F0FFFF"/>
          </w:tcPr>
          <w:p>
            <w:pPr>
              <w:spacing w:after="0"/>
              <w:rPr>
                <w:sz w:val="15"/>
                <w:szCs w:val="15"/>
                <w:color w:val="auto"/>
              </w:rPr>
            </w:pPr>
          </w:p>
        </w:tc>
        <w:tc>
          <w:tcPr>
            <w:tcW w:w="80" w:type="dxa"/>
            <w:vAlign w:val="bottom"/>
            <w:tcBorders>
              <w:bottom w:val="single" w:sz="8" w:color="auto"/>
            </w:tcBorders>
            <w:shd w:val="clear" w:color="auto" w:fill="F0FFFF"/>
          </w:tcPr>
          <w:p>
            <w:pPr>
              <w:spacing w:after="0"/>
              <w:rPr>
                <w:sz w:val="15"/>
                <w:szCs w:val="15"/>
                <w:color w:val="auto"/>
              </w:rPr>
            </w:pPr>
          </w:p>
        </w:tc>
        <w:tc>
          <w:tcPr>
            <w:tcW w:w="160" w:type="dxa"/>
            <w:vAlign w:val="bottom"/>
            <w:tcBorders>
              <w:bottom w:val="single" w:sz="8" w:color="auto"/>
              <w:right w:val="single" w:sz="8" w:color="auto"/>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540" w:type="dxa"/>
            <w:vAlign w:val="bottom"/>
            <w:tcBorders>
              <w:left w:val="single" w:sz="8" w:color="auto"/>
              <w:right w:val="single" w:sz="8" w:color="auto"/>
            </w:tcBorders>
            <w:gridSpan w:val="5"/>
          </w:tcPr>
          <w:p>
            <w:pPr>
              <w:ind w:left="40"/>
              <w:spacing w:after="0"/>
              <w:rPr>
                <w:sz w:val="20"/>
                <w:szCs w:val="20"/>
                <w:color w:val="auto"/>
              </w:rPr>
            </w:pPr>
            <w:r>
              <w:rPr>
                <w:rFonts w:ascii="Times New Roman" w:cs="Times New Roman" w:eastAsia="Times New Roman" w:hAnsi="Times New Roman"/>
                <w:sz w:val="13"/>
                <w:szCs w:val="13"/>
                <w:b w:val="1"/>
                <w:bCs w:val="1"/>
                <w:color w:val="auto"/>
              </w:rPr>
              <w:t>Are There Any</w:t>
            </w:r>
          </w:p>
        </w:tc>
        <w:tc>
          <w:tcPr>
            <w:tcW w:w="4440" w:type="dxa"/>
            <w:vAlign w:val="bottom"/>
            <w:tcBorders>
              <w:right w:val="single" w:sz="8" w:color="auto"/>
            </w:tcBorders>
            <w:gridSpan w:val="22"/>
          </w:tcPr>
          <w:p>
            <w:pPr>
              <w:ind w:left="60"/>
              <w:spacing w:after="0"/>
              <w:rPr>
                <w:sz w:val="20"/>
                <w:szCs w:val="20"/>
                <w:color w:val="auto"/>
              </w:rPr>
            </w:pPr>
            <w:r>
              <w:rPr>
                <w:rFonts w:ascii="Times New Roman" w:cs="Times New Roman" w:eastAsia="Times New Roman" w:hAnsi="Times New Roman"/>
                <w:sz w:val="13"/>
                <w:szCs w:val="13"/>
                <w:b w:val="1"/>
                <w:bCs w:val="1"/>
                <w:color w:val="auto"/>
              </w:rPr>
              <w:t>Yes.</w:t>
            </w:r>
          </w:p>
        </w:tc>
        <w:tc>
          <w:tcPr>
            <w:tcW w:w="13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3"/>
                <w:szCs w:val="13"/>
                <w:b w:val="1"/>
                <w:bCs w:val="1"/>
                <w:color w:val="auto"/>
              </w:rPr>
              <w:t>PRINCIPAL RISKS</w:t>
            </w:r>
          </w:p>
        </w:tc>
        <w:tc>
          <w:tcPr>
            <w:tcW w:w="0" w:type="dxa"/>
            <w:vAlign w:val="bottom"/>
          </w:tcPr>
          <w:p>
            <w:pPr>
              <w:spacing w:after="0"/>
              <w:rPr>
                <w:sz w:val="1"/>
                <w:szCs w:val="1"/>
                <w:color w:val="auto"/>
              </w:rPr>
            </w:pPr>
          </w:p>
        </w:tc>
      </w:tr>
      <w:tr>
        <w:trPr>
          <w:trHeight w:val="152"/>
        </w:trPr>
        <w:tc>
          <w:tcPr>
            <w:tcW w:w="1540" w:type="dxa"/>
            <w:vAlign w:val="bottom"/>
            <w:tcBorders>
              <w:left w:val="single" w:sz="8" w:color="auto"/>
              <w:right w:val="single" w:sz="8" w:color="auto"/>
            </w:tcBorders>
            <w:gridSpan w:val="5"/>
          </w:tcPr>
          <w:p>
            <w:pPr>
              <w:ind w:left="40"/>
              <w:spacing w:after="0"/>
              <w:rPr>
                <w:sz w:val="20"/>
                <w:szCs w:val="20"/>
                <w:color w:val="auto"/>
              </w:rPr>
            </w:pPr>
            <w:r>
              <w:rPr>
                <w:rFonts w:ascii="Times New Roman" w:cs="Times New Roman" w:eastAsia="Times New Roman" w:hAnsi="Times New Roman"/>
                <w:sz w:val="13"/>
                <w:szCs w:val="13"/>
                <w:b w:val="1"/>
                <w:bCs w:val="1"/>
                <w:color w:val="auto"/>
              </w:rPr>
              <w:t>Restrictions on Contract</w:t>
            </w:r>
          </w:p>
        </w:tc>
        <w:tc>
          <w:tcPr>
            <w:tcW w:w="4440" w:type="dxa"/>
            <w:vAlign w:val="bottom"/>
            <w:tcBorders>
              <w:right w:val="single" w:sz="8" w:color="auto"/>
            </w:tcBorders>
            <w:gridSpan w:val="22"/>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13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3"/>
                <w:szCs w:val="13"/>
                <w:b w:val="1"/>
                <w:bCs w:val="1"/>
                <w:color w:val="auto"/>
              </w:rPr>
              <w:t>OF INVESTING IN</w:t>
            </w:r>
          </w:p>
        </w:tc>
        <w:tc>
          <w:tcPr>
            <w:tcW w:w="0" w:type="dxa"/>
            <w:vAlign w:val="bottom"/>
          </w:tcPr>
          <w:p>
            <w:pPr>
              <w:spacing w:after="0"/>
              <w:rPr>
                <w:sz w:val="1"/>
                <w:szCs w:val="1"/>
                <w:color w:val="auto"/>
              </w:rPr>
            </w:pPr>
          </w:p>
        </w:tc>
      </w:tr>
      <w:tr>
        <w:trPr>
          <w:trHeight w:val="149"/>
        </w:trPr>
        <w:tc>
          <w:tcPr>
            <w:tcW w:w="920" w:type="dxa"/>
            <w:vAlign w:val="bottom"/>
            <w:tcBorders>
              <w:left w:val="single" w:sz="8" w:color="auto"/>
            </w:tcBorders>
            <w:gridSpan w:val="2"/>
          </w:tcPr>
          <w:p>
            <w:pPr>
              <w:ind w:left="40"/>
              <w:spacing w:after="0" w:line="119" w:lineRule="exact"/>
              <w:rPr>
                <w:sz w:val="20"/>
                <w:szCs w:val="20"/>
                <w:color w:val="auto"/>
              </w:rPr>
            </w:pPr>
            <w:r>
              <w:rPr>
                <w:rFonts w:ascii="Times New Roman" w:cs="Times New Roman" w:eastAsia="Times New Roman" w:hAnsi="Times New Roman"/>
                <w:sz w:val="13"/>
                <w:szCs w:val="13"/>
                <w:b w:val="1"/>
                <w:bCs w:val="1"/>
                <w:color w:val="auto"/>
              </w:rPr>
              <w:t>Benefits?</w:t>
            </w:r>
          </w:p>
        </w:tc>
        <w:tc>
          <w:tcPr>
            <w:tcW w:w="520" w:type="dxa"/>
            <w:vAlign w:val="bottom"/>
            <w:tcBorders>
              <w:top w:val="single" w:sz="8" w:color="auto"/>
            </w:tcBorders>
            <w:gridSpan w:val="2"/>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440" w:type="dxa"/>
            <w:vAlign w:val="bottom"/>
            <w:tcBorders>
              <w:right w:val="single" w:sz="8" w:color="auto"/>
            </w:tcBorders>
            <w:gridSpan w:val="22"/>
          </w:tcPr>
          <w:p>
            <w:pPr>
              <w:ind w:left="60"/>
              <w:spacing w:after="0" w:line="109" w:lineRule="exact"/>
              <w:rPr>
                <w:sz w:val="20"/>
                <w:szCs w:val="20"/>
                <w:color w:val="auto"/>
              </w:rPr>
            </w:pPr>
            <w:r>
              <w:rPr>
                <w:rFonts w:ascii="Times New Roman" w:cs="Times New Roman" w:eastAsia="Times New Roman" w:hAnsi="Times New Roman"/>
                <w:sz w:val="12"/>
                <w:szCs w:val="12"/>
                <w:color w:val="auto"/>
              </w:rPr>
              <w:t>● Subject to certain conditions, Contract benefits may be modified or</w:t>
            </w:r>
          </w:p>
        </w:tc>
        <w:tc>
          <w:tcPr>
            <w:tcW w:w="1300" w:type="dxa"/>
            <w:vAlign w:val="bottom"/>
            <w:tcBorders>
              <w:right w:val="single" w:sz="8" w:color="auto"/>
            </w:tcBorders>
            <w:gridSpan w:val="5"/>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THE CONTRACT</w:t>
            </w:r>
          </w:p>
        </w:tc>
        <w:tc>
          <w:tcPr>
            <w:tcW w:w="0" w:type="dxa"/>
            <w:vAlign w:val="bottom"/>
          </w:tcPr>
          <w:p>
            <w:pPr>
              <w:spacing w:after="0"/>
              <w:rPr>
                <w:sz w:val="1"/>
                <w:szCs w:val="1"/>
                <w:color w:val="auto"/>
              </w:rPr>
            </w:pPr>
          </w:p>
        </w:tc>
      </w:tr>
      <w:tr>
        <w:trPr>
          <w:trHeight w:val="134"/>
        </w:trPr>
        <w:tc>
          <w:tcPr>
            <w:tcW w:w="82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gridSpan w:val="5"/>
          </w:tcPr>
          <w:p>
            <w:pPr>
              <w:spacing w:after="0" w:line="134" w:lineRule="exact"/>
              <w:rPr>
                <w:sz w:val="20"/>
                <w:szCs w:val="20"/>
                <w:color w:val="auto"/>
              </w:rPr>
            </w:pPr>
            <w:r>
              <w:rPr>
                <w:rFonts w:ascii="Times New Roman" w:cs="Times New Roman" w:eastAsia="Times New Roman" w:hAnsi="Times New Roman"/>
                <w:sz w:val="13"/>
                <w:szCs w:val="13"/>
                <w:color w:val="auto"/>
              </w:rPr>
              <w:t>terminated by the Company.</w:t>
            </w:r>
          </w:p>
        </w:tc>
        <w:tc>
          <w:tcPr>
            <w:tcW w:w="400" w:type="dxa"/>
            <w:vAlign w:val="bottom"/>
            <w:tcBorders>
              <w:top w:val="single" w:sz="8" w:color="auto"/>
            </w:tcBorders>
            <w:gridSpan w:val="2"/>
          </w:tcPr>
          <w:p>
            <w:pPr>
              <w:spacing w:after="0"/>
              <w:rPr>
                <w:sz w:val="11"/>
                <w:szCs w:val="11"/>
                <w:color w:val="auto"/>
              </w:rPr>
            </w:pPr>
          </w:p>
        </w:tc>
        <w:tc>
          <w:tcPr>
            <w:tcW w:w="2220" w:type="dxa"/>
            <w:vAlign w:val="bottom"/>
            <w:tcBorders>
              <w:right w:val="single" w:sz="8" w:color="auto"/>
            </w:tcBorders>
            <w:gridSpan w:val="14"/>
          </w:tcPr>
          <w:p>
            <w:pPr>
              <w:spacing w:after="0"/>
              <w:rPr>
                <w:sz w:val="11"/>
                <w:szCs w:val="11"/>
                <w:color w:val="auto"/>
              </w:rPr>
            </w:pPr>
          </w:p>
        </w:tc>
        <w:tc>
          <w:tcPr>
            <w:tcW w:w="300" w:type="dxa"/>
            <w:vAlign w:val="bottom"/>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 </w:t>
            </w:r>
          </w:p>
        </w:tc>
        <w:tc>
          <w:tcPr>
            <w:tcW w:w="5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2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440" w:type="dxa"/>
            <w:vAlign w:val="bottom"/>
            <w:tcBorders>
              <w:right w:val="single" w:sz="8" w:color="auto"/>
            </w:tcBorders>
            <w:gridSpan w:val="22"/>
          </w:tcPr>
          <w:p>
            <w:pPr>
              <w:ind w:left="60"/>
              <w:spacing w:after="0"/>
              <w:rPr>
                <w:sz w:val="20"/>
                <w:szCs w:val="20"/>
                <w:color w:val="auto"/>
              </w:rPr>
            </w:pPr>
            <w:r>
              <w:rPr>
                <w:rFonts w:ascii="Times New Roman" w:cs="Times New Roman" w:eastAsia="Times New Roman" w:hAnsi="Times New Roman"/>
                <w:sz w:val="13"/>
                <w:szCs w:val="13"/>
                <w:color w:val="auto"/>
              </w:rPr>
              <w:t>● All withdrawals (including RMDs and systematic withdrawals) will reduce</w:t>
            </w:r>
          </w:p>
        </w:tc>
        <w:tc>
          <w:tcPr>
            <w:tcW w:w="13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3"/>
                <w:szCs w:val="13"/>
                <w:b w:val="1"/>
                <w:bCs w:val="1"/>
                <w:color w:val="auto"/>
              </w:rPr>
              <w:t>DEATH BENEFIT</w:t>
            </w:r>
          </w:p>
        </w:tc>
        <w:tc>
          <w:tcPr>
            <w:tcW w:w="0" w:type="dxa"/>
            <w:vAlign w:val="bottom"/>
          </w:tcPr>
          <w:p>
            <w:pPr>
              <w:spacing w:after="0"/>
              <w:rPr>
                <w:sz w:val="1"/>
                <w:szCs w:val="1"/>
                <w:color w:val="auto"/>
              </w:rPr>
            </w:pPr>
          </w:p>
        </w:tc>
      </w:tr>
      <w:tr>
        <w:trPr>
          <w:trHeight w:val="149"/>
        </w:trPr>
        <w:tc>
          <w:tcPr>
            <w:tcW w:w="82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260" w:type="dxa"/>
            <w:vAlign w:val="bottom"/>
            <w:tcBorders>
              <w:right w:val="single" w:sz="8" w:color="auto"/>
            </w:tcBorders>
            <w:gridSpan w:val="21"/>
          </w:tcPr>
          <w:p>
            <w:pPr>
              <w:spacing w:after="0"/>
              <w:rPr>
                <w:sz w:val="20"/>
                <w:szCs w:val="20"/>
                <w:color w:val="auto"/>
              </w:rPr>
            </w:pPr>
            <w:r>
              <w:rPr>
                <w:rFonts w:ascii="Times New Roman" w:cs="Times New Roman" w:eastAsia="Times New Roman" w:hAnsi="Times New Roman"/>
                <w:sz w:val="13"/>
                <w:szCs w:val="13"/>
                <w:color w:val="auto"/>
              </w:rPr>
              <w:t>the death benefit. Such reductions may be significant and may be more</w:t>
            </w:r>
          </w:p>
        </w:tc>
        <w:tc>
          <w:tcPr>
            <w:tcW w:w="13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3"/>
                <w:szCs w:val="13"/>
                <w:b w:val="1"/>
                <w:bCs w:val="1"/>
                <w:color w:val="auto"/>
              </w:rPr>
              <w:t> </w:t>
            </w:r>
          </w:p>
        </w:tc>
        <w:tc>
          <w:tcPr>
            <w:tcW w:w="0" w:type="dxa"/>
            <w:vAlign w:val="bottom"/>
          </w:tcPr>
          <w:p>
            <w:pPr>
              <w:spacing w:after="0"/>
              <w:rPr>
                <w:sz w:val="1"/>
                <w:szCs w:val="1"/>
                <w:color w:val="auto"/>
              </w:rPr>
            </w:pPr>
          </w:p>
        </w:tc>
      </w:tr>
      <w:tr>
        <w:trPr>
          <w:trHeight w:val="203"/>
        </w:trPr>
        <w:tc>
          <w:tcPr>
            <w:tcW w:w="820" w:type="dxa"/>
            <w:vAlign w:val="bottom"/>
            <w:tcBorders>
              <w:left w:val="single" w:sz="8" w:color="auto"/>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260" w:type="dxa"/>
            <w:vAlign w:val="bottom"/>
            <w:tcBorders>
              <w:bottom w:val="single" w:sz="8" w:color="auto"/>
              <w:right w:val="single" w:sz="8" w:color="auto"/>
            </w:tcBorders>
            <w:gridSpan w:val="21"/>
          </w:tcPr>
          <w:p>
            <w:pPr>
              <w:spacing w:after="0"/>
              <w:rPr>
                <w:sz w:val="20"/>
                <w:szCs w:val="20"/>
                <w:color w:val="auto"/>
              </w:rPr>
            </w:pPr>
            <w:r>
              <w:rPr>
                <w:rFonts w:ascii="Times New Roman" w:cs="Times New Roman" w:eastAsia="Times New Roman" w:hAnsi="Times New Roman"/>
                <w:sz w:val="13"/>
                <w:szCs w:val="13"/>
                <w:color w:val="auto"/>
              </w:rPr>
              <w:t>than the amount of the withdrawal and may even terminate the benefit.</w:t>
            </w:r>
          </w:p>
        </w:tc>
        <w:tc>
          <w:tcPr>
            <w:tcW w:w="1300" w:type="dxa"/>
            <w:vAlign w:val="bottom"/>
            <w:tcBorders>
              <w:bottom w:val="single" w:sz="8" w:color="auto"/>
              <w:right w:val="single" w:sz="8" w:color="auto"/>
            </w:tcBorders>
            <w:gridSpan w:val="5"/>
          </w:tcPr>
          <w:p>
            <w:pPr>
              <w:spacing w:after="0"/>
              <w:rPr>
                <w:sz w:val="20"/>
                <w:szCs w:val="20"/>
                <w:color w:val="auto"/>
              </w:rPr>
            </w:pPr>
            <w:r>
              <w:rPr>
                <w:rFonts w:ascii="Times New Roman" w:cs="Times New Roman" w:eastAsia="Times New Roman" w:hAnsi="Times New Roman"/>
                <w:sz w:val="13"/>
                <w:szCs w:val="13"/>
                <w:b w:val="1"/>
                <w:bCs w:val="1"/>
                <w:color w:val="auto"/>
              </w:rPr>
              <w:t>LIVING BENEFIT</w:t>
            </w:r>
          </w:p>
        </w:tc>
        <w:tc>
          <w:tcPr>
            <w:tcW w:w="0" w:type="dxa"/>
            <w:vAlign w:val="bottom"/>
          </w:tcPr>
          <w:p>
            <w:pPr>
              <w:spacing w:after="0"/>
              <w:rPr>
                <w:sz w:val="1"/>
                <w:szCs w:val="1"/>
                <w:color w:val="auto"/>
              </w:rPr>
            </w:pPr>
          </w:p>
        </w:tc>
      </w:tr>
      <w:tr>
        <w:trPr>
          <w:trHeight w:val="188"/>
        </w:trPr>
        <w:tc>
          <w:tcPr>
            <w:tcW w:w="820" w:type="dxa"/>
            <w:vAlign w:val="bottom"/>
            <w:tcBorders>
              <w:left w:val="single" w:sz="8" w:color="auto"/>
              <w:bottom w:val="single" w:sz="8" w:color="auto"/>
            </w:tcBorders>
            <w:shd w:val="clear" w:color="auto" w:fill="F0FFFF"/>
          </w:tcPr>
          <w:p>
            <w:pPr>
              <w:spacing w:after="0"/>
              <w:rPr>
                <w:sz w:val="16"/>
                <w:szCs w:val="16"/>
                <w:color w:val="auto"/>
              </w:rPr>
            </w:pPr>
          </w:p>
        </w:tc>
        <w:tc>
          <w:tcPr>
            <w:tcW w:w="100" w:type="dxa"/>
            <w:vAlign w:val="bottom"/>
            <w:tcBorders>
              <w:bottom w:val="single" w:sz="8" w:color="auto"/>
            </w:tcBorders>
            <w:shd w:val="clear" w:color="auto" w:fill="F0FFFF"/>
          </w:tcPr>
          <w:p>
            <w:pPr>
              <w:spacing w:after="0"/>
              <w:rPr>
                <w:sz w:val="16"/>
                <w:szCs w:val="16"/>
                <w:color w:val="auto"/>
              </w:rPr>
            </w:pPr>
          </w:p>
        </w:tc>
        <w:tc>
          <w:tcPr>
            <w:tcW w:w="500" w:type="dxa"/>
            <w:vAlign w:val="bottom"/>
            <w:tcBorders>
              <w:bottom w:val="single" w:sz="8" w:color="auto"/>
            </w:tcBorders>
            <w:shd w:val="clear" w:color="auto" w:fill="F0FFFF"/>
          </w:tcPr>
          <w:p>
            <w:pPr>
              <w:spacing w:after="0"/>
              <w:rPr>
                <w:sz w:val="16"/>
                <w:szCs w:val="16"/>
                <w:color w:val="auto"/>
              </w:rPr>
            </w:pPr>
          </w:p>
        </w:tc>
        <w:tc>
          <w:tcPr>
            <w:tcW w:w="20" w:type="dxa"/>
            <w:vAlign w:val="bottom"/>
            <w:tcBorders>
              <w:bottom w:val="single" w:sz="8" w:color="auto"/>
            </w:tcBorders>
            <w:shd w:val="clear" w:color="auto" w:fill="F0FFFF"/>
          </w:tcPr>
          <w:p>
            <w:pPr>
              <w:spacing w:after="0"/>
              <w:rPr>
                <w:sz w:val="16"/>
                <w:szCs w:val="16"/>
                <w:color w:val="auto"/>
              </w:rPr>
            </w:pPr>
          </w:p>
        </w:tc>
        <w:tc>
          <w:tcPr>
            <w:tcW w:w="100" w:type="dxa"/>
            <w:vAlign w:val="bottom"/>
            <w:tcBorders>
              <w:bottom w:val="single" w:sz="8" w:color="auto"/>
              <w:right w:val="single" w:sz="8" w:color="F0FFFF"/>
            </w:tcBorders>
            <w:shd w:val="clear" w:color="auto" w:fill="F0FFFF"/>
          </w:tcPr>
          <w:p>
            <w:pPr>
              <w:spacing w:after="0"/>
              <w:rPr>
                <w:sz w:val="16"/>
                <w:szCs w:val="16"/>
                <w:color w:val="auto"/>
              </w:rPr>
            </w:pPr>
          </w:p>
        </w:tc>
        <w:tc>
          <w:tcPr>
            <w:tcW w:w="180" w:type="dxa"/>
            <w:vAlign w:val="bottom"/>
            <w:tcBorders>
              <w:bottom w:val="single" w:sz="8" w:color="auto"/>
            </w:tcBorders>
            <w:shd w:val="clear" w:color="auto" w:fill="F0FFFF"/>
          </w:tcPr>
          <w:p>
            <w:pPr>
              <w:spacing w:after="0"/>
              <w:rPr>
                <w:sz w:val="16"/>
                <w:szCs w:val="16"/>
                <w:color w:val="auto"/>
              </w:rPr>
            </w:pPr>
          </w:p>
        </w:tc>
        <w:tc>
          <w:tcPr>
            <w:tcW w:w="340" w:type="dxa"/>
            <w:vAlign w:val="bottom"/>
            <w:tcBorders>
              <w:bottom w:val="single" w:sz="8" w:color="auto"/>
              <w:right w:val="single" w:sz="8" w:color="F0FFFF"/>
            </w:tcBorders>
            <w:shd w:val="clear" w:color="auto" w:fill="F0FFFF"/>
          </w:tcPr>
          <w:p>
            <w:pPr>
              <w:spacing w:after="0"/>
              <w:rPr>
                <w:sz w:val="16"/>
                <w:szCs w:val="16"/>
                <w:color w:val="auto"/>
              </w:rPr>
            </w:pPr>
          </w:p>
        </w:tc>
        <w:tc>
          <w:tcPr>
            <w:tcW w:w="280" w:type="dxa"/>
            <w:vAlign w:val="bottom"/>
            <w:tcBorders>
              <w:bottom w:val="single" w:sz="8" w:color="auto"/>
            </w:tcBorders>
            <w:shd w:val="clear" w:color="auto" w:fill="F0FFFF"/>
          </w:tcPr>
          <w:p>
            <w:pPr>
              <w:spacing w:after="0"/>
              <w:rPr>
                <w:sz w:val="16"/>
                <w:szCs w:val="16"/>
                <w:color w:val="auto"/>
              </w:rPr>
            </w:pPr>
          </w:p>
        </w:tc>
        <w:tc>
          <w:tcPr>
            <w:tcW w:w="400" w:type="dxa"/>
            <w:vAlign w:val="bottom"/>
            <w:tcBorders>
              <w:bottom w:val="single" w:sz="8" w:color="auto"/>
              <w:right w:val="single" w:sz="8" w:color="F0FFFF"/>
            </w:tcBorders>
            <w:shd w:val="clear" w:color="auto" w:fill="F0FFFF"/>
          </w:tcPr>
          <w:p>
            <w:pPr>
              <w:spacing w:after="0"/>
              <w:rPr>
                <w:sz w:val="16"/>
                <w:szCs w:val="16"/>
                <w:color w:val="auto"/>
              </w:rPr>
            </w:pPr>
          </w:p>
        </w:tc>
        <w:tc>
          <w:tcPr>
            <w:tcW w:w="180" w:type="dxa"/>
            <w:vAlign w:val="bottom"/>
            <w:tcBorders>
              <w:bottom w:val="single" w:sz="8" w:color="auto"/>
              <w:right w:val="single" w:sz="8" w:color="F0FFFF"/>
            </w:tcBorders>
            <w:shd w:val="clear" w:color="auto" w:fill="F0FFFF"/>
          </w:tcPr>
          <w:p>
            <w:pPr>
              <w:spacing w:after="0"/>
              <w:rPr>
                <w:sz w:val="16"/>
                <w:szCs w:val="16"/>
                <w:color w:val="auto"/>
              </w:rPr>
            </w:pPr>
          </w:p>
        </w:tc>
        <w:tc>
          <w:tcPr>
            <w:tcW w:w="440" w:type="dxa"/>
            <w:vAlign w:val="bottom"/>
            <w:tcBorders>
              <w:bottom w:val="single" w:sz="8" w:color="auto"/>
              <w:right w:val="single" w:sz="8" w:color="F0FFFF"/>
            </w:tcBorders>
            <w:shd w:val="clear" w:color="auto" w:fill="F0FFFF"/>
          </w:tcPr>
          <w:p>
            <w:pPr>
              <w:spacing w:after="0"/>
              <w:rPr>
                <w:sz w:val="16"/>
                <w:szCs w:val="16"/>
                <w:color w:val="auto"/>
              </w:rPr>
            </w:pPr>
          </w:p>
        </w:tc>
        <w:tc>
          <w:tcPr>
            <w:tcW w:w="120" w:type="dxa"/>
            <w:vAlign w:val="bottom"/>
            <w:tcBorders>
              <w:bottom w:val="single" w:sz="8" w:color="auto"/>
              <w:right w:val="single" w:sz="8" w:color="F0FFFF"/>
            </w:tcBorders>
            <w:shd w:val="clear" w:color="auto" w:fill="F0FFFF"/>
          </w:tcPr>
          <w:p>
            <w:pPr>
              <w:spacing w:after="0"/>
              <w:rPr>
                <w:sz w:val="16"/>
                <w:szCs w:val="16"/>
                <w:color w:val="auto"/>
              </w:rPr>
            </w:pPr>
          </w:p>
        </w:tc>
        <w:tc>
          <w:tcPr>
            <w:tcW w:w="2500" w:type="dxa"/>
            <w:vAlign w:val="bottom"/>
            <w:tcBorders>
              <w:bottom w:val="single" w:sz="8" w:color="auto"/>
              <w:right w:val="single" w:sz="8" w:color="auto"/>
            </w:tcBorders>
            <w:gridSpan w:val="15"/>
            <w:shd w:val="clear" w:color="auto" w:fill="F0FFFF"/>
          </w:tcPr>
          <w:p>
            <w:pPr>
              <w:jc w:val="center"/>
              <w:ind w:right="2060"/>
              <w:spacing w:after="0"/>
              <w:rPr>
                <w:sz w:val="20"/>
                <w:szCs w:val="20"/>
                <w:color w:val="auto"/>
              </w:rPr>
            </w:pPr>
            <w:r>
              <w:rPr>
                <w:rFonts w:ascii="Times New Roman" w:cs="Times New Roman" w:eastAsia="Times New Roman" w:hAnsi="Times New Roman"/>
                <w:sz w:val="13"/>
                <w:szCs w:val="13"/>
                <w:b w:val="1"/>
                <w:bCs w:val="1"/>
                <w:color w:val="auto"/>
                <w:w w:val="98"/>
              </w:rPr>
              <w:t>Taxes</w:t>
            </w:r>
          </w:p>
        </w:tc>
        <w:tc>
          <w:tcPr>
            <w:tcW w:w="300" w:type="dxa"/>
            <w:vAlign w:val="bottom"/>
            <w:tcBorders>
              <w:bottom w:val="single" w:sz="8" w:color="auto"/>
            </w:tcBorders>
            <w:shd w:val="clear" w:color="auto" w:fill="F0FFFF"/>
          </w:tcPr>
          <w:p>
            <w:pPr>
              <w:spacing w:after="0"/>
              <w:rPr>
                <w:sz w:val="16"/>
                <w:szCs w:val="16"/>
                <w:color w:val="auto"/>
              </w:rPr>
            </w:pPr>
          </w:p>
        </w:tc>
        <w:tc>
          <w:tcPr>
            <w:tcW w:w="520" w:type="dxa"/>
            <w:vAlign w:val="bottom"/>
            <w:tcBorders>
              <w:bottom w:val="single" w:sz="8" w:color="auto"/>
              <w:right w:val="single" w:sz="8" w:color="F0FFFF"/>
            </w:tcBorders>
            <w:shd w:val="clear" w:color="auto" w:fill="F0FFFF"/>
          </w:tcPr>
          <w:p>
            <w:pPr>
              <w:spacing w:after="0"/>
              <w:rPr>
                <w:sz w:val="16"/>
                <w:szCs w:val="16"/>
                <w:color w:val="auto"/>
              </w:rPr>
            </w:pPr>
          </w:p>
        </w:tc>
        <w:tc>
          <w:tcPr>
            <w:tcW w:w="240" w:type="dxa"/>
            <w:vAlign w:val="bottom"/>
            <w:tcBorders>
              <w:bottom w:val="single" w:sz="8" w:color="auto"/>
            </w:tcBorders>
            <w:shd w:val="clear" w:color="auto" w:fill="F0FFFF"/>
          </w:tcPr>
          <w:p>
            <w:pPr>
              <w:spacing w:after="0"/>
              <w:rPr>
                <w:sz w:val="16"/>
                <w:szCs w:val="16"/>
                <w:color w:val="auto"/>
              </w:rPr>
            </w:pPr>
          </w:p>
        </w:tc>
        <w:tc>
          <w:tcPr>
            <w:tcW w:w="80" w:type="dxa"/>
            <w:vAlign w:val="bottom"/>
            <w:tcBorders>
              <w:bottom w:val="single" w:sz="8" w:color="auto"/>
            </w:tcBorders>
            <w:shd w:val="clear" w:color="auto" w:fill="F0FFFF"/>
          </w:tcPr>
          <w:p>
            <w:pPr>
              <w:spacing w:after="0"/>
              <w:rPr>
                <w:sz w:val="16"/>
                <w:szCs w:val="16"/>
                <w:color w:val="auto"/>
              </w:rPr>
            </w:pPr>
          </w:p>
        </w:tc>
        <w:tc>
          <w:tcPr>
            <w:tcW w:w="160" w:type="dxa"/>
            <w:vAlign w:val="bottom"/>
            <w:tcBorders>
              <w:bottom w:val="single" w:sz="8" w:color="auto"/>
              <w:right w:val="single" w:sz="8" w:color="auto"/>
            </w:tcBorders>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540" w:type="dxa"/>
            <w:vAlign w:val="bottom"/>
            <w:tcBorders>
              <w:left w:val="single" w:sz="8" w:color="auto"/>
              <w:right w:val="single" w:sz="8" w:color="auto"/>
            </w:tcBorders>
            <w:gridSpan w:val="5"/>
          </w:tcPr>
          <w:p>
            <w:pPr>
              <w:ind w:left="40"/>
              <w:spacing w:after="0" w:line="149" w:lineRule="exact"/>
              <w:rPr>
                <w:sz w:val="20"/>
                <w:szCs w:val="20"/>
                <w:color w:val="auto"/>
              </w:rPr>
            </w:pPr>
            <w:r>
              <w:rPr>
                <w:rFonts w:ascii="Times New Roman" w:cs="Times New Roman" w:eastAsia="Times New Roman" w:hAnsi="Times New Roman"/>
                <w:sz w:val="13"/>
                <w:szCs w:val="13"/>
                <w:b w:val="1"/>
                <w:bCs w:val="1"/>
                <w:color w:val="auto"/>
              </w:rPr>
              <w:t>What are the Contract’s</w:t>
            </w:r>
          </w:p>
        </w:tc>
        <w:tc>
          <w:tcPr>
            <w:tcW w:w="4440" w:type="dxa"/>
            <w:vAlign w:val="bottom"/>
            <w:tcBorders>
              <w:right w:val="single" w:sz="8" w:color="auto"/>
            </w:tcBorders>
            <w:gridSpan w:val="22"/>
          </w:tcPr>
          <w:p>
            <w:pPr>
              <w:ind w:left="60"/>
              <w:spacing w:after="0" w:line="149" w:lineRule="exact"/>
              <w:rPr>
                <w:sz w:val="20"/>
                <w:szCs w:val="20"/>
                <w:color w:val="auto"/>
              </w:rPr>
            </w:pPr>
            <w:r>
              <w:rPr>
                <w:rFonts w:ascii="Times New Roman" w:cs="Times New Roman" w:eastAsia="Times New Roman" w:hAnsi="Times New Roman"/>
                <w:sz w:val="13"/>
                <w:szCs w:val="13"/>
                <w:color w:val="auto"/>
              </w:rPr>
              <w:t>You should consult with a tax professional to determine the tax implications of</w:t>
            </w:r>
          </w:p>
        </w:tc>
        <w:tc>
          <w:tcPr>
            <w:tcW w:w="1300" w:type="dxa"/>
            <w:vAlign w:val="bottom"/>
            <w:tcBorders>
              <w:right w:val="single" w:sz="8" w:color="auto"/>
            </w:tcBorders>
            <w:gridSpan w:val="5"/>
          </w:tcPr>
          <w:p>
            <w:pPr>
              <w:spacing w:after="0" w:line="149" w:lineRule="exact"/>
              <w:rPr>
                <w:sz w:val="20"/>
                <w:szCs w:val="20"/>
                <w:color w:val="auto"/>
              </w:rPr>
            </w:pPr>
            <w:r>
              <w:rPr>
                <w:rFonts w:ascii="Times New Roman" w:cs="Times New Roman" w:eastAsia="Times New Roman" w:hAnsi="Times New Roman"/>
                <w:sz w:val="13"/>
                <w:szCs w:val="13"/>
                <w:b w:val="1"/>
                <w:bCs w:val="1"/>
                <w:color w:val="auto"/>
              </w:rPr>
              <w:t>PRINCIPAL RISKS</w:t>
            </w:r>
          </w:p>
        </w:tc>
        <w:tc>
          <w:tcPr>
            <w:tcW w:w="0" w:type="dxa"/>
            <w:vAlign w:val="bottom"/>
          </w:tcPr>
          <w:p>
            <w:pPr>
              <w:spacing w:after="0"/>
              <w:rPr>
                <w:sz w:val="1"/>
                <w:szCs w:val="1"/>
                <w:color w:val="auto"/>
              </w:rPr>
            </w:pPr>
          </w:p>
        </w:tc>
      </w:tr>
      <w:tr>
        <w:trPr>
          <w:trHeight w:val="20"/>
        </w:trPr>
        <w:tc>
          <w:tcPr>
            <w:tcW w:w="820" w:type="dxa"/>
            <w:vAlign w:val="bottom"/>
            <w:tcBorders>
              <w:left w:val="single" w:sz="8" w:color="auto"/>
            </w:tcBorders>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gridSpan w:val="2"/>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300" w:type="dxa"/>
            <w:vAlign w:val="bottom"/>
            <w:tcBorders>
              <w:right w:val="single" w:sz="8" w:color="auto"/>
            </w:tcBorders>
            <w:gridSpan w:val="5"/>
            <w:vMerge w:val="restart"/>
          </w:tcPr>
          <w:p>
            <w:pPr>
              <w:spacing w:after="0"/>
              <w:rPr>
                <w:sz w:val="20"/>
                <w:szCs w:val="20"/>
                <w:color w:val="auto"/>
              </w:rPr>
            </w:pPr>
            <w:r>
              <w:rPr>
                <w:rFonts w:ascii="Times New Roman" w:cs="Times New Roman" w:eastAsia="Times New Roman" w:hAnsi="Times New Roman"/>
                <w:sz w:val="13"/>
                <w:szCs w:val="13"/>
                <w:b w:val="1"/>
                <w:bCs w:val="1"/>
                <w:color w:val="auto"/>
              </w:rPr>
              <w:t>OF INVESTING IN</w:t>
            </w:r>
          </w:p>
        </w:tc>
        <w:tc>
          <w:tcPr>
            <w:tcW w:w="0" w:type="dxa"/>
            <w:vAlign w:val="bottom"/>
          </w:tcPr>
          <w:p>
            <w:pPr>
              <w:spacing w:after="0" w:line="20" w:lineRule="exact"/>
              <w:rPr>
                <w:sz w:val="1"/>
                <w:szCs w:val="1"/>
                <w:color w:val="auto"/>
              </w:rPr>
            </w:pPr>
          </w:p>
        </w:tc>
      </w:tr>
      <w:tr>
        <w:trPr>
          <w:trHeight w:val="139"/>
        </w:trPr>
        <w:tc>
          <w:tcPr>
            <w:tcW w:w="1540" w:type="dxa"/>
            <w:vAlign w:val="bottom"/>
            <w:tcBorders>
              <w:left w:val="single" w:sz="8" w:color="auto"/>
              <w:right w:val="single" w:sz="8" w:color="auto"/>
            </w:tcBorders>
            <w:gridSpan w:val="5"/>
          </w:tcPr>
          <w:p>
            <w:pPr>
              <w:ind w:left="40"/>
              <w:spacing w:after="0" w:line="139" w:lineRule="exact"/>
              <w:rPr>
                <w:sz w:val="20"/>
                <w:szCs w:val="20"/>
                <w:color w:val="auto"/>
              </w:rPr>
            </w:pPr>
            <w:r>
              <w:rPr>
                <w:rFonts w:ascii="Times New Roman" w:cs="Times New Roman" w:eastAsia="Times New Roman" w:hAnsi="Times New Roman"/>
                <w:sz w:val="13"/>
                <w:szCs w:val="13"/>
                <w:b w:val="1"/>
                <w:bCs w:val="1"/>
                <w:color w:val="auto"/>
              </w:rPr>
              <w:t>Tax Implications?</w:t>
            </w:r>
          </w:p>
        </w:tc>
        <w:tc>
          <w:tcPr>
            <w:tcW w:w="4440" w:type="dxa"/>
            <w:vAlign w:val="bottom"/>
            <w:tcBorders>
              <w:right w:val="single" w:sz="8" w:color="auto"/>
            </w:tcBorders>
            <w:gridSpan w:val="22"/>
          </w:tcPr>
          <w:p>
            <w:pPr>
              <w:ind w:left="60"/>
              <w:spacing w:after="0" w:line="139" w:lineRule="exact"/>
              <w:rPr>
                <w:sz w:val="20"/>
                <w:szCs w:val="20"/>
                <w:color w:val="auto"/>
              </w:rPr>
            </w:pPr>
            <w:r>
              <w:rPr>
                <w:rFonts w:ascii="Times New Roman" w:cs="Times New Roman" w:eastAsia="Times New Roman" w:hAnsi="Times New Roman"/>
                <w:sz w:val="13"/>
                <w:szCs w:val="13"/>
                <w:color w:val="auto"/>
              </w:rPr>
              <w:t>an investment in and Purchase Payments received under the Contract. There</w:t>
            </w:r>
          </w:p>
        </w:tc>
        <w:tc>
          <w:tcPr>
            <w:tcW w:w="1300" w:type="dxa"/>
            <w:vAlign w:val="bottom"/>
            <w:tcBorders>
              <w:right w:val="single" w:sz="8" w:color="auto"/>
            </w:tcBorders>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020" w:type="dxa"/>
            <w:vAlign w:val="bottom"/>
            <w:tcBorders>
              <w:right w:val="single" w:sz="8" w:color="auto"/>
            </w:tcBorders>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80" w:type="dxa"/>
            <w:vAlign w:val="bottom"/>
            <w:tcBorders>
              <w:right w:val="single" w:sz="8" w:color="auto"/>
            </w:tcBorders>
            <w:gridSpan w:val="4"/>
          </w:tcPr>
          <w:p>
            <w:pPr>
              <w:spacing w:after="0" w:line="20" w:lineRule="exact"/>
              <w:rPr>
                <w:sz w:val="1"/>
                <w:szCs w:val="1"/>
                <w:color w:val="auto"/>
              </w:rPr>
            </w:pPr>
          </w:p>
        </w:tc>
        <w:tc>
          <w:tcPr>
            <w:tcW w:w="32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300" w:type="dxa"/>
            <w:vAlign w:val="bottom"/>
            <w:tcBorders>
              <w:right w:val="single" w:sz="8" w:color="auto"/>
            </w:tcBorders>
            <w:gridSpan w:val="5"/>
            <w:vMerge w:val="restart"/>
          </w:tcPr>
          <w:p>
            <w:pPr>
              <w:spacing w:after="0"/>
              <w:rPr>
                <w:sz w:val="20"/>
                <w:szCs w:val="20"/>
                <w:color w:val="auto"/>
              </w:rPr>
            </w:pPr>
            <w:r>
              <w:rPr>
                <w:rFonts w:ascii="Times New Roman" w:cs="Times New Roman" w:eastAsia="Times New Roman" w:hAnsi="Times New Roman"/>
                <w:sz w:val="13"/>
                <w:szCs w:val="13"/>
                <w:b w:val="1"/>
                <w:bCs w:val="1"/>
                <w:color w:val="auto"/>
              </w:rPr>
              <w:t>THE CONTRACT</w:t>
            </w:r>
          </w:p>
        </w:tc>
        <w:tc>
          <w:tcPr>
            <w:tcW w:w="0" w:type="dxa"/>
            <w:vAlign w:val="bottom"/>
          </w:tcPr>
          <w:p>
            <w:pPr>
              <w:spacing w:after="0" w:line="20" w:lineRule="exact"/>
              <w:rPr>
                <w:sz w:val="1"/>
                <w:szCs w:val="1"/>
                <w:color w:val="auto"/>
              </w:rPr>
            </w:pPr>
          </w:p>
        </w:tc>
      </w:tr>
      <w:tr>
        <w:trPr>
          <w:trHeight w:val="139"/>
        </w:trPr>
        <w:tc>
          <w:tcPr>
            <w:tcW w:w="82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440" w:type="dxa"/>
            <w:vAlign w:val="bottom"/>
            <w:tcBorders>
              <w:right w:val="single" w:sz="8" w:color="auto"/>
            </w:tcBorders>
            <w:gridSpan w:val="22"/>
          </w:tcPr>
          <w:p>
            <w:pPr>
              <w:ind w:left="60"/>
              <w:spacing w:after="0" w:line="139" w:lineRule="exact"/>
              <w:rPr>
                <w:sz w:val="20"/>
                <w:szCs w:val="20"/>
                <w:color w:val="auto"/>
              </w:rPr>
            </w:pPr>
            <w:r>
              <w:rPr>
                <w:rFonts w:ascii="Times New Roman" w:cs="Times New Roman" w:eastAsia="Times New Roman" w:hAnsi="Times New Roman"/>
                <w:sz w:val="13"/>
                <w:szCs w:val="13"/>
                <w:color w:val="auto"/>
              </w:rPr>
              <w:t>is no additional tax benefit to you if the Contract is purchased through a</w:t>
            </w:r>
          </w:p>
        </w:tc>
        <w:tc>
          <w:tcPr>
            <w:tcW w:w="1300" w:type="dxa"/>
            <w:vAlign w:val="bottom"/>
            <w:tcBorders>
              <w:right w:val="single" w:sz="8" w:color="auto"/>
            </w:tcBorders>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220" w:type="dxa"/>
            <w:vAlign w:val="bottom"/>
            <w:tcBorders>
              <w:right w:val="single" w:sz="8" w:color="auto"/>
            </w:tcBorders>
            <w:gridSpan w:val="8"/>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 </w:t>
            </w: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tcBorders>
              <w:right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2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440" w:type="dxa"/>
            <w:vAlign w:val="bottom"/>
            <w:tcBorders>
              <w:right w:val="single" w:sz="8" w:color="auto"/>
            </w:tcBorders>
            <w:gridSpan w:val="22"/>
          </w:tcPr>
          <w:p>
            <w:pPr>
              <w:ind w:left="60"/>
              <w:spacing w:after="0" w:line="144" w:lineRule="exact"/>
              <w:rPr>
                <w:sz w:val="20"/>
                <w:szCs w:val="20"/>
                <w:color w:val="auto"/>
              </w:rPr>
            </w:pPr>
            <w:r>
              <w:rPr>
                <w:rFonts w:ascii="Times New Roman" w:cs="Times New Roman" w:eastAsia="Times New Roman" w:hAnsi="Times New Roman"/>
                <w:sz w:val="13"/>
                <w:szCs w:val="13"/>
                <w:color w:val="auto"/>
              </w:rPr>
              <w:t>tax-qualified plan or individual retirement account (IRA). Withdrawals will be</w:t>
            </w:r>
          </w:p>
        </w:tc>
        <w:tc>
          <w:tcPr>
            <w:tcW w:w="30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1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820" w:type="dxa"/>
            <w:vAlign w:val="bottom"/>
            <w:tcBorders>
              <w:lef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440" w:type="dxa"/>
            <w:vAlign w:val="bottom"/>
            <w:tcBorders>
              <w:right w:val="single" w:sz="8" w:color="auto"/>
            </w:tcBorders>
            <w:gridSpan w:val="22"/>
          </w:tcPr>
          <w:p>
            <w:pPr>
              <w:ind w:left="60"/>
              <w:spacing w:after="0"/>
              <w:rPr>
                <w:sz w:val="20"/>
                <w:szCs w:val="20"/>
                <w:color w:val="auto"/>
              </w:rPr>
            </w:pPr>
            <w:r>
              <w:rPr>
                <w:rFonts w:ascii="Times New Roman" w:cs="Times New Roman" w:eastAsia="Times New Roman" w:hAnsi="Times New Roman"/>
                <w:sz w:val="13"/>
                <w:szCs w:val="13"/>
                <w:color w:val="auto"/>
              </w:rPr>
              <w:t>subject to ordinary income tax and may be subject to tax penalties.</w:t>
            </w:r>
          </w:p>
        </w:tc>
        <w:tc>
          <w:tcPr>
            <w:tcW w:w="13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3"/>
                <w:szCs w:val="13"/>
                <w:b w:val="1"/>
                <w:bCs w:val="1"/>
                <w:color w:val="auto"/>
              </w:rPr>
              <w:t>FEDERAL TAX</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1300" w:type="dxa"/>
            <w:vAlign w:val="bottom"/>
            <w:tcBorders>
              <w:bottom w:val="single" w:sz="8" w:color="auto"/>
              <w:right w:val="single" w:sz="8" w:color="auto"/>
            </w:tcBorders>
            <w:gridSpan w:val="5"/>
          </w:tcPr>
          <w:p>
            <w:pPr>
              <w:spacing w:after="0"/>
              <w:rPr>
                <w:sz w:val="20"/>
                <w:szCs w:val="20"/>
                <w:color w:val="auto"/>
              </w:rPr>
            </w:pPr>
            <w:r>
              <w:rPr>
                <w:rFonts w:ascii="Times New Roman" w:cs="Times New Roman" w:eastAsia="Times New Roman" w:hAnsi="Times New Roman"/>
                <w:sz w:val="13"/>
                <w:szCs w:val="13"/>
                <w:b w:val="1"/>
                <w:bCs w:val="1"/>
                <w:color w:val="auto"/>
              </w:rPr>
              <w:t>CONSIDERATIONS</w:t>
            </w:r>
          </w:p>
        </w:tc>
        <w:tc>
          <w:tcPr>
            <w:tcW w:w="0" w:type="dxa"/>
            <w:vAlign w:val="bottom"/>
          </w:tcPr>
          <w:p>
            <w:pPr>
              <w:spacing w:after="0"/>
              <w:rPr>
                <w:sz w:val="1"/>
                <w:szCs w:val="1"/>
                <w:color w:val="auto"/>
              </w:rPr>
            </w:pPr>
          </w:p>
        </w:tc>
      </w:tr>
      <w:tr>
        <w:trPr>
          <w:trHeight w:val="188"/>
        </w:trPr>
        <w:tc>
          <w:tcPr>
            <w:tcW w:w="820" w:type="dxa"/>
            <w:vAlign w:val="bottom"/>
            <w:tcBorders>
              <w:left w:val="single" w:sz="8" w:color="auto"/>
              <w:bottom w:val="single" w:sz="8" w:color="auto"/>
            </w:tcBorders>
            <w:shd w:val="clear" w:color="auto" w:fill="F0FFFF"/>
          </w:tcPr>
          <w:p>
            <w:pPr>
              <w:spacing w:after="0"/>
              <w:rPr>
                <w:sz w:val="16"/>
                <w:szCs w:val="16"/>
                <w:color w:val="auto"/>
              </w:rPr>
            </w:pPr>
          </w:p>
        </w:tc>
        <w:tc>
          <w:tcPr>
            <w:tcW w:w="100" w:type="dxa"/>
            <w:vAlign w:val="bottom"/>
            <w:tcBorders>
              <w:bottom w:val="single" w:sz="8" w:color="auto"/>
            </w:tcBorders>
            <w:shd w:val="clear" w:color="auto" w:fill="F0FFFF"/>
          </w:tcPr>
          <w:p>
            <w:pPr>
              <w:spacing w:after="0"/>
              <w:rPr>
                <w:sz w:val="16"/>
                <w:szCs w:val="16"/>
                <w:color w:val="auto"/>
              </w:rPr>
            </w:pPr>
          </w:p>
        </w:tc>
        <w:tc>
          <w:tcPr>
            <w:tcW w:w="500" w:type="dxa"/>
            <w:vAlign w:val="bottom"/>
            <w:tcBorders>
              <w:bottom w:val="single" w:sz="8" w:color="auto"/>
            </w:tcBorders>
            <w:shd w:val="clear" w:color="auto" w:fill="F0FFFF"/>
          </w:tcPr>
          <w:p>
            <w:pPr>
              <w:spacing w:after="0"/>
              <w:rPr>
                <w:sz w:val="16"/>
                <w:szCs w:val="16"/>
                <w:color w:val="auto"/>
              </w:rPr>
            </w:pPr>
          </w:p>
        </w:tc>
        <w:tc>
          <w:tcPr>
            <w:tcW w:w="20" w:type="dxa"/>
            <w:vAlign w:val="bottom"/>
            <w:tcBorders>
              <w:bottom w:val="single" w:sz="8" w:color="auto"/>
            </w:tcBorders>
            <w:shd w:val="clear" w:color="auto" w:fill="F0FFFF"/>
          </w:tcPr>
          <w:p>
            <w:pPr>
              <w:spacing w:after="0"/>
              <w:rPr>
                <w:sz w:val="16"/>
                <w:szCs w:val="16"/>
                <w:color w:val="auto"/>
              </w:rPr>
            </w:pPr>
          </w:p>
        </w:tc>
        <w:tc>
          <w:tcPr>
            <w:tcW w:w="100" w:type="dxa"/>
            <w:vAlign w:val="bottom"/>
            <w:tcBorders>
              <w:bottom w:val="single" w:sz="8" w:color="auto"/>
              <w:right w:val="single" w:sz="8" w:color="F0FFFF"/>
            </w:tcBorders>
            <w:shd w:val="clear" w:color="auto" w:fill="F0FFFF"/>
          </w:tcPr>
          <w:p>
            <w:pPr>
              <w:spacing w:after="0"/>
              <w:rPr>
                <w:sz w:val="16"/>
                <w:szCs w:val="16"/>
                <w:color w:val="auto"/>
              </w:rPr>
            </w:pPr>
          </w:p>
        </w:tc>
        <w:tc>
          <w:tcPr>
            <w:tcW w:w="180" w:type="dxa"/>
            <w:vAlign w:val="bottom"/>
            <w:tcBorders>
              <w:bottom w:val="single" w:sz="8" w:color="auto"/>
            </w:tcBorders>
            <w:shd w:val="clear" w:color="auto" w:fill="F0FFFF"/>
          </w:tcPr>
          <w:p>
            <w:pPr>
              <w:spacing w:after="0"/>
              <w:rPr>
                <w:sz w:val="16"/>
                <w:szCs w:val="16"/>
                <w:color w:val="auto"/>
              </w:rPr>
            </w:pPr>
          </w:p>
        </w:tc>
        <w:tc>
          <w:tcPr>
            <w:tcW w:w="340" w:type="dxa"/>
            <w:vAlign w:val="bottom"/>
            <w:tcBorders>
              <w:bottom w:val="single" w:sz="8" w:color="auto"/>
              <w:right w:val="single" w:sz="8" w:color="F0FFFF"/>
            </w:tcBorders>
            <w:shd w:val="clear" w:color="auto" w:fill="F0FFFF"/>
          </w:tcPr>
          <w:p>
            <w:pPr>
              <w:spacing w:after="0"/>
              <w:rPr>
                <w:sz w:val="16"/>
                <w:szCs w:val="16"/>
                <w:color w:val="auto"/>
              </w:rPr>
            </w:pPr>
          </w:p>
        </w:tc>
        <w:tc>
          <w:tcPr>
            <w:tcW w:w="280" w:type="dxa"/>
            <w:vAlign w:val="bottom"/>
            <w:tcBorders>
              <w:bottom w:val="single" w:sz="8" w:color="auto"/>
            </w:tcBorders>
            <w:shd w:val="clear" w:color="auto" w:fill="F0FFFF"/>
          </w:tcPr>
          <w:p>
            <w:pPr>
              <w:spacing w:after="0"/>
              <w:rPr>
                <w:sz w:val="16"/>
                <w:szCs w:val="16"/>
                <w:color w:val="auto"/>
              </w:rPr>
            </w:pPr>
          </w:p>
        </w:tc>
        <w:tc>
          <w:tcPr>
            <w:tcW w:w="400" w:type="dxa"/>
            <w:vAlign w:val="bottom"/>
            <w:tcBorders>
              <w:bottom w:val="single" w:sz="8" w:color="auto"/>
              <w:right w:val="single" w:sz="8" w:color="F0FFFF"/>
            </w:tcBorders>
            <w:shd w:val="clear" w:color="auto" w:fill="F0FFFF"/>
          </w:tcPr>
          <w:p>
            <w:pPr>
              <w:spacing w:after="0"/>
              <w:rPr>
                <w:sz w:val="16"/>
                <w:szCs w:val="16"/>
                <w:color w:val="auto"/>
              </w:rPr>
            </w:pPr>
          </w:p>
        </w:tc>
        <w:tc>
          <w:tcPr>
            <w:tcW w:w="180" w:type="dxa"/>
            <w:vAlign w:val="bottom"/>
            <w:tcBorders>
              <w:bottom w:val="single" w:sz="8" w:color="auto"/>
              <w:right w:val="single" w:sz="8" w:color="F0FFFF"/>
            </w:tcBorders>
            <w:shd w:val="clear" w:color="auto" w:fill="F0FFFF"/>
          </w:tcPr>
          <w:p>
            <w:pPr>
              <w:spacing w:after="0"/>
              <w:rPr>
                <w:sz w:val="16"/>
                <w:szCs w:val="16"/>
                <w:color w:val="auto"/>
              </w:rPr>
            </w:pPr>
          </w:p>
        </w:tc>
        <w:tc>
          <w:tcPr>
            <w:tcW w:w="440" w:type="dxa"/>
            <w:vAlign w:val="bottom"/>
            <w:tcBorders>
              <w:bottom w:val="single" w:sz="8" w:color="auto"/>
              <w:right w:val="single" w:sz="8" w:color="F0FFFF"/>
            </w:tcBorders>
            <w:shd w:val="clear" w:color="auto" w:fill="F0FFFF"/>
          </w:tcPr>
          <w:p>
            <w:pPr>
              <w:spacing w:after="0"/>
              <w:rPr>
                <w:sz w:val="16"/>
                <w:szCs w:val="16"/>
                <w:color w:val="auto"/>
              </w:rPr>
            </w:pPr>
          </w:p>
        </w:tc>
        <w:tc>
          <w:tcPr>
            <w:tcW w:w="2620" w:type="dxa"/>
            <w:vAlign w:val="bottom"/>
            <w:tcBorders>
              <w:bottom w:val="single" w:sz="8" w:color="auto"/>
              <w:right w:val="single" w:sz="8" w:color="auto"/>
            </w:tcBorders>
            <w:gridSpan w:val="16"/>
            <w:shd w:val="clear" w:color="auto" w:fill="F0FFFF"/>
          </w:tcPr>
          <w:p>
            <w:pPr>
              <w:jc w:val="center"/>
              <w:ind w:right="1720"/>
              <w:spacing w:after="0"/>
              <w:rPr>
                <w:sz w:val="20"/>
                <w:szCs w:val="20"/>
                <w:color w:val="auto"/>
              </w:rPr>
            </w:pPr>
            <w:r>
              <w:rPr>
                <w:rFonts w:ascii="Times New Roman" w:cs="Times New Roman" w:eastAsia="Times New Roman" w:hAnsi="Times New Roman"/>
                <w:sz w:val="13"/>
                <w:szCs w:val="13"/>
                <w:b w:val="1"/>
                <w:bCs w:val="1"/>
                <w:color w:val="auto"/>
                <w:w w:val="81"/>
              </w:rPr>
              <w:t>Conflicts of Interest</w:t>
            </w:r>
          </w:p>
        </w:tc>
        <w:tc>
          <w:tcPr>
            <w:tcW w:w="300" w:type="dxa"/>
            <w:vAlign w:val="bottom"/>
            <w:tcBorders>
              <w:bottom w:val="single" w:sz="8" w:color="auto"/>
            </w:tcBorders>
            <w:shd w:val="clear" w:color="auto" w:fill="F0FFFF"/>
          </w:tcPr>
          <w:p>
            <w:pPr>
              <w:spacing w:after="0"/>
              <w:rPr>
                <w:sz w:val="16"/>
                <w:szCs w:val="16"/>
                <w:color w:val="auto"/>
              </w:rPr>
            </w:pPr>
          </w:p>
        </w:tc>
        <w:tc>
          <w:tcPr>
            <w:tcW w:w="520" w:type="dxa"/>
            <w:vAlign w:val="bottom"/>
            <w:tcBorders>
              <w:bottom w:val="single" w:sz="8" w:color="auto"/>
              <w:right w:val="single" w:sz="8" w:color="F0FFFF"/>
            </w:tcBorders>
            <w:shd w:val="clear" w:color="auto" w:fill="F0FFFF"/>
          </w:tcPr>
          <w:p>
            <w:pPr>
              <w:spacing w:after="0"/>
              <w:rPr>
                <w:sz w:val="16"/>
                <w:szCs w:val="16"/>
                <w:color w:val="auto"/>
              </w:rPr>
            </w:pPr>
          </w:p>
        </w:tc>
        <w:tc>
          <w:tcPr>
            <w:tcW w:w="240" w:type="dxa"/>
            <w:vAlign w:val="bottom"/>
            <w:tcBorders>
              <w:bottom w:val="single" w:sz="8" w:color="auto"/>
            </w:tcBorders>
            <w:shd w:val="clear" w:color="auto" w:fill="F0FFFF"/>
          </w:tcPr>
          <w:p>
            <w:pPr>
              <w:spacing w:after="0"/>
              <w:rPr>
                <w:sz w:val="16"/>
                <w:szCs w:val="16"/>
                <w:color w:val="auto"/>
              </w:rPr>
            </w:pPr>
          </w:p>
        </w:tc>
        <w:tc>
          <w:tcPr>
            <w:tcW w:w="80" w:type="dxa"/>
            <w:vAlign w:val="bottom"/>
            <w:tcBorders>
              <w:bottom w:val="single" w:sz="8" w:color="auto"/>
            </w:tcBorders>
            <w:shd w:val="clear" w:color="auto" w:fill="F0FFFF"/>
          </w:tcPr>
          <w:p>
            <w:pPr>
              <w:spacing w:after="0"/>
              <w:rPr>
                <w:sz w:val="16"/>
                <w:szCs w:val="16"/>
                <w:color w:val="auto"/>
              </w:rPr>
            </w:pPr>
          </w:p>
        </w:tc>
        <w:tc>
          <w:tcPr>
            <w:tcW w:w="160" w:type="dxa"/>
            <w:vAlign w:val="bottom"/>
            <w:tcBorders>
              <w:bottom w:val="single" w:sz="8" w:color="auto"/>
              <w:right w:val="single" w:sz="8" w:color="auto"/>
            </w:tcBorders>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540" w:type="dxa"/>
            <w:vAlign w:val="bottom"/>
            <w:tcBorders>
              <w:left w:val="single" w:sz="8" w:color="auto"/>
              <w:right w:val="single" w:sz="8" w:color="auto"/>
            </w:tcBorders>
            <w:gridSpan w:val="5"/>
          </w:tcPr>
          <w:p>
            <w:pPr>
              <w:ind w:left="40"/>
              <w:spacing w:after="0" w:line="149" w:lineRule="exact"/>
              <w:rPr>
                <w:sz w:val="20"/>
                <w:szCs w:val="20"/>
                <w:color w:val="auto"/>
              </w:rPr>
            </w:pPr>
            <w:r>
              <w:rPr>
                <w:rFonts w:ascii="Times New Roman" w:cs="Times New Roman" w:eastAsia="Times New Roman" w:hAnsi="Times New Roman"/>
                <w:sz w:val="13"/>
                <w:szCs w:val="13"/>
                <w:b w:val="1"/>
                <w:bCs w:val="1"/>
                <w:color w:val="auto"/>
              </w:rPr>
              <w:t>How are Financial</w:t>
            </w:r>
          </w:p>
        </w:tc>
        <w:tc>
          <w:tcPr>
            <w:tcW w:w="4440" w:type="dxa"/>
            <w:vAlign w:val="bottom"/>
            <w:tcBorders>
              <w:right w:val="single" w:sz="8" w:color="auto"/>
            </w:tcBorders>
            <w:gridSpan w:val="22"/>
          </w:tcPr>
          <w:p>
            <w:pPr>
              <w:ind w:left="60"/>
              <w:spacing w:after="0" w:line="149" w:lineRule="exact"/>
              <w:rPr>
                <w:sz w:val="20"/>
                <w:szCs w:val="20"/>
                <w:color w:val="auto"/>
              </w:rPr>
            </w:pPr>
            <w:r>
              <w:rPr>
                <w:rFonts w:ascii="Times New Roman" w:cs="Times New Roman" w:eastAsia="Times New Roman" w:hAnsi="Times New Roman"/>
                <w:sz w:val="13"/>
                <w:szCs w:val="13"/>
                <w:color w:val="auto"/>
              </w:rPr>
              <w:t>Your financial professional may receive compensation for selling this Contract</w:t>
            </w:r>
          </w:p>
        </w:tc>
        <w:tc>
          <w:tcPr>
            <w:tcW w:w="1300" w:type="dxa"/>
            <w:vAlign w:val="bottom"/>
            <w:tcBorders>
              <w:right w:val="single" w:sz="8" w:color="auto"/>
            </w:tcBorders>
            <w:gridSpan w:val="5"/>
          </w:tcPr>
          <w:p>
            <w:pPr>
              <w:spacing w:after="0" w:line="149" w:lineRule="exact"/>
              <w:rPr>
                <w:sz w:val="20"/>
                <w:szCs w:val="20"/>
                <w:color w:val="auto"/>
              </w:rPr>
            </w:pPr>
            <w:r>
              <w:rPr>
                <w:rFonts w:ascii="Times New Roman" w:cs="Times New Roman" w:eastAsia="Times New Roman" w:hAnsi="Times New Roman"/>
                <w:sz w:val="13"/>
                <w:szCs w:val="13"/>
                <w:b w:val="1"/>
                <w:bCs w:val="1"/>
                <w:color w:val="auto"/>
              </w:rPr>
              <w:t>DISTRIBUTION OF</w:t>
            </w:r>
          </w:p>
        </w:tc>
        <w:tc>
          <w:tcPr>
            <w:tcW w:w="0" w:type="dxa"/>
            <w:vAlign w:val="bottom"/>
          </w:tcPr>
          <w:p>
            <w:pPr>
              <w:spacing w:after="0"/>
              <w:rPr>
                <w:sz w:val="1"/>
                <w:szCs w:val="1"/>
                <w:color w:val="auto"/>
              </w:rPr>
            </w:pPr>
          </w:p>
        </w:tc>
      </w:tr>
      <w:tr>
        <w:trPr>
          <w:trHeight w:val="20"/>
        </w:trPr>
        <w:tc>
          <w:tcPr>
            <w:tcW w:w="1540" w:type="dxa"/>
            <w:vAlign w:val="bottom"/>
            <w:tcBorders>
              <w:left w:val="single" w:sz="8" w:color="auto"/>
              <w:right w:val="single" w:sz="8" w:color="auto"/>
            </w:tcBorders>
            <w:gridSpan w:val="5"/>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Professionals</w:t>
            </w:r>
          </w:p>
        </w:tc>
        <w:tc>
          <w:tcPr>
            <w:tcW w:w="2300" w:type="dxa"/>
            <w:vAlign w:val="bottom"/>
            <w:gridSpan w:val="9"/>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300" w:type="dxa"/>
            <w:vAlign w:val="bottom"/>
            <w:tcBorders>
              <w:right w:val="single" w:sz="8" w:color="auto"/>
            </w:tcBorders>
            <w:gridSpan w:val="5"/>
            <w:vMerge w:val="restart"/>
          </w:tcPr>
          <w:p>
            <w:pPr>
              <w:spacing w:after="0"/>
              <w:rPr>
                <w:sz w:val="20"/>
                <w:szCs w:val="20"/>
                <w:color w:val="auto"/>
              </w:rPr>
            </w:pPr>
            <w:r>
              <w:rPr>
                <w:rFonts w:ascii="Times New Roman" w:cs="Times New Roman" w:eastAsia="Times New Roman" w:hAnsi="Times New Roman"/>
                <w:sz w:val="13"/>
                <w:szCs w:val="13"/>
                <w:b w:val="1"/>
                <w:bCs w:val="1"/>
                <w:color w:val="auto"/>
              </w:rPr>
              <w:t>THE CONTRACTS</w:t>
            </w:r>
          </w:p>
        </w:tc>
        <w:tc>
          <w:tcPr>
            <w:tcW w:w="0" w:type="dxa"/>
            <w:vAlign w:val="bottom"/>
          </w:tcPr>
          <w:p>
            <w:pPr>
              <w:spacing w:after="0" w:line="20" w:lineRule="exact"/>
              <w:rPr>
                <w:sz w:val="1"/>
                <w:szCs w:val="1"/>
                <w:color w:val="auto"/>
              </w:rPr>
            </w:pPr>
          </w:p>
        </w:tc>
      </w:tr>
      <w:tr>
        <w:trPr>
          <w:trHeight w:val="139"/>
        </w:trPr>
        <w:tc>
          <w:tcPr>
            <w:tcW w:w="1540" w:type="dxa"/>
            <w:vAlign w:val="bottom"/>
            <w:tcBorders>
              <w:left w:val="single" w:sz="8" w:color="auto"/>
              <w:right w:val="single" w:sz="8" w:color="auto"/>
            </w:tcBorders>
            <w:gridSpan w:val="5"/>
            <w:vMerge w:val="continue"/>
          </w:tcPr>
          <w:p>
            <w:pPr>
              <w:spacing w:after="0"/>
              <w:rPr>
                <w:sz w:val="12"/>
                <w:szCs w:val="12"/>
                <w:color w:val="auto"/>
              </w:rPr>
            </w:pPr>
          </w:p>
        </w:tc>
        <w:tc>
          <w:tcPr>
            <w:tcW w:w="4440" w:type="dxa"/>
            <w:vAlign w:val="bottom"/>
            <w:tcBorders>
              <w:right w:val="single" w:sz="8" w:color="auto"/>
            </w:tcBorders>
            <w:gridSpan w:val="22"/>
          </w:tcPr>
          <w:p>
            <w:pPr>
              <w:ind w:left="60"/>
              <w:spacing w:after="0" w:line="139" w:lineRule="exact"/>
              <w:rPr>
                <w:sz w:val="20"/>
                <w:szCs w:val="20"/>
                <w:color w:val="auto"/>
              </w:rPr>
            </w:pPr>
            <w:r>
              <w:rPr>
                <w:rFonts w:ascii="Times New Roman" w:cs="Times New Roman" w:eastAsia="Times New Roman" w:hAnsi="Times New Roman"/>
                <w:sz w:val="13"/>
                <w:szCs w:val="13"/>
                <w:color w:val="auto"/>
              </w:rPr>
              <w:t>to you in the form of commissions, additional cash benefits (e.g., bonuses),</w:t>
            </w:r>
          </w:p>
        </w:tc>
        <w:tc>
          <w:tcPr>
            <w:tcW w:w="1300" w:type="dxa"/>
            <w:vAlign w:val="bottom"/>
            <w:tcBorders>
              <w:right w:val="single" w:sz="8" w:color="auto"/>
            </w:tcBorders>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540" w:type="dxa"/>
            <w:vAlign w:val="bottom"/>
            <w:tcBorders>
              <w:left w:val="single" w:sz="8" w:color="auto"/>
              <w:right w:val="single" w:sz="8" w:color="auto"/>
            </w:tcBorders>
            <w:gridSpan w:val="5"/>
          </w:tcPr>
          <w:p>
            <w:pPr>
              <w:ind w:left="40"/>
              <w:spacing w:after="0"/>
              <w:rPr>
                <w:sz w:val="20"/>
                <w:szCs w:val="20"/>
                <w:color w:val="auto"/>
              </w:rPr>
            </w:pPr>
            <w:r>
              <w:rPr>
                <w:rFonts w:ascii="Times New Roman" w:cs="Times New Roman" w:eastAsia="Times New Roman" w:hAnsi="Times New Roman"/>
                <w:sz w:val="13"/>
                <w:szCs w:val="13"/>
                <w:b w:val="1"/>
                <w:bCs w:val="1"/>
                <w:color w:val="auto"/>
              </w:rPr>
              <w:t>Compensated?</w:t>
            </w:r>
          </w:p>
        </w:tc>
        <w:tc>
          <w:tcPr>
            <w:tcW w:w="4440" w:type="dxa"/>
            <w:vAlign w:val="bottom"/>
            <w:tcBorders>
              <w:right w:val="single" w:sz="8" w:color="auto"/>
            </w:tcBorders>
            <w:gridSpan w:val="22"/>
          </w:tcPr>
          <w:p>
            <w:pPr>
              <w:ind w:left="60"/>
              <w:spacing w:after="0"/>
              <w:rPr>
                <w:sz w:val="20"/>
                <w:szCs w:val="20"/>
                <w:color w:val="auto"/>
              </w:rPr>
            </w:pPr>
            <w:r>
              <w:rPr>
                <w:rFonts w:ascii="Times New Roman" w:cs="Times New Roman" w:eastAsia="Times New Roman" w:hAnsi="Times New Roman"/>
                <w:sz w:val="13"/>
                <w:szCs w:val="13"/>
                <w:color w:val="auto"/>
              </w:rPr>
              <w:t>and non-cash compensation. This conflict of interest may influence your</w:t>
            </w:r>
          </w:p>
        </w:tc>
        <w:tc>
          <w:tcPr>
            <w:tcW w:w="30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2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440" w:type="dxa"/>
            <w:vAlign w:val="bottom"/>
            <w:tcBorders>
              <w:right w:val="single" w:sz="8" w:color="auto"/>
            </w:tcBorders>
            <w:gridSpan w:val="22"/>
          </w:tcPr>
          <w:p>
            <w:pPr>
              <w:ind w:left="60"/>
              <w:spacing w:after="0" w:line="142" w:lineRule="exact"/>
              <w:rPr>
                <w:sz w:val="20"/>
                <w:szCs w:val="20"/>
                <w:color w:val="auto"/>
              </w:rPr>
            </w:pPr>
            <w:r>
              <w:rPr>
                <w:rFonts w:ascii="Times New Roman" w:cs="Times New Roman" w:eastAsia="Times New Roman" w:hAnsi="Times New Roman"/>
                <w:sz w:val="13"/>
                <w:szCs w:val="13"/>
                <w:color w:val="auto"/>
              </w:rPr>
              <w:t>financial professional to recommend this Contract over another investment for</w:t>
            </w: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300" w:type="dxa"/>
            <w:vAlign w:val="bottom"/>
            <w:tcBorders>
              <w:right w:val="single" w:sz="8" w:color="auto"/>
            </w:tcBorders>
            <w:gridSpan w:val="9"/>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000" w:type="dxa"/>
            <w:vAlign w:val="bottom"/>
            <w:tcBorders>
              <w:left w:val="single" w:sz="8" w:color="auto"/>
            </w:tcBorders>
            <w:gridSpan w:val="6"/>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80" w:type="dxa"/>
            <w:vAlign w:val="bottom"/>
            <w:tcBorders>
              <w:right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20" w:type="dxa"/>
            <w:vAlign w:val="bottom"/>
            <w:tcBorders>
              <w:left w:val="single" w:sz="8" w:color="auto"/>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4440" w:type="dxa"/>
            <w:vAlign w:val="bottom"/>
            <w:tcBorders>
              <w:bottom w:val="single" w:sz="8" w:color="auto"/>
              <w:right w:val="single" w:sz="8" w:color="auto"/>
            </w:tcBorders>
            <w:gridSpan w:val="22"/>
          </w:tcPr>
          <w:p>
            <w:pPr>
              <w:ind w:left="60"/>
              <w:spacing w:after="0"/>
              <w:rPr>
                <w:sz w:val="20"/>
                <w:szCs w:val="20"/>
                <w:color w:val="auto"/>
              </w:rPr>
            </w:pPr>
            <w:r>
              <w:rPr>
                <w:rFonts w:ascii="Times New Roman" w:cs="Times New Roman" w:eastAsia="Times New Roman" w:hAnsi="Times New Roman"/>
                <w:sz w:val="13"/>
                <w:szCs w:val="13"/>
                <w:color w:val="auto"/>
              </w:rPr>
              <w:t>which the financial professional is not compensated or compensated less.</w:t>
            </w:r>
          </w:p>
        </w:tc>
        <w:tc>
          <w:tcPr>
            <w:tcW w:w="3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540" w:type="dxa"/>
            <w:vAlign w:val="bottom"/>
            <w:tcBorders>
              <w:left w:val="single" w:sz="8" w:color="auto"/>
              <w:right w:val="single" w:sz="8" w:color="auto"/>
            </w:tcBorders>
            <w:gridSpan w:val="5"/>
            <w:shd w:val="clear" w:color="auto" w:fill="F0FFFF"/>
          </w:tcPr>
          <w:p>
            <w:pPr>
              <w:ind w:left="40"/>
              <w:spacing w:after="0" w:line="144" w:lineRule="exact"/>
              <w:rPr>
                <w:sz w:val="20"/>
                <w:szCs w:val="20"/>
                <w:color w:val="auto"/>
              </w:rPr>
            </w:pPr>
            <w:r>
              <w:rPr>
                <w:rFonts w:ascii="Times New Roman" w:cs="Times New Roman" w:eastAsia="Times New Roman" w:hAnsi="Times New Roman"/>
                <w:sz w:val="13"/>
                <w:szCs w:val="13"/>
                <w:b w:val="1"/>
                <w:bCs w:val="1"/>
                <w:color w:val="auto"/>
              </w:rPr>
              <w:t>Should I Exchange My</w:t>
            </w:r>
          </w:p>
        </w:tc>
        <w:tc>
          <w:tcPr>
            <w:tcW w:w="4440" w:type="dxa"/>
            <w:vAlign w:val="bottom"/>
            <w:tcBorders>
              <w:right w:val="single" w:sz="8" w:color="auto"/>
            </w:tcBorders>
            <w:gridSpan w:val="22"/>
            <w:shd w:val="clear" w:color="auto" w:fill="F0FFFF"/>
          </w:tcPr>
          <w:p>
            <w:pPr>
              <w:ind w:left="60"/>
              <w:spacing w:after="0" w:line="144" w:lineRule="exact"/>
              <w:rPr>
                <w:sz w:val="20"/>
                <w:szCs w:val="20"/>
                <w:color w:val="auto"/>
              </w:rPr>
            </w:pPr>
            <w:r>
              <w:rPr>
                <w:rFonts w:ascii="Times New Roman" w:cs="Times New Roman" w:eastAsia="Times New Roman" w:hAnsi="Times New Roman"/>
                <w:sz w:val="13"/>
                <w:szCs w:val="13"/>
                <w:color w:val="auto"/>
              </w:rPr>
              <w:t>If you already own an insurance contract, some financial professionals may</w:t>
            </w:r>
          </w:p>
        </w:tc>
        <w:tc>
          <w:tcPr>
            <w:tcW w:w="1300" w:type="dxa"/>
            <w:vAlign w:val="bottom"/>
            <w:tcBorders>
              <w:right w:val="single" w:sz="8" w:color="auto"/>
            </w:tcBorders>
            <w:gridSpan w:val="5"/>
            <w:shd w:val="clear" w:color="auto" w:fill="F0FFFF"/>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THE ANNUITY</w:t>
            </w:r>
          </w:p>
        </w:tc>
        <w:tc>
          <w:tcPr>
            <w:tcW w:w="0" w:type="dxa"/>
            <w:vAlign w:val="bottom"/>
          </w:tcPr>
          <w:p>
            <w:pPr>
              <w:spacing w:after="0"/>
              <w:rPr>
                <w:sz w:val="1"/>
                <w:szCs w:val="1"/>
                <w:color w:val="auto"/>
              </w:rPr>
            </w:pPr>
          </w:p>
        </w:tc>
      </w:tr>
      <w:tr>
        <w:trPr>
          <w:trHeight w:val="144"/>
        </w:trPr>
        <w:tc>
          <w:tcPr>
            <w:tcW w:w="1540" w:type="dxa"/>
            <w:vAlign w:val="bottom"/>
            <w:tcBorders>
              <w:left w:val="single" w:sz="8" w:color="auto"/>
              <w:right w:val="single" w:sz="8" w:color="auto"/>
            </w:tcBorders>
            <w:gridSpan w:val="5"/>
            <w:shd w:val="clear" w:color="auto" w:fill="F0FFFF"/>
          </w:tcPr>
          <w:p>
            <w:pPr>
              <w:ind w:left="40"/>
              <w:spacing w:after="0" w:line="144" w:lineRule="exact"/>
              <w:rPr>
                <w:sz w:val="20"/>
                <w:szCs w:val="20"/>
                <w:color w:val="auto"/>
              </w:rPr>
            </w:pPr>
            <w:r>
              <w:rPr>
                <w:rFonts w:ascii="Times New Roman" w:cs="Times New Roman" w:eastAsia="Times New Roman" w:hAnsi="Times New Roman"/>
                <w:sz w:val="13"/>
                <w:szCs w:val="13"/>
                <w:b w:val="1"/>
                <w:bCs w:val="1"/>
                <w:color w:val="auto"/>
              </w:rPr>
              <w:t>Contract?</w:t>
            </w:r>
          </w:p>
        </w:tc>
        <w:tc>
          <w:tcPr>
            <w:tcW w:w="4440" w:type="dxa"/>
            <w:vAlign w:val="bottom"/>
            <w:tcBorders>
              <w:right w:val="single" w:sz="8" w:color="auto"/>
            </w:tcBorders>
            <w:gridSpan w:val="22"/>
            <w:shd w:val="clear" w:color="auto" w:fill="F0FFFF"/>
          </w:tcPr>
          <w:p>
            <w:pPr>
              <w:ind w:left="60"/>
              <w:spacing w:after="0" w:line="144" w:lineRule="exact"/>
              <w:rPr>
                <w:sz w:val="20"/>
                <w:szCs w:val="20"/>
                <w:color w:val="auto"/>
              </w:rPr>
            </w:pPr>
            <w:r>
              <w:rPr>
                <w:rFonts w:ascii="Times New Roman" w:cs="Times New Roman" w:eastAsia="Times New Roman" w:hAnsi="Times New Roman"/>
                <w:sz w:val="13"/>
                <w:szCs w:val="13"/>
                <w:color w:val="auto"/>
              </w:rPr>
              <w:t>have a financial incentive to offer you a new contract in place of the one you</w:t>
            </w:r>
          </w:p>
        </w:tc>
        <w:tc>
          <w:tcPr>
            <w:tcW w:w="1300" w:type="dxa"/>
            <w:vAlign w:val="bottom"/>
            <w:tcBorders>
              <w:right w:val="single" w:sz="8" w:color="auto"/>
            </w:tcBorders>
            <w:gridSpan w:val="5"/>
            <w:shd w:val="clear" w:color="auto" w:fill="F0FFFF"/>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CONTRACT –</w:t>
            </w:r>
          </w:p>
        </w:tc>
        <w:tc>
          <w:tcPr>
            <w:tcW w:w="0" w:type="dxa"/>
            <w:vAlign w:val="bottom"/>
          </w:tcPr>
          <w:p>
            <w:pPr>
              <w:spacing w:after="0"/>
              <w:rPr>
                <w:sz w:val="1"/>
                <w:szCs w:val="1"/>
                <w:color w:val="auto"/>
              </w:rPr>
            </w:pPr>
          </w:p>
        </w:tc>
      </w:tr>
      <w:tr>
        <w:trPr>
          <w:trHeight w:val="20"/>
        </w:trPr>
        <w:tc>
          <w:tcPr>
            <w:tcW w:w="820" w:type="dxa"/>
            <w:vAlign w:val="bottom"/>
            <w:tcBorders>
              <w:left w:val="single" w:sz="8" w:color="auto"/>
            </w:tcBorders>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50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00" w:type="dxa"/>
            <w:vAlign w:val="bottom"/>
            <w:tcBorders>
              <w:right w:val="single" w:sz="8" w:color="auto"/>
            </w:tcBorders>
            <w:shd w:val="clear" w:color="auto" w:fill="F0FFFF"/>
          </w:tcPr>
          <w:p>
            <w:pPr>
              <w:spacing w:after="0" w:line="20" w:lineRule="exact"/>
              <w:rPr>
                <w:sz w:val="1"/>
                <w:szCs w:val="1"/>
                <w:color w:val="auto"/>
              </w:rPr>
            </w:pPr>
          </w:p>
        </w:tc>
        <w:tc>
          <w:tcPr>
            <w:tcW w:w="4440" w:type="dxa"/>
            <w:vAlign w:val="bottom"/>
            <w:tcBorders>
              <w:right w:val="single" w:sz="8" w:color="auto"/>
            </w:tcBorders>
            <w:gridSpan w:val="22"/>
            <w:vMerge w:val="restart"/>
            <w:shd w:val="clear" w:color="auto" w:fill="F0FFFF"/>
          </w:tcPr>
          <w:p>
            <w:pPr>
              <w:ind w:left="60"/>
              <w:spacing w:after="0" w:line="144" w:lineRule="exact"/>
              <w:rPr>
                <w:sz w:val="20"/>
                <w:szCs w:val="20"/>
                <w:color w:val="auto"/>
              </w:rPr>
            </w:pPr>
            <w:r>
              <w:rPr>
                <w:rFonts w:ascii="Times New Roman" w:cs="Times New Roman" w:eastAsia="Times New Roman" w:hAnsi="Times New Roman"/>
                <w:sz w:val="13"/>
                <w:szCs w:val="13"/>
                <w:color w:val="auto"/>
              </w:rPr>
              <w:t>already own. You should only exchange your contract if you determine, after</w:t>
            </w:r>
          </w:p>
        </w:tc>
        <w:tc>
          <w:tcPr>
            <w:tcW w:w="820" w:type="dxa"/>
            <w:vAlign w:val="bottom"/>
            <w:tcBorders>
              <w:right w:val="single" w:sz="8" w:color="F0FFFF"/>
            </w:tcBorders>
            <w:gridSpan w:val="2"/>
            <w:shd w:val="clear" w:color="auto" w:fill="000000"/>
          </w:tcPr>
          <w:p>
            <w:pPr>
              <w:spacing w:after="0" w:line="20" w:lineRule="exact"/>
              <w:rPr>
                <w:sz w:val="1"/>
                <w:szCs w:val="1"/>
                <w:color w:val="auto"/>
              </w:rPr>
            </w:pPr>
          </w:p>
        </w:tc>
        <w:tc>
          <w:tcPr>
            <w:tcW w:w="480" w:type="dxa"/>
            <w:vAlign w:val="bottom"/>
            <w:tcBorders>
              <w:right w:val="single" w:sz="8" w:color="auto"/>
            </w:tcBorders>
            <w:gridSpan w:val="3"/>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820" w:type="dxa"/>
            <w:vAlign w:val="bottom"/>
            <w:tcBorders>
              <w:left w:val="single" w:sz="8" w:color="auto"/>
            </w:tcBorders>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500" w:type="dxa"/>
            <w:vAlign w:val="bottom"/>
            <w:shd w:val="clear" w:color="auto" w:fill="F0FFFF"/>
          </w:tcPr>
          <w:p>
            <w:pPr>
              <w:spacing w:after="0"/>
              <w:rPr>
                <w:sz w:val="10"/>
                <w:szCs w:val="10"/>
                <w:color w:val="auto"/>
              </w:rPr>
            </w:pPr>
          </w:p>
        </w:tc>
        <w:tc>
          <w:tcPr>
            <w:tcW w:w="20" w:type="dxa"/>
            <w:vAlign w:val="bottom"/>
            <w:shd w:val="clear" w:color="auto" w:fill="F0FFFF"/>
          </w:tcPr>
          <w:p>
            <w:pPr>
              <w:spacing w:after="0"/>
              <w:rPr>
                <w:sz w:val="10"/>
                <w:szCs w:val="10"/>
                <w:color w:val="auto"/>
              </w:rPr>
            </w:pPr>
          </w:p>
        </w:tc>
        <w:tc>
          <w:tcPr>
            <w:tcW w:w="100" w:type="dxa"/>
            <w:vAlign w:val="bottom"/>
            <w:tcBorders>
              <w:right w:val="single" w:sz="8" w:color="auto"/>
            </w:tcBorders>
            <w:shd w:val="clear" w:color="auto" w:fill="F0FFFF"/>
          </w:tcPr>
          <w:p>
            <w:pPr>
              <w:spacing w:after="0"/>
              <w:rPr>
                <w:sz w:val="10"/>
                <w:szCs w:val="10"/>
                <w:color w:val="auto"/>
              </w:rPr>
            </w:pPr>
          </w:p>
        </w:tc>
        <w:tc>
          <w:tcPr>
            <w:tcW w:w="4440" w:type="dxa"/>
            <w:vAlign w:val="bottom"/>
            <w:tcBorders>
              <w:right w:val="single" w:sz="8" w:color="auto"/>
            </w:tcBorders>
            <w:gridSpan w:val="22"/>
            <w:vMerge w:val="continue"/>
            <w:shd w:val="clear" w:color="auto" w:fill="F0FFFF"/>
          </w:tcPr>
          <w:p>
            <w:pPr>
              <w:spacing w:after="0"/>
              <w:rPr>
                <w:sz w:val="10"/>
                <w:szCs w:val="10"/>
                <w:color w:val="auto"/>
              </w:rPr>
            </w:pPr>
          </w:p>
        </w:tc>
        <w:tc>
          <w:tcPr>
            <w:tcW w:w="1300" w:type="dxa"/>
            <w:vAlign w:val="bottom"/>
            <w:tcBorders>
              <w:right w:val="single" w:sz="8" w:color="auto"/>
            </w:tcBorders>
            <w:gridSpan w:val="5"/>
            <w:shd w:val="clear" w:color="auto" w:fill="F0FFFF"/>
          </w:tcPr>
          <w:p>
            <w:pPr>
              <w:spacing w:after="0" w:line="124" w:lineRule="exact"/>
              <w:rPr>
                <w:sz w:val="20"/>
                <w:szCs w:val="20"/>
                <w:color w:val="auto"/>
              </w:rPr>
            </w:pPr>
            <w:r>
              <w:rPr>
                <w:rFonts w:ascii="Times New Roman" w:cs="Times New Roman" w:eastAsia="Times New Roman" w:hAnsi="Times New Roman"/>
                <w:sz w:val="13"/>
                <w:szCs w:val="13"/>
                <w:b w:val="1"/>
                <w:bCs w:val="1"/>
                <w:color w:val="auto"/>
              </w:rPr>
              <w:t>REPLACEMENT OF</w:t>
            </w:r>
          </w:p>
        </w:tc>
        <w:tc>
          <w:tcPr>
            <w:tcW w:w="0" w:type="dxa"/>
            <w:vAlign w:val="bottom"/>
          </w:tcPr>
          <w:p>
            <w:pPr>
              <w:spacing w:after="0"/>
              <w:rPr>
                <w:sz w:val="1"/>
                <w:szCs w:val="1"/>
                <w:color w:val="auto"/>
              </w:rPr>
            </w:pPr>
          </w:p>
        </w:tc>
      </w:tr>
      <w:tr>
        <w:trPr>
          <w:trHeight w:val="144"/>
        </w:trPr>
        <w:tc>
          <w:tcPr>
            <w:tcW w:w="820" w:type="dxa"/>
            <w:vAlign w:val="bottom"/>
            <w:tcBorders>
              <w:left w:val="single" w:sz="8" w:color="auto"/>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tcBorders>
              <w:right w:val="single" w:sz="8" w:color="auto"/>
            </w:tcBorders>
            <w:shd w:val="clear" w:color="auto" w:fill="F0FFFF"/>
          </w:tcPr>
          <w:p>
            <w:pPr>
              <w:spacing w:after="0"/>
              <w:rPr>
                <w:sz w:val="12"/>
                <w:szCs w:val="12"/>
                <w:color w:val="auto"/>
              </w:rPr>
            </w:pPr>
          </w:p>
        </w:tc>
        <w:tc>
          <w:tcPr>
            <w:tcW w:w="4440" w:type="dxa"/>
            <w:vAlign w:val="bottom"/>
            <w:tcBorders>
              <w:right w:val="single" w:sz="8" w:color="auto"/>
            </w:tcBorders>
            <w:gridSpan w:val="22"/>
            <w:shd w:val="clear" w:color="auto" w:fill="F0FFFF"/>
          </w:tcPr>
          <w:p>
            <w:pPr>
              <w:ind w:left="60"/>
              <w:spacing w:after="0" w:line="144" w:lineRule="exact"/>
              <w:rPr>
                <w:sz w:val="20"/>
                <w:szCs w:val="20"/>
                <w:color w:val="auto"/>
              </w:rPr>
            </w:pPr>
            <w:r>
              <w:rPr>
                <w:rFonts w:ascii="Times New Roman" w:cs="Times New Roman" w:eastAsia="Times New Roman" w:hAnsi="Times New Roman"/>
                <w:sz w:val="13"/>
                <w:szCs w:val="13"/>
                <w:color w:val="auto"/>
              </w:rPr>
              <w:t>comparing the features, fees, and risks of both contracts, and any fees or</w:t>
            </w:r>
          </w:p>
        </w:tc>
        <w:tc>
          <w:tcPr>
            <w:tcW w:w="1300" w:type="dxa"/>
            <w:vAlign w:val="bottom"/>
            <w:tcBorders>
              <w:right w:val="single" w:sz="8" w:color="auto"/>
            </w:tcBorders>
            <w:gridSpan w:val="5"/>
            <w:shd w:val="clear" w:color="auto" w:fill="F0FFFF"/>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CONTRACTS</w:t>
            </w:r>
          </w:p>
        </w:tc>
        <w:tc>
          <w:tcPr>
            <w:tcW w:w="0" w:type="dxa"/>
            <w:vAlign w:val="bottom"/>
          </w:tcPr>
          <w:p>
            <w:pPr>
              <w:spacing w:after="0"/>
              <w:rPr>
                <w:sz w:val="1"/>
                <w:szCs w:val="1"/>
                <w:color w:val="auto"/>
              </w:rPr>
            </w:pPr>
          </w:p>
        </w:tc>
      </w:tr>
      <w:tr>
        <w:trPr>
          <w:trHeight w:val="126"/>
        </w:trPr>
        <w:tc>
          <w:tcPr>
            <w:tcW w:w="820" w:type="dxa"/>
            <w:vAlign w:val="bottom"/>
            <w:tcBorders>
              <w:top w:val="single" w:sz="8" w:color="F0FFFF"/>
              <w:left w:val="single" w:sz="8" w:color="auto"/>
            </w:tcBorders>
            <w:shd w:val="clear" w:color="auto" w:fill="F0FFFF"/>
          </w:tcPr>
          <w:p>
            <w:pPr>
              <w:spacing w:after="0"/>
              <w:rPr>
                <w:sz w:val="10"/>
                <w:szCs w:val="10"/>
                <w:color w:val="auto"/>
              </w:rPr>
            </w:pPr>
          </w:p>
        </w:tc>
        <w:tc>
          <w:tcPr>
            <w:tcW w:w="100" w:type="dxa"/>
            <w:vAlign w:val="bottom"/>
            <w:tcBorders>
              <w:top w:val="single" w:sz="8" w:color="F0FFFF"/>
            </w:tcBorders>
            <w:shd w:val="clear" w:color="auto" w:fill="F0FFFF"/>
          </w:tcPr>
          <w:p>
            <w:pPr>
              <w:spacing w:after="0"/>
              <w:rPr>
                <w:sz w:val="10"/>
                <w:szCs w:val="10"/>
                <w:color w:val="auto"/>
              </w:rPr>
            </w:pPr>
          </w:p>
        </w:tc>
        <w:tc>
          <w:tcPr>
            <w:tcW w:w="500" w:type="dxa"/>
            <w:vAlign w:val="bottom"/>
            <w:tcBorders>
              <w:top w:val="single" w:sz="8" w:color="F0FFFF"/>
            </w:tcBorders>
            <w:shd w:val="clear" w:color="auto" w:fill="F0FFFF"/>
          </w:tcPr>
          <w:p>
            <w:pPr>
              <w:spacing w:after="0"/>
              <w:rPr>
                <w:sz w:val="10"/>
                <w:szCs w:val="10"/>
                <w:color w:val="auto"/>
              </w:rPr>
            </w:pPr>
          </w:p>
        </w:tc>
        <w:tc>
          <w:tcPr>
            <w:tcW w:w="20" w:type="dxa"/>
            <w:vAlign w:val="bottom"/>
            <w:tcBorders>
              <w:top w:val="single" w:sz="8" w:color="F0FFFF"/>
            </w:tcBorders>
            <w:shd w:val="clear" w:color="auto" w:fill="F0FFFF"/>
          </w:tcPr>
          <w:p>
            <w:pPr>
              <w:spacing w:after="0"/>
              <w:rPr>
                <w:sz w:val="10"/>
                <w:szCs w:val="10"/>
                <w:color w:val="auto"/>
              </w:rPr>
            </w:pPr>
          </w:p>
        </w:tc>
        <w:tc>
          <w:tcPr>
            <w:tcW w:w="100" w:type="dxa"/>
            <w:vAlign w:val="bottom"/>
            <w:tcBorders>
              <w:top w:val="single" w:sz="8" w:color="F0FFFF"/>
              <w:right w:val="single" w:sz="8" w:color="auto"/>
            </w:tcBorders>
            <w:shd w:val="clear" w:color="auto" w:fill="F0FFFF"/>
          </w:tcPr>
          <w:p>
            <w:pPr>
              <w:spacing w:after="0"/>
              <w:rPr>
                <w:sz w:val="10"/>
                <w:szCs w:val="10"/>
                <w:color w:val="auto"/>
              </w:rPr>
            </w:pPr>
          </w:p>
        </w:tc>
        <w:tc>
          <w:tcPr>
            <w:tcW w:w="4440" w:type="dxa"/>
            <w:vAlign w:val="bottom"/>
            <w:tcBorders>
              <w:top w:val="single" w:sz="8" w:color="F0FFFF"/>
              <w:right w:val="single" w:sz="8" w:color="auto"/>
            </w:tcBorders>
            <w:gridSpan w:val="22"/>
            <w:shd w:val="clear" w:color="auto" w:fill="F0FFFF"/>
          </w:tcPr>
          <w:p>
            <w:pPr>
              <w:ind w:left="60"/>
              <w:spacing w:after="0" w:line="126" w:lineRule="exact"/>
              <w:rPr>
                <w:sz w:val="20"/>
                <w:szCs w:val="20"/>
                <w:color w:val="auto"/>
              </w:rPr>
            </w:pPr>
            <w:r>
              <w:rPr>
                <w:rFonts w:ascii="Times New Roman" w:cs="Times New Roman" w:eastAsia="Times New Roman" w:hAnsi="Times New Roman"/>
                <w:sz w:val="13"/>
                <w:szCs w:val="13"/>
                <w:color w:val="auto"/>
              </w:rPr>
              <w:t>penalties to terminate the existing contract, that it is preferable for you to</w:t>
            </w:r>
          </w:p>
        </w:tc>
        <w:tc>
          <w:tcPr>
            <w:tcW w:w="300" w:type="dxa"/>
            <w:vAlign w:val="bottom"/>
            <w:tcBorders>
              <w:top w:val="single" w:sz="8" w:color="auto"/>
            </w:tcBorders>
            <w:shd w:val="clear" w:color="auto" w:fill="F0FFFF"/>
          </w:tcPr>
          <w:p>
            <w:pPr>
              <w:spacing w:after="0"/>
              <w:rPr>
                <w:sz w:val="10"/>
                <w:szCs w:val="10"/>
                <w:color w:val="auto"/>
              </w:rPr>
            </w:pPr>
          </w:p>
        </w:tc>
        <w:tc>
          <w:tcPr>
            <w:tcW w:w="520" w:type="dxa"/>
            <w:vAlign w:val="bottom"/>
            <w:tcBorders>
              <w:top w:val="single" w:sz="8" w:color="auto"/>
              <w:right w:val="single" w:sz="8" w:color="F0FFFF"/>
            </w:tcBorders>
            <w:shd w:val="clear" w:color="auto" w:fill="F0FFFF"/>
          </w:tcPr>
          <w:p>
            <w:pPr>
              <w:spacing w:after="0"/>
              <w:rPr>
                <w:sz w:val="10"/>
                <w:szCs w:val="10"/>
                <w:color w:val="auto"/>
              </w:rPr>
            </w:pPr>
          </w:p>
        </w:tc>
        <w:tc>
          <w:tcPr>
            <w:tcW w:w="240" w:type="dxa"/>
            <w:vAlign w:val="bottom"/>
            <w:tcBorders>
              <w:top w:val="single" w:sz="8" w:color="F0FFFF"/>
            </w:tcBorders>
            <w:shd w:val="clear" w:color="auto" w:fill="F0FFFF"/>
          </w:tcPr>
          <w:p>
            <w:pPr>
              <w:spacing w:after="0"/>
              <w:rPr>
                <w:sz w:val="10"/>
                <w:szCs w:val="10"/>
                <w:color w:val="auto"/>
              </w:rPr>
            </w:pPr>
          </w:p>
        </w:tc>
        <w:tc>
          <w:tcPr>
            <w:tcW w:w="80" w:type="dxa"/>
            <w:vAlign w:val="bottom"/>
            <w:tcBorders>
              <w:top w:val="single" w:sz="8" w:color="F0FFFF"/>
            </w:tcBorders>
            <w:shd w:val="clear" w:color="auto" w:fill="F0FFFF"/>
          </w:tcPr>
          <w:p>
            <w:pPr>
              <w:spacing w:after="0"/>
              <w:rPr>
                <w:sz w:val="10"/>
                <w:szCs w:val="10"/>
                <w:color w:val="auto"/>
              </w:rPr>
            </w:pPr>
          </w:p>
        </w:tc>
        <w:tc>
          <w:tcPr>
            <w:tcW w:w="160" w:type="dxa"/>
            <w:vAlign w:val="bottom"/>
            <w:tcBorders>
              <w:top w:val="single" w:sz="8" w:color="F0FFFF"/>
              <w:right w:val="single" w:sz="8" w:color="auto"/>
            </w:tcBorders>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820" w:type="dxa"/>
            <w:vAlign w:val="bottom"/>
            <w:tcBorders>
              <w:left w:val="single" w:sz="8" w:color="auto"/>
              <w:bottom w:val="single" w:sz="8" w:color="auto"/>
            </w:tcBorders>
            <w:shd w:val="clear" w:color="auto" w:fill="F0FFFF"/>
          </w:tcPr>
          <w:p>
            <w:pPr>
              <w:spacing w:after="0"/>
              <w:rPr>
                <w:sz w:val="16"/>
                <w:szCs w:val="16"/>
                <w:color w:val="auto"/>
              </w:rPr>
            </w:pPr>
          </w:p>
        </w:tc>
        <w:tc>
          <w:tcPr>
            <w:tcW w:w="100" w:type="dxa"/>
            <w:vAlign w:val="bottom"/>
            <w:tcBorders>
              <w:bottom w:val="single" w:sz="8" w:color="auto"/>
            </w:tcBorders>
            <w:shd w:val="clear" w:color="auto" w:fill="F0FFFF"/>
          </w:tcPr>
          <w:p>
            <w:pPr>
              <w:spacing w:after="0"/>
              <w:rPr>
                <w:sz w:val="16"/>
                <w:szCs w:val="16"/>
                <w:color w:val="auto"/>
              </w:rPr>
            </w:pPr>
          </w:p>
        </w:tc>
        <w:tc>
          <w:tcPr>
            <w:tcW w:w="500" w:type="dxa"/>
            <w:vAlign w:val="bottom"/>
            <w:tcBorders>
              <w:bottom w:val="single" w:sz="8" w:color="auto"/>
            </w:tcBorders>
            <w:shd w:val="clear" w:color="auto" w:fill="F0FFFF"/>
          </w:tcPr>
          <w:p>
            <w:pPr>
              <w:spacing w:after="0"/>
              <w:rPr>
                <w:sz w:val="16"/>
                <w:szCs w:val="16"/>
                <w:color w:val="auto"/>
              </w:rPr>
            </w:pPr>
          </w:p>
        </w:tc>
        <w:tc>
          <w:tcPr>
            <w:tcW w:w="20" w:type="dxa"/>
            <w:vAlign w:val="bottom"/>
            <w:tcBorders>
              <w:bottom w:val="single" w:sz="8" w:color="auto"/>
            </w:tcBorders>
            <w:shd w:val="clear" w:color="auto" w:fill="F0FFFF"/>
          </w:tcPr>
          <w:p>
            <w:pPr>
              <w:spacing w:after="0"/>
              <w:rPr>
                <w:sz w:val="16"/>
                <w:szCs w:val="16"/>
                <w:color w:val="auto"/>
              </w:rPr>
            </w:pPr>
          </w:p>
        </w:tc>
        <w:tc>
          <w:tcPr>
            <w:tcW w:w="100" w:type="dxa"/>
            <w:vAlign w:val="bottom"/>
            <w:tcBorders>
              <w:bottom w:val="single" w:sz="8" w:color="auto"/>
              <w:right w:val="single" w:sz="8" w:color="auto"/>
            </w:tcBorders>
            <w:shd w:val="clear" w:color="auto" w:fill="F0FFFF"/>
          </w:tcPr>
          <w:p>
            <w:pPr>
              <w:spacing w:after="0"/>
              <w:rPr>
                <w:sz w:val="16"/>
                <w:szCs w:val="16"/>
                <w:color w:val="auto"/>
              </w:rPr>
            </w:pPr>
          </w:p>
        </w:tc>
        <w:tc>
          <w:tcPr>
            <w:tcW w:w="4440" w:type="dxa"/>
            <w:vAlign w:val="bottom"/>
            <w:tcBorders>
              <w:bottom w:val="single" w:sz="8" w:color="auto"/>
              <w:right w:val="single" w:sz="8" w:color="auto"/>
            </w:tcBorders>
            <w:gridSpan w:val="22"/>
            <w:shd w:val="clear" w:color="auto" w:fill="F0FFFF"/>
          </w:tcPr>
          <w:p>
            <w:pPr>
              <w:ind w:left="60"/>
              <w:spacing w:after="0" w:line="142" w:lineRule="exact"/>
              <w:rPr>
                <w:sz w:val="20"/>
                <w:szCs w:val="20"/>
                <w:color w:val="auto"/>
              </w:rPr>
            </w:pPr>
            <w:r>
              <w:rPr>
                <w:rFonts w:ascii="Times New Roman" w:cs="Times New Roman" w:eastAsia="Times New Roman" w:hAnsi="Times New Roman"/>
                <w:sz w:val="13"/>
                <w:szCs w:val="13"/>
                <w:color w:val="auto"/>
              </w:rPr>
              <w:t>purchase the new contract rather than continue to own the existing Contract.</w:t>
            </w:r>
          </w:p>
        </w:tc>
        <w:tc>
          <w:tcPr>
            <w:tcW w:w="300" w:type="dxa"/>
            <w:vAlign w:val="bottom"/>
            <w:tcBorders>
              <w:bottom w:val="single" w:sz="8" w:color="auto"/>
            </w:tcBorders>
            <w:shd w:val="clear" w:color="auto" w:fill="F0FFFF"/>
          </w:tcPr>
          <w:p>
            <w:pPr>
              <w:spacing w:after="0"/>
              <w:rPr>
                <w:sz w:val="16"/>
                <w:szCs w:val="16"/>
                <w:color w:val="auto"/>
              </w:rPr>
            </w:pPr>
          </w:p>
        </w:tc>
        <w:tc>
          <w:tcPr>
            <w:tcW w:w="520" w:type="dxa"/>
            <w:vAlign w:val="bottom"/>
            <w:tcBorders>
              <w:bottom w:val="single" w:sz="8" w:color="auto"/>
              <w:right w:val="single" w:sz="8" w:color="F0FFFF"/>
            </w:tcBorders>
            <w:shd w:val="clear" w:color="auto" w:fill="F0FFFF"/>
          </w:tcPr>
          <w:p>
            <w:pPr>
              <w:spacing w:after="0"/>
              <w:rPr>
                <w:sz w:val="16"/>
                <w:szCs w:val="16"/>
                <w:color w:val="auto"/>
              </w:rPr>
            </w:pPr>
          </w:p>
        </w:tc>
        <w:tc>
          <w:tcPr>
            <w:tcW w:w="240" w:type="dxa"/>
            <w:vAlign w:val="bottom"/>
            <w:tcBorders>
              <w:bottom w:val="single" w:sz="8" w:color="auto"/>
            </w:tcBorders>
            <w:shd w:val="clear" w:color="auto" w:fill="F0FFFF"/>
          </w:tcPr>
          <w:p>
            <w:pPr>
              <w:spacing w:after="0"/>
              <w:rPr>
                <w:sz w:val="16"/>
                <w:szCs w:val="16"/>
                <w:color w:val="auto"/>
              </w:rPr>
            </w:pPr>
          </w:p>
        </w:tc>
        <w:tc>
          <w:tcPr>
            <w:tcW w:w="80" w:type="dxa"/>
            <w:vAlign w:val="bottom"/>
            <w:tcBorders>
              <w:bottom w:val="single" w:sz="8" w:color="auto"/>
            </w:tcBorders>
            <w:shd w:val="clear" w:color="auto" w:fill="F0FFFF"/>
          </w:tcPr>
          <w:p>
            <w:pPr>
              <w:spacing w:after="0"/>
              <w:rPr>
                <w:sz w:val="16"/>
                <w:szCs w:val="16"/>
                <w:color w:val="auto"/>
              </w:rPr>
            </w:pPr>
          </w:p>
        </w:tc>
        <w:tc>
          <w:tcPr>
            <w:tcW w:w="160" w:type="dxa"/>
            <w:vAlign w:val="bottom"/>
            <w:tcBorders>
              <w:bottom w:val="single" w:sz="8" w:color="auto"/>
              <w:right w:val="single" w:sz="8" w:color="auto"/>
            </w:tcBorders>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804"/>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6"/>
          </w:tcPr>
          <w:p>
            <w:pPr>
              <w:ind w:left="1440"/>
              <w:spacing w:after="0"/>
              <w:rPr>
                <w:sz w:val="20"/>
                <w:szCs w:val="20"/>
                <w:color w:val="auto"/>
              </w:rPr>
            </w:pPr>
            <w:r>
              <w:rPr>
                <w:rFonts w:ascii="Times New Roman" w:cs="Times New Roman" w:eastAsia="Times New Roman" w:hAnsi="Times New Roman"/>
                <w:sz w:val="13"/>
                <w:szCs w:val="13"/>
                <w:color w:val="auto"/>
              </w:rPr>
              <w:t>15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3915" cy="381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-6078220</wp:posOffset>
            </wp:positionV>
            <wp:extent cx="4611370" cy="2330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611370" cy="2330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-3262630</wp:posOffset>
            </wp:positionV>
            <wp:extent cx="4611370" cy="2160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611370" cy="2160905"/>
                    </a:xfrm>
                    <a:prstGeom prst="rect">
                      <a:avLst/>
                    </a:prstGeom>
                    <a:noFill/>
                  </pic:spPr>
                </pic:pic>
              </a:graphicData>
            </a:graphic>
          </wp:anchor>
        </w:drawing>
        <w:drawing>
          <wp:anchor simplePos="0" relativeHeight="251657728" behindDoc="1" locked="0" layoutInCell="0" allowOverlap="1">
            <wp:simplePos x="0" y="0"/>
            <wp:positionH relativeFrom="column">
              <wp:posOffset>1283970</wp:posOffset>
            </wp:positionH>
            <wp:positionV relativeFrom="paragraph">
              <wp:posOffset>-4610735</wp:posOffset>
            </wp:positionV>
            <wp:extent cx="25400"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400" cy="6350"/>
                    </a:xfrm>
                    <a:prstGeom prst="rect">
                      <a:avLst/>
                    </a:prstGeom>
                    <a:noFill/>
                  </pic:spPr>
                </pic:pic>
              </a:graphicData>
            </a:graphic>
          </wp:anchor>
        </w:drawing>
      </w:r>
    </w:p>
    <w:p>
      <w:pPr>
        <w:sectPr>
          <w:pgSz w:w="11900" w:h="16838" w:orient="portrait"/>
          <w:cols w:equalWidth="0" w:num="1">
            <w:col w:w="9259"/>
          </w:cols>
          <w:pgMar w:left="1200" w:top="1037" w:right="1440" w:bottom="1440" w:gutter="0" w:footer="0" w:header="0"/>
        </w:sectPr>
      </w:pPr>
    </w:p>
    <w:bookmarkStart w:id="17" w:name="page18"/>
    <w:bookmarkEnd w:id="17"/>
    <w:p>
      <w:pPr>
        <w:jc w:val="center"/>
        <w:ind w:right="317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3915" cy="38100"/>
                    </a:xfrm>
                    <a:prstGeom prst="rect">
                      <a:avLst/>
                    </a:prstGeom>
                    <a:noFill/>
                  </pic:spPr>
                </pic:pic>
              </a:graphicData>
            </a:graphic>
          </wp:anchor>
        </w:drawing>
        <w:t>FEE TABLE</w:t>
      </w:r>
    </w:p>
    <w:p>
      <w:pPr>
        <w:spacing w:after="0" w:line="138" w:lineRule="exact"/>
        <w:rPr>
          <w:sz w:val="20"/>
          <w:szCs w:val="20"/>
          <w:color w:val="auto"/>
        </w:rPr>
      </w:pPr>
    </w:p>
    <w:p>
      <w:pPr>
        <w:ind w:right="3299"/>
        <w:spacing w:after="0" w:line="297" w:lineRule="auto"/>
        <w:rPr>
          <w:sz w:val="20"/>
          <w:szCs w:val="20"/>
          <w:color w:val="auto"/>
        </w:rPr>
      </w:pPr>
      <w:r>
        <w:rPr>
          <w:rFonts w:ascii="Times New Roman" w:cs="Times New Roman" w:eastAsia="Times New Roman" w:hAnsi="Times New Roman"/>
          <w:sz w:val="13"/>
          <w:szCs w:val="13"/>
          <w:b w:val="1"/>
          <w:bCs w:val="1"/>
          <w:color w:val="auto"/>
        </w:rPr>
        <w:t>The following tables describe the fees expenses, and adjustments that you will pay when buying, owning, and Surrendering or making withdrawals from an Allocation Option or from the Contract. Please refer to your Contract specifications page for information about the specific fees you will pay each year.</w:t>
      </w:r>
    </w:p>
    <w:p>
      <w:pPr>
        <w:spacing w:after="0" w:line="1" w:lineRule="exact"/>
        <w:rPr>
          <w:sz w:val="20"/>
          <w:szCs w:val="20"/>
          <w:color w:val="auto"/>
        </w:rPr>
      </w:pPr>
    </w:p>
    <w:p>
      <w:pPr>
        <w:jc w:val="both"/>
        <w:ind w:right="3499"/>
        <w:spacing w:after="0" w:line="298" w:lineRule="auto"/>
        <w:rPr>
          <w:sz w:val="20"/>
          <w:szCs w:val="20"/>
          <w:color w:val="auto"/>
        </w:rPr>
      </w:pPr>
      <w:r>
        <w:rPr>
          <w:rFonts w:ascii="Times New Roman" w:cs="Times New Roman" w:eastAsia="Times New Roman" w:hAnsi="Times New Roman"/>
          <w:sz w:val="13"/>
          <w:szCs w:val="13"/>
          <w:b w:val="1"/>
          <w:bCs w:val="1"/>
          <w:color w:val="auto"/>
        </w:rPr>
        <w:t xml:space="preserve">The first table describes the fees, and expenses that you will pay at the time that you buy the Contract, Surrender or make withdrawals from an Allocation Option or from the Contract, or transfer </w:t>
      </w:r>
      <w:r>
        <w:rPr>
          <w:rFonts w:ascii="Times New Roman" w:cs="Times New Roman" w:eastAsia="Times New Roman" w:hAnsi="Times New Roman"/>
          <w:sz w:val="13"/>
          <w:szCs w:val="13"/>
          <w:b w:val="1"/>
          <w:bCs w:val="1"/>
          <w:u w:val="single" w:color="auto"/>
          <w:color w:val="auto"/>
        </w:rPr>
        <w:t>Account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b w:val="1"/>
          <w:bCs w:val="1"/>
          <w:u w:val="single" w:color="auto"/>
          <w:color w:val="auto"/>
        </w:rPr>
        <w:t>Value</w:t>
      </w:r>
      <w:r>
        <w:rPr>
          <w:rFonts w:ascii="Times New Roman" w:cs="Times New Roman" w:eastAsia="Times New Roman" w:hAnsi="Times New Roman"/>
          <w:sz w:val="13"/>
          <w:szCs w:val="13"/>
          <w:b w:val="1"/>
          <w:bCs w:val="1"/>
          <w:color w:val="auto"/>
        </w:rPr>
        <w:t xml:space="preserve"> between Allocation Options. State premium taxes may also be deducted.</w:t>
      </w:r>
      <w:r>
        <w:rPr>
          <w:rFonts w:ascii="Times New Roman" w:cs="Times New Roman" w:eastAsia="Times New Roman" w:hAnsi="Times New Roman"/>
          <w:sz w:val="13"/>
          <w:szCs w:val="13"/>
          <w:color w:val="auto"/>
        </w:rPr>
        <w:t xml:space="preserve"> </w:t>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Transaction Expenses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Withdrawal Charge</w:t>
            </w:r>
            <w:r>
              <w:rPr>
                <w:rFonts w:ascii="Times New Roman" w:cs="Times New Roman" w:eastAsia="Times New Roman" w:hAnsi="Times New Roman"/>
                <w:sz w:val="17"/>
                <w:szCs w:val="17"/>
                <w:color w:val="auto"/>
                <w:vertAlign w:val="superscript"/>
              </w:rPr>
              <w:t>(1)</w:t>
            </w:r>
          </w:p>
        </w:tc>
        <w:tc>
          <w:tcPr>
            <w:tcW w:w="860" w:type="dxa"/>
            <w:vAlign w:val="bottom"/>
          </w:tcPr>
          <w:p>
            <w:pPr>
              <w:spacing w:after="0"/>
              <w:rPr>
                <w:sz w:val="17"/>
                <w:szCs w:val="17"/>
                <w:color w:val="auto"/>
              </w:rPr>
            </w:pPr>
          </w:p>
        </w:tc>
      </w:tr>
      <w:tr>
        <w:trPr>
          <w:trHeight w:val="172"/>
        </w:trPr>
        <w:tc>
          <w:tcPr>
            <w:tcW w:w="5200" w:type="dxa"/>
            <w:vAlign w:val="bottom"/>
          </w:tcPr>
          <w:p>
            <w:pPr>
              <w:spacing w:after="0"/>
              <w:rPr>
                <w:sz w:val="20"/>
                <w:szCs w:val="20"/>
                <w:color w:val="auto"/>
              </w:rPr>
            </w:pPr>
            <w:r>
              <w:rPr>
                <w:rFonts w:ascii="Times New Roman" w:cs="Times New Roman" w:eastAsia="Times New Roman" w:hAnsi="Times New Roman"/>
                <w:sz w:val="13"/>
                <w:szCs w:val="13"/>
                <w:color w:val="auto"/>
              </w:rPr>
              <w:t>(as a percentage of the amount withdrawn in excess of the Free Withdrawal Amount)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37465</wp:posOffset>
            </wp:positionV>
            <wp:extent cx="3893185" cy="44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93185" cy="44450"/>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auto"/>
        </w:rPr>
        <w:t>(1)</w:t>
      </w:r>
    </w:p>
    <w:p>
      <w:pPr>
        <w:jc w:val="both"/>
        <w:ind w:left="240" w:right="3259"/>
        <w:spacing w:after="0" w:line="230" w:lineRule="auto"/>
        <w:rPr>
          <w:sz w:val="20"/>
          <w:szCs w:val="20"/>
          <w:color w:val="auto"/>
        </w:rPr>
      </w:pPr>
      <w:r>
        <w:rPr>
          <w:rFonts w:ascii="Times New Roman" w:cs="Times New Roman" w:eastAsia="Times New Roman" w:hAnsi="Times New Roman"/>
          <w:sz w:val="12"/>
          <w:szCs w:val="12"/>
          <w:color w:val="auto"/>
        </w:rPr>
        <w:t>The Withdrawal Charge is not assessed during the Annuity Period and in certain other instances. See “When No Withdrawal Charge Applies” under “CHARGES, FEES, AND ADJUSTMENTS” section in the prospectus for a list of withdrawal charge waivers. Withdrawal Charges are calculated at the time of each withdrawal in accordance with the</w:t>
      </w:r>
    </w:p>
    <w:p>
      <w:pPr>
        <w:jc w:val="both"/>
        <w:ind w:left="240" w:right="3259"/>
        <w:spacing w:after="0" w:line="235" w:lineRule="auto"/>
        <w:rPr>
          <w:sz w:val="20"/>
          <w:szCs w:val="20"/>
          <w:color w:val="auto"/>
        </w:rPr>
      </w:pPr>
      <w:r>
        <w:rPr>
          <w:rFonts w:ascii="Times New Roman" w:cs="Times New Roman" w:eastAsia="Times New Roman" w:hAnsi="Times New Roman"/>
          <w:sz w:val="12"/>
          <w:szCs w:val="12"/>
          <w:color w:val="auto"/>
        </w:rPr>
        <w:t>following schedule (See “Withdrawal Charge” under “CHARGES, FEES, AND ADJUSTMENTS” section in the prospectus for more information).</w:t>
      </w:r>
    </w:p>
    <w:p>
      <w:pPr>
        <w:spacing w:after="0" w:line="95" w:lineRule="exact"/>
        <w:rPr>
          <w:sz w:val="20"/>
          <w:szCs w:val="20"/>
          <w:color w:val="auto"/>
        </w:rPr>
      </w:pPr>
    </w:p>
    <w:tbl>
      <w:tblPr>
        <w:tblLayout w:type="fixed"/>
        <w:tblInd w:w="980" w:type="dxa"/>
        <w:tblCellMar>
          <w:top w:w="0" w:type="dxa"/>
          <w:left w:w="0" w:type="dxa"/>
          <w:bottom w:w="0" w:type="dxa"/>
          <w:right w:w="0" w:type="dxa"/>
        </w:tblCellMar>
      </w:tblPr>
      <w:tr>
        <w:trPr>
          <w:trHeight w:val="154"/>
        </w:trPr>
        <w:tc>
          <w:tcPr>
            <w:tcW w:w="2640" w:type="dxa"/>
            <w:vAlign w:val="bottom"/>
            <w:gridSpan w:val="2"/>
          </w:tcPr>
          <w:p>
            <w:pPr>
              <w:jc w:val="center"/>
              <w:ind w:right="1120"/>
              <w:spacing w:after="0"/>
              <w:rPr>
                <w:sz w:val="20"/>
                <w:szCs w:val="20"/>
                <w:color w:val="auto"/>
              </w:rPr>
            </w:pPr>
            <w:r>
              <w:rPr>
                <w:rFonts w:ascii="Times New Roman" w:cs="Times New Roman" w:eastAsia="Times New Roman" w:hAnsi="Times New Roman"/>
                <w:sz w:val="12"/>
                <w:szCs w:val="12"/>
                <w:color w:val="auto"/>
                <w:w w:val="98"/>
              </w:rPr>
              <w:t>Number of Complete</w:t>
            </w:r>
          </w:p>
        </w:tc>
        <w:tc>
          <w:tcPr>
            <w:tcW w:w="1680" w:type="dxa"/>
            <w:vAlign w:val="bottom"/>
            <w:gridSpan w:val="2"/>
          </w:tcPr>
          <w:p>
            <w:pPr>
              <w:jc w:val="center"/>
              <w:ind w:right="800"/>
              <w:spacing w:after="0"/>
              <w:rPr>
                <w:sz w:val="20"/>
                <w:szCs w:val="20"/>
                <w:color w:val="auto"/>
              </w:rPr>
            </w:pPr>
            <w:r>
              <w:rPr>
                <w:rFonts w:ascii="Times New Roman" w:cs="Times New Roman" w:eastAsia="Times New Roman" w:hAnsi="Times New Roman"/>
                <w:sz w:val="12"/>
                <w:szCs w:val="12"/>
                <w:color w:val="auto"/>
                <w:w w:val="98"/>
              </w:rPr>
              <w:t>Withdrawal</w:t>
            </w:r>
          </w:p>
        </w:tc>
      </w:tr>
      <w:tr>
        <w:trPr>
          <w:trHeight w:val="152"/>
        </w:trPr>
        <w:tc>
          <w:tcPr>
            <w:tcW w:w="2640" w:type="dxa"/>
            <w:vAlign w:val="bottom"/>
            <w:gridSpan w:val="2"/>
          </w:tcPr>
          <w:p>
            <w:pPr>
              <w:jc w:val="center"/>
              <w:ind w:right="1120"/>
              <w:spacing w:after="0"/>
              <w:rPr>
                <w:sz w:val="20"/>
                <w:szCs w:val="20"/>
                <w:color w:val="auto"/>
              </w:rPr>
            </w:pPr>
            <w:r>
              <w:rPr>
                <w:rFonts w:ascii="Times New Roman" w:cs="Times New Roman" w:eastAsia="Times New Roman" w:hAnsi="Times New Roman"/>
                <w:sz w:val="12"/>
                <w:szCs w:val="12"/>
                <w:color w:val="auto"/>
                <w:w w:val="99"/>
              </w:rPr>
              <w:t>Contract Years since Issue Date</w:t>
            </w:r>
          </w:p>
        </w:tc>
        <w:tc>
          <w:tcPr>
            <w:tcW w:w="1680" w:type="dxa"/>
            <w:vAlign w:val="bottom"/>
            <w:gridSpan w:val="2"/>
          </w:tcPr>
          <w:p>
            <w:pPr>
              <w:jc w:val="center"/>
              <w:ind w:right="800"/>
              <w:spacing w:after="0"/>
              <w:rPr>
                <w:sz w:val="20"/>
                <w:szCs w:val="20"/>
                <w:color w:val="auto"/>
              </w:rPr>
            </w:pPr>
            <w:r>
              <w:rPr>
                <w:rFonts w:ascii="Times New Roman" w:cs="Times New Roman" w:eastAsia="Times New Roman" w:hAnsi="Times New Roman"/>
                <w:sz w:val="12"/>
                <w:szCs w:val="12"/>
                <w:color w:val="auto"/>
                <w:w w:val="98"/>
              </w:rPr>
              <w:t>Charge percentage</w:t>
            </w:r>
          </w:p>
        </w:tc>
      </w:tr>
      <w:tr>
        <w:trPr>
          <w:trHeight w:val="178"/>
        </w:trPr>
        <w:tc>
          <w:tcPr>
            <w:tcW w:w="1520" w:type="dxa"/>
            <w:vAlign w:val="bottom"/>
            <w:tcBorders>
              <w:top w:val="single" w:sz="8" w:color="auto"/>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1120" w:type="dxa"/>
            <w:vAlign w:val="bottom"/>
            <w:tcBorders>
              <w:bottom w:val="single" w:sz="8" w:color="F0FFFF"/>
            </w:tcBorders>
            <w:shd w:val="clear" w:color="auto" w:fill="F0FFFF"/>
          </w:tcPr>
          <w:p>
            <w:pPr>
              <w:spacing w:after="0"/>
              <w:rPr>
                <w:sz w:val="15"/>
                <w:szCs w:val="15"/>
                <w:color w:val="auto"/>
              </w:rPr>
            </w:pPr>
          </w:p>
        </w:tc>
        <w:tc>
          <w:tcPr>
            <w:tcW w:w="880" w:type="dxa"/>
            <w:vAlign w:val="bottom"/>
            <w:tcBorders>
              <w:top w:val="single" w:sz="8" w:color="auto"/>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2"/>
                <w:szCs w:val="12"/>
                <w:color w:val="auto"/>
                <w:w w:val="99"/>
              </w:rPr>
              <w:t>7%</w:t>
            </w:r>
          </w:p>
        </w:tc>
        <w:tc>
          <w:tcPr>
            <w:tcW w:w="800" w:type="dxa"/>
            <w:vAlign w:val="bottom"/>
            <w:tcBorders>
              <w:bottom w:val="single" w:sz="8" w:color="F0FFFF"/>
            </w:tcBorders>
            <w:shd w:val="clear" w:color="auto" w:fill="F0FFFF"/>
          </w:tcPr>
          <w:p>
            <w:pPr>
              <w:spacing w:after="0"/>
              <w:rPr>
                <w:sz w:val="15"/>
                <w:szCs w:val="15"/>
                <w:color w:val="auto"/>
              </w:rPr>
            </w:pPr>
          </w:p>
        </w:tc>
      </w:tr>
      <w:tr>
        <w:trPr>
          <w:trHeight w:val="185"/>
        </w:trPr>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11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7%</w:t>
            </w:r>
          </w:p>
        </w:tc>
        <w:tc>
          <w:tcPr>
            <w:tcW w:w="800" w:type="dxa"/>
            <w:vAlign w:val="bottom"/>
          </w:tcPr>
          <w:p>
            <w:pPr>
              <w:spacing w:after="0"/>
              <w:rPr>
                <w:sz w:val="16"/>
                <w:szCs w:val="16"/>
                <w:color w:val="auto"/>
              </w:rPr>
            </w:pPr>
          </w:p>
        </w:tc>
      </w:tr>
      <w:tr>
        <w:trPr>
          <w:trHeight w:val="43"/>
        </w:trPr>
        <w:tc>
          <w:tcPr>
            <w:tcW w:w="15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08"/>
        </w:trPr>
        <w:tc>
          <w:tcPr>
            <w:tcW w:w="152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2"/>
                <w:szCs w:val="12"/>
                <w:color w:val="auto"/>
                <w:w w:val="99"/>
              </w:rPr>
              <w:t>2</w:t>
            </w:r>
          </w:p>
        </w:tc>
        <w:tc>
          <w:tcPr>
            <w:tcW w:w="1120" w:type="dxa"/>
            <w:vAlign w:val="bottom"/>
            <w:tcBorders>
              <w:bottom w:val="single" w:sz="8" w:color="F0FFFF"/>
            </w:tcBorders>
            <w:shd w:val="clear" w:color="auto" w:fill="F0FFFF"/>
          </w:tcPr>
          <w:p>
            <w:pPr>
              <w:spacing w:after="0"/>
              <w:rPr>
                <w:sz w:val="18"/>
                <w:szCs w:val="18"/>
                <w:color w:val="auto"/>
              </w:rPr>
            </w:pPr>
          </w:p>
        </w:tc>
        <w:tc>
          <w:tcPr>
            <w:tcW w:w="88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2"/>
                <w:szCs w:val="12"/>
                <w:color w:val="auto"/>
                <w:w w:val="99"/>
              </w:rPr>
              <w:t>6%</w:t>
            </w:r>
          </w:p>
        </w:tc>
        <w:tc>
          <w:tcPr>
            <w:tcW w:w="800" w:type="dxa"/>
            <w:vAlign w:val="bottom"/>
            <w:tcBorders>
              <w:bottom w:val="single" w:sz="8" w:color="F0FFFF"/>
            </w:tcBorders>
            <w:shd w:val="clear" w:color="auto" w:fill="F0FFFF"/>
          </w:tcPr>
          <w:p>
            <w:pPr>
              <w:spacing w:after="0"/>
              <w:rPr>
                <w:sz w:val="18"/>
                <w:szCs w:val="18"/>
                <w:color w:val="auto"/>
              </w:rPr>
            </w:pPr>
          </w:p>
        </w:tc>
      </w:tr>
      <w:tr>
        <w:trPr>
          <w:trHeight w:val="185"/>
        </w:trPr>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11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w:t>
            </w:r>
          </w:p>
        </w:tc>
        <w:tc>
          <w:tcPr>
            <w:tcW w:w="800" w:type="dxa"/>
            <w:vAlign w:val="bottom"/>
          </w:tcPr>
          <w:p>
            <w:pPr>
              <w:spacing w:after="0"/>
              <w:rPr>
                <w:sz w:val="16"/>
                <w:szCs w:val="16"/>
                <w:color w:val="auto"/>
              </w:rPr>
            </w:pPr>
          </w:p>
        </w:tc>
      </w:tr>
      <w:tr>
        <w:trPr>
          <w:trHeight w:val="43"/>
        </w:trPr>
        <w:tc>
          <w:tcPr>
            <w:tcW w:w="15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08"/>
        </w:trPr>
        <w:tc>
          <w:tcPr>
            <w:tcW w:w="152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1120" w:type="dxa"/>
            <w:vAlign w:val="bottom"/>
            <w:tcBorders>
              <w:bottom w:val="single" w:sz="8" w:color="F0FFFF"/>
            </w:tcBorders>
            <w:shd w:val="clear" w:color="auto" w:fill="F0FFFF"/>
          </w:tcPr>
          <w:p>
            <w:pPr>
              <w:spacing w:after="0"/>
              <w:rPr>
                <w:sz w:val="18"/>
                <w:szCs w:val="18"/>
                <w:color w:val="auto"/>
              </w:rPr>
            </w:pPr>
          </w:p>
        </w:tc>
        <w:tc>
          <w:tcPr>
            <w:tcW w:w="88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800" w:type="dxa"/>
            <w:vAlign w:val="bottom"/>
            <w:tcBorders>
              <w:bottom w:val="single" w:sz="8" w:color="F0FFFF"/>
            </w:tcBorders>
            <w:shd w:val="clear" w:color="auto" w:fill="F0FFFF"/>
          </w:tcPr>
          <w:p>
            <w:pPr>
              <w:spacing w:after="0"/>
              <w:rPr>
                <w:sz w:val="18"/>
                <w:szCs w:val="18"/>
                <w:color w:val="auto"/>
              </w:rPr>
            </w:pPr>
          </w:p>
        </w:tc>
      </w:tr>
      <w:tr>
        <w:trPr>
          <w:trHeight w:val="185"/>
        </w:trPr>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w:t>
            </w:r>
          </w:p>
        </w:tc>
        <w:tc>
          <w:tcPr>
            <w:tcW w:w="11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800" w:type="dxa"/>
            <w:vAlign w:val="bottom"/>
          </w:tcPr>
          <w:p>
            <w:pPr>
              <w:spacing w:after="0"/>
              <w:rPr>
                <w:sz w:val="16"/>
                <w:szCs w:val="16"/>
                <w:color w:val="auto"/>
              </w:rPr>
            </w:pPr>
          </w:p>
        </w:tc>
      </w:tr>
      <w:tr>
        <w:trPr>
          <w:trHeight w:val="43"/>
        </w:trPr>
        <w:tc>
          <w:tcPr>
            <w:tcW w:w="15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185"/>
        </w:trPr>
        <w:tc>
          <w:tcPr>
            <w:tcW w:w="2640" w:type="dxa"/>
            <w:vAlign w:val="bottom"/>
            <w:gridSpan w:val="2"/>
            <w:shd w:val="clear" w:color="auto" w:fill="F0FFFF"/>
          </w:tcPr>
          <w:p>
            <w:pPr>
              <w:jc w:val="center"/>
              <w:ind w:right="1120"/>
              <w:spacing w:after="0"/>
              <w:rPr>
                <w:sz w:val="20"/>
                <w:szCs w:val="20"/>
                <w:color w:val="auto"/>
              </w:rPr>
            </w:pPr>
            <w:r>
              <w:rPr>
                <w:rFonts w:ascii="Times New Roman" w:cs="Times New Roman" w:eastAsia="Times New Roman" w:hAnsi="Times New Roman"/>
                <w:sz w:val="12"/>
                <w:szCs w:val="12"/>
                <w:color w:val="auto"/>
              </w:rPr>
              <w:t>6 or more</w:t>
            </w:r>
          </w:p>
        </w:tc>
        <w:tc>
          <w:tcPr>
            <w:tcW w:w="880" w:type="dxa"/>
            <w:vAlign w:val="bottom"/>
            <w:shd w:val="clear" w:color="auto" w:fill="F0FFFF"/>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00" w:type="dxa"/>
            <w:vAlign w:val="bottom"/>
            <w:shd w:val="clear" w:color="auto" w:fill="F0FFFF"/>
          </w:tcPr>
          <w:p>
            <w:pPr>
              <w:spacing w:after="0"/>
              <w:rPr>
                <w:sz w:val="16"/>
                <w:szCs w:val="16"/>
                <w:color w:val="auto"/>
              </w:rPr>
            </w:pPr>
          </w:p>
        </w:tc>
      </w:tr>
      <w:tr>
        <w:trPr>
          <w:trHeight w:val="83"/>
        </w:trPr>
        <w:tc>
          <w:tcPr>
            <w:tcW w:w="1520" w:type="dxa"/>
            <w:vAlign w:val="bottom"/>
            <w:shd w:val="clear" w:color="auto" w:fill="F0FFFF"/>
          </w:tcPr>
          <w:p>
            <w:pPr>
              <w:spacing w:after="0"/>
              <w:rPr>
                <w:sz w:val="7"/>
                <w:szCs w:val="7"/>
                <w:color w:val="auto"/>
              </w:rPr>
            </w:pPr>
          </w:p>
        </w:tc>
        <w:tc>
          <w:tcPr>
            <w:tcW w:w="1120" w:type="dxa"/>
            <w:vAlign w:val="bottom"/>
            <w:shd w:val="clear" w:color="auto" w:fill="F0FFFF"/>
          </w:tcPr>
          <w:p>
            <w:pPr>
              <w:spacing w:after="0"/>
              <w:rPr>
                <w:sz w:val="7"/>
                <w:szCs w:val="7"/>
                <w:color w:val="auto"/>
              </w:rPr>
            </w:pPr>
          </w:p>
        </w:tc>
        <w:tc>
          <w:tcPr>
            <w:tcW w:w="880" w:type="dxa"/>
            <w:vAlign w:val="bottom"/>
            <w:shd w:val="clear" w:color="auto" w:fill="F0FFFF"/>
          </w:tcPr>
          <w:p>
            <w:pPr>
              <w:spacing w:after="0"/>
              <w:rPr>
                <w:sz w:val="7"/>
                <w:szCs w:val="7"/>
                <w:color w:val="auto"/>
              </w:rPr>
            </w:pPr>
          </w:p>
        </w:tc>
        <w:tc>
          <w:tcPr>
            <w:tcW w:w="800" w:type="dxa"/>
            <w:vAlign w:val="bottom"/>
            <w:shd w:val="clear" w:color="auto" w:fill="F0FFFF"/>
          </w:tcPr>
          <w:p>
            <w:pPr>
              <w:spacing w:after="0"/>
              <w:rPr>
                <w:sz w:val="7"/>
                <w:szCs w:val="7"/>
                <w:color w:val="auto"/>
              </w:rPr>
            </w:pPr>
          </w:p>
        </w:tc>
      </w:tr>
    </w:tbl>
    <w:p>
      <w:pPr>
        <w:spacing w:after="0" w:line="114" w:lineRule="exact"/>
        <w:rPr>
          <w:sz w:val="20"/>
          <w:szCs w:val="20"/>
          <w:color w:val="auto"/>
        </w:rPr>
      </w:pPr>
    </w:p>
    <w:p>
      <w:pPr>
        <w:ind w:right="3519"/>
        <w:spacing w:after="0" w:line="298" w:lineRule="auto"/>
        <w:rPr>
          <w:sz w:val="20"/>
          <w:szCs w:val="20"/>
          <w:color w:val="auto"/>
        </w:rPr>
      </w:pPr>
      <w:r>
        <w:rPr>
          <w:rFonts w:ascii="Times New Roman" w:cs="Times New Roman" w:eastAsia="Times New Roman" w:hAnsi="Times New Roman"/>
          <w:sz w:val="13"/>
          <w:szCs w:val="13"/>
          <w:b w:val="1"/>
          <w:bCs w:val="1"/>
          <w:color w:val="auto"/>
        </w:rPr>
        <w:t>The next table describes the adjustments, in addition to any transaction expenses, that apply if all or a portion of the Account Value is removed from an Allocation Option or from the Contract before the expiration of a specified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40640</wp:posOffset>
            </wp:positionV>
            <wp:extent cx="3893185" cy="4159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93185" cy="415925"/>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Interim Value Maximum Potential Loss</w:t>
            </w:r>
            <w:r>
              <w:rPr>
                <w:rFonts w:ascii="Times New Roman" w:cs="Times New Roman" w:eastAsia="Times New Roman" w:hAnsi="Times New Roman"/>
                <w:sz w:val="17"/>
                <w:szCs w:val="17"/>
                <w:color w:val="auto"/>
                <w:vertAlign w:val="superscript"/>
              </w:rPr>
              <w:t>(1)</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100%</w:t>
            </w:r>
            <w:r>
              <w:rPr>
                <w:rFonts w:ascii="Times New Roman" w:cs="Times New Roman" w:eastAsia="Times New Roman" w:hAnsi="Times New Roman"/>
                <w:sz w:val="17"/>
                <w:szCs w:val="17"/>
                <w:color w:val="auto"/>
                <w:vertAlign w:val="superscript"/>
              </w:rPr>
              <w:t>(2)</w:t>
            </w:r>
          </w:p>
        </w:tc>
        <w:tc>
          <w:tcPr>
            <w:tcW w:w="0" w:type="dxa"/>
            <w:vAlign w:val="bottom"/>
          </w:tcPr>
          <w:p>
            <w:pPr>
              <w:spacing w:after="0"/>
              <w:rPr>
                <w:sz w:val="1"/>
                <w:szCs w:val="1"/>
                <w:color w:val="auto"/>
              </w:rPr>
            </w:pPr>
          </w:p>
        </w:tc>
      </w:tr>
      <w:tr>
        <w:trPr>
          <w:trHeight w:val="213"/>
        </w:trPr>
        <w:tc>
          <w:tcPr>
            <w:tcW w:w="4540" w:type="dxa"/>
            <w:vAlign w:val="bottom"/>
          </w:tcPr>
          <w:p>
            <w:pPr>
              <w:spacing w:after="0"/>
              <w:rPr>
                <w:sz w:val="20"/>
                <w:szCs w:val="20"/>
                <w:color w:val="auto"/>
              </w:rPr>
            </w:pPr>
            <w:r>
              <w:rPr>
                <w:rFonts w:ascii="Times New Roman" w:cs="Times New Roman" w:eastAsia="Times New Roman" w:hAnsi="Times New Roman"/>
                <w:sz w:val="13"/>
                <w:szCs w:val="13"/>
                <w:color w:val="auto"/>
              </w:rPr>
              <w:t>(as a percentage of the Investment Amount in the Shield Option)</w:t>
            </w: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auto"/>
        </w:rPr>
        <w:t>(1)</w:t>
      </w:r>
    </w:p>
    <w:p>
      <w:pPr>
        <w:jc w:val="both"/>
        <w:ind w:left="240" w:right="3259"/>
        <w:spacing w:after="0" w:line="232" w:lineRule="auto"/>
        <w:rPr>
          <w:sz w:val="20"/>
          <w:szCs w:val="20"/>
          <w:color w:val="auto"/>
        </w:rPr>
      </w:pPr>
      <w:r>
        <w:rPr>
          <w:rFonts w:ascii="Times New Roman" w:cs="Times New Roman" w:eastAsia="Times New Roman" w:hAnsi="Times New Roman"/>
          <w:sz w:val="12"/>
          <w:szCs w:val="12"/>
          <w:color w:val="auto"/>
        </w:rPr>
        <w:t>Between the Term Start Date and the Term End Date, we use the Interim Value to calculate the amount that is available for (1) annuitization; (2) death benefits; (3) withdrawals (including RMDs and systematic withdrawals); (4) Surrenders;</w:t>
      </w:r>
    </w:p>
    <w:p>
      <w:pPr>
        <w:ind w:left="240"/>
        <w:spacing w:after="0" w:line="228" w:lineRule="auto"/>
        <w:rPr>
          <w:sz w:val="20"/>
          <w:szCs w:val="20"/>
          <w:color w:val="auto"/>
        </w:rPr>
      </w:pPr>
      <w:r>
        <w:rPr>
          <w:rFonts w:ascii="Times New Roman" w:cs="Times New Roman" w:eastAsia="Times New Roman" w:hAnsi="Times New Roman"/>
          <w:sz w:val="12"/>
          <w:szCs w:val="12"/>
          <w:color w:val="auto"/>
        </w:rPr>
        <w:t>and (5) Performance Lock.</w:t>
      </w:r>
    </w:p>
    <w:p>
      <w:pPr>
        <w:spacing w:after="0" w:line="202" w:lineRule="auto"/>
        <w:rPr>
          <w:sz w:val="20"/>
          <w:szCs w:val="20"/>
          <w:color w:val="auto"/>
        </w:rPr>
      </w:pPr>
      <w:r>
        <w:rPr>
          <w:rFonts w:ascii="Times New Roman" w:cs="Times New Roman" w:eastAsia="Times New Roman" w:hAnsi="Times New Roman"/>
          <w:sz w:val="5"/>
          <w:szCs w:val="5"/>
          <w:color w:val="auto"/>
        </w:rPr>
        <w:t>(2)</w:t>
      </w:r>
    </w:p>
    <w:p>
      <w:pPr>
        <w:ind w:left="240" w:right="3259"/>
        <w:spacing w:after="0" w:line="235" w:lineRule="auto"/>
        <w:rPr>
          <w:sz w:val="20"/>
          <w:szCs w:val="20"/>
          <w:color w:val="auto"/>
        </w:rPr>
      </w:pPr>
      <w:r>
        <w:rPr>
          <w:rFonts w:ascii="Times New Roman" w:cs="Times New Roman" w:eastAsia="Times New Roman" w:hAnsi="Times New Roman"/>
          <w:sz w:val="12"/>
          <w:szCs w:val="12"/>
          <w:color w:val="auto"/>
        </w:rPr>
        <w:t xml:space="preserve">In extreme circumstances, you could lose up to 100% of the value of your </w:t>
      </w:r>
      <w:r>
        <w:rPr>
          <w:rFonts w:ascii="Times New Roman" w:cs="Times New Roman" w:eastAsia="Times New Roman" w:hAnsi="Times New Roman"/>
          <w:sz w:val="12"/>
          <w:szCs w:val="12"/>
          <w:u w:val="single" w:color="auto"/>
          <w:color w:val="auto"/>
        </w:rPr>
        <w:t>Shield Option</w:t>
      </w:r>
      <w:r>
        <w:rPr>
          <w:rFonts w:ascii="Times New Roman" w:cs="Times New Roman" w:eastAsia="Times New Roman" w:hAnsi="Times New Roman"/>
          <w:sz w:val="12"/>
          <w:szCs w:val="12"/>
          <w:color w:val="auto"/>
        </w:rPr>
        <w:t xml:space="preserve"> if you make a withdrawal or </w:t>
      </w:r>
      <w:r>
        <w:rPr>
          <w:rFonts w:ascii="Times New Roman" w:cs="Times New Roman" w:eastAsia="Times New Roman" w:hAnsi="Times New Roman"/>
          <w:sz w:val="12"/>
          <w:szCs w:val="12"/>
          <w:u w:val="single" w:color="auto"/>
          <w:color w:val="auto"/>
        </w:rPr>
        <w:t>Surrender</w:t>
      </w:r>
      <w:r>
        <w:rPr>
          <w:rFonts w:ascii="Times New Roman" w:cs="Times New Roman" w:eastAsia="Times New Roman" w:hAnsi="Times New Roman"/>
          <w:sz w:val="12"/>
          <w:szCs w:val="12"/>
          <w:color w:val="auto"/>
        </w:rPr>
        <w:t xml:space="preserve"> from the </w:t>
      </w:r>
      <w:r>
        <w:rPr>
          <w:rFonts w:ascii="Times New Roman" w:cs="Times New Roman" w:eastAsia="Times New Roman" w:hAnsi="Times New Roman"/>
          <w:sz w:val="12"/>
          <w:szCs w:val="12"/>
          <w:u w:val="single" w:color="auto"/>
          <w:color w:val="auto"/>
        </w:rPr>
        <w:t>Shield Options</w:t>
      </w:r>
      <w:r>
        <w:rPr>
          <w:rFonts w:ascii="Times New Roman" w:cs="Times New Roman" w:eastAsia="Times New Roman" w:hAnsi="Times New Roman"/>
          <w:sz w:val="12"/>
          <w:szCs w:val="12"/>
          <w:color w:val="auto"/>
        </w:rPr>
        <w:t xml:space="preserve">, or if you exercise the </w:t>
      </w:r>
      <w:r>
        <w:rPr>
          <w:rFonts w:ascii="Times New Roman" w:cs="Times New Roman" w:eastAsia="Times New Roman" w:hAnsi="Times New Roman"/>
          <w:sz w:val="12"/>
          <w:szCs w:val="12"/>
          <w:u w:val="single" w:color="auto"/>
          <w:color w:val="auto"/>
        </w:rPr>
        <w:t>Performance Lock</w:t>
      </w:r>
      <w:r>
        <w:rPr>
          <w:rFonts w:ascii="Times New Roman" w:cs="Times New Roman" w:eastAsia="Times New Roman" w:hAnsi="Times New Roman"/>
          <w:sz w:val="12"/>
          <w:szCs w:val="12"/>
          <w:color w:val="auto"/>
        </w:rPr>
        <w:t xml:space="preserve"> before the </w:t>
      </w:r>
      <w:r>
        <w:rPr>
          <w:rFonts w:ascii="Times New Roman" w:cs="Times New Roman" w:eastAsia="Times New Roman" w:hAnsi="Times New Roman"/>
          <w:sz w:val="12"/>
          <w:szCs w:val="12"/>
          <w:u w:val="single" w:color="auto"/>
          <w:color w:val="auto"/>
        </w:rPr>
        <w:t>Term End Date</w:t>
      </w:r>
      <w:r>
        <w:rPr>
          <w:rFonts w:ascii="Times New Roman" w:cs="Times New Roman" w:eastAsia="Times New Roman" w:hAnsi="Times New Roman"/>
          <w:sz w:val="12"/>
          <w:szCs w:val="12"/>
          <w:color w:val="auto"/>
        </w:rPr>
        <w:t>. The maximum</w:t>
      </w:r>
    </w:p>
    <w:p>
      <w:pPr>
        <w:spacing w:after="0" w:line="5" w:lineRule="exact"/>
        <w:rPr>
          <w:sz w:val="20"/>
          <w:szCs w:val="20"/>
          <w:color w:val="auto"/>
        </w:rPr>
      </w:pPr>
    </w:p>
    <w:p>
      <w:pPr>
        <w:ind w:left="240" w:right="3259"/>
        <w:spacing w:after="0" w:line="252" w:lineRule="auto"/>
        <w:rPr>
          <w:sz w:val="20"/>
          <w:szCs w:val="20"/>
          <w:color w:val="auto"/>
        </w:rPr>
      </w:pPr>
      <w:r>
        <w:rPr>
          <w:rFonts w:ascii="Times New Roman" w:cs="Times New Roman" w:eastAsia="Times New Roman" w:hAnsi="Times New Roman"/>
          <w:sz w:val="12"/>
          <w:szCs w:val="12"/>
          <w:color w:val="auto"/>
        </w:rPr>
        <w:t xml:space="preserve">potential loss would only occur if there is a full withdrawal of the </w:t>
      </w:r>
      <w:r>
        <w:rPr>
          <w:rFonts w:ascii="Times New Roman" w:cs="Times New Roman" w:eastAsia="Times New Roman" w:hAnsi="Times New Roman"/>
          <w:sz w:val="12"/>
          <w:szCs w:val="12"/>
          <w:u w:val="single" w:color="auto"/>
          <w:color w:val="auto"/>
        </w:rPr>
        <w:t>Interim Value</w:t>
      </w:r>
      <w:r>
        <w:rPr>
          <w:rFonts w:ascii="Times New Roman" w:cs="Times New Roman" w:eastAsia="Times New Roman" w:hAnsi="Times New Roman"/>
          <w:sz w:val="12"/>
          <w:szCs w:val="12"/>
          <w:color w:val="auto"/>
        </w:rPr>
        <w:t xml:space="preserve"> from the </w:t>
      </w:r>
      <w:r>
        <w:rPr>
          <w:rFonts w:ascii="Times New Roman" w:cs="Times New Roman" w:eastAsia="Times New Roman" w:hAnsi="Times New Roman"/>
          <w:sz w:val="12"/>
          <w:szCs w:val="12"/>
          <w:u w:val="single" w:color="auto"/>
          <w:color w:val="auto"/>
        </w:rPr>
        <w:t>Shield Option</w:t>
      </w:r>
      <w:r>
        <w:rPr>
          <w:rFonts w:ascii="Times New Roman" w:cs="Times New Roman" w:eastAsia="Times New Roman" w:hAnsi="Times New Roman"/>
          <w:sz w:val="12"/>
          <w:szCs w:val="12"/>
          <w:color w:val="auto"/>
        </w:rPr>
        <w:t xml:space="preserve"> or if you exercise the </w:t>
      </w:r>
      <w:r>
        <w:rPr>
          <w:rFonts w:ascii="Times New Roman" w:cs="Times New Roman" w:eastAsia="Times New Roman" w:hAnsi="Times New Roman"/>
          <w:sz w:val="12"/>
          <w:szCs w:val="12"/>
          <w:u w:val="single" w:color="auto"/>
          <w:color w:val="auto"/>
        </w:rPr>
        <w:t>Performance Lock</w:t>
      </w:r>
      <w:r>
        <w:rPr>
          <w:rFonts w:ascii="Times New Roman" w:cs="Times New Roman" w:eastAsia="Times New Roman" w:hAnsi="Times New Roman"/>
          <w:sz w:val="12"/>
          <w:szCs w:val="12"/>
          <w:color w:val="auto"/>
        </w:rPr>
        <w:t xml:space="preserve"> feature before the </w:t>
      </w:r>
      <w:r>
        <w:rPr>
          <w:rFonts w:ascii="Times New Roman" w:cs="Times New Roman" w:eastAsia="Times New Roman" w:hAnsi="Times New Roman"/>
          <w:sz w:val="12"/>
          <w:szCs w:val="12"/>
          <w:u w:val="single" w:color="auto"/>
          <w:color w:val="auto"/>
        </w:rPr>
        <w:t>Term</w:t>
      </w:r>
      <w:r>
        <w:rPr>
          <w:rFonts w:ascii="Times New Roman" w:cs="Times New Roman" w:eastAsia="Times New Roman" w:hAnsi="Times New Roman"/>
          <w:sz w:val="12"/>
          <w:szCs w:val="12"/>
          <w:color w:val="auto"/>
        </w:rPr>
        <w:t xml:space="preserve"> End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3483610</wp:posOffset>
            </wp:positionH>
            <wp:positionV relativeFrom="paragraph">
              <wp:posOffset>-102235</wp:posOffset>
            </wp:positionV>
            <wp:extent cx="38100"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100" cy="6350"/>
                    </a:xfrm>
                    <a:prstGeom prst="rect">
                      <a:avLst/>
                    </a:prstGeom>
                    <a:noFill/>
                  </pic:spPr>
                </pic:pic>
              </a:graphicData>
            </a:graphic>
          </wp:anchor>
        </w:drawing>
      </w:r>
    </w:p>
    <w:p>
      <w:pPr>
        <w:spacing w:after="0" w:line="81" w:lineRule="exact"/>
        <w:rPr>
          <w:sz w:val="20"/>
          <w:szCs w:val="20"/>
          <w:color w:val="auto"/>
        </w:rPr>
      </w:pPr>
    </w:p>
    <w:p>
      <w:pPr>
        <w:ind w:right="3239"/>
        <w:spacing w:after="0" w:line="325" w:lineRule="auto"/>
        <w:rPr>
          <w:sz w:val="20"/>
          <w:szCs w:val="20"/>
          <w:color w:val="auto"/>
        </w:rPr>
      </w:pPr>
      <w:r>
        <w:rPr>
          <w:rFonts w:ascii="Times New Roman" w:cs="Times New Roman" w:eastAsia="Times New Roman" w:hAnsi="Times New Roman"/>
          <w:sz w:val="13"/>
          <w:szCs w:val="13"/>
          <w:b w:val="1"/>
          <w:bCs w:val="1"/>
          <w:color w:val="auto"/>
        </w:rPr>
        <w:t>The next table describes the fees and expenses that you will pay each year during the time that you own the Contract.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Annual Contract Expenses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357"/>
        </w:trPr>
        <w:tc>
          <w:tcPr>
            <w:tcW w:w="3620" w:type="dxa"/>
            <w:vAlign w:val="bottom"/>
            <w:shd w:val="clear" w:color="auto" w:fill="F0FFFF"/>
          </w:tcPr>
          <w:p>
            <w:pPr>
              <w:spacing w:after="0"/>
              <w:rPr>
                <w:sz w:val="20"/>
                <w:szCs w:val="20"/>
                <w:color w:val="auto"/>
              </w:rPr>
            </w:pPr>
            <w:r>
              <w:rPr>
                <w:rFonts w:ascii="Times New Roman" w:cs="Times New Roman" w:eastAsia="Times New Roman" w:hAnsi="Times New Roman"/>
                <w:sz w:val="13"/>
                <w:szCs w:val="13"/>
                <w:b w:val="1"/>
                <w:bCs w:val="1"/>
                <w:color w:val="auto"/>
              </w:rPr>
              <w:t>Base Contract Expenses</w:t>
            </w:r>
          </w:p>
        </w:tc>
        <w:tc>
          <w:tcPr>
            <w:tcW w:w="24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0" w:type="dxa"/>
            <w:vAlign w:val="bottom"/>
          </w:tcPr>
          <w:p>
            <w:pPr>
              <w:spacing w:after="0"/>
              <w:rPr>
                <w:sz w:val="24"/>
                <w:szCs w:val="24"/>
                <w:color w:val="auto"/>
              </w:rPr>
            </w:pPr>
          </w:p>
        </w:tc>
      </w:tr>
      <w:tr>
        <w:trPr>
          <w:trHeight w:val="89"/>
        </w:trPr>
        <w:tc>
          <w:tcPr>
            <w:tcW w:w="3620" w:type="dxa"/>
            <w:vAlign w:val="bottom"/>
            <w:tcBorders>
              <w:bottom w:val="single" w:sz="8" w:color="auto"/>
            </w:tcBorders>
            <w:shd w:val="clear" w:color="auto" w:fill="F0FFFF"/>
          </w:tcPr>
          <w:p>
            <w:pPr>
              <w:spacing w:after="0"/>
              <w:rPr>
                <w:sz w:val="7"/>
                <w:szCs w:val="7"/>
                <w:color w:val="auto"/>
              </w:rPr>
            </w:pPr>
          </w:p>
        </w:tc>
        <w:tc>
          <w:tcPr>
            <w:tcW w:w="2460" w:type="dxa"/>
            <w:vAlign w:val="bottom"/>
            <w:tcBorders>
              <w:bottom w:val="single" w:sz="8" w:color="auto"/>
            </w:tcBorders>
            <w:shd w:val="clear" w:color="auto" w:fill="F0FFFF"/>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3850005</wp:posOffset>
            </wp:positionH>
            <wp:positionV relativeFrom="paragraph">
              <wp:posOffset>-31115</wp:posOffset>
            </wp:positionV>
            <wp:extent cx="31750" cy="44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750" cy="4445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-31115</wp:posOffset>
            </wp:positionV>
            <wp:extent cx="31750" cy="44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750" cy="444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color w:val="auto"/>
        </w:rPr>
        <w:t> </w:t>
      </w:r>
    </w:p>
    <w:p>
      <w:pPr>
        <w:spacing w:after="0" w:line="54" w:lineRule="exact"/>
        <w:rPr>
          <w:sz w:val="20"/>
          <w:szCs w:val="20"/>
          <w:color w:val="auto"/>
        </w:rPr>
      </w:pPr>
    </w:p>
    <w:p>
      <w:pPr>
        <w:jc w:val="both"/>
        <w:ind w:right="3539"/>
        <w:spacing w:after="0" w:line="298" w:lineRule="auto"/>
        <w:rPr>
          <w:sz w:val="20"/>
          <w:szCs w:val="20"/>
          <w:color w:val="auto"/>
        </w:rPr>
      </w:pPr>
      <w:r>
        <w:rPr>
          <w:rFonts w:ascii="Times New Roman" w:cs="Times New Roman" w:eastAsia="Times New Roman" w:hAnsi="Times New Roman"/>
          <w:sz w:val="13"/>
          <w:szCs w:val="13"/>
          <w:b w:val="1"/>
          <w:bCs w:val="1"/>
          <w:color w:val="auto"/>
        </w:rPr>
        <w:t>In addition to the fees described above, we limit the amount you can earn on the Shield Options. This means your returns may be lower than the Index’s returns. In return for accepting this limit on Index gains, you will receive some protection from Index losses.</w:t>
      </w:r>
    </w:p>
    <w:p>
      <w:pPr>
        <w:spacing w:after="0" w:line="16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color w:val="auto"/>
        </w:rPr>
        <w:t>16</w:t>
      </w:r>
    </w:p>
    <w:p>
      <w:pPr>
        <w:sectPr>
          <w:pgSz w:w="11900" w:h="16838" w:orient="portrait"/>
          <w:cols w:equalWidth="0" w:num="1">
            <w:col w:w="9259"/>
          </w:cols>
          <w:pgMar w:left="1200" w:top="1047" w:right="1440" w:bottom="1440" w:gutter="0" w:footer="0" w:header="0"/>
        </w:sectPr>
      </w:pPr>
    </w:p>
    <w:bookmarkStart w:id="18" w:name="page19"/>
    <w:bookmarkEnd w:id="18"/>
    <w:p>
      <w:pPr>
        <w:ind w:left="132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3915" cy="38100"/>
                    </a:xfrm>
                    <a:prstGeom prst="rect">
                      <a:avLst/>
                    </a:prstGeom>
                    <a:noFill/>
                  </pic:spPr>
                </pic:pic>
              </a:graphicData>
            </a:graphic>
          </wp:anchor>
        </w:drawing>
        <w:t>PRINCIPAL RISKS OF INVESTING IN THE CONTRACT</w:t>
      </w:r>
    </w:p>
    <w:p>
      <w:pPr>
        <w:spacing w:after="0" w:line="101" w:lineRule="exact"/>
        <w:rPr>
          <w:sz w:val="20"/>
          <w:szCs w:val="20"/>
          <w:color w:val="auto"/>
        </w:rPr>
      </w:pPr>
    </w:p>
    <w:p>
      <w:pPr>
        <w:jc w:val="both"/>
        <w:ind w:right="3199" w:firstLine="265"/>
        <w:spacing w:after="0" w:line="290" w:lineRule="auto"/>
        <w:rPr>
          <w:sz w:val="20"/>
          <w:szCs w:val="20"/>
          <w:color w:val="auto"/>
        </w:rPr>
      </w:pPr>
      <w:r>
        <w:rPr>
          <w:rFonts w:ascii="Times New Roman" w:cs="Times New Roman" w:eastAsia="Times New Roman" w:hAnsi="Times New Roman"/>
          <w:sz w:val="13"/>
          <w:szCs w:val="13"/>
          <w:color w:val="auto"/>
        </w:rPr>
        <w:t>The purchase of the Contract involves certain risks. You should carefully consider the following factors, in addition to the matters set forth elsewhere in the prospectus, prior to purchasing the Contract.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 of Loss</w:t>
      </w:r>
    </w:p>
    <w:p>
      <w:pPr>
        <w:spacing w:after="0" w:line="101" w:lineRule="exact"/>
        <w:rPr>
          <w:sz w:val="20"/>
          <w:szCs w:val="20"/>
          <w:color w:val="auto"/>
        </w:rPr>
      </w:pPr>
    </w:p>
    <w:p>
      <w:pPr>
        <w:jc w:val="both"/>
        <w:ind w:right="3199" w:firstLine="265"/>
        <w:spacing w:after="0" w:line="263" w:lineRule="auto"/>
        <w:rPr>
          <w:sz w:val="20"/>
          <w:szCs w:val="20"/>
          <w:color w:val="auto"/>
        </w:rPr>
      </w:pPr>
      <w:r>
        <w:rPr>
          <w:rFonts w:ascii="Times New Roman" w:cs="Times New Roman" w:eastAsia="Times New Roman" w:hAnsi="Times New Roman"/>
          <w:sz w:val="13"/>
          <w:szCs w:val="13"/>
          <w:color w:val="auto"/>
        </w:rPr>
        <w:t>There is a risk of substantial loss of your principal (unless you allocated your entire Purchase Payment to the Fixed Account) because you agree to absorb all losses at the end of the Term that exceed the Shield Rate for the Shield Options you select under the Contract. This means that if a negative Index Performance for a Shield Option you select exceeds the corresponding Shield Rate at the Term End Date, you will bear the portion of the loss that exceeds the Shield Rate.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Interim Value Risk of Loss</w:t>
      </w:r>
    </w:p>
    <w:p>
      <w:pPr>
        <w:spacing w:after="0" w:line="93" w:lineRule="exact"/>
        <w:rPr>
          <w:sz w:val="20"/>
          <w:szCs w:val="20"/>
          <w:color w:val="auto"/>
        </w:rPr>
      </w:pPr>
    </w:p>
    <w:p>
      <w:pPr>
        <w:jc w:val="both"/>
        <w:ind w:right="3199" w:firstLine="265"/>
        <w:spacing w:after="0" w:line="257" w:lineRule="auto"/>
        <w:rPr>
          <w:sz w:val="20"/>
          <w:szCs w:val="20"/>
          <w:color w:val="auto"/>
        </w:rPr>
      </w:pPr>
      <w:r>
        <w:rPr>
          <w:rFonts w:ascii="Times New Roman" w:cs="Times New Roman" w:eastAsia="Times New Roman" w:hAnsi="Times New Roman"/>
          <w:sz w:val="13"/>
          <w:szCs w:val="13"/>
          <w:color w:val="auto"/>
        </w:rPr>
        <w:t>If you have not exercised the Performance Lock on a Shield Option, the amount that is available between the Term Start Date and the Term End Date for annuitization, death benefits, withdrawals (including RMDs and systematic withdrawals), Surrenders, and Performance Lock will be the Interim Value. To determine the Interim Value, we apply a formula which does not reflect the actual performance of the applicable Index, but rather a determination of the value of hypothetical underlying investments at the time of the Interim Value calculation. The Interim Value calculated may be less than the Investment Amount at the time the Interim Value is calculated even if the current Index Value is higher than it was on the Term Start Date. Additionally, the Shield Rate and the Rate Crediting Type only apply to amounts held in the investment until the Term End Date. This means that the Interim Value does not receive the protection from loss provided by the Shield Rate, or the application of the Rate Crediting Type. The Interim Value could be more or less than the amount you would receive had you held the Shield Option until the Term End Date, after the Performance Rate Adjustment. There is a substantial risk of loss in connection with transactions from the Shield Options before the Term End Date, as discussed below under “Effect of Withdrawals, Surrender, Annuitization or Death.” A negative Interim Value could result in a loss beyond the protection of the Shield Rate. In extreme circumstances, you could lose up to 100% of the value of the Shield Option if you exercise the Performance Lock, or if you make a withdrawal, Surrender, or otherwise remove amounts from the Shield Options before the Term End Date.</w:t>
      </w:r>
    </w:p>
    <w:p>
      <w:pPr>
        <w:spacing w:after="0" w:line="68" w:lineRule="exact"/>
        <w:rPr>
          <w:sz w:val="20"/>
          <w:szCs w:val="20"/>
          <w:color w:val="auto"/>
        </w:rPr>
      </w:pPr>
    </w:p>
    <w:p>
      <w:pPr>
        <w:jc w:val="both"/>
        <w:ind w:right="3179" w:firstLine="265"/>
        <w:spacing w:after="0" w:line="258" w:lineRule="auto"/>
        <w:rPr>
          <w:sz w:val="20"/>
          <w:szCs w:val="20"/>
          <w:color w:val="auto"/>
        </w:rPr>
      </w:pPr>
      <w:r>
        <w:rPr>
          <w:rFonts w:ascii="Times New Roman" w:cs="Times New Roman" w:eastAsia="Times New Roman" w:hAnsi="Times New Roman"/>
          <w:sz w:val="13"/>
          <w:szCs w:val="13"/>
          <w:color w:val="auto"/>
        </w:rPr>
        <w:t>Withdrawals from the Shield Options before a Term End Date could have adverse impacts even if the Index Value has increased at the time of the calculation because the withdrawal will not allow you to participate in the Index Performance for the Term with your entire Investment Amount. Amounts withdrawn before the end of the Term will not be credited with positive interest, if any, at the end of the Term. If you withdraw Account Value allocated to a Shield Option during a Term (assuming you have not exercised the Performance Lock), the withdrawal will reduce the Investment Amount for that Shield Option by the same percentage that the Interim Value of that Shield Option was reduced by the withdrawal. A proportional reduction may be larger than the dollar amount of your withdrawal even if the Index Value has increased. Reductions to the Investment Amount will have an adverse impact on the Interim Value for that Shield Option for the remainder of the Term and, as a result, the positive interest, if any, credited to the remaining Investment Amount on the Term End Date will be less than if you had not taken a withdrawal.</w:t>
      </w:r>
    </w:p>
    <w:p>
      <w:pPr>
        <w:spacing w:after="0" w:line="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For the risk of loss associated with the Performance Lock, see “Performance Lock Risks” below.</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Liquidity Risk</w:t>
      </w:r>
    </w:p>
    <w:p>
      <w:pPr>
        <w:spacing w:after="0" w:line="91" w:lineRule="exact"/>
        <w:rPr>
          <w:sz w:val="20"/>
          <w:szCs w:val="20"/>
          <w:color w:val="auto"/>
        </w:rPr>
      </w:pPr>
    </w:p>
    <w:p>
      <w:pPr>
        <w:jc w:val="both"/>
        <w:ind w:right="3199" w:firstLine="265"/>
        <w:spacing w:after="0" w:line="260" w:lineRule="auto"/>
        <w:rPr>
          <w:sz w:val="20"/>
          <w:szCs w:val="20"/>
          <w:color w:val="auto"/>
        </w:rPr>
      </w:pPr>
      <w:r>
        <w:rPr>
          <w:rFonts w:ascii="Times New Roman" w:cs="Times New Roman" w:eastAsia="Times New Roman" w:hAnsi="Times New Roman"/>
          <w:sz w:val="13"/>
          <w:szCs w:val="13"/>
          <w:color w:val="auto"/>
        </w:rPr>
        <w:t>The Contract is intended for retirement savings or other long-term investment purposes. The benefits of tax deferral and living benefit protection also mean the Contract is more beneficial to investors with a long-time horizon. The Contract is unsuitable as a short-term savings vehicle. Withdrawals (including RMDs and systematic withdrawals) and Surrenders from the Contract may be subject to Withdrawal Charges, income taxes, and income tax penalties if taken before age 59½. Additionally, withdrawals (including RMDs and systematic withdrawals), Surrenders, death benefit payments, and annuitization from the Shield Options before the Term End Date will be based on the Interim Values of the Shield Options, which may result in loss. See “Risk of Loss” above.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 Ownership of the Underlying Securities</w:t>
      </w:r>
    </w:p>
    <w:p>
      <w:pPr>
        <w:spacing w:after="0" w:line="101" w:lineRule="exact"/>
        <w:rPr>
          <w:sz w:val="20"/>
          <w:szCs w:val="20"/>
          <w:color w:val="auto"/>
        </w:rPr>
      </w:pPr>
    </w:p>
    <w:p>
      <w:pPr>
        <w:jc w:val="both"/>
        <w:ind w:right="3179" w:firstLine="265"/>
        <w:spacing w:after="0" w:line="262" w:lineRule="auto"/>
        <w:rPr>
          <w:sz w:val="20"/>
          <w:szCs w:val="20"/>
          <w:color w:val="auto"/>
        </w:rPr>
      </w:pPr>
      <w:r>
        <w:rPr>
          <w:rFonts w:ascii="Times New Roman" w:cs="Times New Roman" w:eastAsia="Times New Roman" w:hAnsi="Times New Roman"/>
          <w:sz w:val="13"/>
          <w:szCs w:val="13"/>
          <w:color w:val="auto"/>
        </w:rPr>
        <w:t>When you purchase the Contract and allocate your Purchase Payment to a Shield Option(s), you will not be investing in the Index or the securities tracked by the Index for the Shield Options you select, or in a mutual fund or exchange traded fund that also tracks the Index. Your Performance Rate Adjustment for a Shield Option is limited by a Cap Rate, Step Rate, or Edge Rate, which means your Investment Amount will be lower than if you had invested in a mutual fund or exchange traded fund designed to track the performance of the applicable Index and the performance is greater than your Cap Rate, Step Rate, or Edge Rate.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Adjustments Upon Taking a Withdrawal</w:t>
      </w:r>
    </w:p>
    <w:p>
      <w:pPr>
        <w:spacing w:after="0" w:line="22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color w:val="auto"/>
        </w:rPr>
        <w:t>17</w:t>
      </w:r>
    </w:p>
    <w:p>
      <w:pPr>
        <w:sectPr>
          <w:pgSz w:w="11900" w:h="16838" w:orient="portrait"/>
          <w:cols w:equalWidth="0" w:num="1">
            <w:col w:w="9259"/>
          </w:cols>
          <w:pgMar w:left="1200" w:top="1047" w:right="1440" w:bottom="1440" w:gutter="0" w:footer="0" w:header="0"/>
        </w:sectPr>
      </w:pPr>
    </w:p>
    <w:bookmarkStart w:id="19" w:name="page20"/>
    <w:bookmarkEnd w:id="19"/>
    <w:p>
      <w:pPr>
        <w:jc w:val="both"/>
        <w:ind w:left="1" w:right="3199" w:firstLine="265"/>
        <w:spacing w:after="0" w:line="25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93915" cy="38100"/>
                    </a:xfrm>
                    <a:prstGeom prst="rect">
                      <a:avLst/>
                    </a:prstGeom>
                    <a:noFill/>
                  </pic:spPr>
                </pic:pic>
              </a:graphicData>
            </a:graphic>
          </wp:anchor>
        </w:drawing>
        <w:t>You may withdraw some or all of your money at any time prior to the Annuity Date. If you have not exercised the Performance Lock, for any withdrawal taken on a Term End Date, a Performance Rate Adjustment, as of the date of the withdrawal, will apply. For any withdrawal taken between the Term Start Date and the Term End Date when you have not exercised the Performance Lock, we use an Interim Value calculation, which will reduce the Investment Amount for that Shield Option by the percentage reduction in the Interim Value of that Shield Option. The Performance Rate Adjustment, if negative, and proportional reduction may be substantial. Since withdrawal amounts from a Shield Option will reduce the Investment Amount for that Shield Option by the percentage reduction in the Interim Value of that Shield Option, a withdrawal when Interim Value is less than the Investment Amount will cause a greater percentage reduction in the Investment Amount that remains in your Shield Option relative to the percentage reduction for the same withdrawal amount when Interim Value is greater than the Investment Amount.</w:t>
      </w:r>
    </w:p>
    <w:p>
      <w:pPr>
        <w:spacing w:after="0" w:line="6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Effect of Withdrawals, Surrender, Annuitization or Death</w:t>
      </w:r>
    </w:p>
    <w:p>
      <w:pPr>
        <w:spacing w:after="0" w:line="91" w:lineRule="exact"/>
        <w:rPr>
          <w:sz w:val="20"/>
          <w:szCs w:val="20"/>
          <w:color w:val="auto"/>
        </w:rPr>
      </w:pPr>
    </w:p>
    <w:p>
      <w:pPr>
        <w:jc w:val="both"/>
        <w:ind w:left="261" w:right="3259" w:hanging="261"/>
        <w:spacing w:after="0" w:line="262" w:lineRule="auto"/>
        <w:tabs>
          <w:tab w:leader="none" w:pos="261"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calculation of your Interim Value may result in an amount that is less than the amount you would receive had you held the investment until the Term End Date. If you take a withdrawal when Index Performance is negative, your remaining Investment Amount may be significantly less than if you waited to take the withdrawal when Index Performance was positive. For more information on how we determine Interim Value and the potential adverse impacts of a withdrawal before the Term End Date, see “Risk of Loss” above.</w:t>
      </w:r>
    </w:p>
    <w:p>
      <w:pPr>
        <w:spacing w:after="0" w:line="225" w:lineRule="exact"/>
        <w:rPr>
          <w:rFonts w:ascii="Times New Roman" w:cs="Times New Roman" w:eastAsia="Times New Roman" w:hAnsi="Times New Roman"/>
          <w:sz w:val="13"/>
          <w:szCs w:val="13"/>
          <w:color w:val="auto"/>
        </w:rPr>
      </w:pPr>
    </w:p>
    <w:p>
      <w:pPr>
        <w:jc w:val="both"/>
        <w:ind w:left="521" w:right="3259" w:hanging="257"/>
        <w:spacing w:after="0" w:line="266" w:lineRule="auto"/>
        <w:tabs>
          <w:tab w:leader="none" w:pos="521" w:val="left"/>
        </w:tabs>
        <w:numPr>
          <w:ilvl w:val="1"/>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you Surrender your Contract prior to the Term End Date, we will pay either (i) the Interim Value, which may be less than if you held the Contract until all of your Shield Options reached their Term End Dates or (ii) the Performance Lock Value, which may be less than if you had not exercised the Performance Lock before the Term End Date.</w:t>
      </w:r>
    </w:p>
    <w:p>
      <w:pPr>
        <w:spacing w:after="0" w:line="61" w:lineRule="exact"/>
        <w:rPr>
          <w:rFonts w:ascii="Times New Roman" w:cs="Times New Roman" w:eastAsia="Times New Roman" w:hAnsi="Times New Roman"/>
          <w:sz w:val="13"/>
          <w:szCs w:val="13"/>
          <w:color w:val="auto"/>
        </w:rPr>
      </w:pPr>
    </w:p>
    <w:p>
      <w:pPr>
        <w:jc w:val="both"/>
        <w:ind w:left="521" w:right="3259" w:hanging="257"/>
        <w:spacing w:after="0" w:line="266" w:lineRule="auto"/>
        <w:tabs>
          <w:tab w:leader="none" w:pos="521" w:val="left"/>
        </w:tabs>
        <w:numPr>
          <w:ilvl w:val="1"/>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you die (unless your Contract was issued with the Return of Premium death benefit), we will pay either (i) the Interim Value, which may be less than if you held the Contract until all of your Shield Options reached their Term End Dates or (ii) the Performance Lock Value, which may be less than if you had not exercised the Performance Lock before the Term End Date</w:t>
      </w:r>
      <w:r>
        <w:rPr>
          <w:rFonts w:ascii="Times New Roman" w:cs="Times New Roman" w:eastAsia="Times New Roman" w:hAnsi="Times New Roman"/>
          <w:sz w:val="13"/>
          <w:szCs w:val="13"/>
          <w:b w:val="1"/>
          <w:bCs w:val="1"/>
          <w:color w:val="auto"/>
        </w:rPr>
        <w:t>.</w:t>
      </w:r>
    </w:p>
    <w:p>
      <w:pPr>
        <w:spacing w:after="0" w:line="51" w:lineRule="exact"/>
        <w:rPr>
          <w:rFonts w:ascii="Times New Roman" w:cs="Times New Roman" w:eastAsia="Times New Roman" w:hAnsi="Times New Roman"/>
          <w:sz w:val="13"/>
          <w:szCs w:val="13"/>
          <w:color w:val="auto"/>
        </w:rPr>
      </w:pPr>
    </w:p>
    <w:p>
      <w:pPr>
        <w:jc w:val="both"/>
        <w:ind w:left="521" w:right="3259" w:hanging="257"/>
        <w:spacing w:after="0" w:line="266" w:lineRule="auto"/>
        <w:tabs>
          <w:tab w:leader="none" w:pos="521" w:val="left"/>
        </w:tabs>
        <w:numPr>
          <w:ilvl w:val="1"/>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your Contract is annuitized between the Term Start Date and Term End Date, we will use either the Interim Value or the Performance Lock Value to calculate the Annuity Payments you will receive based on the applicable Annuity Option. In deciding on an Annuity Date, you should take into consideration the Term End Dates of your Shield Options relative to the Annuity Date you have chosen.</w:t>
      </w:r>
    </w:p>
    <w:p>
      <w:pPr>
        <w:spacing w:after="0" w:line="61" w:lineRule="exact"/>
        <w:rPr>
          <w:rFonts w:ascii="Times New Roman" w:cs="Times New Roman" w:eastAsia="Times New Roman" w:hAnsi="Times New Roman"/>
          <w:sz w:val="13"/>
          <w:szCs w:val="13"/>
          <w:color w:val="auto"/>
        </w:rPr>
      </w:pPr>
    </w:p>
    <w:p>
      <w:pPr>
        <w:jc w:val="both"/>
        <w:ind w:left="261" w:right="3259" w:hanging="261"/>
        <w:spacing w:after="0" w:line="266" w:lineRule="auto"/>
        <w:tabs>
          <w:tab w:leader="none" w:pos="261"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you take a withdrawal (including RMDs and systematic withdrawals) your Account Value will be reduced by the amount withdrawn proportionally from your Shield Options, the Fixed Account, and the Holding Account unless you tell us from which specific Allocation Options, in which you currently have any Account Value, where the withdrawal should be taken.</w:t>
      </w:r>
    </w:p>
    <w:p>
      <w:pPr>
        <w:spacing w:after="0" w:line="61" w:lineRule="exact"/>
        <w:rPr>
          <w:rFonts w:ascii="Times New Roman" w:cs="Times New Roman" w:eastAsia="Times New Roman" w:hAnsi="Times New Roman"/>
          <w:sz w:val="13"/>
          <w:szCs w:val="13"/>
          <w:color w:val="auto"/>
        </w:rPr>
      </w:pPr>
    </w:p>
    <w:p>
      <w:pPr>
        <w:ind w:left="261" w:right="3259" w:hanging="261"/>
        <w:spacing w:after="0" w:line="290" w:lineRule="auto"/>
        <w:tabs>
          <w:tab w:leader="none" w:pos="261"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withdrawals will reduce the death benefit, perhaps significantly, and the reduction could be greater than the amount of the withdrawal.</w:t>
      </w:r>
    </w:p>
    <w:p>
      <w:pPr>
        <w:spacing w:after="0" w:line="35" w:lineRule="exact"/>
        <w:rPr>
          <w:rFonts w:ascii="Times New Roman" w:cs="Times New Roman" w:eastAsia="Times New Roman" w:hAnsi="Times New Roman"/>
          <w:sz w:val="13"/>
          <w:szCs w:val="13"/>
          <w:color w:val="auto"/>
        </w:rPr>
      </w:pPr>
    </w:p>
    <w:p>
      <w:pPr>
        <w:ind w:left="261" w:right="3259" w:hanging="261"/>
        <w:spacing w:after="0" w:line="290" w:lineRule="auto"/>
        <w:tabs>
          <w:tab w:leader="none" w:pos="261"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your Account Value falls below the Minimum Account Value as a result of a withdrawal, we may terminate your Contract. (See “WITHDRAWAL PROVISIONS.”)</w:t>
      </w:r>
    </w:p>
    <w:p>
      <w:pPr>
        <w:spacing w:after="0" w:line="3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Limitations on Transfers</w:t>
      </w:r>
    </w:p>
    <w:p>
      <w:pPr>
        <w:spacing w:after="0" w:line="91" w:lineRule="exact"/>
        <w:rPr>
          <w:sz w:val="20"/>
          <w:szCs w:val="20"/>
          <w:color w:val="auto"/>
        </w:rPr>
      </w:pPr>
    </w:p>
    <w:p>
      <w:pPr>
        <w:jc w:val="both"/>
        <w:ind w:left="1" w:right="3199" w:firstLine="265"/>
        <w:spacing w:after="0" w:line="259" w:lineRule="auto"/>
        <w:rPr>
          <w:sz w:val="20"/>
          <w:szCs w:val="20"/>
          <w:color w:val="auto"/>
        </w:rPr>
      </w:pPr>
      <w:r>
        <w:rPr>
          <w:rFonts w:ascii="Times New Roman" w:cs="Times New Roman" w:eastAsia="Times New Roman" w:hAnsi="Times New Roman"/>
          <w:sz w:val="13"/>
          <w:szCs w:val="13"/>
          <w:color w:val="auto"/>
        </w:rPr>
        <w:t>You may make transfers between the Fixed Account and the Shield Option(s) and from the Holding Account to the Fixed Account and the Shield Options only during the Transfer Period. Unless you have a Shield Option with the Performance Lock Value, you cannot make transfers outside the Transfer Period and you cannot (i) transfer out of a current Shield Option to another Shield Option or the Fixed Account until the Term End Date of the current Shield Option, (ii) transfer out of the Fixed Account to a Shield Option until the Fixed Account Term End Date (which will not be less than one (1) year), or (iii) transfer from the Holding Account to a Shield Option or the Fixed Account until the next Contract Anniversary. In all cases, the amount transferred can only be transferred to new Shield Options or the Fixed Account. This may limit your ability to react to market conditions.</w:t>
      </w:r>
    </w:p>
    <w:p>
      <w:pPr>
        <w:spacing w:after="0" w:line="59" w:lineRule="exact"/>
        <w:rPr>
          <w:sz w:val="20"/>
          <w:szCs w:val="20"/>
          <w:color w:val="auto"/>
        </w:rPr>
      </w:pPr>
    </w:p>
    <w:p>
      <w:pPr>
        <w:jc w:val="both"/>
        <w:ind w:left="1" w:right="3199" w:firstLine="265"/>
        <w:spacing w:after="0" w:line="266" w:lineRule="auto"/>
        <w:rPr>
          <w:sz w:val="20"/>
          <w:szCs w:val="20"/>
          <w:color w:val="auto"/>
        </w:rPr>
      </w:pPr>
      <w:r>
        <w:rPr>
          <w:rFonts w:ascii="Times New Roman" w:cs="Times New Roman" w:eastAsia="Times New Roman" w:hAnsi="Times New Roman"/>
          <w:sz w:val="13"/>
          <w:szCs w:val="13"/>
          <w:color w:val="auto"/>
        </w:rPr>
        <w:t>If you remain in your current Shield Option with the Performance Lock Value until the Term End Date and decide to transfer the Investment Amount to a new Shield Option, the Investment Amount on the Term Start Date of your new Shield Option will be the Performance Lock Value for that option, which may be higher or lower than the Investment Amount would have been on the Term End Date had you not exercised the Performance Lock.</w:t>
      </w:r>
    </w:p>
    <w:p>
      <w:pPr>
        <w:spacing w:after="0" w:line="52" w:lineRule="exact"/>
        <w:rPr>
          <w:sz w:val="20"/>
          <w:szCs w:val="20"/>
          <w:color w:val="auto"/>
        </w:rPr>
      </w:pPr>
    </w:p>
    <w:p>
      <w:pPr>
        <w:jc w:val="both"/>
        <w:ind w:left="1" w:right="3199" w:firstLine="265"/>
        <w:spacing w:after="0" w:line="272" w:lineRule="auto"/>
        <w:rPr>
          <w:sz w:val="20"/>
          <w:szCs w:val="20"/>
          <w:color w:val="auto"/>
        </w:rPr>
      </w:pPr>
      <w:r>
        <w:rPr>
          <w:rFonts w:ascii="Times New Roman" w:cs="Times New Roman" w:eastAsia="Times New Roman" w:hAnsi="Times New Roman"/>
          <w:sz w:val="13"/>
          <w:szCs w:val="13"/>
          <w:color w:val="auto"/>
        </w:rPr>
        <w:t>In addition, you should understand that for renewals into the same Shield Option, a new Cap Rate, Step Rate, or Edge Rate as applicable, will be declared and will go into effect on the Contract Anniversary that coincides with the Term Start Date of the new Shield Option.</w:t>
      </w:r>
    </w:p>
    <w:p>
      <w:pPr>
        <w:spacing w:after="0" w:line="186" w:lineRule="exact"/>
        <w:rPr>
          <w:sz w:val="20"/>
          <w:szCs w:val="20"/>
          <w:color w:val="auto"/>
        </w:rPr>
      </w:pPr>
    </w:p>
    <w:p>
      <w:pPr>
        <w:ind w:left="2981"/>
        <w:spacing w:after="0"/>
        <w:rPr>
          <w:sz w:val="20"/>
          <w:szCs w:val="20"/>
          <w:color w:val="auto"/>
        </w:rPr>
      </w:pPr>
      <w:r>
        <w:rPr>
          <w:rFonts w:ascii="Times New Roman" w:cs="Times New Roman" w:eastAsia="Times New Roman" w:hAnsi="Times New Roman"/>
          <w:sz w:val="13"/>
          <w:szCs w:val="13"/>
          <w:color w:val="auto"/>
        </w:rPr>
        <w:t>18</w:t>
      </w:r>
    </w:p>
    <w:p>
      <w:pPr>
        <w:sectPr>
          <w:pgSz w:w="11900" w:h="16838" w:orient="portrait"/>
          <w:cols w:equalWidth="0" w:num="1">
            <w:col w:w="9261"/>
          </w:cols>
          <w:pgMar w:left="1199" w:top="1049" w:right="1440" w:bottom="1440" w:gutter="0" w:footer="0" w:header="0"/>
        </w:sectPr>
      </w:pPr>
    </w:p>
    <w:bookmarkStart w:id="20" w:name="page21"/>
    <w:bookmarkEnd w:id="20"/>
    <w:p>
      <w:pPr>
        <w:jc w:val="both"/>
        <w:ind w:left="1" w:right="3199" w:firstLine="265"/>
        <w:spacing w:after="0" w:line="25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3915" cy="38100"/>
                    </a:xfrm>
                    <a:prstGeom prst="rect">
                      <a:avLst/>
                    </a:prstGeom>
                    <a:noFill/>
                  </pic:spPr>
                </pic:pic>
              </a:graphicData>
            </a:graphic>
          </wp:anchor>
        </w:drawing>
        <w:t>Moreover, at the Term End Date, the Investment Amount allocated to the Shield Option that has reached its Term End Date will be automatically renewed into the same Shield Option, subject to the new Cap Rate, Step Rate, or Edge Rate, as applicable, declared for that Term, unless you instruct us to transfer such amount into a different Shield Option(s) or the Fixed Account. If the same Shield Option is no longer available for investment at the Term End Date, the Investment Amount will automatically be transferred to the Fixed Account (if available), or to the Holding Account. Additionally, any Fixed Account Value will remain in the Fixed Account for another Term, subject to the new interest rate declared for that Term, unless you instruct us to transfer such amount to a Shield Option(s). If the Fixed Account is no longer available at the Fixed Account Term End Date, the Fixed Account Value will automatically be transferred into the Holding Account. Account Value automatically renewed or transferred in the absence of transfer instructions from you may not be transferred again until the next Transfer Period coinciding with a Term End Date. Unless you have a Shield Option with Performance Lock Value, you have only the Transfer Period to notify us that you want to transfer some or all of your Investment Amount to a new Shield Option(s) or the Fixed Account. Thus, failure to provide such instructions during the Transfer Period will result in an automatic renewal for a period of at least one (1) year.</w:t>
      </w:r>
    </w:p>
    <w:p>
      <w:pPr>
        <w:spacing w:after="0" w:line="70" w:lineRule="exact"/>
        <w:rPr>
          <w:sz w:val="20"/>
          <w:szCs w:val="20"/>
          <w:color w:val="auto"/>
        </w:rPr>
      </w:pPr>
    </w:p>
    <w:p>
      <w:pPr>
        <w:jc w:val="both"/>
        <w:ind w:left="1" w:right="3199" w:firstLine="265"/>
        <w:spacing w:after="0" w:line="262" w:lineRule="auto"/>
        <w:rPr>
          <w:sz w:val="20"/>
          <w:szCs w:val="20"/>
          <w:color w:val="auto"/>
        </w:rPr>
      </w:pPr>
      <w:r>
        <w:rPr>
          <w:rFonts w:ascii="Times New Roman" w:cs="Times New Roman" w:eastAsia="Times New Roman" w:hAnsi="Times New Roman"/>
          <w:sz w:val="13"/>
          <w:szCs w:val="13"/>
          <w:color w:val="auto"/>
        </w:rPr>
        <w:t xml:space="preserve">If you have exercised the Performance Lock for a Shield Option you may transfer on any Contract Anniversary prior to the end of the Term and on the Term End Date. If you transfer the Performance Lock Value on a Contract Anniversary before the Term End Date, you may only transfer the entire amount of the Performance Lock Value. If you transfer the Performance Lock Value on the Term End Date, you may transfer all or a portion of the Performance Lock Value. </w:t>
      </w:r>
      <w:r>
        <w:rPr>
          <w:rFonts w:ascii="Times New Roman" w:cs="Times New Roman" w:eastAsia="Times New Roman" w:hAnsi="Times New Roman"/>
          <w:sz w:val="13"/>
          <w:szCs w:val="13"/>
          <w:b w:val="1"/>
          <w:bCs w:val="1"/>
          <w:color w:val="auto"/>
        </w:rPr>
        <w:t>Partial transfers of Performance Lock Value prior to the Term End Date are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not permitted.</w:t>
      </w:r>
    </w:p>
    <w:p>
      <w:pPr>
        <w:spacing w:after="0" w:line="5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Availability of Shield Options</w:t>
      </w:r>
    </w:p>
    <w:p>
      <w:pPr>
        <w:spacing w:after="0" w:line="101" w:lineRule="exact"/>
        <w:rPr>
          <w:sz w:val="20"/>
          <w:szCs w:val="20"/>
          <w:color w:val="auto"/>
        </w:rPr>
      </w:pPr>
    </w:p>
    <w:p>
      <w:pPr>
        <w:jc w:val="both"/>
        <w:ind w:left="1" w:right="3199" w:firstLine="265"/>
        <w:spacing w:after="0" w:line="256" w:lineRule="auto"/>
        <w:rPr>
          <w:sz w:val="20"/>
          <w:szCs w:val="20"/>
          <w:color w:val="auto"/>
        </w:rPr>
      </w:pPr>
      <w:r>
        <w:rPr>
          <w:rFonts w:ascii="Times New Roman" w:cs="Times New Roman" w:eastAsia="Times New Roman" w:hAnsi="Times New Roman"/>
          <w:sz w:val="13"/>
          <w:szCs w:val="13"/>
          <w:color w:val="auto"/>
        </w:rPr>
        <w:t>Your selling firm may choose not to recommend certain Shield Options described in this prospectus when your Contract is issued or at the Term End Date. Additionally, we reserve the right to change the duration of any new Shield Options, stop offering any of the Shield Options or suspend offering any of the Shield Options. We may also add Shield Options in the future. We are not obligated to offer any one particular Shield Option, but after your Contract is issued, there will always be at least one Shield Option available at the Term End Date, although it may not be substantially similar to one of the currently available Shield Options. Consequently, if we were to offer only one Shield Option, you would be limited to investing in that one Shield Option. If that Shield Option does not meet your investment objectives or financial goals, you could transfer to the Fixed Account (if available at that time and subject to applicable conditions described in the “TRANSFERS” section, including the requirement to remain invested in the Fixed Account until the Fixed Account Term End Date), Surrender your Contract and/or invest in another investment vehicle. If you Surrender your Contract, you might incur taxes, tax penalties, Withdrawal Charges, or an Interim Value calculation. If you invest in another investment vehicle, that investment may have different features, fees and risks than your Contract. Similarly, a particular Shield Option may not be available for you to transfer your Investment Amount or Fixed Account Value into after a Term End Date or the Fixed Account Term End Date. If the same Shield Option is no longer available at the Term End Date, the Investment Amount in the applicable Shield Option(s) will automatically transfer into the Fixed Account at the Term End Date, unless you instruct us otherwise during the Transfer Period. The amounts transferred to the Fixed Account must remain in the Fixed Account until the Fixed Account Term End Date (which, currently, will not be less than one (1) year). The Investment Amount held in the Fixed Account may earn a return that is less than the return you might have earned if those amounts were held in a Shield Option. If we exercise this right, your ability to increase your Account Value and, consequently, increase your death benefit will be limited. If the Fixed Account is not available, the Investment Amount will automatically transfer into the Holding Account unless you instruct us otherwise.</w:t>
      </w:r>
    </w:p>
    <w:p>
      <w:pPr>
        <w:spacing w:after="0" w:line="22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Risks Associated with the Referenced Indices</w:t>
      </w:r>
    </w:p>
    <w:p>
      <w:pPr>
        <w:spacing w:after="0" w:line="91" w:lineRule="exact"/>
        <w:rPr>
          <w:sz w:val="20"/>
          <w:szCs w:val="20"/>
          <w:color w:val="auto"/>
        </w:rPr>
      </w:pPr>
    </w:p>
    <w:p>
      <w:pPr>
        <w:jc w:val="both"/>
        <w:ind w:left="1" w:right="3199" w:firstLine="265"/>
        <w:spacing w:after="0" w:line="272" w:lineRule="auto"/>
        <w:rPr>
          <w:sz w:val="20"/>
          <w:szCs w:val="20"/>
          <w:color w:val="auto"/>
        </w:rPr>
      </w:pPr>
      <w:r>
        <w:rPr>
          <w:rFonts w:ascii="Times New Roman" w:cs="Times New Roman" w:eastAsia="Times New Roman" w:hAnsi="Times New Roman"/>
          <w:sz w:val="13"/>
          <w:szCs w:val="13"/>
          <w:color w:val="auto"/>
        </w:rPr>
        <w:t>Each of the reference Indices is a “price return index,” not a “total return index,” and therefore does not reflect dividends declared by any of the component companies in the Index. This will reduce the Index Performance and will cause the Index to underperform a direct investment in the securities composing the Index.</w:t>
      </w:r>
    </w:p>
    <w:p>
      <w:pPr>
        <w:spacing w:after="0" w:line="35" w:lineRule="exact"/>
        <w:rPr>
          <w:sz w:val="20"/>
          <w:szCs w:val="20"/>
          <w:color w:val="auto"/>
        </w:rPr>
      </w:pPr>
    </w:p>
    <w:p>
      <w:pPr>
        <w:jc w:val="both"/>
        <w:ind w:left="1" w:right="3199" w:firstLine="265"/>
        <w:spacing w:after="0" w:line="253" w:lineRule="auto"/>
        <w:rPr>
          <w:sz w:val="20"/>
          <w:szCs w:val="20"/>
          <w:color w:val="auto"/>
        </w:rPr>
      </w:pPr>
      <w:r>
        <w:rPr>
          <w:rFonts w:ascii="Times New Roman" w:cs="Times New Roman" w:eastAsia="Times New Roman" w:hAnsi="Times New Roman"/>
          <w:sz w:val="13"/>
          <w:szCs w:val="13"/>
          <w:color w:val="auto"/>
        </w:rPr>
        <w:t>Because the S&amp;P 500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Index, the Russell 2000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Index, the MSCI EAFE Index, and the Nasdaq-100 Index</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are each comprised of a collection of equity securities, in each case the value of the component securities is subject to market risk, or the risk that market fluctuations may cause the value of the component securities to go up or down, sometimes rapidly and unpredictably. In addition, the value of equity securities may increase or decline for reasons directly related to the issuers of the securities. (See “INDICES” and “SHIELD RATES.”)</w:t>
      </w:r>
    </w:p>
    <w:p>
      <w:pPr>
        <w:spacing w:after="0" w:line="59" w:lineRule="exact"/>
        <w:rPr>
          <w:sz w:val="20"/>
          <w:szCs w:val="20"/>
          <w:color w:val="auto"/>
        </w:rPr>
      </w:pPr>
    </w:p>
    <w:p>
      <w:pPr>
        <w:ind w:left="261"/>
        <w:spacing w:after="0"/>
        <w:rPr>
          <w:sz w:val="20"/>
          <w:szCs w:val="20"/>
          <w:color w:val="auto"/>
        </w:rPr>
      </w:pPr>
      <w:r>
        <w:rPr>
          <w:rFonts w:ascii="Times New Roman" w:cs="Times New Roman" w:eastAsia="Times New Roman" w:hAnsi="Times New Roman"/>
          <w:sz w:val="13"/>
          <w:szCs w:val="13"/>
          <w:color w:val="auto"/>
        </w:rPr>
        <w:t>In addition, each Index has its own unique risks, as follows:</w:t>
      </w:r>
    </w:p>
    <w:p>
      <w:pPr>
        <w:spacing w:after="0" w:line="74" w:lineRule="exact"/>
        <w:rPr>
          <w:sz w:val="20"/>
          <w:szCs w:val="20"/>
          <w:color w:val="auto"/>
        </w:rPr>
      </w:pPr>
    </w:p>
    <w:p>
      <w:pPr>
        <w:jc w:val="both"/>
        <w:ind w:left="261" w:right="3259" w:hanging="261"/>
        <w:spacing w:after="0" w:line="253" w:lineRule="auto"/>
        <w:tabs>
          <w:tab w:leader="none" w:pos="261"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S&amp;P 500</w:t>
      </w:r>
      <w:r>
        <w:rPr>
          <w:rFonts w:ascii="Times New Roman" w:cs="Times New Roman" w:eastAsia="Times New Roman" w:hAnsi="Times New Roman"/>
          <w:sz w:val="17"/>
          <w:szCs w:val="17"/>
          <w:b w:val="1"/>
          <w:bCs w:val="1"/>
          <w:color w:val="auto"/>
          <w:vertAlign w:val="superscript"/>
        </w:rPr>
        <w:t>®</w:t>
      </w:r>
      <w:r>
        <w:rPr>
          <w:rFonts w:ascii="Times New Roman" w:cs="Times New Roman" w:eastAsia="Times New Roman" w:hAnsi="Times New Roman"/>
          <w:sz w:val="13"/>
          <w:szCs w:val="13"/>
          <w:b w:val="1"/>
          <w:bCs w:val="1"/>
          <w:color w:val="auto"/>
        </w:rPr>
        <w:t xml:space="preserve"> Index. </w:t>
      </w:r>
      <w:r>
        <w:rPr>
          <w:rFonts w:ascii="Times New Roman" w:cs="Times New Roman" w:eastAsia="Times New Roman" w:hAnsi="Times New Roman"/>
          <w:sz w:val="13"/>
          <w:szCs w:val="13"/>
          <w:color w:val="auto"/>
        </w:rPr>
        <w:t>This Index is composed of equity securities issued by large-capitalization (“large cap”)</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U.S. companies. In general, it is more difficult for large-cap companies to pivot their strategies quickly in response to changes in their industry. In addition, because they typically are more well-established, it is rare to see large-cap companies have the high growth rates that can be seen with successful small-capitalization (“small cap”) companies.</w:t>
      </w:r>
    </w:p>
    <w:p>
      <w:pPr>
        <w:spacing w:after="0" w:line="200" w:lineRule="exact"/>
        <w:rPr>
          <w:sz w:val="20"/>
          <w:szCs w:val="20"/>
          <w:color w:val="auto"/>
        </w:rPr>
      </w:pPr>
    </w:p>
    <w:p>
      <w:pPr>
        <w:ind w:left="2981"/>
        <w:spacing w:after="0"/>
        <w:rPr>
          <w:sz w:val="20"/>
          <w:szCs w:val="20"/>
          <w:color w:val="auto"/>
        </w:rPr>
      </w:pPr>
      <w:r>
        <w:rPr>
          <w:rFonts w:ascii="Times New Roman" w:cs="Times New Roman" w:eastAsia="Times New Roman" w:hAnsi="Times New Roman"/>
          <w:sz w:val="13"/>
          <w:szCs w:val="13"/>
          <w:color w:val="auto"/>
        </w:rPr>
        <w:t>19</w:t>
      </w:r>
    </w:p>
    <w:p>
      <w:pPr>
        <w:sectPr>
          <w:pgSz w:w="11900" w:h="16838" w:orient="portrait"/>
          <w:cols w:equalWidth="0" w:num="1">
            <w:col w:w="9261"/>
          </w:cols>
          <w:pgMar w:left="1199" w:top="1049" w:right="1440" w:bottom="1440" w:gutter="0" w:footer="0" w:header="0"/>
        </w:sectPr>
      </w:pPr>
    </w:p>
    <w:bookmarkStart w:id="21" w:name="page22"/>
    <w:bookmarkEnd w:id="21"/>
    <w:p>
      <w:pPr>
        <w:jc w:val="both"/>
        <w:ind w:left="261" w:right="3259" w:hanging="261"/>
        <w:spacing w:after="0" w:line="253" w:lineRule="auto"/>
        <w:tabs>
          <w:tab w:leader="none" w:pos="261"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3915" cy="38100"/>
                    </a:xfrm>
                    <a:prstGeom prst="rect">
                      <a:avLst/>
                    </a:prstGeom>
                    <a:noFill/>
                  </pic:spPr>
                </pic:pic>
              </a:graphicData>
            </a:graphic>
          </wp:anchor>
        </w:drawing>
        <w:t>Russell 2000</w:t>
      </w:r>
      <w:r>
        <w:rPr>
          <w:rFonts w:ascii="Times New Roman" w:cs="Times New Roman" w:eastAsia="Times New Roman" w:hAnsi="Times New Roman"/>
          <w:sz w:val="17"/>
          <w:szCs w:val="17"/>
          <w:b w:val="1"/>
          <w:bCs w:val="1"/>
          <w:color w:val="auto"/>
          <w:vertAlign w:val="superscript"/>
        </w:rPr>
        <w:t>®</w:t>
      </w:r>
      <w:r>
        <w:rPr>
          <w:rFonts w:ascii="Times New Roman" w:cs="Times New Roman" w:eastAsia="Times New Roman" w:hAnsi="Times New Roman"/>
          <w:sz w:val="13"/>
          <w:szCs w:val="13"/>
          <w:b w:val="1"/>
          <w:bCs w:val="1"/>
          <w:color w:val="auto"/>
        </w:rPr>
        <w:t xml:space="preserve"> Index. </w:t>
      </w:r>
      <w:r>
        <w:rPr>
          <w:rFonts w:ascii="Times New Roman" w:cs="Times New Roman" w:eastAsia="Times New Roman" w:hAnsi="Times New Roman"/>
          <w:sz w:val="13"/>
          <w:szCs w:val="13"/>
          <w:color w:val="auto"/>
        </w:rPr>
        <w:t>This Index is composed of equity securities of small-cap U.S. companies. Generally,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securities of small-cap companies are more volatile and riskier than the securities of larger companies. Small-cap companies are more likely to fail than larger companies.</w:t>
      </w:r>
    </w:p>
    <w:p>
      <w:pPr>
        <w:spacing w:after="0" w:line="66" w:lineRule="exact"/>
        <w:rPr>
          <w:rFonts w:ascii="Times New Roman" w:cs="Times New Roman" w:eastAsia="Times New Roman" w:hAnsi="Times New Roman"/>
          <w:sz w:val="13"/>
          <w:szCs w:val="13"/>
          <w:color w:val="auto"/>
        </w:rPr>
      </w:pPr>
    </w:p>
    <w:p>
      <w:pPr>
        <w:jc w:val="both"/>
        <w:ind w:left="261" w:right="3259" w:hanging="261"/>
        <w:spacing w:after="0" w:line="259" w:lineRule="auto"/>
        <w:tabs>
          <w:tab w:leader="none" w:pos="261"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MSCI EAFE Index. </w:t>
      </w:r>
      <w:r>
        <w:rPr>
          <w:rFonts w:ascii="Times New Roman" w:cs="Times New Roman" w:eastAsia="Times New Roman" w:hAnsi="Times New Roman"/>
          <w:sz w:val="13"/>
          <w:szCs w:val="13"/>
          <w:color w:val="auto"/>
        </w:rPr>
        <w:t>The MSCI EAFE Index is comprised of equity securities of large- and mid-capitalization (“mid-cap”) companies and it is designed to measure the equity market performance of developed markets, including countries in Europe, Australia, and the Far East. In general, large-cap companies may be unable to respond quickly in response to changes in their industry and new competitive challenges and may not be able to attain the high growth rates of successful smaller companies. The securities of mid-cap companies may be more volatile and may involve more risk than the securities of larger companies. Securities issued by non-U.S. companies (including related depositary receipts) are subject to the risks related to investments in foreign markets (e.g., increased price volatility; changing currency exchange rates; and greater political, regulatory, and economic uncertainty).</w:t>
      </w:r>
    </w:p>
    <w:p>
      <w:pPr>
        <w:spacing w:after="0" w:line="43" w:lineRule="exact"/>
        <w:rPr>
          <w:rFonts w:ascii="Times New Roman" w:cs="Times New Roman" w:eastAsia="Times New Roman" w:hAnsi="Times New Roman"/>
          <w:sz w:val="13"/>
          <w:szCs w:val="13"/>
          <w:color w:val="auto"/>
        </w:rPr>
      </w:pPr>
    </w:p>
    <w:p>
      <w:pPr>
        <w:jc w:val="both"/>
        <w:ind w:left="261" w:right="3259" w:hanging="261"/>
        <w:spacing w:after="0" w:line="244" w:lineRule="auto"/>
        <w:tabs>
          <w:tab w:leader="none" w:pos="261"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Nasdaq-100 Index</w:t>
      </w:r>
      <w:r>
        <w:rPr>
          <w:rFonts w:ascii="Times New Roman" w:cs="Times New Roman" w:eastAsia="Times New Roman" w:hAnsi="Times New Roman"/>
          <w:sz w:val="17"/>
          <w:szCs w:val="17"/>
          <w:b w:val="1"/>
          <w:bCs w:val="1"/>
          <w:color w:val="auto"/>
          <w:vertAlign w:val="superscript"/>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Nasdaq-100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Index is comprised of equity securities of the largest U.S. and non-U.S. companies listed on The Nasdaq Stock Market across all major industry groups except the financial industry. To the extent that the Nasdaq-100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Index is comprised of securities issued by companies in a particular sector, that company’s securities may not perform as well as companies in other sectors or the market as a whole. Any component securities issued by non-U.S. companies (including related depositary receipts) are subject to the risks related to investments in foreign markets (e.g., increased price volatility; changing currency exchange rates; and greater political, regulatory, and economic uncertainty).</w:t>
      </w:r>
    </w:p>
    <w:p>
      <w:pPr>
        <w:spacing w:after="0" w:line="6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An Index May be Substituted</w:t>
      </w:r>
    </w:p>
    <w:p>
      <w:pPr>
        <w:spacing w:after="0" w:line="91" w:lineRule="exact"/>
        <w:rPr>
          <w:sz w:val="20"/>
          <w:szCs w:val="20"/>
          <w:color w:val="auto"/>
        </w:rPr>
      </w:pPr>
    </w:p>
    <w:p>
      <w:pPr>
        <w:jc w:val="both"/>
        <w:ind w:left="1" w:right="3199" w:firstLine="265"/>
        <w:spacing w:after="0" w:line="256" w:lineRule="auto"/>
        <w:rPr>
          <w:sz w:val="20"/>
          <w:szCs w:val="20"/>
          <w:color w:val="auto"/>
        </w:rPr>
      </w:pPr>
      <w:r>
        <w:rPr>
          <w:rFonts w:ascii="Times New Roman" w:cs="Times New Roman" w:eastAsia="Times New Roman" w:hAnsi="Times New Roman"/>
          <w:sz w:val="13"/>
          <w:szCs w:val="13"/>
          <w:color w:val="auto"/>
        </w:rPr>
        <w:t>We have the right to substitute a comparable index prior to the Term End Date if any Index is discontinued or we determine that our use of such Index should be discontinued because we are no longer licensed to use the Index, the method of calculation of the Index Value is substantially changed, or if Index Values become unavailable for any reason. We would attempt to choose a substitute index that has a similar investment objective and risk profile to the replaced index. In the event that a similar index is not found, we will substitute the original Index with a domestic or international broad-based securities market index. A Shield Option will not end prior to the Term End Date due to our inability to find a similar index. The substituted Index may not be acceptable to you, and you will be unable to transfer your Investment Amount in the associated Shield Option to another Shield Option(s) or the Fixed Account (if available) until the Transfer Period coinciding with the Term End Date. If you no longer want to remain invested in that Shield Option for the remainder of the Term, your only option will be to withdraw the related Investment Amount. If you withdraw the Investment Amount, the amount withdrawn will be the Interim Value. See “Risk of Loss” above for more information about the risks of withdrawals based on Interim Value. Additionally, you might incur Withdrawal Charges, taxes, and tax penalties. Upon substitution of an Index, we will calculate your Index Performance on the replaced Index up until the date of substitution and the substitute Index from the date of substitution to the Term End Date. An Index substitution will not change the Shield Rate, Cap Rate, Step Rate, or Edge Rate for an existing Shield Option. The performance of the new Index may not be as good as the one that it substituted and as a result your Index Performance may have been better if there had been no substitution. If you have exercised the Performance Lock, a subsequent index substitution will have no impact on the Performance Lock Value of that Shield Option.</w:t>
      </w:r>
    </w:p>
    <w:p>
      <w:pPr>
        <w:spacing w:after="0" w:line="6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Shield Rate Risks</w:t>
      </w:r>
    </w:p>
    <w:p>
      <w:pPr>
        <w:spacing w:after="0" w:line="91" w:lineRule="exact"/>
        <w:rPr>
          <w:sz w:val="20"/>
          <w:szCs w:val="20"/>
          <w:color w:val="auto"/>
        </w:rPr>
      </w:pPr>
    </w:p>
    <w:p>
      <w:pPr>
        <w:jc w:val="both"/>
        <w:ind w:left="1" w:right="3179" w:firstLine="265"/>
        <w:spacing w:after="0" w:line="259" w:lineRule="auto"/>
        <w:rPr>
          <w:sz w:val="20"/>
          <w:szCs w:val="20"/>
          <w:color w:val="auto"/>
        </w:rPr>
      </w:pPr>
      <w:r>
        <w:rPr>
          <w:rFonts w:ascii="Times New Roman" w:cs="Times New Roman" w:eastAsia="Times New Roman" w:hAnsi="Times New Roman"/>
          <w:sz w:val="13"/>
          <w:szCs w:val="13"/>
          <w:color w:val="auto"/>
        </w:rPr>
        <w:t>For all Shield Options, if negative Index Performance exceeds the corresponding Shield Rate at the Term End Date, you will bear the portion of the loss that exceeds the Shield Rate. Under the currently offered Shield Rates, the maximum amount of loss you could experience due to negative index performance at the end of a Term, after taking into account these levels of protection, would be: 90% for 10% downside protection; 85% for 15% downside protection; and 75% for 25% downside protection. We do not guarantee that there will always be a Shield Option under the Contract that provides this minimum amount of downside protection; however, there will always be at least one Shield Option available that offers downside protection, although it may not be substantially similar to one of the currently available Shield Options.</w:t>
      </w:r>
    </w:p>
    <w:p>
      <w:pPr>
        <w:spacing w:after="0" w:line="5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Shield Options with Higher Shield Rates</w:t>
      </w:r>
    </w:p>
    <w:p>
      <w:pPr>
        <w:spacing w:after="0" w:line="91" w:lineRule="exact"/>
        <w:rPr>
          <w:sz w:val="20"/>
          <w:szCs w:val="20"/>
          <w:color w:val="auto"/>
        </w:rPr>
      </w:pPr>
    </w:p>
    <w:p>
      <w:pPr>
        <w:jc w:val="both"/>
        <w:ind w:left="1" w:right="3199" w:firstLine="265"/>
        <w:spacing w:after="0" w:line="266" w:lineRule="auto"/>
        <w:rPr>
          <w:sz w:val="20"/>
          <w:szCs w:val="20"/>
          <w:color w:val="auto"/>
        </w:rPr>
      </w:pPr>
      <w:r>
        <w:rPr>
          <w:rFonts w:ascii="Times New Roman" w:cs="Times New Roman" w:eastAsia="Times New Roman" w:hAnsi="Times New Roman"/>
          <w:sz w:val="13"/>
          <w:szCs w:val="13"/>
          <w:color w:val="auto"/>
        </w:rPr>
        <w:t>In deciding whether to choose a Shield Option with a higher Shield Rate, you should consider that Shield Options with higher Shield Rates tend to have lower Cap Rates, Step Rates, and Edge Rates, as applicable, than Shield Options with lower Shield Rates that have the same index and term. This is because of the additional protection provided by the higher Shield Rates.</w:t>
      </w:r>
    </w:p>
    <w:p>
      <w:pPr>
        <w:spacing w:after="0" w:line="5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Rate Crediting Type Risks</w:t>
      </w:r>
    </w:p>
    <w:p>
      <w:pPr>
        <w:spacing w:after="0" w:line="91" w:lineRule="exact"/>
        <w:rPr>
          <w:sz w:val="20"/>
          <w:szCs w:val="20"/>
          <w:color w:val="auto"/>
        </w:rPr>
      </w:pPr>
    </w:p>
    <w:p>
      <w:pPr>
        <w:jc w:val="both"/>
        <w:ind w:left="1" w:right="3199" w:firstLine="265"/>
        <w:spacing w:after="0" w:line="266" w:lineRule="auto"/>
        <w:rPr>
          <w:sz w:val="20"/>
          <w:szCs w:val="20"/>
          <w:color w:val="auto"/>
        </w:rPr>
      </w:pPr>
      <w:r>
        <w:rPr>
          <w:rFonts w:ascii="Times New Roman" w:cs="Times New Roman" w:eastAsia="Times New Roman" w:hAnsi="Times New Roman"/>
          <w:sz w:val="13"/>
          <w:szCs w:val="13"/>
          <w:color w:val="auto"/>
        </w:rPr>
        <w:t>The Cap Rate, Step Rate, or Edge Rate may limit any positive Index Performance used in calculating the Performance Rate credited on the Term End Date. This means that the Performance Rate may be lower than the Index Performance because any positive return of the respective Index is subject to a maximum in the form of the Cap Rate, Step Rate, or Edge</w:t>
      </w:r>
    </w:p>
    <w:p>
      <w:pPr>
        <w:spacing w:after="0" w:line="180" w:lineRule="exact"/>
        <w:rPr>
          <w:sz w:val="20"/>
          <w:szCs w:val="20"/>
          <w:color w:val="auto"/>
        </w:rPr>
      </w:pPr>
    </w:p>
    <w:p>
      <w:pPr>
        <w:ind w:left="2981"/>
        <w:spacing w:after="0"/>
        <w:rPr>
          <w:sz w:val="20"/>
          <w:szCs w:val="20"/>
          <w:color w:val="auto"/>
        </w:rPr>
      </w:pPr>
      <w:r>
        <w:rPr>
          <w:rFonts w:ascii="Times New Roman" w:cs="Times New Roman" w:eastAsia="Times New Roman" w:hAnsi="Times New Roman"/>
          <w:sz w:val="13"/>
          <w:szCs w:val="13"/>
          <w:color w:val="auto"/>
        </w:rPr>
        <w:t>20</w:t>
      </w:r>
    </w:p>
    <w:p>
      <w:pPr>
        <w:sectPr>
          <w:pgSz w:w="11900" w:h="16838" w:orient="portrait"/>
          <w:cols w:equalWidth="0" w:num="1">
            <w:col w:w="9261"/>
          </w:cols>
          <w:pgMar w:left="1199" w:top="1035" w:right="1440" w:bottom="1440" w:gutter="0" w:footer="0" w:header="0"/>
        </w:sectPr>
      </w:pPr>
    </w:p>
    <w:bookmarkStart w:id="22" w:name="page23"/>
    <w:bookmarkEnd w:id="22"/>
    <w:p>
      <w:pPr>
        <w:jc w:val="both"/>
        <w:ind w:right="3199"/>
        <w:spacing w:after="0" w:line="27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3915" cy="38100"/>
                    </a:xfrm>
                    <a:prstGeom prst="rect">
                      <a:avLst/>
                    </a:prstGeom>
                    <a:noFill/>
                  </pic:spPr>
                </pic:pic>
              </a:graphicData>
            </a:graphic>
          </wp:anchor>
        </w:drawing>
        <w:t>Rate. We set Cap Rates, Step Rates, and Edge Rates at our discretion, subject to the minimum guaranteed rates shown in your Contract Schedule. You bear the risk that we will not set these higher than the minimum guaranteed rates.</w:t>
      </w:r>
    </w:p>
    <w:p>
      <w:pPr>
        <w:spacing w:after="0" w:line="57" w:lineRule="exact"/>
        <w:rPr>
          <w:sz w:val="20"/>
          <w:szCs w:val="20"/>
          <w:color w:val="auto"/>
        </w:rPr>
      </w:pPr>
    </w:p>
    <w:p>
      <w:pPr>
        <w:jc w:val="both"/>
        <w:ind w:right="3199" w:firstLine="265"/>
        <w:spacing w:after="0" w:line="266" w:lineRule="auto"/>
        <w:rPr>
          <w:sz w:val="20"/>
          <w:szCs w:val="20"/>
          <w:color w:val="auto"/>
        </w:rPr>
      </w:pPr>
      <w:r>
        <w:rPr>
          <w:rFonts w:ascii="Times New Roman" w:cs="Times New Roman" w:eastAsia="Times New Roman" w:hAnsi="Times New Roman"/>
          <w:sz w:val="13"/>
          <w:szCs w:val="13"/>
          <w:color w:val="auto"/>
        </w:rPr>
        <w:t>For Shield Options with Step Rate Edge, there could be situations when a small difference in the Index Performance results in significantly different Performance Rates. For example, if Index Performance is -9.5%, the Shield Rate is 10% and the Edge Rate is 7%, the Performance Rate will equal the Edge Rate, or 7%. On the other hand, if Index Performance is -10.5% and the Shield Rate is 10%, the Performance Rate will equal -0.5%.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Issuing Company</w:t>
      </w:r>
    </w:p>
    <w:p>
      <w:pPr>
        <w:spacing w:after="0" w:line="101" w:lineRule="exact"/>
        <w:rPr>
          <w:sz w:val="20"/>
          <w:szCs w:val="20"/>
          <w:color w:val="auto"/>
        </w:rPr>
      </w:pPr>
    </w:p>
    <w:p>
      <w:pPr>
        <w:jc w:val="both"/>
        <w:ind w:right="3199" w:firstLine="265"/>
        <w:spacing w:after="0" w:line="290" w:lineRule="auto"/>
        <w:rPr>
          <w:sz w:val="20"/>
          <w:szCs w:val="20"/>
          <w:color w:val="auto"/>
        </w:rPr>
      </w:pPr>
      <w:r>
        <w:rPr>
          <w:rFonts w:ascii="Times New Roman" w:cs="Times New Roman" w:eastAsia="Times New Roman" w:hAnsi="Times New Roman"/>
          <w:sz w:val="13"/>
          <w:szCs w:val="13"/>
          <w:color w:val="auto"/>
        </w:rPr>
        <w:t>No company other than BLNY has any legal responsibility to pay amounts that BLNY owes under the Contract. An Owner should look to the financial strength of BLNY for its claims-paying ability.</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Systematic Withdrawal Program</w:t>
      </w:r>
    </w:p>
    <w:p>
      <w:pPr>
        <w:spacing w:after="0" w:line="91" w:lineRule="exact"/>
        <w:rPr>
          <w:sz w:val="20"/>
          <w:szCs w:val="20"/>
          <w:color w:val="auto"/>
        </w:rPr>
      </w:pPr>
    </w:p>
    <w:p>
      <w:pPr>
        <w:jc w:val="both"/>
        <w:ind w:right="3199" w:firstLine="265"/>
        <w:spacing w:after="0" w:line="259" w:lineRule="auto"/>
        <w:rPr>
          <w:sz w:val="20"/>
          <w:szCs w:val="20"/>
          <w:color w:val="auto"/>
        </w:rPr>
      </w:pPr>
      <w:r>
        <w:rPr>
          <w:rFonts w:ascii="Times New Roman" w:cs="Times New Roman" w:eastAsia="Times New Roman" w:hAnsi="Times New Roman"/>
          <w:sz w:val="13"/>
          <w:szCs w:val="13"/>
          <w:color w:val="auto"/>
        </w:rPr>
        <w:t>You may elect the Systematic Withdrawal Program to provide automated processing of amounts withdrawn from your Contract, subject to program terms. For automated processing of RMD amounts withdrawn from an IRA Contract or qualified annuity Contract, you may elect this program in any Contract year. However, for automated processing of amounts withdrawn for purposes other than RMDs, you may elect this program after the first Contract Year for up to 10% of your Account Value as of the prior Contract Anniversary. We do not assess a charge for this program. See “WITHDRAWAL PROVISIONS – Systematic Withdrawal Program” for availability and other restrictions. Withdrawals under this program are subject to the same risks as any other withdrawal. See “Adjustments Upon Taking a Withdrawal,” and “Effect of Withdrawals, Surrender, Annuitization or Death”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Performance Lock Risks</w:t>
      </w:r>
    </w:p>
    <w:p>
      <w:pPr>
        <w:spacing w:after="0" w:line="101" w:lineRule="exact"/>
        <w:rPr>
          <w:sz w:val="20"/>
          <w:szCs w:val="20"/>
          <w:color w:val="auto"/>
        </w:rPr>
      </w:pPr>
    </w:p>
    <w:p>
      <w:pPr>
        <w:jc w:val="both"/>
        <w:ind w:right="3179" w:firstLine="265"/>
        <w:spacing w:after="0" w:line="262" w:lineRule="auto"/>
        <w:rPr>
          <w:sz w:val="20"/>
          <w:szCs w:val="20"/>
          <w:color w:val="auto"/>
        </w:rPr>
      </w:pPr>
      <w:r>
        <w:rPr>
          <w:rFonts w:ascii="Times New Roman" w:cs="Times New Roman" w:eastAsia="Times New Roman" w:hAnsi="Times New Roman"/>
          <w:sz w:val="13"/>
          <w:szCs w:val="13"/>
          <w:color w:val="auto"/>
        </w:rPr>
        <w:t>With the Performance Lock Value you may receive less than you would have received had you not exercised the Performance Lock. Furthermore, once the Performance Lock is exercised, it is irrevocable for the remainder of that Term. You will no longer participate in Index Performance, positive or negative, for the remainder of the Term after you exercise the Performance Lock. This means that under no circumstances will the Performance Lock Value increase during the remainder of the Term, and you will not receive a Performance Rate Adjustment or the protection of the Shield Rate from losses on any Performance Lock Value on the Term End Date.</w:t>
      </w:r>
    </w:p>
    <w:p>
      <w:pPr>
        <w:spacing w:after="0" w:line="53" w:lineRule="exact"/>
        <w:rPr>
          <w:sz w:val="20"/>
          <w:szCs w:val="20"/>
          <w:color w:val="auto"/>
        </w:rPr>
      </w:pPr>
    </w:p>
    <w:p>
      <w:pPr>
        <w:jc w:val="both"/>
        <w:ind w:right="3179" w:firstLine="265"/>
        <w:spacing w:after="0" w:line="259" w:lineRule="auto"/>
        <w:rPr>
          <w:sz w:val="20"/>
          <w:szCs w:val="20"/>
          <w:color w:val="auto"/>
        </w:rPr>
      </w:pPr>
      <w:r>
        <w:rPr>
          <w:rFonts w:ascii="Times New Roman" w:cs="Times New Roman" w:eastAsia="Times New Roman" w:hAnsi="Times New Roman"/>
          <w:sz w:val="13"/>
          <w:szCs w:val="13"/>
          <w:color w:val="auto"/>
        </w:rPr>
        <w:t>We use the Interim Value calculated at the end of the current Business Day on which you exercise the Performance Lock to determine the Performance Lock Value. This means you will not be able to determine in advance the Performance Lock Value, and it may be higher or lower than it was at the point in time you requested the Performance Lock. If the Performance Lock is exercised when the Interim Value is less than the Investment Amount, you will lock in any loss, which could be below the Shield Rate. If you exercise the Performance Lock on a Shield Option, you will not receive a Performance Rate Adjustment or the protection of the Shield Rate from losses on any Performance Lock Value on the Term End Date. It is possible that you would have realized less of a loss or more of a gain if the Performance Lock occurred at a later time, or if you did not exercise the Performance Lock.</w:t>
      </w:r>
    </w:p>
    <w:p>
      <w:pPr>
        <w:spacing w:after="0" w:line="66" w:lineRule="exact"/>
        <w:rPr>
          <w:sz w:val="20"/>
          <w:szCs w:val="20"/>
          <w:color w:val="auto"/>
        </w:rPr>
      </w:pPr>
    </w:p>
    <w:p>
      <w:pPr>
        <w:jc w:val="both"/>
        <w:ind w:right="3199" w:firstLine="265"/>
        <w:spacing w:after="0" w:line="266" w:lineRule="auto"/>
        <w:rPr>
          <w:sz w:val="20"/>
          <w:szCs w:val="20"/>
          <w:color w:val="auto"/>
        </w:rPr>
      </w:pPr>
      <w:r>
        <w:rPr>
          <w:rFonts w:ascii="Times New Roman" w:cs="Times New Roman" w:eastAsia="Times New Roman" w:hAnsi="Times New Roman"/>
          <w:sz w:val="13"/>
          <w:szCs w:val="13"/>
          <w:color w:val="auto"/>
        </w:rPr>
        <w:t>If you have exercised the Performance Lock on a Shield Option, the amount that is available before the Term End Date for annuitization, death benefits, withdrawals, and Surrenders will be the Performance Lock Value. Any withdrawals taken after exercising the Performance Lock will reduce the Performance Lock Value by the dollar amount of the withdrawal.</w:t>
      </w:r>
    </w:p>
    <w:p>
      <w:pPr>
        <w:spacing w:after="0" w:line="52" w:lineRule="exact"/>
        <w:rPr>
          <w:sz w:val="20"/>
          <w:szCs w:val="20"/>
          <w:color w:val="auto"/>
        </w:rPr>
      </w:pPr>
    </w:p>
    <w:p>
      <w:pPr>
        <w:jc w:val="both"/>
        <w:ind w:right="3199" w:firstLine="265"/>
        <w:spacing w:after="0" w:line="272" w:lineRule="auto"/>
        <w:rPr>
          <w:sz w:val="20"/>
          <w:szCs w:val="20"/>
          <w:color w:val="auto"/>
        </w:rPr>
      </w:pPr>
      <w:r>
        <w:rPr>
          <w:rFonts w:ascii="Times New Roman" w:cs="Times New Roman" w:eastAsia="Times New Roman" w:hAnsi="Times New Roman"/>
          <w:sz w:val="13"/>
          <w:szCs w:val="13"/>
          <w:color w:val="auto"/>
        </w:rPr>
        <w:t>There may not be an optimal time to exercise the Performance Lock on a Shield Option. We will not advise you as to whether you should or should not exercise the Performance Lock, or the optimal time for doing so. You should ask your financial professional before exercising the Performance Lock on a Shield Option.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Cybersecurity and Certain Business Continuity Risks</w:t>
      </w:r>
    </w:p>
    <w:p>
      <w:pPr>
        <w:spacing w:after="0" w:line="91" w:lineRule="exact"/>
        <w:rPr>
          <w:sz w:val="20"/>
          <w:szCs w:val="20"/>
          <w:color w:val="auto"/>
        </w:rPr>
      </w:pPr>
    </w:p>
    <w:p>
      <w:pPr>
        <w:jc w:val="both"/>
        <w:ind w:right="3199" w:firstLine="265"/>
        <w:spacing w:after="0" w:line="258" w:lineRule="auto"/>
        <w:rPr>
          <w:sz w:val="20"/>
          <w:szCs w:val="20"/>
          <w:color w:val="auto"/>
        </w:rPr>
      </w:pPr>
      <w:r>
        <w:rPr>
          <w:rFonts w:ascii="Times New Roman" w:cs="Times New Roman" w:eastAsia="Times New Roman" w:hAnsi="Times New Roman"/>
          <w:sz w:val="13"/>
          <w:szCs w:val="13"/>
          <w:color w:val="auto"/>
        </w:rPr>
        <w:t>Our business is largely conducted through complex information technology and communications systems operated by us and our service providers and business partners (e.g., the firms involved in the distribution and sale of our products). Our operations rely on the secure processing, storage and transmission of data and confidential and other information in our systems and the systems of third-party service providers. We have established administrative and technical controls and business continuity and resilience plans to protect our operations against attempts by unauthorized third parties to improperly access, modify, disrupt the operation of, or prevent access to critical networks or systems or data within them (a “cyber-attack”). Despite these protocols, the techniques used to attack systems and networks change frequently, are becoming more sophisticated, and can originate from a wide variety of sources including internal actors (through malicious or accidental acts), terrorists, nation states, financially or politically motivated actors, or other third parties, such as external service providers. Furthermore, the rapid evolution and increased adoption of artificial intelligence technologies may intensify our cybersecurity risks, including the deployment of artificial intelligence technologies by malicious third parties and threat</w:t>
      </w:r>
    </w:p>
    <w:p>
      <w:pPr>
        <w:spacing w:after="0" w:line="19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color w:val="auto"/>
        </w:rPr>
        <w:t>21</w:t>
      </w:r>
    </w:p>
    <w:p>
      <w:pPr>
        <w:sectPr>
          <w:pgSz w:w="11900" w:h="16838" w:orient="portrait"/>
          <w:cols w:equalWidth="0" w:num="1">
            <w:col w:w="9259"/>
          </w:cols>
          <w:pgMar w:left="1200" w:top="1049" w:right="1440" w:bottom="1440" w:gutter="0" w:footer="0" w:header="0"/>
        </w:sectPr>
      </w:pPr>
    </w:p>
    <w:bookmarkStart w:id="23" w:name="page24"/>
    <w:bookmarkEnd w:id="23"/>
    <w:p>
      <w:pPr>
        <w:jc w:val="both"/>
        <w:ind w:right="3199"/>
        <w:spacing w:after="0" w:line="27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93915" cy="38100"/>
                    </a:xfrm>
                    <a:prstGeom prst="rect">
                      <a:avLst/>
                    </a:prstGeom>
                    <a:noFill/>
                  </pic:spPr>
                </pic:pic>
              </a:graphicData>
            </a:graphic>
          </wp:anchor>
        </w:drawing>
        <w:t>actors that may increase in sophistication and effectiveness in the future. There may be an increased risk of cyber-attacks that may adversely disrupt or degrade our operations and compromise our data during periods of geo-political or military conflict.</w:t>
      </w:r>
    </w:p>
    <w:p>
      <w:pPr>
        <w:spacing w:after="0" w:line="57" w:lineRule="exact"/>
        <w:rPr>
          <w:sz w:val="20"/>
          <w:szCs w:val="20"/>
          <w:color w:val="auto"/>
        </w:rPr>
      </w:pPr>
    </w:p>
    <w:p>
      <w:pPr>
        <w:jc w:val="both"/>
        <w:ind w:right="3179" w:firstLine="265"/>
        <w:spacing w:after="0" w:line="256" w:lineRule="auto"/>
        <w:rPr>
          <w:sz w:val="20"/>
          <w:szCs w:val="20"/>
          <w:color w:val="auto"/>
        </w:rPr>
      </w:pPr>
      <w:r>
        <w:rPr>
          <w:rFonts w:ascii="Times New Roman" w:cs="Times New Roman" w:eastAsia="Times New Roman" w:hAnsi="Times New Roman"/>
          <w:sz w:val="13"/>
          <w:szCs w:val="13"/>
          <w:color w:val="auto"/>
        </w:rPr>
        <w:t>A cyber-attack or unanticipated problems with, or failures, of, our disaster recovery systems and business continuity plans could have a material, negative impact on our ability to conduct business and on our financial condition and operations, as well on individual Owners and their Contracts. Our operations also could be negatively impacted by a cyber-attack affecting a third party, such as a service provider, business partner, another participant in the financial markets or a governmental or regulatory authority. Potential attacks can occur through a variety of sources, including, but not limited to, phishing attacks, account takeover attempts, the introduction of computer viruses or malicious code, ransomware or other extortion tactics, denial of service attacks, credential stuffing, and other computer-related penetrations. Hardware, software or applications developed by us or received from third parties may contain exploitable vulnerabilities, bugs, or defects in design, maintenance or manufacture or other issues that could compromise information and cybersecurity. Malicious actors may attempt to fraudulently induce employees, customers, or other users of our systems to disclose credentials or other similar sensitive information in order to gain access to our systems or data, or that of our customers, through social engineering, phishing, mobile phone malware, and other methods. Disruptions or failures to our operations, systems and networks can originate from a wide variety of sources including, but not limited to, a disaster such as a natural catastrophe, epidemic or pandemic crisis, military or terrorist actions, cyber-attack, and unanticipated problems with our or our service providers’ disaster recovery systems (and the disaster recovery systems of such vendors’ suppliers, vendors, or subcontractors). Such disasters and events may adversely affect our ability to conduct business or administer the contract.</w:t>
      </w:r>
    </w:p>
    <w:p>
      <w:pPr>
        <w:spacing w:after="0" w:line="66" w:lineRule="exact"/>
        <w:rPr>
          <w:sz w:val="20"/>
          <w:szCs w:val="20"/>
          <w:color w:val="auto"/>
        </w:rPr>
      </w:pPr>
    </w:p>
    <w:p>
      <w:pPr>
        <w:jc w:val="both"/>
        <w:ind w:right="3199" w:firstLine="265"/>
        <w:spacing w:after="0" w:line="258" w:lineRule="auto"/>
        <w:rPr>
          <w:sz w:val="20"/>
          <w:szCs w:val="20"/>
          <w:color w:val="auto"/>
        </w:rPr>
      </w:pPr>
      <w:r>
        <w:rPr>
          <w:rFonts w:ascii="Times New Roman" w:cs="Times New Roman" w:eastAsia="Times New Roman" w:hAnsi="Times New Roman"/>
          <w:sz w:val="13"/>
          <w:szCs w:val="13"/>
          <w:color w:val="auto"/>
        </w:rPr>
        <w:t>Cyber-attacks, disruptions or failures to our business operations could result in regulatory fines or sanctions, litigation, penalties or financial losses, reputational harm, loss of customers, and/or otherwise adversely affect our business. Such events could also interfere with our processing of Contract transactions, including the processing of transfer orders from our website; impact our ability to calculate Contract values; cause the release and/or possible loss, misappropriation or corruption of data or confidential Owner or business information; or impede order processing or cause other operational issues. There can be no assurance that we or our service providers will be able to detect, prevent, or avoid cyber-attacks, disruptions, or failures affecting your Contract in the future. Although we continually make efforts to identify and reduce our exposure to cybersecurity risk, there is no guarantee that we will be able to successfully identify, manage, and mitigate this risk at all times. Furthermore, we cannot control the cybersecurity plans and systems implemented by third parties, including service providers.</w:t>
      </w:r>
    </w:p>
    <w:p>
      <w:pPr>
        <w:spacing w:after="0" w:line="216"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3"/>
          <w:szCs w:val="13"/>
          <w:b w:val="1"/>
          <w:bCs w:val="1"/>
          <w:color w:val="auto"/>
        </w:rPr>
        <w:t>THE ANNUITY CONTRACT</w:t>
      </w:r>
    </w:p>
    <w:p>
      <w:pPr>
        <w:spacing w:after="0" w:line="78" w:lineRule="exact"/>
        <w:rPr>
          <w:sz w:val="20"/>
          <w:szCs w:val="20"/>
          <w:color w:val="auto"/>
        </w:rPr>
      </w:pPr>
    </w:p>
    <w:p>
      <w:pPr>
        <w:jc w:val="both"/>
        <w:ind w:right="3199" w:firstLine="265"/>
        <w:spacing w:after="0" w:line="236" w:lineRule="auto"/>
        <w:rPr>
          <w:sz w:val="20"/>
          <w:szCs w:val="20"/>
          <w:color w:val="auto"/>
        </w:rPr>
      </w:pPr>
      <w:r>
        <w:rPr>
          <w:rFonts w:ascii="Times New Roman" w:cs="Times New Roman" w:eastAsia="Times New Roman" w:hAnsi="Times New Roman"/>
          <w:sz w:val="13"/>
          <w:szCs w:val="13"/>
          <w:color w:val="auto"/>
        </w:rPr>
        <w:t>This prospectus describes the Brighthouse Shield</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Level II 6-Year Annuity issued by us and describes all the material features of the Contract. The Brighthouse Shield</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Level II 6-Year Annuity is a contract between you as the Owner, and us, the insurance company, where you agree to make a Purchase Payment to us and we agree to make a series of payments at a later date you select (the “Annuity Date”).</w:t>
      </w:r>
    </w:p>
    <w:p>
      <w:pPr>
        <w:spacing w:after="0" w:line="68" w:lineRule="exact"/>
        <w:rPr>
          <w:sz w:val="20"/>
          <w:szCs w:val="20"/>
          <w:color w:val="auto"/>
        </w:rPr>
      </w:pPr>
    </w:p>
    <w:p>
      <w:pPr>
        <w:jc w:val="both"/>
        <w:ind w:right="3199" w:firstLine="265"/>
        <w:spacing w:after="0" w:line="290" w:lineRule="auto"/>
        <w:rPr>
          <w:sz w:val="20"/>
          <w:szCs w:val="20"/>
          <w:color w:val="auto"/>
        </w:rPr>
      </w:pPr>
      <w:r>
        <w:rPr>
          <w:rFonts w:ascii="Times New Roman" w:cs="Times New Roman" w:eastAsia="Times New Roman" w:hAnsi="Times New Roman"/>
          <w:sz w:val="13"/>
          <w:szCs w:val="13"/>
          <w:color w:val="auto"/>
        </w:rPr>
        <w:t>The maximum issue age for this Contract is 85. This means we will only issue a Contract to someone age 85 or younger on the Issue Date (age 80 or younger with the Return of Premium Death Benefit).</w:t>
      </w:r>
    </w:p>
    <w:p>
      <w:pPr>
        <w:spacing w:after="0" w:line="36" w:lineRule="exact"/>
        <w:rPr>
          <w:sz w:val="20"/>
          <w:szCs w:val="20"/>
          <w:color w:val="auto"/>
        </w:rPr>
      </w:pPr>
    </w:p>
    <w:p>
      <w:pPr>
        <w:jc w:val="both"/>
        <w:ind w:right="3199" w:firstLine="265"/>
        <w:spacing w:after="0" w:line="263" w:lineRule="auto"/>
        <w:rPr>
          <w:sz w:val="20"/>
          <w:szCs w:val="20"/>
          <w:color w:val="auto"/>
        </w:rPr>
      </w:pPr>
      <w:r>
        <w:rPr>
          <w:rFonts w:ascii="Times New Roman" w:cs="Times New Roman" w:eastAsia="Times New Roman" w:hAnsi="Times New Roman"/>
          <w:sz w:val="13"/>
          <w:szCs w:val="13"/>
          <w:color w:val="auto"/>
        </w:rPr>
        <w:t>When you purchase the Contract, you can choose one or more of the available Shield Options and the Fixed Account. A Purchase Payment applied to the Shield Options is allocated to the Separate Account. You do not share in the investment performance of assets allocated to the Separate Account. We are obligated to pay all money we owe under the Contract, including death benefits and Annuity Payments. These amounts are not guaranteed by any other party. (See “THE SEPARATE ACCOUNT.”)</w:t>
      </w:r>
    </w:p>
    <w:p>
      <w:pPr>
        <w:spacing w:after="0" w:line="54" w:lineRule="exact"/>
        <w:rPr>
          <w:sz w:val="20"/>
          <w:szCs w:val="20"/>
          <w:color w:val="auto"/>
        </w:rPr>
      </w:pPr>
    </w:p>
    <w:p>
      <w:pPr>
        <w:jc w:val="both"/>
        <w:ind w:right="3199" w:firstLine="265"/>
        <w:spacing w:after="0" w:line="259" w:lineRule="auto"/>
        <w:rPr>
          <w:sz w:val="20"/>
          <w:szCs w:val="20"/>
          <w:color w:val="auto"/>
        </w:rPr>
      </w:pPr>
      <w:r>
        <w:rPr>
          <w:rFonts w:ascii="Times New Roman" w:cs="Times New Roman" w:eastAsia="Times New Roman" w:hAnsi="Times New Roman"/>
          <w:sz w:val="13"/>
          <w:szCs w:val="13"/>
          <w:color w:val="auto"/>
        </w:rPr>
        <w:t>The Contract is intended for retirement savings or other long-term investment purposes. The Contract has features and benefits that may be appropriate for you based on your financial situation and objectives, but we are not a fiduciary and do not provide investment advice or make recommendations regarding insurance or investment products, or any securities transactions or investment strategies involving securities. You should ask your financial professional for guidance as to whether this Contract may be appropriate for you. Please bear in mind that your financial professional, or any financial firm or financial professional with whom you consult for advice, acts on your behalf, not ours. We are not party to any agreement between you and your financial professional. See “DISTRIBUTION OF THE CONTRACTS” for information on firms that sell the Contract.</w:t>
      </w:r>
    </w:p>
    <w:p>
      <w:pPr>
        <w:spacing w:after="0" w:line="59" w:lineRule="exact"/>
        <w:rPr>
          <w:sz w:val="20"/>
          <w:szCs w:val="20"/>
          <w:color w:val="auto"/>
        </w:rPr>
      </w:pPr>
    </w:p>
    <w:p>
      <w:pPr>
        <w:jc w:val="both"/>
        <w:ind w:right="3199" w:firstLine="265"/>
        <w:spacing w:after="0" w:line="263" w:lineRule="auto"/>
        <w:rPr>
          <w:sz w:val="20"/>
          <w:szCs w:val="20"/>
          <w:color w:val="auto"/>
        </w:rPr>
      </w:pPr>
      <w:r>
        <w:rPr>
          <w:rFonts w:ascii="Times New Roman" w:cs="Times New Roman" w:eastAsia="Times New Roman" w:hAnsi="Times New Roman"/>
          <w:sz w:val="13"/>
          <w:szCs w:val="13"/>
          <w:color w:val="auto"/>
        </w:rPr>
        <w:t>The Contract benefits from tax deferral. Tax deferral means that you are not taxed on Account Value or appreciation on the assets in your Contract until you take money out of your Contract. Non-qualified annuity Contracts (which are not retirement plans) owned by a non-natural person such as a corporation or certain other legal entities (other than a trust that holds the Contract as an agent for a natural person), do not receive tax deferral on earnings. In addition, for any tax qualified</w:t>
      </w:r>
    </w:p>
    <w:p>
      <w:pPr>
        <w:spacing w:after="0" w:line="183"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color w:val="auto"/>
        </w:rPr>
        <w:t>22</w:t>
      </w:r>
    </w:p>
    <w:p>
      <w:pPr>
        <w:sectPr>
          <w:pgSz w:w="11900" w:h="16838" w:orient="portrait"/>
          <w:cols w:equalWidth="0" w:num="1">
            <w:col w:w="9259"/>
          </w:cols>
          <w:pgMar w:left="1200" w:top="1049" w:right="1440" w:bottom="1440" w:gutter="0" w:footer="0" w:header="0"/>
        </w:sectPr>
      </w:pPr>
    </w:p>
    <w:bookmarkStart w:id="24" w:name="page25"/>
    <w:bookmarkEnd w:id="24"/>
    <w:p>
      <w:pPr>
        <w:jc w:val="both"/>
        <w:ind w:right="3199"/>
        <w:spacing w:after="0" w:line="27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3915" cy="38100"/>
                    </a:xfrm>
                    <a:prstGeom prst="rect">
                      <a:avLst/>
                    </a:prstGeom>
                    <a:noFill/>
                  </pic:spPr>
                </pic:pic>
              </a:graphicData>
            </a:graphic>
          </wp:anchor>
        </w:drawing>
        <w:t>account (e.g., an IRA), the tax deferred accrual feature is provided by the tax qualified retirement plan. Therefore, there should be reasons other than tax deferral for acquiring the Contract by a corporation, certain legal entities or within a qualified plan. (See “FEDERAL TAX CONSIDERATIONS.”)</w:t>
      </w:r>
    </w:p>
    <w:p>
      <w:pPr>
        <w:spacing w:after="0" w:line="47" w:lineRule="exact"/>
        <w:rPr>
          <w:sz w:val="20"/>
          <w:szCs w:val="20"/>
          <w:color w:val="auto"/>
        </w:rPr>
      </w:pPr>
    </w:p>
    <w:p>
      <w:pPr>
        <w:jc w:val="both"/>
        <w:ind w:right="3199" w:firstLine="265"/>
        <w:spacing w:after="0" w:line="258" w:lineRule="auto"/>
        <w:rPr>
          <w:sz w:val="20"/>
          <w:szCs w:val="20"/>
          <w:color w:val="auto"/>
        </w:rPr>
      </w:pPr>
      <w:r>
        <w:rPr>
          <w:rFonts w:ascii="Times New Roman" w:cs="Times New Roman" w:eastAsia="Times New Roman" w:hAnsi="Times New Roman"/>
          <w:sz w:val="13"/>
          <w:szCs w:val="13"/>
          <w:color w:val="auto"/>
        </w:rPr>
        <w:t>Currently, a Fixed Account is available. However, the Fixed Account may not always be available. You should consult your financial professional for information regarding the Fixed Account, if available. See “THE FIXED ACCOUNT and Appendix E for certain information regarding the Fixed Account. The Fixed Account offers an interest rate that is guaranteed by us. The minimum interest rate depends on the date your Contract is issued and will not be less than 1% annually. Your financial professional can tell you the current and minimum interest rates that apply. If you select the Fixed Account, your money will be placed with our other General Account assets, and the amount of money you are able to accumulate in your Contract during the Accumulation Period depends upon the total interest credited to your Contract. The Fixed Account is part of our General Account. Our General Account consists of all assets owned by us other than those in the Separate Account and our other separate accounts. We have sole discretion over the investment of assets in the General Account and the Separate Account. If you select an Annuity Option, payments are made from our General Account assets.</w:t>
      </w:r>
    </w:p>
    <w:p>
      <w:pPr>
        <w:spacing w:after="0" w:line="58" w:lineRule="exact"/>
        <w:rPr>
          <w:sz w:val="20"/>
          <w:szCs w:val="20"/>
          <w:color w:val="auto"/>
        </w:rPr>
      </w:pPr>
    </w:p>
    <w:p>
      <w:pPr>
        <w:jc w:val="both"/>
        <w:ind w:right="3199" w:firstLine="265"/>
        <w:spacing w:after="0" w:line="258" w:lineRule="auto"/>
        <w:rPr>
          <w:sz w:val="20"/>
          <w:szCs w:val="20"/>
          <w:color w:val="auto"/>
        </w:rPr>
      </w:pPr>
      <w:r>
        <w:rPr>
          <w:rFonts w:ascii="Times New Roman" w:cs="Times New Roman" w:eastAsia="Times New Roman" w:hAnsi="Times New Roman"/>
          <w:sz w:val="13"/>
          <w:szCs w:val="13"/>
          <w:color w:val="auto"/>
        </w:rPr>
        <w:t>The Holding Account is a limited purpose account and only under certain circumstances will we transfer amounts to the Holding Account. (See Appendix F for a full description of the Holding Account). You may not allocate your Purchase Payment or Account Value to the Holding Account. Amounts will remain in the Holding Account until you provide us new allocation instructions. Once we receive allocation instructions from you, we will transfer the amounts in the Holding Account to the Shield Option(s) on the next Contract Anniversary. The Holding Account has its own Holding Account interest rate and interest is credited daily at an effective annual rate that we declare periodically. The Holding Account guaranteed minimum interest rate will not be less than 1%. The Holding Account guaranteed minimum interest rate can be found in the Contract specifications pages. Your financial professional can tell you the current and minimum interest rates that apply. We reserve the right to change the Holding Account interest rate.</w:t>
      </w:r>
    </w:p>
    <w:p>
      <w:pPr>
        <w:spacing w:after="0" w:line="60" w:lineRule="exact"/>
        <w:rPr>
          <w:sz w:val="20"/>
          <w:szCs w:val="20"/>
          <w:color w:val="auto"/>
        </w:rPr>
      </w:pPr>
    </w:p>
    <w:p>
      <w:pPr>
        <w:jc w:val="both"/>
        <w:ind w:right="3199" w:firstLine="265"/>
        <w:spacing w:after="0" w:line="272" w:lineRule="auto"/>
        <w:rPr>
          <w:sz w:val="20"/>
          <w:szCs w:val="20"/>
          <w:color w:val="auto"/>
        </w:rPr>
      </w:pPr>
      <w:r>
        <w:rPr>
          <w:rFonts w:ascii="Times New Roman" w:cs="Times New Roman" w:eastAsia="Times New Roman" w:hAnsi="Times New Roman"/>
          <w:sz w:val="13"/>
          <w:szCs w:val="13"/>
          <w:color w:val="auto"/>
        </w:rPr>
        <w:t>The amount of the Annuity Payments you receive during the Annuity Period from an Annuity Payment option will remain level for the entire Annuity Period, subject to the payout chosen. (See “ANNUITY PAYMENTS (THE ANNUITY PERIOD)” for more information.)</w:t>
      </w:r>
    </w:p>
    <w:p>
      <w:pPr>
        <w:spacing w:after="0" w:line="47" w:lineRule="exact"/>
        <w:rPr>
          <w:sz w:val="20"/>
          <w:szCs w:val="20"/>
          <w:color w:val="auto"/>
        </w:rPr>
      </w:pPr>
    </w:p>
    <w:p>
      <w:pPr>
        <w:jc w:val="both"/>
        <w:ind w:right="3199" w:firstLine="265"/>
        <w:spacing w:after="0" w:line="272" w:lineRule="auto"/>
        <w:rPr>
          <w:sz w:val="20"/>
          <w:szCs w:val="20"/>
          <w:color w:val="auto"/>
        </w:rPr>
      </w:pPr>
      <w:r>
        <w:rPr>
          <w:rFonts w:ascii="Times New Roman" w:cs="Times New Roman" w:eastAsia="Times New Roman" w:hAnsi="Times New Roman"/>
          <w:sz w:val="13"/>
          <w:szCs w:val="13"/>
          <w:color w:val="auto"/>
        </w:rPr>
        <w:t>As Owner, you exercise all interests and rights under the Contract. You can change the Owner at any time, subject to our underwriting requirements. The Contract may be owned generally by Joint Owners (limited to natural persons). (See “OWNERSHIP PROVISIONS.”)</w:t>
      </w:r>
    </w:p>
    <w:p>
      <w:pPr>
        <w:spacing w:after="0" w:line="47" w:lineRule="exact"/>
        <w:rPr>
          <w:sz w:val="20"/>
          <w:szCs w:val="20"/>
          <w:color w:val="auto"/>
        </w:rPr>
      </w:pPr>
    </w:p>
    <w:p>
      <w:pPr>
        <w:jc w:val="both"/>
        <w:ind w:right="3199" w:firstLine="265"/>
        <w:spacing w:after="0" w:line="290" w:lineRule="auto"/>
        <w:rPr>
          <w:sz w:val="20"/>
          <w:szCs w:val="20"/>
          <w:color w:val="auto"/>
        </w:rPr>
      </w:pPr>
      <w:r>
        <w:rPr>
          <w:rFonts w:ascii="Times New Roman" w:cs="Times New Roman" w:eastAsia="Times New Roman" w:hAnsi="Times New Roman"/>
          <w:sz w:val="13"/>
          <w:szCs w:val="13"/>
          <w:color w:val="auto"/>
        </w:rPr>
        <w:t>Any Internal Revenue Code reference to “spouse” includes those persons who are married spouses under state law, regardless of sex.</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Replacement of Contracts</w:t>
      </w:r>
    </w:p>
    <w:p>
      <w:pPr>
        <w:spacing w:after="0" w:line="89" w:lineRule="exact"/>
        <w:rPr>
          <w:sz w:val="20"/>
          <w:szCs w:val="20"/>
          <w:color w:val="auto"/>
        </w:rPr>
      </w:pPr>
    </w:p>
    <w:p>
      <w:pPr>
        <w:jc w:val="both"/>
        <w:ind w:right="3199" w:firstLine="265"/>
        <w:spacing w:after="0" w:line="259" w:lineRule="auto"/>
        <w:rPr>
          <w:sz w:val="20"/>
          <w:szCs w:val="20"/>
          <w:color w:val="auto"/>
        </w:rPr>
      </w:pPr>
      <w:r>
        <w:rPr>
          <w:rFonts w:ascii="Times New Roman" w:cs="Times New Roman" w:eastAsia="Times New Roman" w:hAnsi="Times New Roman"/>
          <w:sz w:val="13"/>
          <w:szCs w:val="13"/>
          <w:b w:val="1"/>
          <w:bCs w:val="1"/>
          <w:color w:val="auto"/>
        </w:rPr>
        <w:t>Exchanges</w:t>
      </w:r>
      <w:r>
        <w:rPr>
          <w:rFonts w:ascii="Times New Roman" w:cs="Times New Roman" w:eastAsia="Times New Roman" w:hAnsi="Times New Roman"/>
          <w:sz w:val="13"/>
          <w:szCs w:val="13"/>
          <w:color w:val="auto"/>
        </w:rPr>
        <w:t>.  Generally you can exchange one non-qualified annuity contract for another in a tax-free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exchange under Section 1035 of the Code. Before making an exchange, you should compare both annuities carefully, including any fees or penalties to terminate the existing contract. If you exchange another annuity for the one described in this prospectus, you might have to pay a withdrawal charge and be subject to an interim value adjustment on your old annuity, and there will be a new Withdrawal Charge period for the Contract. Other charges may be higher (or lower) and the benefits may be different. Also, because we will not issue the Contract until we have received the initial premium from your existing insurance company, the issuance of the Contract may be delayed. Generally, it is not advisable to purchase a Contract as a replacement for an existing annuity contract. Before you exchange another annuity for our Contract, ask your financial professional whether the exchange would be advantageous, given the Contract features, benefits and charges.</w:t>
      </w:r>
    </w:p>
    <w:p>
      <w:pPr>
        <w:spacing w:after="0" w:line="53" w:lineRule="exact"/>
        <w:rPr>
          <w:sz w:val="20"/>
          <w:szCs w:val="20"/>
          <w:color w:val="auto"/>
        </w:rPr>
      </w:pPr>
    </w:p>
    <w:p>
      <w:pPr>
        <w:jc w:val="both"/>
        <w:ind w:right="3199" w:firstLine="265"/>
        <w:spacing w:after="0" w:line="258" w:lineRule="auto"/>
        <w:rPr>
          <w:sz w:val="20"/>
          <w:szCs w:val="20"/>
          <w:color w:val="auto"/>
        </w:rPr>
      </w:pPr>
      <w:r>
        <w:rPr>
          <w:rFonts w:ascii="Times New Roman" w:cs="Times New Roman" w:eastAsia="Times New Roman" w:hAnsi="Times New Roman"/>
          <w:sz w:val="13"/>
          <w:szCs w:val="13"/>
          <w:b w:val="1"/>
          <w:bCs w:val="1"/>
          <w:color w:val="auto"/>
        </w:rPr>
        <w:t>Exchange Programs.</w:t>
      </w:r>
      <w:r>
        <w:rPr>
          <w:rFonts w:ascii="Times New Roman" w:cs="Times New Roman" w:eastAsia="Times New Roman" w:hAnsi="Times New Roman"/>
          <w:sz w:val="13"/>
          <w:szCs w:val="13"/>
          <w:color w:val="auto"/>
        </w:rPr>
        <w:t xml:space="preserve">  From time to time we may make available programs under which certain annuity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contracts previously issued by us or one of our affiliates may be exchanged for the Contracts offered by this prospectus. Currently, with respect to exchanges from certain of our annuity contracts to the Contract, an existing contract is eligible for exchange if a Surrender of the existing contract would not trigger a Withdrawal Charge. The Account Value of this Contract will not be subject to any Withdrawal Charge and be subject to an Interim Value calculation. You should carefully consider whether an exchange is appropriate for you by comparing the benefits and other guarantees provided by the contract you currently own to the benefits and guarantees that would be provided by the new Contract offered by this prospectus. Then, you should compare the fees and charges of your current contract to the fees and charges of the new Contract, which may be higher than your current contract. The programs we offer will be made available on terms and conditions determined by us, and any such programs will comply with applicable law. We believe the exchanges will be tax free for Federal income tax purposes; however, you should consult your tax advisor before making any such exchange.</w:t>
      </w:r>
    </w:p>
    <w:p>
      <w:pPr>
        <w:spacing w:after="0" w:line="19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color w:val="auto"/>
        </w:rPr>
        <w:t>23</w:t>
      </w:r>
    </w:p>
    <w:p>
      <w:pPr>
        <w:sectPr>
          <w:pgSz w:w="11900" w:h="16838" w:orient="portrait"/>
          <w:cols w:equalWidth="0" w:num="1">
            <w:col w:w="9259"/>
          </w:cols>
          <w:pgMar w:left="1200" w:top="1049" w:right="1440" w:bottom="1440" w:gutter="0" w:footer="0" w:header="0"/>
        </w:sectPr>
      </w:pPr>
    </w:p>
    <w:bookmarkStart w:id="25" w:name="page26"/>
    <w:bookmarkEnd w:id="25"/>
    <w:p>
      <w:pPr>
        <w:jc w:val="center"/>
        <w:ind w:right="317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3915" cy="38100"/>
                    </a:xfrm>
                    <a:prstGeom prst="rect">
                      <a:avLst/>
                    </a:prstGeom>
                    <a:noFill/>
                  </pic:spPr>
                </pic:pic>
              </a:graphicData>
            </a:graphic>
          </wp:anchor>
        </w:drawing>
        <w:t>PURCHASE</w:t>
      </w:r>
    </w:p>
    <w:p>
      <w:pPr>
        <w:spacing w:after="0" w:line="101" w:lineRule="exact"/>
        <w:rPr>
          <w:sz w:val="20"/>
          <w:szCs w:val="20"/>
          <w:color w:val="auto"/>
        </w:rPr>
      </w:pPr>
    </w:p>
    <w:p>
      <w:pPr>
        <w:jc w:val="both"/>
        <w:ind w:right="3179" w:firstLine="265"/>
        <w:spacing w:after="0" w:line="257" w:lineRule="auto"/>
        <w:rPr>
          <w:sz w:val="20"/>
          <w:szCs w:val="20"/>
          <w:color w:val="auto"/>
        </w:rPr>
      </w:pPr>
      <w:r>
        <w:rPr>
          <w:rFonts w:ascii="Times New Roman" w:cs="Times New Roman" w:eastAsia="Times New Roman" w:hAnsi="Times New Roman"/>
          <w:sz w:val="13"/>
          <w:szCs w:val="13"/>
          <w:color w:val="auto"/>
        </w:rPr>
        <w:t>The Contract may not be available for purchase through your broker dealer (“selling firm”) during certain periods. There are a number of reasons why the Contract periodically may not be available, including that the insurance company may want to limit the volume of sales of the Contract. You may wish to speak to your financial professional about how this may affect your purchase. For example, you may be required to submit your purchase application in Good Order prior to or on a stipulated date in order to purchase a Contract, and a delay in such process could result in your not being able to purchase a Contract. Additionally, your selling firm may not recommend certain features and options of the Contract, as well as limit the overall availability based on issue age or some other general investor suitability criteria determined by the selling firm. For example, your selling firm may offer the Contract with a lower maximum issue age compared to what other selling firms may offer. Your selling firm may also choose not to recommend certain Shield Options described in this prospectus when your Contract is issued or at the Term End Date. However, at the end of your initial Shield Option Term(s), you may transfer into any Shield Option(s) described under this prospectus, subject to any transfer restrictions (see “TRANSFERS”). Please be aware that your financial professional may not be able to provide you with information or answer questions you may have with regard to those Shield Options or features described in this prospectus that your selling firm does not recommend or make available. Therefore, if you are interested in a Shield Option or feature of the Contract not recommended by your selling firm, you may contact us directly. See “REQUESTS AND ELECTIONS” for specific contact information.</w:t>
      </w:r>
    </w:p>
    <w:p>
      <w:pPr>
        <w:spacing w:after="0" w:line="56" w:lineRule="exact"/>
        <w:rPr>
          <w:sz w:val="20"/>
          <w:szCs w:val="20"/>
          <w:color w:val="auto"/>
        </w:rPr>
      </w:pPr>
    </w:p>
    <w:p>
      <w:pPr>
        <w:jc w:val="both"/>
        <w:ind w:right="3199" w:firstLine="265"/>
        <w:spacing w:after="0" w:line="265" w:lineRule="auto"/>
        <w:rPr>
          <w:sz w:val="20"/>
          <w:szCs w:val="20"/>
          <w:color w:val="auto"/>
        </w:rPr>
      </w:pPr>
      <w:r>
        <w:rPr>
          <w:rFonts w:ascii="Times New Roman" w:cs="Times New Roman" w:eastAsia="Times New Roman" w:hAnsi="Times New Roman"/>
          <w:sz w:val="13"/>
          <w:szCs w:val="13"/>
          <w:color w:val="auto"/>
        </w:rPr>
        <w:t>We offer other individual single premium deferred index-linked annuity contracts. However, not every contract we issue is available through every selling firm. In addition, these other contracts may have different</w:t>
      </w:r>
    </w:p>
    <w:p>
      <w:pPr>
        <w:jc w:val="both"/>
        <w:ind w:right="3199" w:firstLine="265"/>
        <w:spacing w:after="0" w:line="269" w:lineRule="auto"/>
        <w:rPr>
          <w:sz w:val="20"/>
          <w:szCs w:val="20"/>
          <w:color w:val="auto"/>
        </w:rPr>
      </w:pPr>
      <w:r>
        <w:rPr>
          <w:rFonts w:ascii="Times New Roman" w:cs="Times New Roman" w:eastAsia="Times New Roman" w:hAnsi="Times New Roman"/>
          <w:sz w:val="13"/>
          <w:szCs w:val="13"/>
          <w:u w:val="single" w:color="auto"/>
          <w:color w:val="auto"/>
        </w:rPr>
        <w:t>Shield Options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Shield Rates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Cap Rates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Step Rates</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Edge Rates</w:t>
      </w:r>
      <w:r>
        <w:rPr>
          <w:rFonts w:ascii="Times New Roman" w:cs="Times New Roman" w:eastAsia="Times New Roman" w:hAnsi="Times New Roman"/>
          <w:sz w:val="13"/>
          <w:szCs w:val="13"/>
          <w:color w:val="auto"/>
        </w:rPr>
        <w:t>. You may contact us to learn more about the availability of any of our other index-linked annuity contracts.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Purchase Payment</w:t>
      </w:r>
    </w:p>
    <w:p>
      <w:pPr>
        <w:spacing w:after="0" w:line="91" w:lineRule="exact"/>
        <w:rPr>
          <w:sz w:val="20"/>
          <w:szCs w:val="20"/>
          <w:color w:val="auto"/>
        </w:rPr>
      </w:pPr>
    </w:p>
    <w:p>
      <w:pPr>
        <w:jc w:val="both"/>
        <w:ind w:right="3199" w:firstLine="265"/>
        <w:spacing w:after="0" w:line="290" w:lineRule="auto"/>
        <w:rPr>
          <w:sz w:val="20"/>
          <w:szCs w:val="20"/>
          <w:color w:val="auto"/>
        </w:rPr>
      </w:pPr>
      <w:r>
        <w:rPr>
          <w:rFonts w:ascii="Times New Roman" w:cs="Times New Roman" w:eastAsia="Times New Roman" w:hAnsi="Times New Roman"/>
          <w:sz w:val="13"/>
          <w:szCs w:val="13"/>
          <w:color w:val="auto"/>
        </w:rPr>
        <w:t>A Purchase Payment is the total amount of money you give us to invest in the Contract. The Purchase Payment is due on the date the Contract is issued.</w:t>
      </w:r>
    </w:p>
    <w:p>
      <w:pPr>
        <w:spacing w:after="0" w:line="36" w:lineRule="exact"/>
        <w:rPr>
          <w:sz w:val="20"/>
          <w:szCs w:val="20"/>
          <w:color w:val="auto"/>
        </w:rPr>
      </w:pPr>
    </w:p>
    <w:p>
      <w:pPr>
        <w:ind w:left="420" w:hanging="157"/>
        <w:spacing w:after="0"/>
        <w:tabs>
          <w:tab w:leader="none" w:pos="4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minimum Purchase Payment we will accept is $25,000.</w:t>
      </w:r>
    </w:p>
    <w:p>
      <w:pPr>
        <w:spacing w:after="0" w:line="88" w:lineRule="exact"/>
        <w:rPr>
          <w:rFonts w:ascii="Times New Roman" w:cs="Times New Roman" w:eastAsia="Times New Roman" w:hAnsi="Times New Roman"/>
          <w:sz w:val="13"/>
          <w:szCs w:val="13"/>
          <w:color w:val="auto"/>
        </w:rPr>
      </w:pPr>
    </w:p>
    <w:p>
      <w:pPr>
        <w:ind w:left="420" w:right="3259" w:hanging="157"/>
        <w:spacing w:after="0" w:line="290" w:lineRule="auto"/>
        <w:tabs>
          <w:tab w:leader="none" w:pos="4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you want to make a Purchase Payment of less than $25,000 or $1,000,000 or more, you will need our prior approval.</w:t>
      </w:r>
    </w:p>
    <w:p>
      <w:pPr>
        <w:spacing w:after="0" w:line="35" w:lineRule="exact"/>
        <w:rPr>
          <w:rFonts w:ascii="Times New Roman" w:cs="Times New Roman" w:eastAsia="Times New Roman" w:hAnsi="Times New Roman"/>
          <w:sz w:val="13"/>
          <w:szCs w:val="13"/>
          <w:color w:val="auto"/>
        </w:rPr>
      </w:pPr>
    </w:p>
    <w:p>
      <w:pPr>
        <w:jc w:val="both"/>
        <w:ind w:left="420" w:right="3259" w:hanging="157"/>
        <w:spacing w:after="0" w:line="272" w:lineRule="auto"/>
        <w:tabs>
          <w:tab w:leader="none" w:pos="4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reserve the right to refuse a Purchase Payment made via a personal check in excess of $100,000. A Purchase Payment over $100,000 may be accepted in other forms, including, but not limited to, EFT/wire transfers, certified checks, corporate checks, and checks written on financial institutions.</w:t>
      </w:r>
    </w:p>
    <w:p>
      <w:pPr>
        <w:spacing w:after="0" w:line="47" w:lineRule="exact"/>
        <w:rPr>
          <w:rFonts w:ascii="Times New Roman" w:cs="Times New Roman" w:eastAsia="Times New Roman" w:hAnsi="Times New Roman"/>
          <w:sz w:val="13"/>
          <w:szCs w:val="13"/>
          <w:color w:val="auto"/>
        </w:rPr>
      </w:pPr>
    </w:p>
    <w:p>
      <w:pPr>
        <w:ind w:left="420" w:hanging="157"/>
        <w:spacing w:after="0"/>
        <w:tabs>
          <w:tab w:leader="none" w:pos="4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will not accept a Purchase Payment made with cash, money orders, or travelers checks.</w:t>
      </w:r>
    </w:p>
    <w:p>
      <w:pPr>
        <w:spacing w:after="0" w:line="88" w:lineRule="exact"/>
        <w:rPr>
          <w:rFonts w:ascii="Times New Roman" w:cs="Times New Roman" w:eastAsia="Times New Roman" w:hAnsi="Times New Roman"/>
          <w:sz w:val="13"/>
          <w:szCs w:val="13"/>
          <w:color w:val="auto"/>
        </w:rPr>
      </w:pPr>
    </w:p>
    <w:p>
      <w:pPr>
        <w:jc w:val="both"/>
        <w:ind w:left="420" w:right="3259" w:hanging="157"/>
        <w:spacing w:after="0" w:line="272" w:lineRule="auto"/>
        <w:tabs>
          <w:tab w:leader="none" w:pos="4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Corporations and other legal entities we approve, may purchase the Contract; however, we will not accept a Purchase Payment made by a corporation or other legal entity (other than a trust that holds the Contract as agent for a natural person) to fund any type of qualified or non-qualified retirement plan.</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We reserve the right to reject any application.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Allocation of the Purchase Payment</w:t>
      </w:r>
    </w:p>
    <w:p>
      <w:pPr>
        <w:spacing w:after="0" w:line="91" w:lineRule="exact"/>
        <w:rPr>
          <w:sz w:val="20"/>
          <w:szCs w:val="20"/>
          <w:color w:val="auto"/>
        </w:rPr>
      </w:pPr>
    </w:p>
    <w:p>
      <w:pPr>
        <w:jc w:val="both"/>
        <w:ind w:right="3199" w:firstLine="265"/>
        <w:spacing w:after="0" w:line="262" w:lineRule="auto"/>
        <w:rPr>
          <w:sz w:val="20"/>
          <w:szCs w:val="20"/>
          <w:color w:val="auto"/>
        </w:rPr>
      </w:pPr>
      <w:r>
        <w:rPr>
          <w:rFonts w:ascii="Times New Roman" w:cs="Times New Roman" w:eastAsia="Times New Roman" w:hAnsi="Times New Roman"/>
          <w:sz w:val="13"/>
          <w:szCs w:val="13"/>
          <w:color w:val="auto"/>
        </w:rPr>
        <w:t>You may allocate your Purchase Payment to one or more of the available Shield Options or into the Fixed Account. On your Issue Date, your Purchase Payment is allocated to the Shield Option(s) and/or the Fixed Account, as you specified on the application, unless we receive Notice of any changes from you before we have issued your Contract. All allocations must be in whole percentages that total 100% or in whole dollars. Once your Purchase Payment is allocated to the Shield Options and/or the Fixed Account, they become part of your Account Value.</w:t>
      </w:r>
    </w:p>
    <w:p>
      <w:pPr>
        <w:spacing w:after="0" w:line="372"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3"/>
          <w:szCs w:val="13"/>
          <w:b w:val="1"/>
          <w:bCs w:val="1"/>
          <w:color w:val="auto"/>
        </w:rPr>
        <w:t>SHIELD OPTIONS</w:t>
      </w:r>
    </w:p>
    <w:p>
      <w:pPr>
        <w:spacing w:after="0" w:line="78" w:lineRule="exact"/>
        <w:rPr>
          <w:sz w:val="20"/>
          <w:szCs w:val="20"/>
          <w:color w:val="auto"/>
        </w:rPr>
      </w:pPr>
    </w:p>
    <w:p>
      <w:pPr>
        <w:jc w:val="both"/>
        <w:ind w:right="3179" w:firstLine="265"/>
        <w:spacing w:after="0" w:line="253" w:lineRule="auto"/>
        <w:rPr>
          <w:sz w:val="20"/>
          <w:szCs w:val="20"/>
          <w:color w:val="auto"/>
        </w:rPr>
      </w:pPr>
      <w:r>
        <w:rPr>
          <w:rFonts w:ascii="Times New Roman" w:cs="Times New Roman" w:eastAsia="Times New Roman" w:hAnsi="Times New Roman"/>
          <w:sz w:val="13"/>
          <w:szCs w:val="13"/>
          <w:color w:val="auto"/>
        </w:rPr>
        <w:t>The Brighthouse Shield</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Level II 6-Year Annuity is not a variable annuity where your account value varies based on the investment performance of the underlying portfolios you choose, rather the Shield Options offer potential interest based upon index performance. This potential interest—the Performance Rate Adjustment—may be a positive or negative percentage or zero. You may allocate your Purchase Payment to one or more of the available Shield Options and the Fixed Account. When you allocate your Purchase Payment to a Shield Option(s), you will not be investing in the Index or the securities tracked by the Index for the Shield Options you select, or in a mutual fund or exchange traded fund that also tracks the Index. Based upon the Index Performance of the Index associated with the Shield Option, a Performance Rate Adjustment will be applied to the Investment Amount in that Shield Option on the Term End Date. Given that Index Performance may be positive, zero or</w:t>
      </w:r>
    </w:p>
    <w:p>
      <w:pPr>
        <w:spacing w:after="0" w:line="19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color w:val="auto"/>
        </w:rPr>
        <w:t>24</w:t>
      </w:r>
    </w:p>
    <w:p>
      <w:pPr>
        <w:sectPr>
          <w:pgSz w:w="11900" w:h="16838" w:orient="portrait"/>
          <w:cols w:equalWidth="0" w:num="1">
            <w:col w:w="9259"/>
          </w:cols>
          <w:pgMar w:left="1200" w:top="1047" w:right="1440" w:bottom="1440" w:gutter="0" w:footer="0" w:header="0"/>
        </w:sectPr>
      </w:pPr>
    </w:p>
    <w:bookmarkStart w:id="26" w:name="page27"/>
    <w:bookmarkEnd w:id="26"/>
    <w:p>
      <w:pPr>
        <w:jc w:val="both"/>
        <w:ind w:right="3199"/>
        <w:spacing w:after="0" w:line="26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3915" cy="38100"/>
                    </a:xfrm>
                    <a:prstGeom prst="rect">
                      <a:avLst/>
                    </a:prstGeom>
                    <a:noFill/>
                  </pic:spPr>
                </pic:pic>
              </a:graphicData>
            </a:graphic>
          </wp:anchor>
        </w:drawing>
        <w:t xml:space="preserve">negative, your Performance Rate Adjustment may be positive, zero or negative. We calculate the Interim Value of each Shield Option on any Business Day other than the Term Start Date and Term End Date. If applicable, the Interim Value is the amount that is available for annuitization, death benefits, withdrawals, Surrenders, and </w:t>
      </w:r>
      <w:r>
        <w:rPr>
          <w:rFonts w:ascii="Times New Roman" w:cs="Times New Roman" w:eastAsia="Times New Roman" w:hAnsi="Times New Roman"/>
          <w:sz w:val="13"/>
          <w:szCs w:val="13"/>
          <w:u w:val="single" w:color="auto"/>
          <w:color w:val="auto"/>
        </w:rPr>
        <w:t>Performance Lock</w:t>
      </w:r>
      <w:r>
        <w:rPr>
          <w:rFonts w:ascii="Times New Roman" w:cs="Times New Roman" w:eastAsia="Times New Roman" w:hAnsi="Times New Roman"/>
          <w:sz w:val="13"/>
          <w:szCs w:val="13"/>
          <w:color w:val="auto"/>
        </w:rPr>
        <w:t>.</w:t>
      </w:r>
    </w:p>
    <w:p>
      <w:pPr>
        <w:spacing w:after="0" w:line="61" w:lineRule="exact"/>
        <w:rPr>
          <w:sz w:val="20"/>
          <w:szCs w:val="20"/>
          <w:color w:val="auto"/>
        </w:rPr>
      </w:pPr>
    </w:p>
    <w:p>
      <w:pPr>
        <w:jc w:val="both"/>
        <w:ind w:right="3199" w:firstLine="265"/>
        <w:spacing w:after="0" w:line="258" w:lineRule="auto"/>
        <w:rPr>
          <w:sz w:val="20"/>
          <w:szCs w:val="20"/>
          <w:color w:val="auto"/>
        </w:rPr>
      </w:pPr>
      <w:r>
        <w:rPr>
          <w:rFonts w:ascii="Times New Roman" w:cs="Times New Roman" w:eastAsia="Times New Roman" w:hAnsi="Times New Roman"/>
          <w:sz w:val="13"/>
          <w:szCs w:val="13"/>
          <w:color w:val="auto"/>
        </w:rPr>
        <w:t>You could lose a significant amount of money if the Index Value declines. It is possible for you to lose a portion of the Purchase Payment and any earnings invested in the Contract. The Performance Rate Adjustment is based on a certain amount of protection against decreases in an Index Value and a limitation on potential positive interest based on an Index Value. The extent of the downside protection varies by the Shield Rate you select. If you access amounts in the Shield Options before the Term End Date (through a withdrawal, Surrender, death benefit payment, annuitization, or to exercise the Performance Lock), we will instead calculate the Interim Value of your investment in the Shield Amount. The Interim Value is calculated on each Business Day between the Term Start Date and the Term End Date. You could lose a significant amount of money due to an Interim Value calculation (and any associated proportional reduction to the Investment Amount associated with the Shield Option) if amounts are removed from a Shield Option prior to the Term End Date. (See “Interim Value Calculation” under “CHARGES, FEES, AND ADJUSTMENTS.”)</w:t>
      </w:r>
    </w:p>
    <w:p>
      <w:pPr>
        <w:spacing w:after="0" w:line="58" w:lineRule="exact"/>
        <w:rPr>
          <w:sz w:val="20"/>
          <w:szCs w:val="20"/>
          <w:color w:val="auto"/>
        </w:rPr>
      </w:pPr>
    </w:p>
    <w:p>
      <w:pPr>
        <w:jc w:val="both"/>
        <w:ind w:right="3199" w:firstLine="265"/>
        <w:spacing w:after="0" w:line="258" w:lineRule="auto"/>
        <w:rPr>
          <w:sz w:val="20"/>
          <w:szCs w:val="20"/>
          <w:color w:val="auto"/>
        </w:rPr>
      </w:pPr>
      <w:r>
        <w:rPr>
          <w:rFonts w:ascii="Times New Roman" w:cs="Times New Roman" w:eastAsia="Times New Roman" w:hAnsi="Times New Roman"/>
          <w:sz w:val="13"/>
          <w:szCs w:val="13"/>
          <w:color w:val="auto"/>
        </w:rPr>
        <w:t>You have the opportunity to allocate your Investment Amount to any of the Shield Options described below, subject to the requirements, limitations and procedures disclosed in the prospectus. We are not obligated to offer any one particular Shield Option and your selling firm may limit the Shield Options available through that firm when your Contract is issued. After the Contract is issued, there will always be at least one Shield Option available although it may not be substantially similar to one of the currently available Shield Options. If we were to offer only one Shield Option, you would be limited to investing in that one Shield Option. If that Shield Option does not meet your investment objectives or financial goals, you could transfer to the Fixed Account, Surrender your Contract and/or invest in another investment vehicle. If you Surrender your Contract, you might incur taxes, tax penalties, Withdrawal Charges, or an Interim Value calculation. If you invest in another investment vehicle, that investment may have different features, fees, and risks than your Contract. Each Shield Option has an associated (i) Term, (ii) Index, (iii) Shield Rate and (iv) Rate Crediting Type you select.</w:t>
      </w:r>
    </w:p>
    <w:p>
      <w:pPr>
        <w:spacing w:after="0" w:line="68" w:lineRule="exact"/>
        <w:rPr>
          <w:sz w:val="20"/>
          <w:szCs w:val="20"/>
          <w:color w:val="auto"/>
        </w:rPr>
      </w:pPr>
    </w:p>
    <w:p>
      <w:pPr>
        <w:jc w:val="both"/>
        <w:ind w:right="3199" w:firstLine="265"/>
        <w:spacing w:after="0" w:line="263" w:lineRule="auto"/>
        <w:rPr>
          <w:sz w:val="20"/>
          <w:szCs w:val="20"/>
          <w:color w:val="auto"/>
        </w:rPr>
      </w:pPr>
      <w:r>
        <w:rPr>
          <w:rFonts w:ascii="Times New Roman" w:cs="Times New Roman" w:eastAsia="Times New Roman" w:hAnsi="Times New Roman"/>
          <w:sz w:val="13"/>
          <w:szCs w:val="13"/>
          <w:color w:val="auto"/>
        </w:rPr>
        <w:t>Information regarding the features of each currently offered Shield Option, including (i) its name, (ii) its type (e.g., market Index, exchange-traded fund, etc.), or a brief statement describing the assets that the Index seeks to track (e.g., U.S. large-cap equities), (iii) its Term, (iv) its Rate Crediting Type, (v) its Shield Rate, and (vi) its Minimum Guaranteed Cap Rate, Step Rate, or Edge Rate, is available in an appendix to this prospectus. See “Appendix A – Investment Options Available Under the Contract.”</w:t>
      </w:r>
    </w:p>
    <w:p>
      <w:pPr>
        <w:spacing w:after="0" w:line="64" w:lineRule="exact"/>
        <w:rPr>
          <w:sz w:val="20"/>
          <w:szCs w:val="20"/>
          <w:color w:val="auto"/>
        </w:rPr>
      </w:pPr>
    </w:p>
    <w:p>
      <w:pPr>
        <w:jc w:val="both"/>
        <w:ind w:right="3199" w:firstLine="265"/>
        <w:spacing w:after="0" w:line="262" w:lineRule="auto"/>
        <w:rPr>
          <w:sz w:val="20"/>
          <w:szCs w:val="20"/>
          <w:color w:val="auto"/>
        </w:rPr>
      </w:pPr>
      <w:r>
        <w:rPr>
          <w:rFonts w:ascii="Times New Roman" w:cs="Times New Roman" w:eastAsia="Times New Roman" w:hAnsi="Times New Roman"/>
          <w:sz w:val="13"/>
          <w:szCs w:val="13"/>
          <w:color w:val="auto"/>
        </w:rPr>
        <w:t>The Indices are described in more detail below, under the heading “Indices.” For each new Shield Option we declare a new Cap Rate, Step Rate, or Edge Rate, as applicable, for each Term, subject to the Minimum Guaranteed Cap Rate, Edge Rate, or Step Rate shown in your Contract Schedule. The initial Cap Rate, Step Rate, or Edge Rate, as applicable, for each Shield Option is declared on the Issue Date. Thereafter the Cap Rate, Step Rate, or Edge Rate, as applicable, for each subsequent Shield Option is declared for each subsequent Term, subject to the minimum guaranteed rates . See “Cap Rate” “Step Rate” and “Step Rate Edge”.</w:t>
      </w:r>
    </w:p>
    <w:p>
      <w:pPr>
        <w:spacing w:after="0" w:line="51" w:lineRule="exact"/>
        <w:rPr>
          <w:sz w:val="20"/>
          <w:szCs w:val="20"/>
          <w:color w:val="auto"/>
        </w:rPr>
      </w:pPr>
    </w:p>
    <w:p>
      <w:pPr>
        <w:jc w:val="both"/>
        <w:ind w:right="3199" w:firstLine="265"/>
        <w:spacing w:after="0" w:line="236" w:lineRule="auto"/>
        <w:rPr>
          <w:sz w:val="20"/>
          <w:szCs w:val="20"/>
          <w:color w:val="auto"/>
        </w:rPr>
      </w:pPr>
      <w:r>
        <w:rPr>
          <w:rFonts w:ascii="Times New Roman" w:cs="Times New Roman" w:eastAsia="Times New Roman" w:hAnsi="Times New Roman"/>
          <w:sz w:val="13"/>
          <w:szCs w:val="13"/>
          <w:b w:val="1"/>
          <w:bCs w:val="1"/>
          <w:color w:val="auto"/>
        </w:rPr>
        <w:t xml:space="preserve">Please note, Shield Options with higher Shield Rates tend to have lower Cap Rates, Step Rates, and Edge Rates, as applicable, than other Shield Options that use the same Index and Term but provide lower Shield Rates. </w:t>
      </w:r>
      <w:r>
        <w:rPr>
          <w:rFonts w:ascii="Times New Roman" w:cs="Times New Roman" w:eastAsia="Times New Roman" w:hAnsi="Times New Roman"/>
          <w:sz w:val="13"/>
          <w:szCs w:val="13"/>
          <w:color w:val="auto"/>
        </w:rPr>
        <w:t>For example, a Shield Option with the S&amp;P 500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Index with a 3-Year Term and a Shield 15 will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tend to have a Cap Rate that is lower than a Shield Option with the S&amp;P 500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Index with a 3-Year Term and a Shield 10.</w:t>
      </w:r>
    </w:p>
    <w:p>
      <w:pPr>
        <w:spacing w:after="0" w:line="79" w:lineRule="exact"/>
        <w:rPr>
          <w:sz w:val="20"/>
          <w:szCs w:val="20"/>
          <w:color w:val="auto"/>
        </w:rPr>
      </w:pPr>
    </w:p>
    <w:p>
      <w:pPr>
        <w:jc w:val="both"/>
        <w:ind w:right="3199" w:firstLine="265"/>
        <w:spacing w:after="0" w:line="272" w:lineRule="auto"/>
        <w:rPr>
          <w:sz w:val="20"/>
          <w:szCs w:val="20"/>
          <w:color w:val="auto"/>
        </w:rPr>
      </w:pPr>
      <w:r>
        <w:rPr>
          <w:rFonts w:ascii="Times New Roman" w:cs="Times New Roman" w:eastAsia="Times New Roman" w:hAnsi="Times New Roman"/>
          <w:sz w:val="13"/>
          <w:szCs w:val="13"/>
          <w:color w:val="auto"/>
        </w:rPr>
        <w:t>A Shield Option will always be available; however, we reserve the right to change the duration of any new Shield Options, stop offering any of the Shield Options or suspend offering any of the Shield Options. We may also add Shield Options in the future.</w:t>
      </w:r>
    </w:p>
    <w:p>
      <w:pPr>
        <w:spacing w:after="0" w:line="214" w:lineRule="exact"/>
        <w:rPr>
          <w:sz w:val="20"/>
          <w:szCs w:val="20"/>
          <w:color w:val="auto"/>
        </w:rPr>
      </w:pPr>
    </w:p>
    <w:p>
      <w:pPr>
        <w:jc w:val="center"/>
        <w:ind w:right="3199"/>
        <w:spacing w:after="0"/>
        <w:rPr>
          <w:sz w:val="20"/>
          <w:szCs w:val="20"/>
          <w:color w:val="auto"/>
        </w:rPr>
      </w:pPr>
      <w:r>
        <w:rPr>
          <w:rFonts w:ascii="Times New Roman" w:cs="Times New Roman" w:eastAsia="Times New Roman" w:hAnsi="Times New Roman"/>
          <w:sz w:val="13"/>
          <w:szCs w:val="13"/>
          <w:b w:val="1"/>
          <w:bCs w:val="1"/>
          <w:color w:val="auto"/>
        </w:rPr>
        <w:t>TERM</w:t>
      </w:r>
    </w:p>
    <w:p>
      <w:pPr>
        <w:spacing w:after="0" w:line="91" w:lineRule="exact"/>
        <w:rPr>
          <w:sz w:val="20"/>
          <w:szCs w:val="20"/>
          <w:color w:val="auto"/>
        </w:rPr>
      </w:pPr>
    </w:p>
    <w:p>
      <w:pPr>
        <w:jc w:val="both"/>
        <w:ind w:right="3199" w:firstLine="265"/>
        <w:spacing w:after="0" w:line="266" w:lineRule="auto"/>
        <w:rPr>
          <w:sz w:val="20"/>
          <w:szCs w:val="20"/>
          <w:color w:val="auto"/>
        </w:rPr>
      </w:pPr>
      <w:r>
        <w:rPr>
          <w:rFonts w:ascii="Times New Roman" w:cs="Times New Roman" w:eastAsia="Times New Roman" w:hAnsi="Times New Roman"/>
          <w:sz w:val="13"/>
          <w:szCs w:val="13"/>
          <w:color w:val="auto"/>
        </w:rPr>
        <w:t>The Term is the number of years that a Shield Option is in effect. For specific Shield Options we currently offer Terms of 1 year, 2 years, 3 years, or 6 years. An initial Term(s) begins on the Issue Date. A Term ends and a subsequent Term begins on the Contract Anniversary coinciding with the duration of the then current Term for the Shield Option you have selected.</w:t>
      </w:r>
    </w:p>
    <w:p>
      <w:pPr>
        <w:spacing w:after="0" w:line="61" w:lineRule="exact"/>
        <w:rPr>
          <w:sz w:val="20"/>
          <w:szCs w:val="20"/>
          <w:color w:val="auto"/>
        </w:rPr>
      </w:pPr>
    </w:p>
    <w:p>
      <w:pPr>
        <w:jc w:val="both"/>
        <w:ind w:right="3199" w:firstLine="265"/>
        <w:spacing w:after="0" w:line="260" w:lineRule="auto"/>
        <w:rPr>
          <w:sz w:val="20"/>
          <w:szCs w:val="20"/>
          <w:color w:val="auto"/>
        </w:rPr>
      </w:pPr>
      <w:r>
        <w:rPr>
          <w:rFonts w:ascii="Times New Roman" w:cs="Times New Roman" w:eastAsia="Times New Roman" w:hAnsi="Times New Roman"/>
          <w:sz w:val="13"/>
          <w:szCs w:val="13"/>
          <w:color w:val="auto"/>
        </w:rPr>
        <w:t>In deciding whether to purchase a Shield Option with a longer or shorter Term, consider that investing in Shield Options with shorter Terms will provide more opportunities for receiving Performance Rate Adjustments, and reallocating Account Value in response to changing market conditions. Additionally, there will be more opportunities to access your Account Value without resulting in an Interim Value calculation (and any associated proportional reduction to your Investment Amount). However, Shield Options with shorter Terms may have less potential for Index gains because Index Performance is measured over a shorter period of time. Conversely, investing in Shield Options with longer Terms will provide fewer opportunities for</w:t>
      </w:r>
    </w:p>
    <w:p>
      <w:pPr>
        <w:spacing w:after="0" w:line="19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color w:val="auto"/>
        </w:rPr>
        <w:t>25</w:t>
      </w:r>
    </w:p>
    <w:p>
      <w:pPr>
        <w:sectPr>
          <w:pgSz w:w="11900" w:h="16838" w:orient="portrait"/>
          <w:cols w:equalWidth="0" w:num="1">
            <w:col w:w="9259"/>
          </w:cols>
          <w:pgMar w:left="1200" w:top="1049" w:right="1440" w:bottom="1440" w:gutter="0" w:footer="0" w:header="0"/>
        </w:sectPr>
      </w:pPr>
    </w:p>
    <w:bookmarkStart w:id="27" w:name="page28"/>
    <w:bookmarkEnd w:id="27"/>
    <w:p>
      <w:pPr>
        <w:jc w:val="both"/>
        <w:ind w:right="3199"/>
        <w:spacing w:after="0" w:line="27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93915" cy="38100"/>
                    </a:xfrm>
                    <a:prstGeom prst="rect">
                      <a:avLst/>
                    </a:prstGeom>
                    <a:noFill/>
                  </pic:spPr>
                </pic:pic>
              </a:graphicData>
            </a:graphic>
          </wp:anchor>
        </w:drawing>
        <w:t>Performance Rate Adjustments and reduce the frequency at which you can reallocate Account Value, in addition to limiting your ability to access your Account Value without an Interim Value calculation. However, Shield Options with longer Terms may provide more potential for Index gains.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Term Start Date</w:t>
      </w:r>
    </w:p>
    <w:p>
      <w:pPr>
        <w:spacing w:after="0" w:line="91" w:lineRule="exact"/>
        <w:rPr>
          <w:sz w:val="20"/>
          <w:szCs w:val="20"/>
          <w:color w:val="auto"/>
        </w:rPr>
      </w:pPr>
    </w:p>
    <w:p>
      <w:pPr>
        <w:jc w:val="both"/>
        <w:ind w:right="3199" w:firstLine="265"/>
        <w:spacing w:after="0" w:line="272" w:lineRule="auto"/>
        <w:rPr>
          <w:sz w:val="20"/>
          <w:szCs w:val="20"/>
          <w:color w:val="auto"/>
        </w:rPr>
      </w:pPr>
      <w:r>
        <w:rPr>
          <w:rFonts w:ascii="Times New Roman" w:cs="Times New Roman" w:eastAsia="Times New Roman" w:hAnsi="Times New Roman"/>
          <w:sz w:val="13"/>
          <w:szCs w:val="13"/>
          <w:color w:val="auto"/>
        </w:rPr>
        <w:t>Each Shield Option will have a Term Start Date, which is the Contract Anniversary on which a Shield Option is established. The initial Term Start Date(s) begins on the Issue Date, and thereafter, will be the Contract Anniversary coinciding with the duration of the Term for the Shield Option completed.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Term End Date</w:t>
      </w:r>
    </w:p>
    <w:p>
      <w:pPr>
        <w:spacing w:after="0" w:line="101" w:lineRule="exact"/>
        <w:rPr>
          <w:sz w:val="20"/>
          <w:szCs w:val="20"/>
          <w:color w:val="auto"/>
        </w:rPr>
      </w:pPr>
    </w:p>
    <w:p>
      <w:pPr>
        <w:jc w:val="both"/>
        <w:ind w:right="3199" w:firstLine="265"/>
        <w:spacing w:after="0" w:line="257" w:lineRule="auto"/>
        <w:rPr>
          <w:sz w:val="20"/>
          <w:szCs w:val="20"/>
          <w:color w:val="auto"/>
        </w:rPr>
      </w:pPr>
      <w:r>
        <w:rPr>
          <w:rFonts w:ascii="Times New Roman" w:cs="Times New Roman" w:eastAsia="Times New Roman" w:hAnsi="Times New Roman"/>
          <w:sz w:val="13"/>
          <w:szCs w:val="13"/>
          <w:color w:val="auto"/>
        </w:rPr>
        <w:t>Each Shield Option will have a Term End Date, which is the Contract Anniversary on which a Shield Option ends. Thirty (30) days in advance of the Term End Date, we will send you written notification stating that your current Shield Option is maturing and that, at the Term End Date, the Investment Amount allocated to that Shield Option will automatically be renewed into the same Shield Option unless you instruct us to transfer such amount into a different Shield Option(s) or the Fixed Account, if available. The notification will inform you of what your maturing Shield Options are and explain how you can obtain the different Shield Options available at the Term End Date, including the renewal Cap Rates, Step Rates, and Edge Rates, and the interest rate for the Fixed</w:t>
      </w:r>
    </w:p>
    <w:p>
      <w:pPr>
        <w:spacing w:after="0" w:line="4" w:lineRule="exact"/>
        <w:rPr>
          <w:sz w:val="20"/>
          <w:szCs w:val="20"/>
          <w:color w:val="auto"/>
        </w:rPr>
      </w:pPr>
    </w:p>
    <w:p>
      <w:pPr>
        <w:jc w:val="both"/>
        <w:ind w:right="3199"/>
        <w:spacing w:after="0" w:line="256" w:lineRule="auto"/>
        <w:rPr>
          <w:sz w:val="20"/>
          <w:szCs w:val="20"/>
          <w:color w:val="auto"/>
        </w:rPr>
      </w:pPr>
      <w:r>
        <w:rPr>
          <w:rFonts w:ascii="Times New Roman" w:cs="Times New Roman" w:eastAsia="Times New Roman" w:hAnsi="Times New Roman"/>
          <w:sz w:val="13"/>
          <w:szCs w:val="13"/>
          <w:color w:val="auto"/>
        </w:rPr>
        <w:t>Account. You may also access information on our website at https://www.brighthousefinancial.com/products/rates/ where at least two months of available Shield Options and renewal rates are posted. If the same Shield Option is no longer available at the Term End Date, the Investment Amount will automatically transfer into the Fixed Account at the Term End Date, unless you instruct us otherwise. The amounts transferred to the Fixed Account must remain in the Fixed Account until the Fixed Account Term End Date (which, currently, will not be less than one (1) year). If the Fixed Account is not available, the Investment Amount will automatically transfer into the Holding Account, unless you instruct us otherwise. You have the Transfer Period to notify us that you want to transfer some or all of your Investment Amount to a new Shield Option(s) or the Fixed Account. For renewals into the same Shield Option, a new Cap Rate, Step Rate, or Edge Rate, as applicable, will be declared and will go into effect on the Contract Anniversary that coincides with the beginning of the new Term in the Shield Option that just ended. The amount transferred to the new Shield Option is the Investment Amount as of the Contract Anniversary.</w:t>
      </w:r>
    </w:p>
    <w:p>
      <w:pPr>
        <w:spacing w:after="0" w:line="215" w:lineRule="exact"/>
        <w:rPr>
          <w:sz w:val="20"/>
          <w:szCs w:val="20"/>
          <w:color w:val="auto"/>
        </w:rPr>
      </w:pPr>
    </w:p>
    <w:p>
      <w:pPr>
        <w:jc w:val="both"/>
        <w:ind w:right="3199" w:firstLine="265"/>
        <w:spacing w:after="0" w:line="261" w:lineRule="auto"/>
        <w:rPr>
          <w:sz w:val="20"/>
          <w:szCs w:val="20"/>
          <w:color w:val="auto"/>
        </w:rPr>
      </w:pPr>
      <w:r>
        <w:rPr>
          <w:rFonts w:ascii="Times New Roman" w:cs="Times New Roman" w:eastAsia="Times New Roman" w:hAnsi="Times New Roman"/>
          <w:sz w:val="13"/>
          <w:szCs w:val="13"/>
          <w:b w:val="1"/>
          <w:bCs w:val="1"/>
          <w:color w:val="auto"/>
        </w:rPr>
        <w:t>Amounts must remain in a Shield Option until the Term End Date to be credited with all or partial interest, as applicable, and to avoid a reduction in Interim Value and any proportional reduction to the Investment Amount associated with the Shield Option, in addition to potential tax consequences. Between the Term Start Date and the Term End Date, an Interim Value calculation is used to determine the amounts available for annuitization, death benefit payments, withdrawals (including RMDs and systematic withdrawals), Surrenders, and Performance Lock. See “CHARGES, FEES, AND ADJUSTMENTS -- Interim Value Calculation” for more information.</w:t>
      </w:r>
    </w:p>
    <w:p>
      <w:pPr>
        <w:spacing w:after="0" w:line="221" w:lineRule="exact"/>
        <w:rPr>
          <w:sz w:val="20"/>
          <w:szCs w:val="20"/>
          <w:color w:val="auto"/>
        </w:rPr>
      </w:pPr>
    </w:p>
    <w:p>
      <w:pPr>
        <w:jc w:val="center"/>
        <w:ind w:right="3199"/>
        <w:spacing w:after="0"/>
        <w:rPr>
          <w:sz w:val="20"/>
          <w:szCs w:val="20"/>
          <w:color w:val="auto"/>
        </w:rPr>
      </w:pPr>
      <w:r>
        <w:rPr>
          <w:rFonts w:ascii="Times New Roman" w:cs="Times New Roman" w:eastAsia="Times New Roman" w:hAnsi="Times New Roman"/>
          <w:sz w:val="13"/>
          <w:szCs w:val="13"/>
          <w:b w:val="1"/>
          <w:bCs w:val="1"/>
          <w:color w:val="auto"/>
        </w:rPr>
        <w:t>INDICES</w:t>
      </w:r>
    </w:p>
    <w:p>
      <w:pPr>
        <w:spacing w:after="0" w:line="101" w:lineRule="exact"/>
        <w:rPr>
          <w:sz w:val="20"/>
          <w:szCs w:val="20"/>
          <w:color w:val="auto"/>
        </w:rPr>
      </w:pPr>
    </w:p>
    <w:p>
      <w:pPr>
        <w:jc w:val="both"/>
        <w:ind w:right="3199" w:firstLine="265"/>
        <w:spacing w:after="0" w:line="272" w:lineRule="auto"/>
        <w:rPr>
          <w:sz w:val="20"/>
          <w:szCs w:val="20"/>
          <w:color w:val="auto"/>
        </w:rPr>
      </w:pPr>
      <w:r>
        <w:rPr>
          <w:rFonts w:ascii="Times New Roman" w:cs="Times New Roman" w:eastAsia="Times New Roman" w:hAnsi="Times New Roman"/>
          <w:sz w:val="13"/>
          <w:szCs w:val="13"/>
          <w:color w:val="auto"/>
        </w:rPr>
        <w:t>The Performance Rate of a Shield Option is based on the performance of the associated Index. We currently offer Shield Options with indices based on the performance of securities. In the future we may offer Shield Options based on other types of indices. We may also add or remove indices for new Contracts at our discretion.</w:t>
      </w:r>
    </w:p>
    <w:p>
      <w:pPr>
        <w:spacing w:after="0" w:line="47" w:lineRule="exact"/>
        <w:rPr>
          <w:sz w:val="20"/>
          <w:szCs w:val="20"/>
          <w:color w:val="auto"/>
        </w:rPr>
      </w:pPr>
    </w:p>
    <w:p>
      <w:pPr>
        <w:jc w:val="both"/>
        <w:ind w:right="3199" w:firstLine="265"/>
        <w:spacing w:after="0" w:line="272" w:lineRule="auto"/>
        <w:rPr>
          <w:sz w:val="20"/>
          <w:szCs w:val="20"/>
          <w:color w:val="auto"/>
        </w:rPr>
      </w:pPr>
      <w:r>
        <w:rPr>
          <w:rFonts w:ascii="Times New Roman" w:cs="Times New Roman" w:eastAsia="Times New Roman" w:hAnsi="Times New Roman"/>
          <w:sz w:val="13"/>
          <w:szCs w:val="13"/>
          <w:color w:val="auto"/>
        </w:rPr>
        <w:t>Each Index is a “price return index,” not a “total return index,” and therefore does not reflect dividends declared by any of the companies in this Index. This will reduce the Index Performance and will cause the Index to underperform a direct investment in the securities composing the Index.</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The following Indices are currently available:</w:t>
      </w:r>
    </w:p>
    <w:p>
      <w:pPr>
        <w:spacing w:after="0" w:line="74" w:lineRule="exact"/>
        <w:rPr>
          <w:sz w:val="20"/>
          <w:szCs w:val="20"/>
          <w:color w:val="auto"/>
        </w:rPr>
      </w:pPr>
    </w:p>
    <w:p>
      <w:pPr>
        <w:jc w:val="both"/>
        <w:ind w:right="3199" w:firstLine="265"/>
        <w:spacing w:after="0" w:line="253" w:lineRule="auto"/>
        <w:rPr>
          <w:sz w:val="20"/>
          <w:szCs w:val="20"/>
          <w:color w:val="auto"/>
        </w:rPr>
      </w:pPr>
      <w:r>
        <w:rPr>
          <w:rFonts w:ascii="Times New Roman" w:cs="Times New Roman" w:eastAsia="Times New Roman" w:hAnsi="Times New Roman"/>
          <w:sz w:val="13"/>
          <w:szCs w:val="13"/>
          <w:i w:val="1"/>
          <w:iCs w:val="1"/>
          <w:color w:val="auto"/>
        </w:rPr>
        <w:t>S&amp;P 500</w:t>
      </w:r>
      <w:r>
        <w:rPr>
          <w:rFonts w:ascii="Times New Roman" w:cs="Times New Roman" w:eastAsia="Times New Roman" w:hAnsi="Times New Roman"/>
          <w:sz w:val="17"/>
          <w:szCs w:val="17"/>
          <w:i w:val="1"/>
          <w:iCs w:val="1"/>
          <w:color w:val="auto"/>
          <w:vertAlign w:val="superscript"/>
        </w:rPr>
        <w:t>®</w:t>
      </w:r>
      <w:r>
        <w:rPr>
          <w:rFonts w:ascii="Times New Roman" w:cs="Times New Roman" w:eastAsia="Times New Roman" w:hAnsi="Times New Roman"/>
          <w:sz w:val="13"/>
          <w:szCs w:val="13"/>
          <w:i w:val="1"/>
          <w:iCs w:val="1"/>
          <w:color w:val="auto"/>
        </w:rPr>
        <w:t xml:space="preserve"> Index (Price Return Index).</w:t>
      </w:r>
      <w:r>
        <w:rPr>
          <w:rFonts w:ascii="Times New Roman" w:cs="Times New Roman" w:eastAsia="Times New Roman" w:hAnsi="Times New Roman"/>
          <w:sz w:val="13"/>
          <w:szCs w:val="13"/>
          <w:color w:val="auto"/>
        </w:rPr>
        <w:t xml:space="preserve">  The S&amp;P 500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Index includes 500 large cap stocks from leading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companies in leading industries of the U.S. economy, capturing approximately 80% coverage of U.S. equities by market capitalization.</w:t>
      </w:r>
    </w:p>
    <w:p>
      <w:pPr>
        <w:spacing w:after="0" w:line="44" w:lineRule="exact"/>
        <w:rPr>
          <w:sz w:val="20"/>
          <w:szCs w:val="20"/>
          <w:color w:val="auto"/>
        </w:rPr>
      </w:pPr>
    </w:p>
    <w:p>
      <w:pPr>
        <w:jc w:val="both"/>
        <w:ind w:right="3199" w:firstLine="265"/>
        <w:spacing w:after="0" w:line="237" w:lineRule="auto"/>
        <w:rPr>
          <w:sz w:val="20"/>
          <w:szCs w:val="20"/>
          <w:color w:val="auto"/>
        </w:rPr>
      </w:pPr>
      <w:r>
        <w:rPr>
          <w:rFonts w:ascii="Times New Roman" w:cs="Times New Roman" w:eastAsia="Times New Roman" w:hAnsi="Times New Roman"/>
          <w:sz w:val="13"/>
          <w:szCs w:val="13"/>
          <w:i w:val="1"/>
          <w:iCs w:val="1"/>
          <w:color w:val="auto"/>
        </w:rPr>
        <w:t>Russell 2000</w:t>
      </w:r>
      <w:r>
        <w:rPr>
          <w:rFonts w:ascii="Times New Roman" w:cs="Times New Roman" w:eastAsia="Times New Roman" w:hAnsi="Times New Roman"/>
          <w:sz w:val="17"/>
          <w:szCs w:val="17"/>
          <w:i w:val="1"/>
          <w:iCs w:val="1"/>
          <w:color w:val="auto"/>
          <w:vertAlign w:val="superscript"/>
        </w:rPr>
        <w:t>®</w:t>
      </w:r>
      <w:r>
        <w:rPr>
          <w:rFonts w:ascii="Times New Roman" w:cs="Times New Roman" w:eastAsia="Times New Roman" w:hAnsi="Times New Roman"/>
          <w:sz w:val="13"/>
          <w:szCs w:val="13"/>
          <w:i w:val="1"/>
          <w:iCs w:val="1"/>
          <w:color w:val="auto"/>
        </w:rPr>
        <w:t xml:space="preserve"> Index (Price Return Index).</w:t>
      </w:r>
      <w:r>
        <w:rPr>
          <w:rFonts w:ascii="Times New Roman" w:cs="Times New Roman" w:eastAsia="Times New Roman" w:hAnsi="Times New Roman"/>
          <w:sz w:val="13"/>
          <w:szCs w:val="13"/>
          <w:color w:val="auto"/>
        </w:rPr>
        <w:t xml:space="preserve">  The Russell 2000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Index measures the performance of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small-cap segment of the U.S. equity universe. The Russell 2000 is a subset of the Russell 3000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Index representing approximately 10% of the total market capitalization of that index. It includes approximately 2000 of the smallest securities based on a combination of their market cap and current index membership.</w:t>
      </w:r>
    </w:p>
    <w:p>
      <w:pPr>
        <w:spacing w:after="0" w:line="65" w:lineRule="exact"/>
        <w:rPr>
          <w:sz w:val="20"/>
          <w:szCs w:val="20"/>
          <w:color w:val="auto"/>
        </w:rPr>
      </w:pPr>
    </w:p>
    <w:p>
      <w:pPr>
        <w:jc w:val="both"/>
        <w:ind w:right="3199" w:firstLine="265"/>
        <w:spacing w:after="0" w:line="264" w:lineRule="auto"/>
        <w:rPr>
          <w:sz w:val="20"/>
          <w:szCs w:val="20"/>
          <w:color w:val="auto"/>
        </w:rPr>
      </w:pPr>
      <w:r>
        <w:rPr>
          <w:rFonts w:ascii="Times New Roman" w:cs="Times New Roman" w:eastAsia="Times New Roman" w:hAnsi="Times New Roman"/>
          <w:sz w:val="13"/>
          <w:szCs w:val="13"/>
          <w:i w:val="1"/>
          <w:iCs w:val="1"/>
          <w:color w:val="auto"/>
        </w:rPr>
        <w:t>MSCI EAFE Index (Price Return Index).</w:t>
      </w:r>
      <w:r>
        <w:rPr>
          <w:rFonts w:ascii="Times New Roman" w:cs="Times New Roman" w:eastAsia="Times New Roman" w:hAnsi="Times New Roman"/>
          <w:sz w:val="13"/>
          <w:szCs w:val="13"/>
          <w:color w:val="auto"/>
        </w:rPr>
        <w:t xml:space="preserve">  The MSCI EAFE Index (Europe, Australasia, Far East) is a free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float-adjusted market capitalization index that is designed to measure the equity market performance of developed markets, excluding the US &amp; Canada. As of the date of this prospectus the MSCI EAFE Index consists of the following 21 developed market country indices: Australia, Austria, Belgium, Denmark, Finland, France, Germany, Hong Kong, Ireland, Israel, Italy, Japan, the</w:t>
      </w:r>
    </w:p>
    <w:p>
      <w:pPr>
        <w:spacing w:after="0" w:line="18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color w:val="auto"/>
        </w:rPr>
        <w:t>26</w:t>
      </w:r>
    </w:p>
    <w:p>
      <w:pPr>
        <w:sectPr>
          <w:pgSz w:w="11900" w:h="16838" w:orient="portrait"/>
          <w:cols w:equalWidth="0" w:num="1">
            <w:col w:w="9259"/>
          </w:cols>
          <w:pgMar w:left="1200" w:top="1049" w:right="1440" w:bottom="1440" w:gutter="0" w:footer="0" w:header="0"/>
        </w:sectPr>
      </w:pPr>
    </w:p>
    <w:bookmarkStart w:id="28" w:name="page29"/>
    <w:bookmarkEnd w:id="28"/>
    <w:p>
      <w:pPr>
        <w:ind w:left="1"/>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3915" cy="38100"/>
                    </a:xfrm>
                    <a:prstGeom prst="rect">
                      <a:avLst/>
                    </a:prstGeom>
                    <a:noFill/>
                  </pic:spPr>
                </pic:pic>
              </a:graphicData>
            </a:graphic>
          </wp:anchor>
        </w:drawing>
        <w:t>Netherlands, New Zealand, Norway, Portugal, Singapore, Spain, Sweden, Switzerland, and the United Kingdom.</w:t>
      </w:r>
    </w:p>
    <w:p>
      <w:pPr>
        <w:spacing w:after="0" w:line="2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Index Value and Index Performance will be calculated without any exchange rate adjustment.</w:t>
      </w:r>
    </w:p>
    <w:p>
      <w:pPr>
        <w:spacing w:after="0" w:line="61" w:lineRule="exact"/>
        <w:rPr>
          <w:sz w:val="20"/>
          <w:szCs w:val="20"/>
          <w:color w:val="auto"/>
        </w:rPr>
      </w:pPr>
    </w:p>
    <w:p>
      <w:pPr>
        <w:jc w:val="both"/>
        <w:ind w:left="1" w:right="3199" w:firstLine="265"/>
        <w:spacing w:after="0" w:line="253" w:lineRule="auto"/>
        <w:rPr>
          <w:sz w:val="20"/>
          <w:szCs w:val="20"/>
          <w:color w:val="auto"/>
        </w:rPr>
      </w:pPr>
      <w:r>
        <w:rPr>
          <w:rFonts w:ascii="Times New Roman" w:cs="Times New Roman" w:eastAsia="Times New Roman" w:hAnsi="Times New Roman"/>
          <w:sz w:val="13"/>
          <w:szCs w:val="13"/>
          <w:i w:val="1"/>
          <w:iCs w:val="1"/>
          <w:color w:val="auto"/>
        </w:rPr>
        <w:t>Nasdaq-100 Index</w:t>
      </w:r>
      <w:r>
        <w:rPr>
          <w:rFonts w:ascii="Times New Roman" w:cs="Times New Roman" w:eastAsia="Times New Roman" w:hAnsi="Times New Roman"/>
          <w:sz w:val="17"/>
          <w:szCs w:val="17"/>
          <w:i w:val="1"/>
          <w:iCs w:val="1"/>
          <w:color w:val="auto"/>
          <w:vertAlign w:val="superscript"/>
        </w:rPr>
        <w:t>®</w:t>
      </w:r>
      <w:r>
        <w:rPr>
          <w:rFonts w:ascii="Times New Roman" w:cs="Times New Roman" w:eastAsia="Times New Roman" w:hAnsi="Times New Roman"/>
          <w:sz w:val="13"/>
          <w:szCs w:val="13"/>
          <w:i w:val="1"/>
          <w:iCs w:val="1"/>
          <w:color w:val="auto"/>
        </w:rPr>
        <w:t xml:space="preserve"> (Price Return Index). </w:t>
      </w:r>
      <w:r>
        <w:rPr>
          <w:rFonts w:ascii="Times New Roman" w:cs="Times New Roman" w:eastAsia="Times New Roman" w:hAnsi="Times New Roman"/>
          <w:sz w:val="13"/>
          <w:szCs w:val="13"/>
          <w:color w:val="auto"/>
        </w:rPr>
        <w:t>The Nasdaq-100 Index</w:t>
      </w:r>
      <w:r>
        <w:rPr>
          <w:rFonts w:ascii="Times New Roman" w:cs="Times New Roman" w:eastAsia="Times New Roman" w:hAnsi="Times New Roman"/>
          <w:sz w:val="17"/>
          <w:szCs w:val="17"/>
          <w:i w:val="1"/>
          <w:iCs w:val="1"/>
          <w:color w:val="auto"/>
          <w:vertAlign w:val="superscript"/>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includes 100 of the largest domestic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international non-financial securities listed on the Nasdaq Stock Market based on market capitalization. The Index reflects companies across major industry groups including computer hardware and software, telecommunications, retail/wholesale trade and biotechnology. It does not contain securities of financial companies including investment companies.</w:t>
      </w:r>
    </w:p>
    <w:p>
      <w:pPr>
        <w:spacing w:after="0" w:line="61" w:lineRule="exact"/>
        <w:rPr>
          <w:sz w:val="20"/>
          <w:szCs w:val="20"/>
          <w:color w:val="auto"/>
        </w:rPr>
      </w:pPr>
    </w:p>
    <w:p>
      <w:pPr>
        <w:ind w:left="261"/>
        <w:spacing w:after="0"/>
        <w:rPr>
          <w:sz w:val="20"/>
          <w:szCs w:val="20"/>
          <w:color w:val="auto"/>
        </w:rPr>
      </w:pPr>
      <w:r>
        <w:rPr>
          <w:rFonts w:ascii="Times New Roman" w:cs="Times New Roman" w:eastAsia="Times New Roman" w:hAnsi="Times New Roman"/>
          <w:sz w:val="13"/>
          <w:szCs w:val="13"/>
          <w:color w:val="auto"/>
        </w:rPr>
        <w:t>See Appendix B for important information regarding the publishers of the Indices.</w:t>
      </w:r>
    </w:p>
    <w:p>
      <w:pPr>
        <w:spacing w:after="0" w:line="16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Discontinuation or Substantial Change to an Index.</w:t>
      </w:r>
    </w:p>
    <w:p>
      <w:pPr>
        <w:spacing w:after="0" w:line="91" w:lineRule="exact"/>
        <w:rPr>
          <w:sz w:val="20"/>
          <w:szCs w:val="20"/>
          <w:color w:val="auto"/>
        </w:rPr>
      </w:pPr>
    </w:p>
    <w:p>
      <w:pPr>
        <w:jc w:val="both"/>
        <w:ind w:left="1" w:right="3199" w:firstLine="265"/>
        <w:spacing w:after="0" w:line="258" w:lineRule="auto"/>
        <w:rPr>
          <w:sz w:val="20"/>
          <w:szCs w:val="20"/>
          <w:color w:val="auto"/>
        </w:rPr>
      </w:pPr>
      <w:r>
        <w:rPr>
          <w:rFonts w:ascii="Times New Roman" w:cs="Times New Roman" w:eastAsia="Times New Roman" w:hAnsi="Times New Roman"/>
          <w:sz w:val="13"/>
          <w:szCs w:val="13"/>
          <w:color w:val="auto"/>
        </w:rPr>
        <w:t>If any Index is discontinued or we determine that our use of such Index should be discontinued because we are no longer licensed to use the Index, the method of calculation is substantially changed, or if Index Values become unavailable for any reason, we may substitute a comparable index with a similar investment objective and risk profile. We will send you written notification thirty (30) days in advance of such substitution or as soon as reasonably possible. In the event that a similar index is not found, we will substitute the original Index with a domestic or international broad-based securities market index. A Shield Option will not end prior to the Term End Date due to our inability to find a similar index. The substituted Index may not be acceptable to you, and you will be unable to transfer your Investment Amount in the associated Shield Option to another Shield Option(s) or the Fixed Account (if available) until the Transfer Period coinciding with the Term End Date. If you no longer want to remain invested in that Shield Option for the remainder of the Term, your only option will be to withdraw the related Investment Amount. If you withdraw the Investment Amount, the amount withdrawn will be the Interim Value of the Shield Option.</w:t>
      </w:r>
    </w:p>
    <w:p>
      <w:pPr>
        <w:spacing w:after="0" w:line="56" w:lineRule="exact"/>
        <w:rPr>
          <w:sz w:val="20"/>
          <w:szCs w:val="20"/>
          <w:color w:val="auto"/>
        </w:rPr>
      </w:pPr>
    </w:p>
    <w:p>
      <w:pPr>
        <w:jc w:val="both"/>
        <w:ind w:left="1" w:right="3179" w:firstLine="265"/>
        <w:spacing w:after="0" w:line="258" w:lineRule="auto"/>
        <w:rPr>
          <w:sz w:val="20"/>
          <w:szCs w:val="20"/>
          <w:color w:val="auto"/>
        </w:rPr>
      </w:pPr>
      <w:r>
        <w:rPr>
          <w:rFonts w:ascii="Times New Roman" w:cs="Times New Roman" w:eastAsia="Times New Roman" w:hAnsi="Times New Roman"/>
          <w:sz w:val="13"/>
          <w:szCs w:val="13"/>
          <w:color w:val="auto"/>
        </w:rPr>
        <w:t>Upon substitution of an Index, we will calculate your Index Performance on the existing Index up until the date of substitution and the substitute Index from the date of substitution to the Term End Date. The Index Performance as of the Term End Date will be equal to the return from having invested in the initial Index up to the substitution date and then investing in the substitute Index from the date of substitution to the Term End Date assuming no withdrawals or transfers based on the following formula: (initial Index at Index substitution date ÷ initial Index at Term Start Date) x (substituted Index at Term End Date ÷ substituted Index at substitution date) –</w:t>
      </w:r>
    </w:p>
    <w:p>
      <w:pPr>
        <w:spacing w:after="0" w:line="1" w:lineRule="exact"/>
        <w:rPr>
          <w:sz w:val="20"/>
          <w:szCs w:val="20"/>
          <w:color w:val="auto"/>
        </w:rPr>
      </w:pPr>
    </w:p>
    <w:p>
      <w:pPr>
        <w:jc w:val="both"/>
        <w:ind w:left="1" w:right="3199" w:hanging="1"/>
        <w:spacing w:after="0" w:line="262" w:lineRule="auto"/>
        <w:tabs>
          <w:tab w:leader="none" w:pos="137"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Index substitution will not change the Term, Shield Rate, Cap Rate, Step Rate, or Edge Rate for an existing Shield Option. The performance of the new Index may not be as good as the one that it substituted and as a result your Index Performance may have been better if there had been no substitution.</w:t>
      </w:r>
    </w:p>
    <w:p>
      <w:pPr>
        <w:spacing w:after="0" w:line="53" w:lineRule="exact"/>
        <w:rPr>
          <w:sz w:val="20"/>
          <w:szCs w:val="20"/>
          <w:color w:val="auto"/>
        </w:rPr>
      </w:pPr>
    </w:p>
    <w:p>
      <w:pPr>
        <w:ind w:left="261"/>
        <w:spacing w:after="0"/>
        <w:rPr>
          <w:sz w:val="20"/>
          <w:szCs w:val="20"/>
          <w:color w:val="auto"/>
        </w:rPr>
      </w:pPr>
      <w:r>
        <w:rPr>
          <w:rFonts w:ascii="Times New Roman" w:cs="Times New Roman" w:eastAsia="Times New Roman" w:hAnsi="Times New Roman"/>
          <w:sz w:val="13"/>
          <w:szCs w:val="13"/>
          <w:color w:val="auto"/>
        </w:rPr>
        <w:t>See Appendix C for an Index substitution Investment Amount example.</w:t>
      </w:r>
    </w:p>
    <w:p>
      <w:pPr>
        <w:spacing w:after="0" w:line="89" w:lineRule="exact"/>
        <w:rPr>
          <w:sz w:val="20"/>
          <w:szCs w:val="20"/>
          <w:color w:val="auto"/>
        </w:rPr>
      </w:pPr>
    </w:p>
    <w:p>
      <w:pPr>
        <w:jc w:val="both"/>
        <w:ind w:left="1" w:right="3199" w:firstLine="265"/>
        <w:spacing w:after="0" w:line="290" w:lineRule="auto"/>
        <w:rPr>
          <w:sz w:val="20"/>
          <w:szCs w:val="20"/>
          <w:color w:val="auto"/>
        </w:rPr>
      </w:pPr>
      <w:r>
        <w:rPr>
          <w:rFonts w:ascii="Times New Roman" w:cs="Times New Roman" w:eastAsia="Times New Roman" w:hAnsi="Times New Roman"/>
          <w:sz w:val="13"/>
          <w:szCs w:val="13"/>
          <w:color w:val="auto"/>
        </w:rPr>
        <w:t>If you have exercised the Performance Lock, a subsequent index substitution will have no impact on the Performance Lock Value of that Shield Option.</w:t>
      </w:r>
    </w:p>
    <w:p>
      <w:pPr>
        <w:spacing w:after="0" w:line="11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Index Value</w:t>
      </w:r>
    </w:p>
    <w:p>
      <w:pPr>
        <w:spacing w:after="0" w:line="91" w:lineRule="exact"/>
        <w:rPr>
          <w:sz w:val="20"/>
          <w:szCs w:val="20"/>
          <w:color w:val="auto"/>
        </w:rPr>
      </w:pPr>
    </w:p>
    <w:p>
      <w:pPr>
        <w:jc w:val="both"/>
        <w:ind w:left="1" w:right="3199" w:firstLine="265"/>
        <w:spacing w:after="0" w:line="263" w:lineRule="auto"/>
        <w:rPr>
          <w:sz w:val="20"/>
          <w:szCs w:val="20"/>
          <w:color w:val="auto"/>
        </w:rPr>
      </w:pPr>
      <w:r>
        <w:rPr>
          <w:rFonts w:ascii="Times New Roman" w:cs="Times New Roman" w:eastAsia="Times New Roman" w:hAnsi="Times New Roman"/>
          <w:sz w:val="13"/>
          <w:szCs w:val="13"/>
          <w:color w:val="auto"/>
        </w:rPr>
        <w:t>The Index Value of an Index, on a Business Day, is the published closing value of the Index on that Business Day. The Index Value on any day that is not a Business Day is the value as of the prior Business Day. If an Index Value is not published on a Business Day, the closing Index Value on the next Business Day in which the Index Value is published will be used. We will use consistent sources to obtain Index Values. If these sources are no longer available for specific indices, we will select an alternative published source(s) for these Index Values.</w:t>
      </w:r>
    </w:p>
    <w:p>
      <w:pPr>
        <w:spacing w:after="0" w:line="13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Index Performance</w:t>
      </w:r>
    </w:p>
    <w:p>
      <w:pPr>
        <w:spacing w:after="0" w:line="91" w:lineRule="exact"/>
        <w:rPr>
          <w:sz w:val="20"/>
          <w:szCs w:val="20"/>
          <w:color w:val="auto"/>
        </w:rPr>
      </w:pPr>
    </w:p>
    <w:p>
      <w:pPr>
        <w:jc w:val="both"/>
        <w:ind w:left="1" w:right="3199" w:firstLine="265"/>
        <w:spacing w:after="0" w:line="262" w:lineRule="auto"/>
        <w:rPr>
          <w:sz w:val="20"/>
          <w:szCs w:val="20"/>
          <w:color w:val="auto"/>
        </w:rPr>
      </w:pPr>
      <w:r>
        <w:rPr>
          <w:rFonts w:ascii="Times New Roman" w:cs="Times New Roman" w:eastAsia="Times New Roman" w:hAnsi="Times New Roman"/>
          <w:sz w:val="13"/>
          <w:szCs w:val="13"/>
          <w:color w:val="auto"/>
        </w:rPr>
        <w:t>Index Performance is the percentage change in an Index Value measured from the Term Start Date to any day, including the Term End Date, within the Term. The Index Performance can be positive, zero or negative. The Performance Rate of a Shield Option is based on the performance of an Index. We calculate the Performance Rate only on the Term End Date. Any increase or reduction in the Investment Amount in a particular Shield Option is determined by multiplying the Performance Rate by the Investment Amount of the Shield Option on the last day of the Term.</w:t>
      </w:r>
    </w:p>
    <w:p>
      <w:pPr>
        <w:spacing w:after="0" w:line="13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Index Examples</w:t>
      </w:r>
    </w:p>
    <w:p>
      <w:pPr>
        <w:spacing w:after="0" w:line="91" w:lineRule="exact"/>
        <w:rPr>
          <w:sz w:val="20"/>
          <w:szCs w:val="20"/>
          <w:color w:val="auto"/>
        </w:rPr>
      </w:pPr>
    </w:p>
    <w:p>
      <w:pPr>
        <w:jc w:val="both"/>
        <w:ind w:left="1" w:right="3199" w:firstLine="265"/>
        <w:spacing w:after="0" w:line="263" w:lineRule="auto"/>
        <w:rPr>
          <w:sz w:val="20"/>
          <w:szCs w:val="20"/>
          <w:color w:val="auto"/>
        </w:rPr>
      </w:pPr>
      <w:r>
        <w:rPr>
          <w:rFonts w:ascii="Times New Roman" w:cs="Times New Roman" w:eastAsia="Times New Roman" w:hAnsi="Times New Roman"/>
          <w:sz w:val="13"/>
          <w:szCs w:val="13"/>
          <w:color w:val="auto"/>
        </w:rPr>
        <w:t>The bar charts shown below provide each Index’s annual returns for the last 10 calendar years (or for the life of the Index if less than 10 years), as well as the Index returns after applying a hypothetical 5% cap and a hypothetical 10% buffer (Shield Rate). The chart illustrates the variability of the returns from year to year and shows how hypothetical limits on Index gains and losses may affect these returns. Past performance is not necessarily an indication of future performance.</w:t>
      </w:r>
    </w:p>
    <w:p>
      <w:pPr>
        <w:spacing w:after="0" w:line="193" w:lineRule="exact"/>
        <w:rPr>
          <w:sz w:val="20"/>
          <w:szCs w:val="20"/>
          <w:color w:val="auto"/>
        </w:rPr>
      </w:pPr>
    </w:p>
    <w:p>
      <w:pPr>
        <w:ind w:left="2981"/>
        <w:spacing w:after="0"/>
        <w:rPr>
          <w:sz w:val="20"/>
          <w:szCs w:val="20"/>
          <w:color w:val="auto"/>
        </w:rPr>
      </w:pPr>
      <w:r>
        <w:rPr>
          <w:rFonts w:ascii="Times New Roman" w:cs="Times New Roman" w:eastAsia="Times New Roman" w:hAnsi="Times New Roman"/>
          <w:sz w:val="13"/>
          <w:szCs w:val="13"/>
          <w:color w:val="auto"/>
        </w:rPr>
        <w:t>27</w:t>
      </w:r>
    </w:p>
    <w:p>
      <w:pPr>
        <w:sectPr>
          <w:pgSz w:w="11900" w:h="16838" w:orient="portrait"/>
          <w:cols w:equalWidth="0" w:num="1">
            <w:col w:w="9261"/>
          </w:cols>
          <w:pgMar w:left="1199" w:top="1049" w:right="1440" w:bottom="1440" w:gutter="0" w:footer="0" w:header="0"/>
        </w:sectPr>
      </w:pPr>
    </w:p>
    <w:bookmarkStart w:id="29" w:name="page30"/>
    <w:bookmarkEnd w:id="29"/>
    <w:p>
      <w:pPr>
        <w:jc w:val="both"/>
        <w:ind w:left="1" w:right="3199" w:firstLine="265"/>
        <w:spacing w:after="0" w:line="267"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93915" cy="38100"/>
                    </a:xfrm>
                    <a:prstGeom prst="rect">
                      <a:avLst/>
                    </a:prstGeom>
                    <a:noFill/>
                  </pic:spPr>
                </pic:pic>
              </a:graphicData>
            </a:graphic>
          </wp:anchor>
        </w:drawing>
        <w:t>The performance below is NOT the performance of any Shield Option. Your performance under the Contract will differ, perhaps significantly. The performance below may reflect a different return calculation, time period, and limit on Index gains and losses than the Shield Options, and does not reflect Contract fees and charges, including the Interim Value calculation, which reduces performance.</w:t>
      </w:r>
    </w:p>
    <w:p>
      <w:pPr>
        <w:spacing w:after="0" w:line="3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S&amp;P 500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Index*</w:t>
      </w:r>
    </w:p>
    <w:p>
      <w:pPr>
        <w:spacing w:after="0" w:line="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-50800</wp:posOffset>
            </wp:positionV>
            <wp:extent cx="3842385" cy="2066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42385" cy="2066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1" w:right="3199" w:hanging="1"/>
        <w:spacing w:after="0" w:line="272" w:lineRule="auto"/>
        <w:tabs>
          <w:tab w:leader="none" w:pos="105"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Index is a “price return index,” not a “total return index,” and therefore does not reflect dividends declared by any of the companies in the Index. This will reduce the Index Performance and will cause the Index to underperform a direct investment in the securities composing the Index.</w:t>
      </w:r>
    </w:p>
    <w:p>
      <w:pPr>
        <w:spacing w:after="0" w:line="3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Russell 2000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3861435" cy="20853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61435" cy="2085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 </w:t>
      </w:r>
    </w:p>
    <w:p>
      <w:pPr>
        <w:spacing w:after="0" w:line="49" w:lineRule="exact"/>
        <w:rPr>
          <w:sz w:val="20"/>
          <w:szCs w:val="20"/>
          <w:color w:val="auto"/>
        </w:rPr>
      </w:pPr>
    </w:p>
    <w:p>
      <w:pPr>
        <w:jc w:val="both"/>
        <w:ind w:left="1" w:right="3199" w:hanging="1"/>
        <w:spacing w:after="0" w:line="272" w:lineRule="auto"/>
        <w:tabs>
          <w:tab w:leader="none" w:pos="105"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Index is a “price return index,” not a “total return index,” and therefore does not reflect dividends declared by any of the companies in the Index. This will reduce the Index Performance and will cause the Index to underperform a direct investment in the securities composing the Index.</w:t>
      </w:r>
    </w:p>
    <w:p>
      <w:pPr>
        <w:spacing w:after="0" w:line="200" w:lineRule="exact"/>
        <w:rPr>
          <w:sz w:val="20"/>
          <w:szCs w:val="20"/>
          <w:color w:val="auto"/>
        </w:rPr>
      </w:pPr>
    </w:p>
    <w:p>
      <w:pPr>
        <w:spacing w:after="0" w:line="204" w:lineRule="exact"/>
        <w:rPr>
          <w:sz w:val="20"/>
          <w:szCs w:val="20"/>
          <w:color w:val="auto"/>
        </w:rPr>
      </w:pPr>
    </w:p>
    <w:p>
      <w:pPr>
        <w:ind w:left="2981"/>
        <w:spacing w:after="0"/>
        <w:rPr>
          <w:sz w:val="20"/>
          <w:szCs w:val="20"/>
          <w:color w:val="auto"/>
        </w:rPr>
      </w:pPr>
      <w:r>
        <w:rPr>
          <w:rFonts w:ascii="Times New Roman" w:cs="Times New Roman" w:eastAsia="Times New Roman" w:hAnsi="Times New Roman"/>
          <w:sz w:val="13"/>
          <w:szCs w:val="13"/>
          <w:color w:val="auto"/>
        </w:rPr>
        <w:t>28</w:t>
      </w:r>
    </w:p>
    <w:p>
      <w:pPr>
        <w:sectPr>
          <w:pgSz w:w="11900" w:h="16838" w:orient="portrait"/>
          <w:cols w:equalWidth="0" w:num="1">
            <w:col w:w="9261"/>
          </w:cols>
          <w:pgMar w:left="1199" w:top="1047" w:right="1440" w:bottom="1440" w:gutter="0" w:footer="0" w:header="0"/>
        </w:sectPr>
      </w:pPr>
    </w:p>
    <w:bookmarkStart w:id="30" w:name="page31"/>
    <w:bookmarkEnd w:id="30"/>
    <w:p>
      <w:pPr>
        <w:ind w:left="1"/>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3915" cy="38100"/>
                    </a:xfrm>
                    <a:prstGeom prst="rect">
                      <a:avLst/>
                    </a:prstGeom>
                    <a:noFill/>
                  </pic:spPr>
                </pic:pic>
              </a:graphicData>
            </a:graphic>
          </wp:anchor>
        </w:drawing>
        <w:t>MSCI EAFE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64135</wp:posOffset>
            </wp:positionV>
            <wp:extent cx="3867785" cy="2059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67785" cy="2059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 </w:t>
      </w:r>
    </w:p>
    <w:p>
      <w:pPr>
        <w:spacing w:after="0" w:line="49" w:lineRule="exact"/>
        <w:rPr>
          <w:sz w:val="20"/>
          <w:szCs w:val="20"/>
          <w:color w:val="auto"/>
        </w:rPr>
      </w:pPr>
    </w:p>
    <w:p>
      <w:pPr>
        <w:jc w:val="both"/>
        <w:ind w:left="1" w:right="3199" w:hanging="1"/>
        <w:spacing w:after="0" w:line="272" w:lineRule="auto"/>
        <w:tabs>
          <w:tab w:leader="none" w:pos="105"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Index is a “price return index,” not a “total return index,” and therefore does not reflect dividends declared by any of the companies in the Index. This will reduce the Index Performance and will cause the Index to underperform a direct investment in the securities composing the Index.</w:t>
      </w:r>
    </w:p>
    <w:p>
      <w:pPr>
        <w:spacing w:after="0" w:line="3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Nasdaq-100 Index</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3867785" cy="20789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67785" cy="2078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 </w:t>
      </w:r>
    </w:p>
    <w:p>
      <w:pPr>
        <w:spacing w:after="0" w:line="49" w:lineRule="exact"/>
        <w:rPr>
          <w:sz w:val="20"/>
          <w:szCs w:val="20"/>
          <w:color w:val="auto"/>
        </w:rPr>
      </w:pPr>
    </w:p>
    <w:p>
      <w:pPr>
        <w:jc w:val="both"/>
        <w:ind w:left="1" w:right="3199" w:hanging="1"/>
        <w:spacing w:after="0" w:line="272" w:lineRule="auto"/>
        <w:tabs>
          <w:tab w:leader="none" w:pos="105"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Index is a “price return index,” not a “total return index,” and therefore does not reflect dividends declared by any of the companies in the Index. This will reduce the Index Performance and will cause the Index to underperform a direct investment in the securities composing the Index.</w:t>
      </w:r>
    </w:p>
    <w:p>
      <w:pPr>
        <w:spacing w:after="0" w:line="204" w:lineRule="exact"/>
        <w:rPr>
          <w:sz w:val="20"/>
          <w:szCs w:val="20"/>
          <w:color w:val="auto"/>
        </w:rPr>
      </w:pPr>
    </w:p>
    <w:p>
      <w:pPr>
        <w:ind w:left="2561"/>
        <w:spacing w:after="0"/>
        <w:rPr>
          <w:sz w:val="20"/>
          <w:szCs w:val="20"/>
          <w:color w:val="auto"/>
        </w:rPr>
      </w:pPr>
      <w:r>
        <w:rPr>
          <w:rFonts w:ascii="Times New Roman" w:cs="Times New Roman" w:eastAsia="Times New Roman" w:hAnsi="Times New Roman"/>
          <w:sz w:val="13"/>
          <w:szCs w:val="13"/>
          <w:b w:val="1"/>
          <w:bCs w:val="1"/>
          <w:color w:val="auto"/>
        </w:rPr>
        <w:t>SHIELD RATES</w:t>
      </w:r>
    </w:p>
    <w:p>
      <w:pPr>
        <w:spacing w:after="0" w:line="91" w:lineRule="exact"/>
        <w:rPr>
          <w:sz w:val="20"/>
          <w:szCs w:val="20"/>
          <w:color w:val="auto"/>
        </w:rPr>
      </w:pPr>
    </w:p>
    <w:p>
      <w:pPr>
        <w:jc w:val="both"/>
        <w:ind w:left="1" w:right="3199" w:firstLine="265"/>
        <w:spacing w:after="0" w:line="263" w:lineRule="auto"/>
        <w:rPr>
          <w:sz w:val="20"/>
          <w:szCs w:val="20"/>
          <w:color w:val="auto"/>
        </w:rPr>
      </w:pPr>
      <w:r>
        <w:rPr>
          <w:rFonts w:ascii="Times New Roman" w:cs="Times New Roman" w:eastAsia="Times New Roman" w:hAnsi="Times New Roman"/>
          <w:sz w:val="13"/>
          <w:szCs w:val="13"/>
          <w:color w:val="auto"/>
        </w:rPr>
        <w:t>We will limit the negative Index Performance, as applicable, used in calculating the Performance Rate applied to the Investment Amount on the Term End Date. The Shield Rate for each Shield Option is the amount of any negative Index Performance that is absorbed by us at the Term End Date. The Shield Rate only applies to amounts held in the Shield Option until the Term End Date. Any negative Index Performance beyond the Shield Rate will reduce the Investment Amount.</w:t>
      </w:r>
    </w:p>
    <w:p>
      <w:pPr>
        <w:spacing w:after="0" w:line="193" w:lineRule="exact"/>
        <w:rPr>
          <w:sz w:val="20"/>
          <w:szCs w:val="20"/>
          <w:color w:val="auto"/>
        </w:rPr>
      </w:pPr>
    </w:p>
    <w:p>
      <w:pPr>
        <w:ind w:left="2981"/>
        <w:spacing w:after="0"/>
        <w:rPr>
          <w:sz w:val="20"/>
          <w:szCs w:val="20"/>
          <w:color w:val="auto"/>
        </w:rPr>
      </w:pPr>
      <w:r>
        <w:rPr>
          <w:rFonts w:ascii="Times New Roman" w:cs="Times New Roman" w:eastAsia="Times New Roman" w:hAnsi="Times New Roman"/>
          <w:sz w:val="13"/>
          <w:szCs w:val="13"/>
          <w:color w:val="auto"/>
        </w:rPr>
        <w:t>29</w:t>
      </w:r>
    </w:p>
    <w:p>
      <w:pPr>
        <w:sectPr>
          <w:pgSz w:w="11900" w:h="16838" w:orient="portrait"/>
          <w:cols w:equalWidth="0" w:num="1">
            <w:col w:w="9261"/>
          </w:cols>
          <w:pgMar w:left="1199" w:top="1049" w:right="1440" w:bottom="1440" w:gutter="0" w:footer="0" w:header="0"/>
        </w:sectPr>
      </w:pPr>
    </w:p>
    <w:bookmarkStart w:id="31" w:name="page32"/>
    <w:bookmarkEnd w:id="31"/>
    <w:p>
      <w:pPr>
        <w:ind w:left="26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93915" cy="38100"/>
                    </a:xfrm>
                    <a:prstGeom prst="rect">
                      <a:avLst/>
                    </a:prstGeom>
                    <a:noFill/>
                  </pic:spPr>
                </pic:pic>
              </a:graphicData>
            </a:graphic>
          </wp:anchor>
        </w:drawing>
        <w:t>We currently offer the following Shield Rates—Shield 10, Shield 15 and Shield 25:</w:t>
      </w:r>
    </w:p>
    <w:p>
      <w:pPr>
        <w:spacing w:after="0" w:line="116" w:lineRule="exact"/>
        <w:rPr>
          <w:sz w:val="20"/>
          <w:szCs w:val="20"/>
          <w:color w:val="auto"/>
        </w:rPr>
      </w:pPr>
    </w:p>
    <w:tbl>
      <w:tblPr>
        <w:tblLayout w:type="fixed"/>
        <w:tblInd w:w="1370" w:type="dxa"/>
        <w:tblCellMar>
          <w:top w:w="0" w:type="dxa"/>
          <w:left w:w="0" w:type="dxa"/>
          <w:bottom w:w="0" w:type="dxa"/>
          <w:right w:w="0" w:type="dxa"/>
        </w:tblCellMar>
      </w:tblPr>
      <w:tr>
        <w:trPr>
          <w:trHeight w:val="175"/>
        </w:trPr>
        <w:tc>
          <w:tcPr>
            <w:tcW w:w="1680" w:type="dxa"/>
            <w:vAlign w:val="bottom"/>
            <w:tcBorders>
              <w:top w:val="single" w:sz="8" w:color="auto"/>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1"/>
                <w:szCs w:val="11"/>
                <w:b w:val="1"/>
                <w:bCs w:val="1"/>
                <w:color w:val="auto"/>
              </w:rPr>
              <w:t>Shield Rate</w:t>
            </w:r>
          </w:p>
        </w:tc>
        <w:tc>
          <w:tcPr>
            <w:tcW w:w="1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Downside Protection</w:t>
            </w:r>
          </w:p>
        </w:tc>
      </w:tr>
      <w:tr>
        <w:trPr>
          <w:trHeight w:val="187"/>
        </w:trPr>
        <w:tc>
          <w:tcPr>
            <w:tcW w:w="1680" w:type="dxa"/>
            <w:vAlign w:val="bottom"/>
            <w:tcBorders>
              <w:left w:val="single" w:sz="8" w:color="auto"/>
              <w:bottom w:val="single" w:sz="8" w:color="auto"/>
              <w:right w:val="single" w:sz="8" w:color="auto"/>
            </w:tcBorders>
            <w:shd w:val="clear" w:color="auto" w:fill="F0FFFF"/>
          </w:tcPr>
          <w:p>
            <w:pPr>
              <w:ind w:left="540"/>
              <w:spacing w:after="0"/>
              <w:rPr>
                <w:sz w:val="20"/>
                <w:szCs w:val="20"/>
                <w:color w:val="auto"/>
              </w:rPr>
            </w:pPr>
            <w:r>
              <w:rPr>
                <w:rFonts w:ascii="Times New Roman" w:cs="Times New Roman" w:eastAsia="Times New Roman" w:hAnsi="Times New Roman"/>
                <w:sz w:val="13"/>
                <w:szCs w:val="13"/>
                <w:color w:val="auto"/>
              </w:rPr>
              <w:t>Shield 10</w:t>
            </w:r>
          </w:p>
        </w:tc>
        <w:tc>
          <w:tcPr>
            <w:tcW w:w="166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up to 10%</w:t>
            </w:r>
          </w:p>
        </w:tc>
      </w:tr>
      <w:tr>
        <w:trPr>
          <w:trHeight w:val="188"/>
        </w:trPr>
        <w:tc>
          <w:tcPr>
            <w:tcW w:w="168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3"/>
                <w:szCs w:val="13"/>
                <w:color w:val="auto"/>
              </w:rPr>
              <w:t>Shield 15</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up to 15%</w:t>
            </w:r>
          </w:p>
        </w:tc>
      </w:tr>
      <w:tr>
        <w:trPr>
          <w:trHeight w:val="183"/>
        </w:trPr>
        <w:tc>
          <w:tcPr>
            <w:tcW w:w="1680" w:type="dxa"/>
            <w:vAlign w:val="bottom"/>
            <w:tcBorders>
              <w:left w:val="single" w:sz="8" w:color="auto"/>
              <w:bottom w:val="single" w:sz="8" w:color="auto"/>
              <w:right w:val="single" w:sz="8" w:color="auto"/>
            </w:tcBorders>
            <w:shd w:val="clear" w:color="auto" w:fill="F0FFFF"/>
          </w:tcPr>
          <w:p>
            <w:pPr>
              <w:ind w:left="540"/>
              <w:spacing w:after="0"/>
              <w:rPr>
                <w:sz w:val="20"/>
                <w:szCs w:val="20"/>
                <w:color w:val="auto"/>
              </w:rPr>
            </w:pPr>
            <w:r>
              <w:rPr>
                <w:rFonts w:ascii="Times New Roman" w:cs="Times New Roman" w:eastAsia="Times New Roman" w:hAnsi="Times New Roman"/>
                <w:sz w:val="13"/>
                <w:szCs w:val="13"/>
                <w:color w:val="auto"/>
              </w:rPr>
              <w:t>Shield 25</w:t>
            </w:r>
          </w:p>
        </w:tc>
        <w:tc>
          <w:tcPr>
            <w:tcW w:w="166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up to 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-506730</wp:posOffset>
            </wp:positionV>
            <wp:extent cx="2110105" cy="1136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10105" cy="11366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-260985</wp:posOffset>
            </wp:positionV>
            <wp:extent cx="2110105" cy="1320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10105" cy="132080"/>
                    </a:xfrm>
                    <a:prstGeom prst="rect">
                      <a:avLst/>
                    </a:prstGeom>
                    <a:noFill/>
                  </pic:spPr>
                </pic:pic>
              </a:graphicData>
            </a:graphic>
          </wp:anchor>
        </w:drawing>
      </w:r>
    </w:p>
    <w:p>
      <w:pPr>
        <w:spacing w:after="0" w:line="121" w:lineRule="exact"/>
        <w:rPr>
          <w:sz w:val="20"/>
          <w:szCs w:val="20"/>
          <w:color w:val="auto"/>
        </w:rPr>
      </w:pPr>
    </w:p>
    <w:p>
      <w:pPr>
        <w:jc w:val="both"/>
        <w:ind w:right="3199" w:firstLine="265"/>
        <w:spacing w:after="0" w:line="260" w:lineRule="auto"/>
        <w:rPr>
          <w:sz w:val="20"/>
          <w:szCs w:val="20"/>
          <w:color w:val="auto"/>
        </w:rPr>
      </w:pPr>
      <w:r>
        <w:rPr>
          <w:rFonts w:ascii="Times New Roman" w:cs="Times New Roman" w:eastAsia="Times New Roman" w:hAnsi="Times New Roman"/>
          <w:sz w:val="13"/>
          <w:szCs w:val="13"/>
          <w:color w:val="auto"/>
        </w:rPr>
        <w:t xml:space="preserve">For example, a -15% Index Performance with a 10% Shield Rate will result in a -5% Performance Rate (the amount of negative Index Performance that exceeds the Shield Rate), meaning that we will reduce the Investment Amount associated with the Shield Option by -5%. A -10% Index Performance with a 25% Shield Rate will result in a 0% Performance Rate (unless you have a Shield Option with Step Rate Edge) (negative Index Performance up to the Shield Rate is absorbed by us), meaning that we will not adjust the Investment Amount associated with the Shield Option. </w:t>
      </w:r>
      <w:r>
        <w:rPr>
          <w:rFonts w:ascii="Times New Roman" w:cs="Times New Roman" w:eastAsia="Times New Roman" w:hAnsi="Times New Roman"/>
          <w:sz w:val="13"/>
          <w:szCs w:val="13"/>
          <w:b w:val="1"/>
          <w:bCs w:val="1"/>
          <w:color w:val="auto"/>
        </w:rPr>
        <w:t>The Shield Rate may vary between Shield Options and, unless you have a Shield Option with</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 1-year Term, is not an annual rate.</w:t>
      </w:r>
    </w:p>
    <w:p>
      <w:pPr>
        <w:spacing w:after="0" w:line="65" w:lineRule="exact"/>
        <w:rPr>
          <w:sz w:val="20"/>
          <w:szCs w:val="20"/>
          <w:color w:val="auto"/>
        </w:rPr>
      </w:pPr>
    </w:p>
    <w:p>
      <w:pPr>
        <w:jc w:val="both"/>
        <w:ind w:right="3199" w:firstLine="265"/>
        <w:spacing w:after="0" w:line="274" w:lineRule="auto"/>
        <w:rPr>
          <w:sz w:val="20"/>
          <w:szCs w:val="20"/>
          <w:color w:val="auto"/>
        </w:rPr>
      </w:pPr>
      <w:r>
        <w:rPr>
          <w:rFonts w:ascii="Times New Roman" w:cs="Times New Roman" w:eastAsia="Times New Roman" w:hAnsi="Times New Roman"/>
          <w:sz w:val="13"/>
          <w:szCs w:val="13"/>
          <w:b w:val="1"/>
          <w:bCs w:val="1"/>
          <w:color w:val="auto"/>
        </w:rPr>
        <w:t>In deciding whether to choose a Shield Option with a higher Shield Rate, you should consider that Shield Options with higher Shield Rates tend to have lower Cap Rates, Step Rates, and Edge Rates, as applicable, than Shield Options with lower Shield Rates that have the same Index and Term.</w:t>
      </w:r>
    </w:p>
    <w:p>
      <w:pPr>
        <w:spacing w:after="0" w:line="46" w:lineRule="exact"/>
        <w:rPr>
          <w:sz w:val="20"/>
          <w:szCs w:val="20"/>
          <w:color w:val="auto"/>
        </w:rPr>
      </w:pPr>
    </w:p>
    <w:p>
      <w:pPr>
        <w:jc w:val="both"/>
        <w:ind w:right="3199" w:firstLine="265"/>
        <w:spacing w:after="0" w:line="262" w:lineRule="auto"/>
        <w:rPr>
          <w:sz w:val="20"/>
          <w:szCs w:val="20"/>
          <w:color w:val="auto"/>
        </w:rPr>
      </w:pPr>
      <w:r>
        <w:rPr>
          <w:rFonts w:ascii="Times New Roman" w:cs="Times New Roman" w:eastAsia="Times New Roman" w:hAnsi="Times New Roman"/>
          <w:sz w:val="13"/>
          <w:szCs w:val="13"/>
          <w:color w:val="auto"/>
        </w:rPr>
        <w:t xml:space="preserve">Each Shield Option’s Shield Rate is guaranteed not to change for the life of the currently offered Shield Options. However, we may stop offering any of the Shield Options or add new Shield Options, so the Shield Rates offered under the Contract may change from one Term to the next. </w:t>
      </w:r>
      <w:r>
        <w:rPr>
          <w:rFonts w:ascii="Times New Roman" w:cs="Times New Roman" w:eastAsia="Times New Roman" w:hAnsi="Times New Roman"/>
          <w:sz w:val="13"/>
          <w:szCs w:val="13"/>
          <w:b w:val="1"/>
          <w:bCs w:val="1"/>
          <w:color w:val="auto"/>
        </w:rPr>
        <w:t>We do not guarantee that there will always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be a Shield Option under the Contract that provides this minimum amount of downside protection; however, there will always be at least one Shield Option available that offers downside protection, although it may not be substantially similar to one of the currently available Shield Options.</w:t>
      </w:r>
    </w:p>
    <w:p>
      <w:pPr>
        <w:spacing w:after="0" w:line="62" w:lineRule="exact"/>
        <w:rPr>
          <w:sz w:val="20"/>
          <w:szCs w:val="20"/>
          <w:color w:val="auto"/>
        </w:rPr>
      </w:pPr>
    </w:p>
    <w:p>
      <w:pPr>
        <w:jc w:val="both"/>
        <w:ind w:right="3199" w:firstLine="265"/>
        <w:spacing w:after="0" w:line="272" w:lineRule="auto"/>
        <w:rPr>
          <w:sz w:val="20"/>
          <w:szCs w:val="20"/>
          <w:color w:val="auto"/>
        </w:rPr>
      </w:pPr>
      <w:r>
        <w:rPr>
          <w:rFonts w:ascii="Times New Roman" w:cs="Times New Roman" w:eastAsia="Times New Roman" w:hAnsi="Times New Roman"/>
          <w:sz w:val="13"/>
          <w:szCs w:val="13"/>
          <w:color w:val="auto"/>
        </w:rPr>
        <w:t>We set the Shield Rates at our discretion. We consider various factors in determining the Shield Rates, including, but not limited to, market conditions, administrative expenses, regulatory requirements, general economic trends, and competitive factors.</w:t>
      </w:r>
    </w:p>
    <w:p>
      <w:pPr>
        <w:spacing w:after="0" w:line="214"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3"/>
          <w:szCs w:val="13"/>
          <w:b w:val="1"/>
          <w:bCs w:val="1"/>
          <w:color w:val="auto"/>
        </w:rPr>
        <w:t>RATE CREDITING TYPES</w:t>
      </w:r>
    </w:p>
    <w:p>
      <w:pPr>
        <w:spacing w:after="0" w:line="91" w:lineRule="exact"/>
        <w:rPr>
          <w:sz w:val="20"/>
          <w:szCs w:val="20"/>
          <w:color w:val="auto"/>
        </w:rPr>
      </w:pPr>
    </w:p>
    <w:p>
      <w:pPr>
        <w:jc w:val="both"/>
        <w:ind w:right="3199" w:firstLine="265"/>
        <w:spacing w:after="0" w:line="258" w:lineRule="auto"/>
        <w:rPr>
          <w:sz w:val="20"/>
          <w:szCs w:val="20"/>
          <w:color w:val="auto"/>
        </w:rPr>
      </w:pPr>
      <w:r>
        <w:rPr>
          <w:rFonts w:ascii="Times New Roman" w:cs="Times New Roman" w:eastAsia="Times New Roman" w:hAnsi="Times New Roman"/>
          <w:sz w:val="13"/>
          <w:szCs w:val="13"/>
          <w:color w:val="auto"/>
        </w:rPr>
        <w:t>The Cap Rate, Step Rate, and Step Rate Edge (each, a “Rate Crediting Type”) are the three ways we offer that you can potentially receive positive interest based on the performance of an Index. We will limit the positive Index Performance used in calculating the Performance Rate applied to the Investment Amount on the Term End Date through the applicable Rate Crediting Type for each Shield Option. A new Cap Rate, Step Rate, or Edge Rate will be declared for each subsequent Term. There are two ways you may find out what the renewal Cap Rates will be for a subsequent Term. Thirty (30) days before the current Term expires, we will send you notification, written or electronic depending on your selected preferences, indicating your maturing Shield Options and how you can obtain the different Shield Options available at the Term End Date, including the new Cap Rates, Step Rates, and Edge Rates, and the interest rate for the Fixed Account. You may also access our website at [ ] where at least two months of renewal rates for the Rate Crediting Types and the interest rate for the Fixed Account are posted – i.e., for the current month and the following month. The current rates for the Rate Crediting Types posted on that website are incorporated by reference into this prospectus.</w:t>
      </w:r>
    </w:p>
    <w:p>
      <w:pPr>
        <w:spacing w:after="0" w:line="66" w:lineRule="exact"/>
        <w:rPr>
          <w:sz w:val="20"/>
          <w:szCs w:val="20"/>
          <w:color w:val="auto"/>
        </w:rPr>
      </w:pPr>
    </w:p>
    <w:p>
      <w:pPr>
        <w:jc w:val="both"/>
        <w:ind w:right="3179" w:firstLine="265"/>
        <w:spacing w:after="0" w:line="262" w:lineRule="auto"/>
        <w:rPr>
          <w:sz w:val="20"/>
          <w:szCs w:val="20"/>
          <w:color w:val="auto"/>
        </w:rPr>
      </w:pPr>
      <w:r>
        <w:rPr>
          <w:rFonts w:ascii="Times New Roman" w:cs="Times New Roman" w:eastAsia="Times New Roman" w:hAnsi="Times New Roman"/>
          <w:sz w:val="13"/>
          <w:szCs w:val="13"/>
          <w:color w:val="auto"/>
        </w:rPr>
        <w:t>We set the rates for the Rate Crediting Types at our discretion. We consider various factors in determining the rates for the Rate Crediting Types, including, but not limited to, market conditions, administrative expenses, regulatory requirements, general economic trends, and competitive factors. At the Term End Date, the Investment Amount will automatically be renewed into the same Shield Option, with the new Cap Rate, Step Rate, or Edge Rate, unless you elect to transfer such amount into a different Shield Option(s) or the Fixed Account. See “TRANSFERS.”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Cap Rate</w:t>
      </w:r>
    </w:p>
    <w:p>
      <w:pPr>
        <w:spacing w:after="0" w:line="91" w:lineRule="exact"/>
        <w:rPr>
          <w:sz w:val="20"/>
          <w:szCs w:val="20"/>
          <w:color w:val="auto"/>
        </w:rPr>
      </w:pPr>
    </w:p>
    <w:p>
      <w:pPr>
        <w:jc w:val="both"/>
        <w:ind w:right="3199" w:firstLine="265"/>
        <w:spacing w:after="0" w:line="260" w:lineRule="auto"/>
        <w:rPr>
          <w:sz w:val="20"/>
          <w:szCs w:val="20"/>
          <w:color w:val="auto"/>
        </w:rPr>
      </w:pPr>
      <w:r>
        <w:rPr>
          <w:rFonts w:ascii="Times New Roman" w:cs="Times New Roman" w:eastAsia="Times New Roman" w:hAnsi="Times New Roman"/>
          <w:sz w:val="13"/>
          <w:szCs w:val="13"/>
          <w:color w:val="auto"/>
        </w:rPr>
        <w:t>The Cap Rate is the maximum rate that may be credited at the Term End Date based on Index Performance. For example, a 15% Index Performance with a 10% Cap Rate will result in a 10% Performance Rate (the Index Performance up to the Cap Rate), meaning that we will increase the Investment Amount associated with the Shield Option by 10%; or, a 5% Index Performance with a 10% Cap Rate will result in a 5% Performance Rate.</w:t>
      </w:r>
    </w:p>
    <w:p>
      <w:pPr>
        <w:jc w:val="both"/>
        <w:ind w:right="3199"/>
        <w:spacing w:after="0" w:line="259" w:lineRule="auto"/>
        <w:rPr>
          <w:sz w:val="20"/>
          <w:szCs w:val="20"/>
          <w:color w:val="auto"/>
        </w:rPr>
      </w:pPr>
      <w:r>
        <w:rPr>
          <w:rFonts w:ascii="Times New Roman" w:cs="Times New Roman" w:eastAsia="Times New Roman" w:hAnsi="Times New Roman"/>
          <w:sz w:val="13"/>
          <w:szCs w:val="13"/>
          <w:b w:val="1"/>
          <w:bCs w:val="1"/>
          <w:color w:val="auto"/>
        </w:rPr>
        <w:t xml:space="preserve">The Cap Rate may vary between Shield Options and, unless you have a Shield Option with a 1-year Term, is not an annual rate. </w:t>
      </w:r>
      <w:r>
        <w:rPr>
          <w:rFonts w:ascii="Times New Roman" w:cs="Times New Roman" w:eastAsia="Times New Roman" w:hAnsi="Times New Roman"/>
          <w:sz w:val="13"/>
          <w:szCs w:val="13"/>
          <w:color w:val="auto"/>
        </w:rPr>
        <w:t>The Cap Rate only applies to amounts held in the Shield Option until the Term End Date.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 some cases we may declare a Cap Rate for a Shield Option as “uncapped” in which case the Performance Rate that can be received is equal to the Index Performance, subject to the Shield Rate.</w:t>
      </w:r>
    </w:p>
    <w:p>
      <w:pPr>
        <w:spacing w:after="0" w:line="19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color w:val="auto"/>
        </w:rPr>
        <w:t>30</w:t>
      </w:r>
    </w:p>
    <w:p>
      <w:pPr>
        <w:sectPr>
          <w:pgSz w:w="11900" w:h="16838" w:orient="portrait"/>
          <w:cols w:equalWidth="0" w:num="1">
            <w:col w:w="9259"/>
          </w:cols>
          <w:pgMar w:left="1200" w:top="1129" w:right="1440" w:bottom="1440" w:gutter="0" w:footer="0" w:header="0"/>
        </w:sectPr>
      </w:pPr>
    </w:p>
    <w:bookmarkStart w:id="32" w:name="page33"/>
    <w:bookmarkEnd w:id="32"/>
    <w:p>
      <w:pPr>
        <w:jc w:val="both"/>
        <w:ind w:right="3199" w:firstLine="265"/>
        <w:spacing w:after="0" w:line="28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93915" cy="38100"/>
                    </a:xfrm>
                    <a:prstGeom prst="rect">
                      <a:avLst/>
                    </a:prstGeom>
                    <a:noFill/>
                  </pic:spPr>
                </pic:pic>
              </a:graphicData>
            </a:graphic>
          </wp:anchor>
        </w:drawing>
        <w:t>For renewals into the same Shield Option a new Cap Rate is declared for each subsequent Term. The actual Minimum Guaranteed Cap Rates for your Contract are the amounts shown on your Contract Schedule, but the rates will not be less than what is shown in the Minimum Guaranteed Cap Rates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239395</wp:posOffset>
            </wp:positionV>
            <wp:extent cx="3861435" cy="6489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61435" cy="648970"/>
                    </a:xfrm>
                    <a:prstGeom prst="rect">
                      <a:avLst/>
                    </a:prstGeom>
                    <a:noFill/>
                  </pic:spPr>
                </pic:pic>
              </a:graphicData>
            </a:graphic>
          </wp:anchor>
        </w:drawing>
      </w:r>
    </w:p>
    <w:p>
      <w:pPr>
        <w:spacing w:after="0" w:line="383"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1"/>
          <w:szCs w:val="11"/>
          <w:b w:val="1"/>
          <w:bCs w:val="1"/>
          <w:color w:val="auto"/>
        </w:rPr>
        <w:t>Minimum Guaranteed Cap Rates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right w:val="single" w:sz="8" w:color="auto"/>
            </w:tcBorders>
            <w:shd w:val="clear" w:color="auto" w:fill="F0FFFF"/>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Shield Rate</w:t>
            </w:r>
          </w:p>
        </w:tc>
        <w:tc>
          <w:tcPr>
            <w:tcW w:w="1540" w:type="dxa"/>
            <w:vAlign w:val="bottom"/>
            <w:tcBorders>
              <w:top w:val="single" w:sz="8" w:color="auto"/>
              <w:bottom w:val="single" w:sz="8" w:color="auto"/>
              <w:right w:val="single" w:sz="8" w:color="auto"/>
            </w:tcBorders>
            <w:shd w:val="clear" w:color="auto" w:fill="F0FFFF"/>
          </w:tcPr>
          <w:p>
            <w:pPr>
              <w:ind w:left="400"/>
              <w:spacing w:after="0"/>
              <w:rPr>
                <w:sz w:val="20"/>
                <w:szCs w:val="20"/>
                <w:color w:val="auto"/>
              </w:rPr>
            </w:pPr>
            <w:r>
              <w:rPr>
                <w:rFonts w:ascii="Times New Roman" w:cs="Times New Roman" w:eastAsia="Times New Roman" w:hAnsi="Times New Roman"/>
                <w:sz w:val="13"/>
                <w:szCs w:val="13"/>
                <w:b w:val="1"/>
                <w:bCs w:val="1"/>
                <w:color w:val="auto"/>
              </w:rPr>
              <w:t>1-Year Term</w:t>
            </w:r>
          </w:p>
        </w:tc>
        <w:tc>
          <w:tcPr>
            <w:tcW w:w="1560" w:type="dxa"/>
            <w:vAlign w:val="bottom"/>
            <w:tcBorders>
              <w:top w:val="single" w:sz="8" w:color="auto"/>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3-Year Term</w:t>
            </w:r>
          </w:p>
        </w:tc>
        <w:tc>
          <w:tcPr>
            <w:tcW w:w="1460" w:type="dxa"/>
            <w:vAlign w:val="bottom"/>
            <w:tcBorders>
              <w:top w:val="single" w:sz="8" w:color="auto"/>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6-Year Term</w:t>
            </w:r>
          </w:p>
        </w:tc>
        <w:tc>
          <w:tcPr>
            <w:tcW w:w="20" w:type="dxa"/>
            <w:vAlign w:val="bottom"/>
            <w:tcBorders>
              <w:top w:val="single" w:sz="8" w:color="auto"/>
              <w:bottom w:val="single" w:sz="8" w:color="auto"/>
            </w:tcBorders>
          </w:tcPr>
          <w:p>
            <w:pPr>
              <w:spacing w:after="0"/>
              <w:rPr>
                <w:sz w:val="17"/>
                <w:szCs w:val="17"/>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1480" w:type="dxa"/>
            <w:vAlign w:val="bottom"/>
            <w:tcBorders>
              <w:bottom w:val="single" w:sz="8" w:color="auto"/>
              <w:right w:val="single" w:sz="8" w:color="auto"/>
            </w:tcBorders>
          </w:tcPr>
          <w:p>
            <w:pPr>
              <w:jc w:val="center"/>
              <w:ind w:right="54"/>
              <w:spacing w:after="0"/>
              <w:rPr>
                <w:sz w:val="20"/>
                <w:szCs w:val="20"/>
                <w:color w:val="auto"/>
              </w:rPr>
            </w:pPr>
            <w:r>
              <w:rPr>
                <w:rFonts w:ascii="Times New Roman" w:cs="Times New Roman" w:eastAsia="Times New Roman" w:hAnsi="Times New Roman"/>
                <w:sz w:val="13"/>
                <w:szCs w:val="13"/>
                <w:color w:val="auto"/>
              </w:rPr>
              <w:t>Shield 10</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5%</w:t>
            </w:r>
          </w:p>
        </w:tc>
        <w:tc>
          <w:tcPr>
            <w:tcW w:w="1560" w:type="dxa"/>
            <w:vAlign w:val="bottom"/>
            <w:tcBorders>
              <w:bottom w:val="single" w:sz="8" w:color="auto"/>
              <w:right w:val="single" w:sz="8" w:color="auto"/>
            </w:tcBorders>
          </w:tcPr>
          <w:p>
            <w:pPr>
              <w:jc w:val="right"/>
              <w:ind w:right="614"/>
              <w:spacing w:after="0"/>
              <w:rPr>
                <w:sz w:val="20"/>
                <w:szCs w:val="20"/>
                <w:color w:val="auto"/>
              </w:rPr>
            </w:pPr>
            <w:r>
              <w:rPr>
                <w:rFonts w:ascii="Times New Roman" w:cs="Times New Roman" w:eastAsia="Times New Roman" w:hAnsi="Times New Roman"/>
                <w:sz w:val="13"/>
                <w:szCs w:val="13"/>
                <w:color w:val="auto"/>
              </w:rPr>
              <w:t>15%</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30%</w:t>
            </w:r>
          </w:p>
        </w:tc>
        <w:tc>
          <w:tcPr>
            <w:tcW w:w="20" w:type="dxa"/>
            <w:vAlign w:val="bottom"/>
            <w:tcBorders>
              <w:bottom w:val="single" w:sz="8" w:color="auto"/>
            </w:tcBorders>
          </w:tcPr>
          <w:p>
            <w:pPr>
              <w:spacing w:after="0"/>
              <w:rPr>
                <w:sz w:val="16"/>
                <w:szCs w:val="16"/>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1480" w:type="dxa"/>
            <w:vAlign w:val="bottom"/>
            <w:tcBorders>
              <w:bottom w:val="single" w:sz="8" w:color="auto"/>
              <w:right w:val="single" w:sz="8" w:color="auto"/>
            </w:tcBorders>
            <w:shd w:val="clear" w:color="auto" w:fill="F0FFFF"/>
          </w:tcPr>
          <w:p>
            <w:pPr>
              <w:jc w:val="center"/>
              <w:ind w:right="54"/>
              <w:spacing w:after="0"/>
              <w:rPr>
                <w:sz w:val="20"/>
                <w:szCs w:val="20"/>
                <w:color w:val="auto"/>
              </w:rPr>
            </w:pPr>
            <w:r>
              <w:rPr>
                <w:rFonts w:ascii="Times New Roman" w:cs="Times New Roman" w:eastAsia="Times New Roman" w:hAnsi="Times New Roman"/>
                <w:sz w:val="13"/>
                <w:szCs w:val="13"/>
                <w:color w:val="auto"/>
              </w:rPr>
              <w:t>Shield 15</w:t>
            </w:r>
          </w:p>
        </w:tc>
        <w:tc>
          <w:tcPr>
            <w:tcW w:w="154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4.5%</w:t>
            </w:r>
          </w:p>
        </w:tc>
        <w:tc>
          <w:tcPr>
            <w:tcW w:w="1560" w:type="dxa"/>
            <w:vAlign w:val="bottom"/>
            <w:tcBorders>
              <w:bottom w:val="single" w:sz="8" w:color="auto"/>
              <w:right w:val="single" w:sz="8" w:color="auto"/>
            </w:tcBorders>
            <w:shd w:val="clear" w:color="auto" w:fill="F0FFFF"/>
          </w:tcPr>
          <w:p>
            <w:pPr>
              <w:jc w:val="right"/>
              <w:ind w:right="574"/>
              <w:spacing w:after="0"/>
              <w:rPr>
                <w:sz w:val="20"/>
                <w:szCs w:val="20"/>
                <w:color w:val="auto"/>
              </w:rPr>
            </w:pPr>
            <w:r>
              <w:rPr>
                <w:rFonts w:ascii="Times New Roman" w:cs="Times New Roman" w:eastAsia="Times New Roman" w:hAnsi="Times New Roman"/>
                <w:sz w:val="13"/>
                <w:szCs w:val="13"/>
                <w:color w:val="auto"/>
              </w:rPr>
              <w:t>13.5%</w:t>
            </w:r>
          </w:p>
        </w:tc>
        <w:tc>
          <w:tcPr>
            <w:tcW w:w="146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27%</w:t>
            </w:r>
          </w:p>
        </w:tc>
        <w:tc>
          <w:tcPr>
            <w:tcW w:w="20" w:type="dxa"/>
            <w:vAlign w:val="bottom"/>
            <w:tcBorders>
              <w:bottom w:val="single" w:sz="8" w:color="auto"/>
            </w:tcBorders>
          </w:tcPr>
          <w:p>
            <w:pPr>
              <w:spacing w:after="0"/>
              <w:rPr>
                <w:sz w:val="16"/>
                <w:szCs w:val="16"/>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1480" w:type="dxa"/>
            <w:vAlign w:val="bottom"/>
            <w:tcBorders>
              <w:bottom w:val="single" w:sz="8" w:color="auto"/>
              <w:right w:val="single" w:sz="8" w:color="auto"/>
            </w:tcBorders>
          </w:tcPr>
          <w:p>
            <w:pPr>
              <w:jc w:val="center"/>
              <w:ind w:right="54"/>
              <w:spacing w:after="0"/>
              <w:rPr>
                <w:sz w:val="20"/>
                <w:szCs w:val="20"/>
                <w:color w:val="auto"/>
              </w:rPr>
            </w:pPr>
            <w:r>
              <w:rPr>
                <w:rFonts w:ascii="Times New Roman" w:cs="Times New Roman" w:eastAsia="Times New Roman" w:hAnsi="Times New Roman"/>
                <w:sz w:val="13"/>
                <w:szCs w:val="13"/>
                <w:color w:val="auto"/>
              </w:rPr>
              <w:t>Shield 25</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3.5%</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N/A*</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21%</w:t>
            </w:r>
          </w:p>
        </w:tc>
        <w:tc>
          <w:tcPr>
            <w:tcW w:w="20" w:type="dxa"/>
            <w:vAlign w:val="bottom"/>
            <w:tcBorders>
              <w:bottom w:val="single" w:sz="8" w:color="auto"/>
            </w:tcBorders>
          </w:tcPr>
          <w:p>
            <w:pPr>
              <w:spacing w:after="0"/>
              <w:rPr>
                <w:sz w:val="15"/>
                <w:szCs w:val="15"/>
                <w:color w:val="auto"/>
              </w:rPr>
            </w:pPr>
          </w:p>
        </w:tc>
      </w:tr>
    </w:tbl>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 Cap Rates are not offered with a Shield 25 with a 3-Year Term.</w:t>
      </w:r>
    </w:p>
    <w:p>
      <w:pPr>
        <w:spacing w:after="0" w:line="89" w:lineRule="exact"/>
        <w:rPr>
          <w:sz w:val="20"/>
          <w:szCs w:val="20"/>
          <w:color w:val="auto"/>
        </w:rPr>
      </w:pPr>
    </w:p>
    <w:p>
      <w:pPr>
        <w:jc w:val="both"/>
        <w:ind w:right="3199" w:firstLine="265"/>
        <w:spacing w:after="0" w:line="259" w:lineRule="auto"/>
        <w:rPr>
          <w:sz w:val="20"/>
          <w:szCs w:val="20"/>
          <w:color w:val="auto"/>
        </w:rPr>
      </w:pPr>
      <w:r>
        <w:rPr>
          <w:rFonts w:ascii="Times New Roman" w:cs="Times New Roman" w:eastAsia="Times New Roman" w:hAnsi="Times New Roman"/>
          <w:sz w:val="13"/>
          <w:szCs w:val="13"/>
          <w:color w:val="auto"/>
        </w:rPr>
        <w:t>There are two ways you may find out what the renewal Cap Rates will be for a subsequent Term. Thirty (30) days before the current Term expires, we will send you notification, written or electronic depending on your selected preferences, indicating your maturing Shield Options and how you can obtain the new Cap Rates. You may also access our website at https://www.brighthousefinancial.com/products/rates/ where at least two months of renewal rates for the Rate Crediting Types and the interest rate for the Fixed Account are posted – i.e., for the current month and the following month. At the Term End Date, the Investment Amount will automatically be renewed into the same Shield Option, with the new Cap Rate, unless you elect to transfer such amount into a different Shield Option(s) or the Fixed Account. See “TRANSFERS.”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Step Rate</w:t>
      </w:r>
    </w:p>
    <w:p>
      <w:pPr>
        <w:spacing w:after="0" w:line="91" w:lineRule="exact"/>
        <w:rPr>
          <w:sz w:val="20"/>
          <w:szCs w:val="20"/>
          <w:color w:val="auto"/>
        </w:rPr>
      </w:pPr>
    </w:p>
    <w:p>
      <w:pPr>
        <w:jc w:val="both"/>
        <w:ind w:right="3199" w:firstLine="265"/>
        <w:spacing w:after="0" w:line="262" w:lineRule="auto"/>
        <w:rPr>
          <w:sz w:val="20"/>
          <w:szCs w:val="20"/>
          <w:color w:val="auto"/>
        </w:rPr>
      </w:pPr>
      <w:r>
        <w:rPr>
          <w:rFonts w:ascii="Times New Roman" w:cs="Times New Roman" w:eastAsia="Times New Roman" w:hAnsi="Times New Roman"/>
          <w:sz w:val="13"/>
          <w:szCs w:val="13"/>
          <w:color w:val="auto"/>
        </w:rPr>
        <w:t xml:space="preserve">The Step Rate is the rate credited at the Term End Date if the Index Performance is equal to or greater than zero. For example, a 15% Index Performance with an 8% Step Rate will result in an 8% Performance Rate (the Step Rate); or, a 5% Index Performance with an 8% Step Rate will result in an 8% Performance Rate (the Step Rate), meaning that we will increase the Investment Amount by 8%. The Step Rate only applies to amounts held in the Shield Option until the Term End Date. </w:t>
      </w:r>
      <w:r>
        <w:rPr>
          <w:rFonts w:ascii="Times New Roman" w:cs="Times New Roman" w:eastAsia="Times New Roman" w:hAnsi="Times New Roman"/>
          <w:sz w:val="13"/>
          <w:szCs w:val="13"/>
          <w:b w:val="1"/>
          <w:bCs w:val="1"/>
          <w:color w:val="auto"/>
        </w:rPr>
        <w:t>The Step Rate may vary between Shield Options and, unless you</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have a Shield Option with a 1-year Term, is not an annual rate.</w:t>
      </w:r>
    </w:p>
    <w:p>
      <w:pPr>
        <w:spacing w:after="0" w:line="53" w:lineRule="exact"/>
        <w:rPr>
          <w:sz w:val="20"/>
          <w:szCs w:val="20"/>
          <w:color w:val="auto"/>
        </w:rPr>
      </w:pPr>
    </w:p>
    <w:p>
      <w:pPr>
        <w:jc w:val="both"/>
        <w:ind w:right="3199" w:firstLine="265"/>
        <w:spacing w:after="0" w:line="272" w:lineRule="auto"/>
        <w:rPr>
          <w:sz w:val="20"/>
          <w:szCs w:val="20"/>
          <w:color w:val="auto"/>
        </w:rPr>
      </w:pPr>
      <w:r>
        <w:rPr>
          <w:rFonts w:ascii="Times New Roman" w:cs="Times New Roman" w:eastAsia="Times New Roman" w:hAnsi="Times New Roman"/>
          <w:sz w:val="13"/>
          <w:szCs w:val="13"/>
          <w:color w:val="auto"/>
        </w:rPr>
        <w:t>For renewals into the same Shield Option a new Step Rate is declared for each subsequent Term, and such rate will not be less than the Minimum Guaranteed Step Rate stated in your Contract, but the rates will not be less than what is shown in the Minimum Guaranteed Step Rates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60325</wp:posOffset>
            </wp:positionV>
            <wp:extent cx="3861435" cy="516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61435" cy="516890"/>
                    </a:xfrm>
                    <a:prstGeom prst="rect">
                      <a:avLst/>
                    </a:prstGeom>
                    <a:noFill/>
                  </pic:spPr>
                </pic:pic>
              </a:graphicData>
            </a:graphic>
          </wp:anchor>
        </w:drawing>
      </w:r>
    </w:p>
    <w:p>
      <w:pPr>
        <w:spacing w:after="0" w:line="100"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1"/>
          <w:szCs w:val="11"/>
          <w:b w:val="1"/>
          <w:bCs w:val="1"/>
          <w:color w:val="auto"/>
        </w:rPr>
        <w:t>Minimum Guaranteed Step Rates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auto"/>
              <w:bottom w:val="single" w:sz="8" w:color="auto"/>
            </w:tcBorders>
          </w:tcPr>
          <w:p>
            <w:pPr>
              <w:spacing w:after="0"/>
              <w:rPr>
                <w:sz w:val="17"/>
                <w:szCs w:val="17"/>
                <w:color w:val="auto"/>
              </w:rPr>
            </w:pPr>
          </w:p>
        </w:tc>
        <w:tc>
          <w:tcPr>
            <w:tcW w:w="1980" w:type="dxa"/>
            <w:vAlign w:val="bottom"/>
            <w:tcBorders>
              <w:top w:val="single" w:sz="8" w:color="auto"/>
              <w:bottom w:val="single" w:sz="8" w:color="auto"/>
              <w:right w:val="single" w:sz="8" w:color="auto"/>
            </w:tcBorders>
            <w:shd w:val="clear" w:color="auto" w:fill="F0FFFF"/>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Shield Rate</w:t>
            </w:r>
          </w:p>
        </w:tc>
        <w:tc>
          <w:tcPr>
            <w:tcW w:w="2080" w:type="dxa"/>
            <w:vAlign w:val="bottom"/>
            <w:tcBorders>
              <w:top w:val="single" w:sz="8" w:color="auto"/>
              <w:bottom w:val="single" w:sz="8" w:color="auto"/>
              <w:right w:val="single" w:sz="8" w:color="auto"/>
            </w:tcBorders>
            <w:shd w:val="clear" w:color="auto" w:fill="F0FFFF"/>
          </w:tcPr>
          <w:p>
            <w:pPr>
              <w:ind w:left="660"/>
              <w:spacing w:after="0"/>
              <w:rPr>
                <w:sz w:val="20"/>
                <w:szCs w:val="20"/>
                <w:color w:val="auto"/>
              </w:rPr>
            </w:pPr>
            <w:r>
              <w:rPr>
                <w:rFonts w:ascii="Times New Roman" w:cs="Times New Roman" w:eastAsia="Times New Roman" w:hAnsi="Times New Roman"/>
                <w:sz w:val="13"/>
                <w:szCs w:val="13"/>
                <w:b w:val="1"/>
                <w:bCs w:val="1"/>
                <w:color w:val="auto"/>
              </w:rPr>
              <w:t>1-Year Term</w:t>
            </w:r>
          </w:p>
        </w:tc>
        <w:tc>
          <w:tcPr>
            <w:tcW w:w="1980" w:type="dxa"/>
            <w:vAlign w:val="bottom"/>
            <w:tcBorders>
              <w:top w:val="single" w:sz="8" w:color="auto"/>
              <w:bottom w:val="single" w:sz="8" w:color="auto"/>
            </w:tcBorders>
            <w:shd w:val="clear" w:color="auto" w:fill="F0FFFF"/>
          </w:tcPr>
          <w:p>
            <w:pPr>
              <w:ind w:left="660"/>
              <w:spacing w:after="0"/>
              <w:rPr>
                <w:sz w:val="20"/>
                <w:szCs w:val="20"/>
                <w:color w:val="auto"/>
              </w:rPr>
            </w:pPr>
            <w:r>
              <w:rPr>
                <w:rFonts w:ascii="Times New Roman" w:cs="Times New Roman" w:eastAsia="Times New Roman" w:hAnsi="Times New Roman"/>
                <w:sz w:val="13"/>
                <w:szCs w:val="13"/>
                <w:b w:val="1"/>
                <w:bCs w:val="1"/>
                <w:color w:val="auto"/>
              </w:rPr>
              <w:t>2-Year Term</w:t>
            </w:r>
          </w:p>
        </w:tc>
        <w:tc>
          <w:tcPr>
            <w:tcW w:w="20" w:type="dxa"/>
            <w:vAlign w:val="bottom"/>
            <w:tcBorders>
              <w:top w:val="single" w:sz="8" w:color="auto"/>
              <w:bottom w:val="single" w:sz="8" w:color="auto"/>
            </w:tcBorders>
          </w:tcPr>
          <w:p>
            <w:pPr>
              <w:spacing w:after="0"/>
              <w:rPr>
                <w:sz w:val="17"/>
                <w:szCs w:val="17"/>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1980" w:type="dxa"/>
            <w:vAlign w:val="bottom"/>
            <w:tcBorders>
              <w:bottom w:val="single" w:sz="8" w:color="auto"/>
              <w:right w:val="single" w:sz="8" w:color="auto"/>
            </w:tcBorders>
          </w:tcPr>
          <w:p>
            <w:pPr>
              <w:jc w:val="center"/>
              <w:ind w:right="54"/>
              <w:spacing w:after="0"/>
              <w:rPr>
                <w:sz w:val="20"/>
                <w:szCs w:val="20"/>
                <w:color w:val="auto"/>
              </w:rPr>
            </w:pPr>
            <w:r>
              <w:rPr>
                <w:rFonts w:ascii="Times New Roman" w:cs="Times New Roman" w:eastAsia="Times New Roman" w:hAnsi="Times New Roman"/>
                <w:sz w:val="13"/>
                <w:szCs w:val="13"/>
                <w:color w:val="auto"/>
              </w:rPr>
              <w:t>Shield 10</w:t>
            </w:r>
          </w:p>
        </w:tc>
        <w:tc>
          <w:tcPr>
            <w:tcW w:w="2080" w:type="dxa"/>
            <w:vAlign w:val="bottom"/>
            <w:tcBorders>
              <w:bottom w:val="single" w:sz="8" w:color="auto"/>
              <w:right w:val="single" w:sz="8" w:color="auto"/>
            </w:tcBorders>
          </w:tcPr>
          <w:p>
            <w:pPr>
              <w:jc w:val="right"/>
              <w:ind w:right="894"/>
              <w:spacing w:after="0"/>
              <w:rPr>
                <w:sz w:val="20"/>
                <w:szCs w:val="20"/>
                <w:color w:val="auto"/>
              </w:rPr>
            </w:pPr>
            <w:r>
              <w:rPr>
                <w:rFonts w:ascii="Times New Roman" w:cs="Times New Roman" w:eastAsia="Times New Roman" w:hAnsi="Times New Roman"/>
                <w:sz w:val="13"/>
                <w:szCs w:val="13"/>
                <w:color w:val="auto"/>
              </w:rPr>
              <w:t>5%</w:t>
            </w:r>
          </w:p>
        </w:tc>
        <w:tc>
          <w:tcPr>
            <w:tcW w:w="198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3"/>
                <w:szCs w:val="13"/>
                <w:color w:val="auto"/>
              </w:rPr>
              <w:t>10%</w:t>
            </w:r>
          </w:p>
        </w:tc>
        <w:tc>
          <w:tcPr>
            <w:tcW w:w="20" w:type="dxa"/>
            <w:vAlign w:val="bottom"/>
            <w:tcBorders>
              <w:bottom w:val="single" w:sz="8" w:color="auto"/>
            </w:tcBorders>
          </w:tcPr>
          <w:p>
            <w:pPr>
              <w:spacing w:after="0"/>
              <w:rPr>
                <w:sz w:val="16"/>
                <w:szCs w:val="16"/>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1980" w:type="dxa"/>
            <w:vAlign w:val="bottom"/>
            <w:tcBorders>
              <w:bottom w:val="single" w:sz="8" w:color="auto"/>
              <w:right w:val="single" w:sz="8" w:color="auto"/>
            </w:tcBorders>
            <w:shd w:val="clear" w:color="auto" w:fill="F0FFFF"/>
          </w:tcPr>
          <w:p>
            <w:pPr>
              <w:jc w:val="center"/>
              <w:ind w:right="54"/>
              <w:spacing w:after="0"/>
              <w:rPr>
                <w:sz w:val="20"/>
                <w:szCs w:val="20"/>
                <w:color w:val="auto"/>
              </w:rPr>
            </w:pPr>
            <w:r>
              <w:rPr>
                <w:rFonts w:ascii="Times New Roman" w:cs="Times New Roman" w:eastAsia="Times New Roman" w:hAnsi="Times New Roman"/>
                <w:sz w:val="13"/>
                <w:szCs w:val="13"/>
                <w:color w:val="auto"/>
              </w:rPr>
              <w:t>Shield 15</w:t>
            </w:r>
          </w:p>
        </w:tc>
        <w:tc>
          <w:tcPr>
            <w:tcW w:w="2080" w:type="dxa"/>
            <w:vAlign w:val="bottom"/>
            <w:tcBorders>
              <w:bottom w:val="single" w:sz="8" w:color="auto"/>
              <w:right w:val="single" w:sz="8" w:color="auto"/>
            </w:tcBorders>
            <w:shd w:val="clear" w:color="auto" w:fill="F0FFFF"/>
          </w:tcPr>
          <w:p>
            <w:pPr>
              <w:jc w:val="right"/>
              <w:ind w:right="854"/>
              <w:spacing w:after="0"/>
              <w:rPr>
                <w:sz w:val="20"/>
                <w:szCs w:val="20"/>
                <w:color w:val="auto"/>
              </w:rPr>
            </w:pPr>
            <w:r>
              <w:rPr>
                <w:rFonts w:ascii="Times New Roman" w:cs="Times New Roman" w:eastAsia="Times New Roman" w:hAnsi="Times New Roman"/>
                <w:sz w:val="13"/>
                <w:szCs w:val="13"/>
                <w:color w:val="auto"/>
              </w:rPr>
              <w:t>4.5%</w:t>
            </w:r>
          </w:p>
        </w:tc>
        <w:tc>
          <w:tcPr>
            <w:tcW w:w="1980" w:type="dxa"/>
            <w:vAlign w:val="bottom"/>
            <w:tcBorders>
              <w:bottom w:val="single" w:sz="8" w:color="auto"/>
            </w:tcBorders>
            <w:shd w:val="clear" w:color="auto" w:fill="F0FFFF"/>
          </w:tcPr>
          <w:p>
            <w:pPr>
              <w:jc w:val="right"/>
              <w:ind w:right="814"/>
              <w:spacing w:after="0"/>
              <w:rPr>
                <w:sz w:val="20"/>
                <w:szCs w:val="20"/>
                <w:color w:val="auto"/>
              </w:rPr>
            </w:pPr>
            <w:r>
              <w:rPr>
                <w:rFonts w:ascii="Times New Roman" w:cs="Times New Roman" w:eastAsia="Times New Roman" w:hAnsi="Times New Roman"/>
                <w:sz w:val="13"/>
                <w:szCs w:val="13"/>
                <w:color w:val="auto"/>
              </w:rPr>
              <w:t>9%</w:t>
            </w:r>
          </w:p>
        </w:tc>
        <w:tc>
          <w:tcPr>
            <w:tcW w:w="20" w:type="dxa"/>
            <w:vAlign w:val="bottom"/>
            <w:tcBorders>
              <w:bottom w:val="single" w:sz="8" w:color="auto"/>
            </w:tcBorders>
          </w:tcPr>
          <w:p>
            <w:pPr>
              <w:spacing w:after="0"/>
              <w:rPr>
                <w:sz w:val="15"/>
                <w:szCs w:val="15"/>
                <w:color w:val="auto"/>
              </w:rPr>
            </w:pPr>
          </w:p>
        </w:tc>
      </w:tr>
    </w:tbl>
    <w:p>
      <w:pPr>
        <w:spacing w:after="0" w:line="141" w:lineRule="exact"/>
        <w:rPr>
          <w:sz w:val="20"/>
          <w:szCs w:val="20"/>
          <w:color w:val="auto"/>
        </w:rPr>
      </w:pPr>
    </w:p>
    <w:p>
      <w:pPr>
        <w:jc w:val="both"/>
        <w:ind w:right="3199" w:firstLine="265"/>
        <w:spacing w:after="0" w:line="259" w:lineRule="auto"/>
        <w:rPr>
          <w:sz w:val="20"/>
          <w:szCs w:val="20"/>
          <w:color w:val="auto"/>
        </w:rPr>
      </w:pPr>
      <w:r>
        <w:rPr>
          <w:rFonts w:ascii="Times New Roman" w:cs="Times New Roman" w:eastAsia="Times New Roman" w:hAnsi="Times New Roman"/>
          <w:sz w:val="13"/>
          <w:szCs w:val="13"/>
          <w:color w:val="auto"/>
        </w:rPr>
        <w:t>There are two ways you may find out what the renewal Step Rates will be for a subsequent Term. Thirty (30) days before the current Term expires, we will send you a notification, written or electronic depending on your selected preferences, indicating your maturing Shield Options and how you can obtain the new Step Rates. You may also access our website at https://www.brighthousefinancial.com/products/rates/ where at least two months of renewal rates for the Rate Crediting Types and the interest rate for the Fixed Account are posted – i.e., for the current month and the following month. At the Term End Date, the Investment Amount will automatically be renewed into the same Shield Option, with the new Step Rate, unless you elect to transfer such amount into a different Shield Option(s) or the Fixed Account. See “TRANSFERS.”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Step Rate Edge</w:t>
      </w:r>
    </w:p>
    <w:p>
      <w:pPr>
        <w:spacing w:after="0" w:line="91" w:lineRule="exact"/>
        <w:rPr>
          <w:sz w:val="20"/>
          <w:szCs w:val="20"/>
          <w:color w:val="auto"/>
        </w:rPr>
      </w:pPr>
    </w:p>
    <w:p>
      <w:pPr>
        <w:jc w:val="both"/>
        <w:ind w:right="3199" w:firstLine="265"/>
        <w:spacing w:after="0" w:line="259" w:lineRule="auto"/>
        <w:rPr>
          <w:sz w:val="20"/>
          <w:szCs w:val="20"/>
          <w:color w:val="auto"/>
        </w:rPr>
      </w:pPr>
      <w:r>
        <w:rPr>
          <w:rFonts w:ascii="Times New Roman" w:cs="Times New Roman" w:eastAsia="Times New Roman" w:hAnsi="Times New Roman"/>
          <w:sz w:val="13"/>
          <w:szCs w:val="13"/>
          <w:color w:val="auto"/>
        </w:rPr>
        <w:t xml:space="preserve">For Shield Options with Step Rate Edge, the Edge Rate is the rate credited at the Term End Date if the Index Performance is equal to or greater than the Shield Rate. Step Rate Edge therefore, provides the opportunity to receive the Edge Rate even when Index Performance is negative, so long as Index Performance is equal to or greater than the Shield Rate. For example, a 3% Index Performance with a 7% Edge Rate and a 10% Shield Rate will result in a 7% Performance Rate, or, a -10% Index Performance with a 7% Edge Rate and a 10% Shield Rate (Index Performance greater than the Shield Rate) will result in a 7% Performance Rate, meaning that we will increase the Investment Amount associated with the Shield Option by 7%. The Edge Rate only applies to amounts held in the Shield Option until the Term End Date. </w:t>
      </w:r>
      <w:r>
        <w:rPr>
          <w:rFonts w:ascii="Times New Roman" w:cs="Times New Roman" w:eastAsia="Times New Roman" w:hAnsi="Times New Roman"/>
          <w:sz w:val="13"/>
          <w:szCs w:val="13"/>
          <w:b w:val="1"/>
          <w:bCs w:val="1"/>
          <w:color w:val="auto"/>
        </w:rPr>
        <w:t>The Edge Rate may vary between Shield Options and,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unless you have a Shield Option with a 1-year Term, is not an annual rate.</w:t>
      </w:r>
    </w:p>
    <w:p>
      <w:pPr>
        <w:spacing w:after="0" w:line="19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color w:val="auto"/>
        </w:rPr>
        <w:t>31</w:t>
      </w:r>
    </w:p>
    <w:p>
      <w:pPr>
        <w:sectPr>
          <w:pgSz w:w="11900" w:h="16838" w:orient="portrait"/>
          <w:cols w:equalWidth="0" w:num="1">
            <w:col w:w="9259"/>
          </w:cols>
          <w:pgMar w:left="1200" w:top="1049" w:right="1440" w:bottom="1440" w:gutter="0" w:footer="0" w:header="0"/>
        </w:sectPr>
      </w:pPr>
    </w:p>
    <w:bookmarkStart w:id="33" w:name="page34"/>
    <w:bookmarkEnd w:id="33"/>
    <w:p>
      <w:pPr>
        <w:jc w:val="both"/>
        <w:ind w:right="3199" w:firstLine="265"/>
        <w:spacing w:after="0" w:line="26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93915" cy="38100"/>
                    </a:xfrm>
                    <a:prstGeom prst="rect">
                      <a:avLst/>
                    </a:prstGeom>
                    <a:noFill/>
                  </pic:spPr>
                </pic:pic>
              </a:graphicData>
            </a:graphic>
          </wp:anchor>
        </w:drawing>
        <w:t>For renewals into the same Shield Option a new Edge Rate is declared for each subsequent Term, and such rate will not be less than the Minimum Guaranteed Edge Rate stated in your Contract, but the rate will not be less than what is shown in the Minimum Guaranteed Edge Rates table below. See “RATE CREDITING TYPES—Step Rate 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62865</wp:posOffset>
            </wp:positionV>
            <wp:extent cx="3861435" cy="516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61435" cy="516890"/>
                    </a:xfrm>
                    <a:prstGeom prst="rect">
                      <a:avLst/>
                    </a:prstGeom>
                    <a:noFill/>
                  </pic:spPr>
                </pic:pic>
              </a:graphicData>
            </a:graphic>
          </wp:anchor>
        </w:drawing>
      </w:r>
    </w:p>
    <w:p>
      <w:pPr>
        <w:spacing w:after="0" w:line="10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1"/>
          <w:szCs w:val="11"/>
          <w:b w:val="1"/>
          <w:bCs w:val="1"/>
          <w:color w:val="auto"/>
        </w:rPr>
        <w:t>Minimum Guaranteed Edge Rates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auto"/>
              <w:bottom w:val="single" w:sz="8" w:color="auto"/>
            </w:tcBorders>
          </w:tcPr>
          <w:p>
            <w:pPr>
              <w:spacing w:after="0"/>
              <w:rPr>
                <w:sz w:val="17"/>
                <w:szCs w:val="17"/>
                <w:color w:val="auto"/>
              </w:rPr>
            </w:pPr>
          </w:p>
        </w:tc>
        <w:tc>
          <w:tcPr>
            <w:tcW w:w="1980" w:type="dxa"/>
            <w:vAlign w:val="bottom"/>
            <w:tcBorders>
              <w:top w:val="single" w:sz="8" w:color="auto"/>
              <w:bottom w:val="single" w:sz="8" w:color="auto"/>
              <w:right w:val="single" w:sz="8" w:color="auto"/>
            </w:tcBorders>
            <w:shd w:val="clear" w:color="auto" w:fill="F0FFFF"/>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Shield Rate</w:t>
            </w:r>
          </w:p>
        </w:tc>
        <w:tc>
          <w:tcPr>
            <w:tcW w:w="2080" w:type="dxa"/>
            <w:vAlign w:val="bottom"/>
            <w:tcBorders>
              <w:top w:val="single" w:sz="8" w:color="auto"/>
              <w:bottom w:val="single" w:sz="8" w:color="auto"/>
              <w:right w:val="single" w:sz="8" w:color="auto"/>
            </w:tcBorders>
            <w:shd w:val="clear" w:color="auto" w:fill="F0FFFF"/>
          </w:tcPr>
          <w:p>
            <w:pPr>
              <w:ind w:left="660"/>
              <w:spacing w:after="0"/>
              <w:rPr>
                <w:sz w:val="20"/>
                <w:szCs w:val="20"/>
                <w:color w:val="auto"/>
              </w:rPr>
            </w:pPr>
            <w:r>
              <w:rPr>
                <w:rFonts w:ascii="Times New Roman" w:cs="Times New Roman" w:eastAsia="Times New Roman" w:hAnsi="Times New Roman"/>
                <w:sz w:val="13"/>
                <w:szCs w:val="13"/>
                <w:b w:val="1"/>
                <w:bCs w:val="1"/>
                <w:color w:val="auto"/>
              </w:rPr>
              <w:t>1-Year Term</w:t>
            </w:r>
          </w:p>
        </w:tc>
        <w:tc>
          <w:tcPr>
            <w:tcW w:w="1980" w:type="dxa"/>
            <w:vAlign w:val="bottom"/>
            <w:tcBorders>
              <w:top w:val="single" w:sz="8" w:color="auto"/>
              <w:bottom w:val="single" w:sz="8" w:color="auto"/>
            </w:tcBorders>
            <w:shd w:val="clear" w:color="auto" w:fill="F0FFFF"/>
          </w:tcPr>
          <w:p>
            <w:pPr>
              <w:ind w:left="660"/>
              <w:spacing w:after="0"/>
              <w:rPr>
                <w:sz w:val="20"/>
                <w:szCs w:val="20"/>
                <w:color w:val="auto"/>
              </w:rPr>
            </w:pPr>
            <w:r>
              <w:rPr>
                <w:rFonts w:ascii="Times New Roman" w:cs="Times New Roman" w:eastAsia="Times New Roman" w:hAnsi="Times New Roman"/>
                <w:sz w:val="13"/>
                <w:szCs w:val="13"/>
                <w:b w:val="1"/>
                <w:bCs w:val="1"/>
                <w:color w:val="auto"/>
              </w:rPr>
              <w:t>2-Year Term</w:t>
            </w:r>
          </w:p>
        </w:tc>
        <w:tc>
          <w:tcPr>
            <w:tcW w:w="20" w:type="dxa"/>
            <w:vAlign w:val="bottom"/>
            <w:tcBorders>
              <w:top w:val="single" w:sz="8" w:color="auto"/>
              <w:bottom w:val="single" w:sz="8" w:color="auto"/>
            </w:tcBorders>
          </w:tcPr>
          <w:p>
            <w:pPr>
              <w:spacing w:after="0"/>
              <w:rPr>
                <w:sz w:val="17"/>
                <w:szCs w:val="17"/>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1980" w:type="dxa"/>
            <w:vAlign w:val="bottom"/>
            <w:tcBorders>
              <w:bottom w:val="single" w:sz="8" w:color="auto"/>
              <w:right w:val="single" w:sz="8" w:color="auto"/>
            </w:tcBorders>
          </w:tcPr>
          <w:p>
            <w:pPr>
              <w:jc w:val="center"/>
              <w:ind w:right="54"/>
              <w:spacing w:after="0"/>
              <w:rPr>
                <w:sz w:val="20"/>
                <w:szCs w:val="20"/>
                <w:color w:val="auto"/>
              </w:rPr>
            </w:pPr>
            <w:r>
              <w:rPr>
                <w:rFonts w:ascii="Times New Roman" w:cs="Times New Roman" w:eastAsia="Times New Roman" w:hAnsi="Times New Roman"/>
                <w:sz w:val="13"/>
                <w:szCs w:val="13"/>
                <w:color w:val="auto"/>
              </w:rPr>
              <w:t>Shield 10</w:t>
            </w:r>
          </w:p>
        </w:tc>
        <w:tc>
          <w:tcPr>
            <w:tcW w:w="2080" w:type="dxa"/>
            <w:vAlign w:val="bottom"/>
            <w:tcBorders>
              <w:bottom w:val="single" w:sz="8" w:color="auto"/>
              <w:right w:val="single" w:sz="8" w:color="auto"/>
            </w:tcBorders>
          </w:tcPr>
          <w:p>
            <w:pPr>
              <w:jc w:val="right"/>
              <w:ind w:right="894"/>
              <w:spacing w:after="0"/>
              <w:rPr>
                <w:sz w:val="20"/>
                <w:szCs w:val="20"/>
                <w:color w:val="auto"/>
              </w:rPr>
            </w:pPr>
            <w:r>
              <w:rPr>
                <w:rFonts w:ascii="Times New Roman" w:cs="Times New Roman" w:eastAsia="Times New Roman" w:hAnsi="Times New Roman"/>
                <w:sz w:val="13"/>
                <w:szCs w:val="13"/>
                <w:color w:val="auto"/>
              </w:rPr>
              <w:t>5%</w:t>
            </w:r>
          </w:p>
        </w:tc>
        <w:tc>
          <w:tcPr>
            <w:tcW w:w="198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3"/>
                <w:szCs w:val="13"/>
                <w:color w:val="auto"/>
              </w:rPr>
              <w:t>10%</w:t>
            </w:r>
          </w:p>
        </w:tc>
        <w:tc>
          <w:tcPr>
            <w:tcW w:w="20" w:type="dxa"/>
            <w:vAlign w:val="bottom"/>
            <w:tcBorders>
              <w:bottom w:val="single" w:sz="8" w:color="auto"/>
            </w:tcBorders>
          </w:tcPr>
          <w:p>
            <w:pPr>
              <w:spacing w:after="0"/>
              <w:rPr>
                <w:sz w:val="16"/>
                <w:szCs w:val="16"/>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1980" w:type="dxa"/>
            <w:vAlign w:val="bottom"/>
            <w:tcBorders>
              <w:bottom w:val="single" w:sz="8" w:color="auto"/>
              <w:right w:val="single" w:sz="8" w:color="auto"/>
            </w:tcBorders>
            <w:shd w:val="clear" w:color="auto" w:fill="F0FFFF"/>
          </w:tcPr>
          <w:p>
            <w:pPr>
              <w:jc w:val="center"/>
              <w:ind w:right="54"/>
              <w:spacing w:after="0"/>
              <w:rPr>
                <w:sz w:val="20"/>
                <w:szCs w:val="20"/>
                <w:color w:val="auto"/>
              </w:rPr>
            </w:pPr>
            <w:r>
              <w:rPr>
                <w:rFonts w:ascii="Times New Roman" w:cs="Times New Roman" w:eastAsia="Times New Roman" w:hAnsi="Times New Roman"/>
                <w:sz w:val="13"/>
                <w:szCs w:val="13"/>
                <w:color w:val="auto"/>
              </w:rPr>
              <w:t>Shield 15</w:t>
            </w:r>
          </w:p>
        </w:tc>
        <w:tc>
          <w:tcPr>
            <w:tcW w:w="2080" w:type="dxa"/>
            <w:vAlign w:val="bottom"/>
            <w:tcBorders>
              <w:bottom w:val="single" w:sz="8" w:color="auto"/>
              <w:right w:val="single" w:sz="8" w:color="auto"/>
            </w:tcBorders>
            <w:shd w:val="clear" w:color="auto" w:fill="F0FFFF"/>
          </w:tcPr>
          <w:p>
            <w:pPr>
              <w:jc w:val="right"/>
              <w:ind w:right="854"/>
              <w:spacing w:after="0"/>
              <w:rPr>
                <w:sz w:val="20"/>
                <w:szCs w:val="20"/>
                <w:color w:val="auto"/>
              </w:rPr>
            </w:pPr>
            <w:r>
              <w:rPr>
                <w:rFonts w:ascii="Times New Roman" w:cs="Times New Roman" w:eastAsia="Times New Roman" w:hAnsi="Times New Roman"/>
                <w:sz w:val="13"/>
                <w:szCs w:val="13"/>
                <w:color w:val="auto"/>
              </w:rPr>
              <w:t>4.5%</w:t>
            </w:r>
          </w:p>
        </w:tc>
        <w:tc>
          <w:tcPr>
            <w:tcW w:w="1980" w:type="dxa"/>
            <w:vAlign w:val="bottom"/>
            <w:tcBorders>
              <w:bottom w:val="single" w:sz="8" w:color="auto"/>
            </w:tcBorders>
            <w:shd w:val="clear" w:color="auto" w:fill="F0FFFF"/>
          </w:tcPr>
          <w:p>
            <w:pPr>
              <w:jc w:val="right"/>
              <w:ind w:right="814"/>
              <w:spacing w:after="0"/>
              <w:rPr>
                <w:sz w:val="20"/>
                <w:szCs w:val="20"/>
                <w:color w:val="auto"/>
              </w:rPr>
            </w:pPr>
            <w:r>
              <w:rPr>
                <w:rFonts w:ascii="Times New Roman" w:cs="Times New Roman" w:eastAsia="Times New Roman" w:hAnsi="Times New Roman"/>
                <w:sz w:val="13"/>
                <w:szCs w:val="13"/>
                <w:color w:val="auto"/>
              </w:rPr>
              <w:t>9%</w:t>
            </w:r>
          </w:p>
        </w:tc>
        <w:tc>
          <w:tcPr>
            <w:tcW w:w="20" w:type="dxa"/>
            <w:vAlign w:val="bottom"/>
            <w:tcBorders>
              <w:bottom w:val="single" w:sz="8" w:color="auto"/>
            </w:tcBorders>
          </w:tcPr>
          <w:p>
            <w:pPr>
              <w:spacing w:after="0"/>
              <w:rPr>
                <w:sz w:val="15"/>
                <w:szCs w:val="15"/>
                <w:color w:val="auto"/>
              </w:rPr>
            </w:pPr>
          </w:p>
        </w:tc>
      </w:tr>
    </w:tbl>
    <w:p>
      <w:pPr>
        <w:spacing w:after="0" w:line="141" w:lineRule="exact"/>
        <w:rPr>
          <w:sz w:val="20"/>
          <w:szCs w:val="20"/>
          <w:color w:val="auto"/>
        </w:rPr>
      </w:pPr>
    </w:p>
    <w:p>
      <w:pPr>
        <w:jc w:val="both"/>
        <w:ind w:right="3199" w:firstLine="265"/>
        <w:spacing w:after="0" w:line="259" w:lineRule="auto"/>
        <w:rPr>
          <w:sz w:val="20"/>
          <w:szCs w:val="20"/>
          <w:color w:val="auto"/>
        </w:rPr>
      </w:pPr>
      <w:r>
        <w:rPr>
          <w:rFonts w:ascii="Times New Roman" w:cs="Times New Roman" w:eastAsia="Times New Roman" w:hAnsi="Times New Roman"/>
          <w:sz w:val="13"/>
          <w:szCs w:val="13"/>
          <w:color w:val="auto"/>
        </w:rPr>
        <w:t>There are two ways you may find out what the renewal Edge Rates will be for a subsequent Term. Thirty (30) days before the current Term expires, we will send you a notification, written or electronic depending on your selected preferences, indicating your maturing Shield Options and how you can obtain the new Edge Rates. You may also access our website at https://www.brighthousefinancial.com/products/rates/ where at least two months of renewal rates for the Rate Crediting Types and the interest rate for the Fixed Account are posted – i.e., for the current month and the following month. At the Term End Date, the Investment Amount will automatically be renewed into the same Shield Option, with the new Edge Rate, unless you elect to transfer such amount into a different Shield Option(s) or the Fixed Account. See “TRANSFERS.”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Rate Crediting Type Considerations</w:t>
      </w:r>
    </w:p>
    <w:p>
      <w:pPr>
        <w:spacing w:after="0" w:line="91" w:lineRule="exact"/>
        <w:rPr>
          <w:sz w:val="20"/>
          <w:szCs w:val="20"/>
          <w:color w:val="auto"/>
        </w:rPr>
      </w:pPr>
    </w:p>
    <w:p>
      <w:pPr>
        <w:jc w:val="both"/>
        <w:ind w:right="3199" w:firstLine="265"/>
        <w:spacing w:after="0" w:line="290" w:lineRule="auto"/>
        <w:rPr>
          <w:sz w:val="20"/>
          <w:szCs w:val="20"/>
          <w:color w:val="auto"/>
        </w:rPr>
      </w:pPr>
      <w:r>
        <w:rPr>
          <w:rFonts w:ascii="Times New Roman" w:cs="Times New Roman" w:eastAsia="Times New Roman" w:hAnsi="Times New Roman"/>
          <w:sz w:val="13"/>
          <w:szCs w:val="13"/>
          <w:color w:val="auto"/>
        </w:rPr>
        <w:t>In deciding whether to purchase a Shield Option with a Cap Rate versus a Step Rate or Step Rate Edge, you should consider the following:</w:t>
      </w:r>
    </w:p>
    <w:p>
      <w:pPr>
        <w:spacing w:after="0" w:line="36" w:lineRule="exact"/>
        <w:rPr>
          <w:sz w:val="20"/>
          <w:szCs w:val="20"/>
          <w:color w:val="auto"/>
        </w:rPr>
      </w:pPr>
    </w:p>
    <w:p>
      <w:pPr>
        <w:jc w:val="both"/>
        <w:ind w:right="3199" w:firstLine="265"/>
        <w:spacing w:after="0" w:line="272" w:lineRule="auto"/>
        <w:rPr>
          <w:sz w:val="20"/>
          <w:szCs w:val="20"/>
          <w:color w:val="auto"/>
        </w:rPr>
      </w:pPr>
      <w:r>
        <w:rPr>
          <w:rFonts w:ascii="Times New Roman" w:cs="Times New Roman" w:eastAsia="Times New Roman" w:hAnsi="Times New Roman"/>
          <w:sz w:val="13"/>
          <w:szCs w:val="13"/>
          <w:color w:val="auto"/>
        </w:rPr>
        <w:t>Step Rates and Edge Rates are generally lower than Cap Rates. For example, if Index Performance is equal to or greater than zero but less than the Step Rate, and you chose a Cap Rate for your Shield Option, your Performance Rate Adjustment will be lower than it otherwise would be had you chosen a Step Rate.</w:t>
      </w:r>
    </w:p>
    <w:p>
      <w:pPr>
        <w:spacing w:after="0" w:line="47" w:lineRule="exact"/>
        <w:rPr>
          <w:sz w:val="20"/>
          <w:szCs w:val="20"/>
          <w:color w:val="auto"/>
        </w:rPr>
      </w:pPr>
    </w:p>
    <w:p>
      <w:pPr>
        <w:jc w:val="both"/>
        <w:ind w:right="3199" w:firstLine="265"/>
        <w:spacing w:after="0" w:line="272" w:lineRule="auto"/>
        <w:rPr>
          <w:sz w:val="20"/>
          <w:szCs w:val="20"/>
          <w:color w:val="auto"/>
        </w:rPr>
      </w:pPr>
      <w:r>
        <w:rPr>
          <w:rFonts w:ascii="Times New Roman" w:cs="Times New Roman" w:eastAsia="Times New Roman" w:hAnsi="Times New Roman"/>
          <w:sz w:val="13"/>
          <w:szCs w:val="13"/>
          <w:color w:val="auto"/>
        </w:rPr>
        <w:t>Similarly, if Index Performance is equal to or greater than the Shield Rate but less than the Edge Rate, and you chose a Cap Rate for your Shield Option, your Performance Rate Adjustment will be lower than it otherwise would be had you chosen an Edge Rate.</w:t>
      </w:r>
    </w:p>
    <w:p>
      <w:pPr>
        <w:spacing w:after="0" w:line="47" w:lineRule="exact"/>
        <w:rPr>
          <w:sz w:val="20"/>
          <w:szCs w:val="20"/>
          <w:color w:val="auto"/>
        </w:rPr>
      </w:pPr>
    </w:p>
    <w:p>
      <w:pPr>
        <w:jc w:val="both"/>
        <w:ind w:right="3199" w:firstLine="265"/>
        <w:spacing w:after="0" w:line="263" w:lineRule="auto"/>
        <w:rPr>
          <w:sz w:val="20"/>
          <w:szCs w:val="20"/>
          <w:color w:val="auto"/>
        </w:rPr>
      </w:pPr>
      <w:r>
        <w:rPr>
          <w:rFonts w:ascii="Times New Roman" w:cs="Times New Roman" w:eastAsia="Times New Roman" w:hAnsi="Times New Roman"/>
          <w:sz w:val="13"/>
          <w:szCs w:val="13"/>
          <w:color w:val="auto"/>
        </w:rPr>
        <w:t>Alternatively, if Index Performance is positive and exceeds the Step Rate, and you chose a Step Rate for your Shield Option, your Performance Rate Adjustment will be lower than it otherwise would be had you chosen a Cap Rate. For example, if you chose a Shield Option with a 10% Cap Rate and there is a 15% Index Performance, your Performance Rate is 10%; however, if instead you were to choose a Shield Option with an 8% Step Rate, your Performance Rate would instead be 8%.</w:t>
      </w:r>
    </w:p>
    <w:p>
      <w:pPr>
        <w:spacing w:after="0" w:line="54" w:lineRule="exact"/>
        <w:rPr>
          <w:sz w:val="20"/>
          <w:szCs w:val="20"/>
          <w:color w:val="auto"/>
        </w:rPr>
      </w:pPr>
    </w:p>
    <w:p>
      <w:pPr>
        <w:jc w:val="both"/>
        <w:ind w:right="3199" w:firstLine="265"/>
        <w:spacing w:after="0" w:line="263" w:lineRule="auto"/>
        <w:rPr>
          <w:sz w:val="20"/>
          <w:szCs w:val="20"/>
          <w:color w:val="auto"/>
        </w:rPr>
      </w:pPr>
      <w:r>
        <w:rPr>
          <w:rFonts w:ascii="Times New Roman" w:cs="Times New Roman" w:eastAsia="Times New Roman" w:hAnsi="Times New Roman"/>
          <w:sz w:val="13"/>
          <w:szCs w:val="13"/>
          <w:color w:val="auto"/>
        </w:rPr>
        <w:t>Similarly, if the Index Performance is equal to or greater than the Shield Rate and exceeds the Edge Rate, and you chose an Edge Rate for your Shield Option, your Performance Rate Adjustment will be lower than it otherwise would be had you chosen a Cap Rate. For example, if you chose a Shield Option with a 10% Cap Rate and there is a 15% Index Performance, your Performance Rate is 10%; however, if instead you were to choose a Shield Option with an 7% Edge Rate, your Performance Rate would instead be 7%.</w:t>
      </w:r>
    </w:p>
    <w:p>
      <w:pPr>
        <w:spacing w:after="0" w:line="54" w:lineRule="exact"/>
        <w:rPr>
          <w:sz w:val="20"/>
          <w:szCs w:val="20"/>
          <w:color w:val="auto"/>
        </w:rPr>
      </w:pPr>
    </w:p>
    <w:p>
      <w:pPr>
        <w:jc w:val="both"/>
        <w:ind w:right="3199" w:firstLine="265"/>
        <w:spacing w:after="0" w:line="259" w:lineRule="auto"/>
        <w:rPr>
          <w:sz w:val="20"/>
          <w:szCs w:val="20"/>
          <w:color w:val="auto"/>
        </w:rPr>
      </w:pPr>
      <w:r>
        <w:rPr>
          <w:rFonts w:ascii="Times New Roman" w:cs="Times New Roman" w:eastAsia="Times New Roman" w:hAnsi="Times New Roman"/>
          <w:sz w:val="13"/>
          <w:szCs w:val="13"/>
          <w:color w:val="auto"/>
        </w:rPr>
        <w:t>In deciding whether to purchase a Shield Option with a Step Rate versus Step Rate Edge, you should consider that Edge Rates are generally lower than Step Rates. However, Edge Rates may credit a positive Performance Rate even when Index Performance is negative up to the Shield Rate, whereas Step Rates are applicable only when Index Performance is zero or positive. For example, if you chose an Edge Rate of 7% and Index Performance is equal to or greater than the Shield Rate but less than zero, your Performance Rate would be 7%. On the other hand, if you chose a Step Rate of 8% and Index Performance is equal to or greater than the Shield Rate but less than zero, your Performance Rate would be 0% even though the Step Rate is higher than the Edge Rate. Conversely, if you chose an Edge Rate of 7% and Index Performance is equal to or greater than zero, your Performance Rate would be 7% whereas if you had chosen a Step Rate of 8%, your Performance Rate would be 8% rather than 7%.</w:t>
      </w:r>
    </w:p>
    <w:p>
      <w:pPr>
        <w:spacing w:after="0" w:line="215" w:lineRule="exact"/>
        <w:rPr>
          <w:sz w:val="20"/>
          <w:szCs w:val="20"/>
          <w:color w:val="auto"/>
        </w:rPr>
      </w:pPr>
    </w:p>
    <w:p>
      <w:pPr>
        <w:jc w:val="both"/>
        <w:ind w:right="3199" w:firstLine="265"/>
        <w:spacing w:after="0" w:line="272" w:lineRule="auto"/>
        <w:rPr>
          <w:sz w:val="20"/>
          <w:szCs w:val="20"/>
          <w:color w:val="auto"/>
        </w:rPr>
      </w:pPr>
      <w:r>
        <w:rPr>
          <w:rFonts w:ascii="Times New Roman" w:cs="Times New Roman" w:eastAsia="Times New Roman" w:hAnsi="Times New Roman"/>
          <w:sz w:val="13"/>
          <w:szCs w:val="13"/>
          <w:color w:val="auto"/>
        </w:rPr>
        <w:t>You should keep in mind that unlike Shield Options with a Cap Rate or Step Rate, with a Shield Option with Step Rate Edge you will receive a positive Performance Rate equal to the Edge Rate even if Index Performance is negative, so long as such negative Index Performance does not exceed the Shield Rate.</w:t>
      </w:r>
    </w:p>
    <w:p>
      <w:pPr>
        <w:spacing w:after="0" w:line="20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3"/>
          <w:szCs w:val="13"/>
          <w:b w:val="1"/>
          <w:bCs w:val="1"/>
          <w:color w:val="auto"/>
        </w:rPr>
        <w:t>ADDITION OR DISCONTINUANCE OF A SHIELD OPTION</w:t>
      </w:r>
    </w:p>
    <w:p>
      <w:pPr>
        <w:spacing w:after="0" w:line="91" w:lineRule="exact"/>
        <w:rPr>
          <w:sz w:val="20"/>
          <w:szCs w:val="20"/>
          <w:color w:val="auto"/>
        </w:rPr>
      </w:pPr>
    </w:p>
    <w:p>
      <w:pPr>
        <w:jc w:val="both"/>
        <w:ind w:right="3199" w:firstLine="265"/>
        <w:spacing w:after="0" w:line="263" w:lineRule="auto"/>
        <w:rPr>
          <w:sz w:val="20"/>
          <w:szCs w:val="20"/>
          <w:color w:val="auto"/>
        </w:rPr>
      </w:pPr>
      <w:r>
        <w:rPr>
          <w:rFonts w:ascii="Times New Roman" w:cs="Times New Roman" w:eastAsia="Times New Roman" w:hAnsi="Times New Roman"/>
          <w:sz w:val="13"/>
          <w:szCs w:val="13"/>
          <w:color w:val="auto"/>
        </w:rPr>
        <w:t>A Shield Option will always be available; however, we can add or discontinue any Shield Option. When a change is made to a Shield Option or an Index, or a change is made subsequent to the Issue Date, we will send a notification describing any changes to the Shield Option, as required by law. This change will take effect under your Contract as of the next Contract Anniversary for any allowable transfers into the Shield Option(s). If you are currently allocated in a Shield Option which is no</w:t>
      </w:r>
    </w:p>
    <w:p>
      <w:pPr>
        <w:spacing w:after="0" w:line="193"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color w:val="auto"/>
        </w:rPr>
        <w:t>32</w:t>
      </w:r>
    </w:p>
    <w:p>
      <w:pPr>
        <w:sectPr>
          <w:pgSz w:w="11900" w:h="16838" w:orient="portrait"/>
          <w:cols w:equalWidth="0" w:num="1">
            <w:col w:w="9259"/>
          </w:cols>
          <w:pgMar w:left="1200" w:top="1049" w:right="1440" w:bottom="1440" w:gutter="0" w:footer="0" w:header="0"/>
        </w:sectPr>
      </w:pPr>
    </w:p>
    <w:bookmarkStart w:id="34" w:name="page35"/>
    <w:bookmarkEnd w:id="34"/>
    <w:p>
      <w:pPr>
        <w:jc w:val="both"/>
        <w:ind w:right="3199"/>
        <w:spacing w:after="0" w:line="29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93915" cy="38100"/>
                    </a:xfrm>
                    <a:prstGeom prst="rect">
                      <a:avLst/>
                    </a:prstGeom>
                    <a:noFill/>
                  </pic:spPr>
                </pic:pic>
              </a:graphicData>
            </a:graphic>
          </wp:anchor>
        </w:drawing>
        <w:t>longer available, you will remain in that Shield Option until the Term End Date, but that Shield Option will no longer be available following the Term End Date. For more on transfers and renewals, see “TRANSFERS.”</w:t>
      </w:r>
    </w:p>
    <w:p>
      <w:pPr>
        <w:spacing w:after="0" w:line="192"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3"/>
          <w:szCs w:val="13"/>
          <w:b w:val="1"/>
          <w:bCs w:val="1"/>
          <w:color w:val="auto"/>
        </w:rPr>
        <w:t>ACCOUNT VALUE</w:t>
      </w:r>
    </w:p>
    <w:p>
      <w:pPr>
        <w:spacing w:after="0" w:line="91" w:lineRule="exact"/>
        <w:rPr>
          <w:sz w:val="20"/>
          <w:szCs w:val="20"/>
          <w:color w:val="auto"/>
        </w:rPr>
      </w:pPr>
    </w:p>
    <w:p>
      <w:pPr>
        <w:jc w:val="both"/>
        <w:ind w:right="3199" w:firstLine="265"/>
        <w:spacing w:after="0" w:line="290" w:lineRule="auto"/>
        <w:rPr>
          <w:sz w:val="20"/>
          <w:szCs w:val="20"/>
          <w:color w:val="auto"/>
        </w:rPr>
      </w:pPr>
      <w:r>
        <w:rPr>
          <w:rFonts w:ascii="Times New Roman" w:cs="Times New Roman" w:eastAsia="Times New Roman" w:hAnsi="Times New Roman"/>
          <w:sz w:val="13"/>
          <w:szCs w:val="13"/>
          <w:color w:val="auto"/>
        </w:rPr>
        <w:t>Your Account Value is the total of the Fixed Account Value, the value of the Shield Option(s), and the Holding Account value under your Contract during the Accumulation Period.</w:t>
      </w:r>
    </w:p>
    <w:p>
      <w:pPr>
        <w:spacing w:after="0" w:line="36" w:lineRule="exact"/>
        <w:rPr>
          <w:sz w:val="20"/>
          <w:szCs w:val="20"/>
          <w:color w:val="auto"/>
        </w:rPr>
      </w:pPr>
    </w:p>
    <w:p>
      <w:pPr>
        <w:jc w:val="both"/>
        <w:ind w:right="3199" w:firstLine="265"/>
        <w:spacing w:after="0" w:line="262" w:lineRule="auto"/>
        <w:rPr>
          <w:sz w:val="20"/>
          <w:szCs w:val="20"/>
          <w:color w:val="auto"/>
        </w:rPr>
      </w:pPr>
      <w:r>
        <w:rPr>
          <w:rFonts w:ascii="Times New Roman" w:cs="Times New Roman" w:eastAsia="Times New Roman" w:hAnsi="Times New Roman"/>
          <w:sz w:val="13"/>
          <w:szCs w:val="13"/>
          <w:color w:val="auto"/>
        </w:rPr>
        <w:t xml:space="preserve">The following five sections of the prospectus describe (1) the calculation of Investment Amount, (2) Interim Value Calculation, (3) how withdrawals work, (4) how Transfers work, and (5) how Performance Lock works. Each section has corresponding example(s). These examples should not be considered a representation of past or future performance for any Shield Option. </w:t>
      </w:r>
      <w:r>
        <w:rPr>
          <w:rFonts w:ascii="Times New Roman" w:cs="Times New Roman" w:eastAsia="Times New Roman" w:hAnsi="Times New Roman"/>
          <w:sz w:val="13"/>
          <w:szCs w:val="13"/>
          <w:b w:val="1"/>
          <w:bCs w:val="1"/>
          <w:color w:val="auto"/>
        </w:rPr>
        <w:t>Actual performance may be greater or less than those shown in the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examples. Similarly, the Index Values in the examples are not an estimate or guarantee of future Index Performance.</w:t>
      </w:r>
    </w:p>
    <w:p>
      <w:pPr>
        <w:spacing w:after="0" w:line="53" w:lineRule="exact"/>
        <w:rPr>
          <w:sz w:val="20"/>
          <w:szCs w:val="20"/>
          <w:color w:val="auto"/>
        </w:rPr>
      </w:pPr>
    </w:p>
    <w:p>
      <w:pPr>
        <w:jc w:val="both"/>
        <w:ind w:right="3199" w:firstLine="265"/>
        <w:spacing w:after="0" w:line="290" w:lineRule="auto"/>
        <w:rPr>
          <w:sz w:val="20"/>
          <w:szCs w:val="20"/>
          <w:color w:val="auto"/>
        </w:rPr>
      </w:pPr>
      <w:r>
        <w:rPr>
          <w:rFonts w:ascii="Times New Roman" w:cs="Times New Roman" w:eastAsia="Times New Roman" w:hAnsi="Times New Roman"/>
          <w:sz w:val="13"/>
          <w:szCs w:val="13"/>
          <w:color w:val="auto"/>
        </w:rPr>
        <w:t>The rates for the Rate Crediting Types shown in the following examples are for illustrative purposes only and may not reflect actual declared rates. Values are rounded for display purposes only.</w:t>
      </w:r>
    </w:p>
    <w:p>
      <w:pPr>
        <w:spacing w:after="0" w:line="192"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3"/>
          <w:szCs w:val="13"/>
          <w:b w:val="1"/>
          <w:bCs w:val="1"/>
          <w:color w:val="auto"/>
        </w:rPr>
        <w:t>INVESTMENT AMOUNT</w:t>
      </w:r>
    </w:p>
    <w:p>
      <w:pPr>
        <w:spacing w:after="0" w:line="91" w:lineRule="exact"/>
        <w:rPr>
          <w:sz w:val="20"/>
          <w:szCs w:val="20"/>
          <w:color w:val="auto"/>
        </w:rPr>
      </w:pPr>
    </w:p>
    <w:p>
      <w:pPr>
        <w:jc w:val="both"/>
        <w:ind w:right="3179" w:firstLine="265"/>
        <w:spacing w:after="0" w:line="266" w:lineRule="auto"/>
        <w:rPr>
          <w:sz w:val="20"/>
          <w:szCs w:val="20"/>
          <w:color w:val="auto"/>
        </w:rPr>
      </w:pPr>
      <w:r>
        <w:rPr>
          <w:rFonts w:ascii="Times New Roman" w:cs="Times New Roman" w:eastAsia="Times New Roman" w:hAnsi="Times New Roman"/>
          <w:sz w:val="13"/>
          <w:szCs w:val="13"/>
          <w:color w:val="auto"/>
        </w:rPr>
        <w:t>The Investment Amount for each Shield Option is equal to the Investment Amount at the Term Start Date, reduced proportionately for any withdrawals (including RMDs, and systematic withdrawals) by the same percentage that the withdrawal reduces the Interim Value attributable to that Shield Option, adjusted by the Performance Rate at the Term End Date.</w:t>
      </w:r>
    </w:p>
    <w:p>
      <w:pPr>
        <w:spacing w:after="0" w:line="52" w:lineRule="exact"/>
        <w:rPr>
          <w:sz w:val="20"/>
          <w:szCs w:val="20"/>
          <w:color w:val="auto"/>
        </w:rPr>
      </w:pPr>
    </w:p>
    <w:p>
      <w:pPr>
        <w:jc w:val="both"/>
        <w:ind w:right="3179" w:firstLine="265"/>
        <w:spacing w:after="0" w:line="272" w:lineRule="auto"/>
        <w:rPr>
          <w:sz w:val="20"/>
          <w:szCs w:val="20"/>
          <w:color w:val="auto"/>
        </w:rPr>
      </w:pPr>
      <w:r>
        <w:rPr>
          <w:rFonts w:ascii="Times New Roman" w:cs="Times New Roman" w:eastAsia="Times New Roman" w:hAnsi="Times New Roman"/>
          <w:sz w:val="13"/>
          <w:szCs w:val="13"/>
          <w:color w:val="auto"/>
        </w:rPr>
        <w:t>The remaining Investment Amount after a withdrawal will be used as the new Investment Amount for the Term until the Term End Date for that Shield Option, or the next Interim Value calculation. On the Term End Date, we apply the Performance Rate to your Investment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color w:val="auto"/>
        </w:rPr>
        <w:t>33</w:t>
      </w:r>
    </w:p>
    <w:p>
      <w:pPr>
        <w:sectPr>
          <w:pgSz w:w="11900" w:h="16838" w:orient="portrait"/>
          <w:cols w:equalWidth="0" w:num="1">
            <w:col w:w="9259"/>
          </w:cols>
          <w:pgMar w:left="1200" w:top="1049" w:right="1440" w:bottom="1440" w:gutter="0" w:footer="0" w:header="0"/>
        </w:sectPr>
      </w:pPr>
    </w:p>
    <w:bookmarkStart w:id="35" w:name="page36"/>
    <w:bookmarkEnd w:id="35"/>
    <w:p>
      <w:pPr>
        <w:ind w:left="260" w:right="3999" w:firstLine="544"/>
        <w:spacing w:after="0" w:line="421"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93915" cy="38100"/>
                    </a:xfrm>
                    <a:prstGeom prst="rect">
                      <a:avLst/>
                    </a:prstGeom>
                    <a:noFill/>
                  </pic:spPr>
                </pic:pic>
              </a:graphicData>
            </a:graphic>
          </wp:anchor>
        </w:drawing>
        <w:t xml:space="preserve">CALCULATING YOUR INVESTMENT AMOUNT ON A TERM END DATE </w:t>
      </w:r>
      <w:r>
        <w:rPr>
          <w:rFonts w:ascii="Times New Roman" w:cs="Times New Roman" w:eastAsia="Times New Roman" w:hAnsi="Times New Roman"/>
          <w:sz w:val="13"/>
          <w:szCs w:val="13"/>
          <w:color w:val="auto"/>
        </w:rPr>
        <w:t>The Performance Rate can be positive, zero or negative and is determined as follows:</w:t>
      </w:r>
    </w:p>
    <w:tbl>
      <w:tblPr>
        <w:tblLayout w:type="fixed"/>
        <w:tblInd w:w="10" w:type="dxa"/>
        <w:tblCellMar>
          <w:top w:w="0" w:type="dxa"/>
          <w:left w:w="0" w:type="dxa"/>
          <w:bottom w:w="0" w:type="dxa"/>
          <w:right w:w="0" w:type="dxa"/>
        </w:tblCellMar>
      </w:tblPr>
      <w:tr>
        <w:trPr>
          <w:trHeight w:val="157"/>
        </w:trPr>
        <w:tc>
          <w:tcPr>
            <w:tcW w:w="208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Shield Option type:</w:t>
            </w:r>
          </w:p>
        </w:tc>
        <w:tc>
          <w:tcPr>
            <w:tcW w:w="2120" w:type="dxa"/>
            <w:vAlign w:val="bottom"/>
            <w:tcBorders>
              <w:top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1"/>
                <w:szCs w:val="11"/>
                <w:b w:val="1"/>
                <w:bCs w:val="1"/>
                <w:color w:val="auto"/>
              </w:rPr>
              <w:t>If Index Performance is:</w:t>
            </w:r>
          </w:p>
        </w:tc>
        <w:tc>
          <w:tcPr>
            <w:tcW w:w="2220" w:type="dxa"/>
            <w:vAlign w:val="bottom"/>
            <w:tcBorders>
              <w:top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1"/>
                <w:szCs w:val="11"/>
                <w:b w:val="1"/>
                <w:bCs w:val="1"/>
                <w:color w:val="auto"/>
              </w:rPr>
              <w:t>Performance Rate will equal:</w:t>
            </w:r>
          </w:p>
        </w:tc>
      </w:tr>
      <w:tr>
        <w:trPr>
          <w:trHeight w:val="28"/>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146"/>
        </w:trPr>
        <w:tc>
          <w:tcPr>
            <w:tcW w:w="2080" w:type="dxa"/>
            <w:vAlign w:val="bottom"/>
            <w:tcBorders>
              <w:left w:val="single" w:sz="8" w:color="auto"/>
              <w:right w:val="single" w:sz="8" w:color="auto"/>
            </w:tcBorders>
            <w:shd w:val="clear" w:color="auto" w:fill="F0FFFF"/>
          </w:tcPr>
          <w:p>
            <w:pPr>
              <w:ind w:left="80"/>
              <w:spacing w:after="0" w:line="146" w:lineRule="exact"/>
              <w:rPr>
                <w:sz w:val="20"/>
                <w:szCs w:val="20"/>
                <w:color w:val="auto"/>
              </w:rPr>
            </w:pPr>
            <w:r>
              <w:rPr>
                <w:rFonts w:ascii="Times New Roman" w:cs="Times New Roman" w:eastAsia="Times New Roman" w:hAnsi="Times New Roman"/>
                <w:sz w:val="13"/>
                <w:szCs w:val="13"/>
                <w:color w:val="auto"/>
              </w:rPr>
              <w:t>Shield Options with a Cap Rate</w:t>
            </w:r>
          </w:p>
        </w:tc>
        <w:tc>
          <w:tcPr>
            <w:tcW w:w="2120" w:type="dxa"/>
            <w:vAlign w:val="bottom"/>
            <w:tcBorders>
              <w:right w:val="single" w:sz="8" w:color="auto"/>
            </w:tcBorders>
            <w:shd w:val="clear" w:color="auto" w:fill="F0FFFF"/>
          </w:tcPr>
          <w:p>
            <w:pPr>
              <w:ind w:left="60"/>
              <w:spacing w:after="0" w:line="146" w:lineRule="exact"/>
              <w:rPr>
                <w:sz w:val="20"/>
                <w:szCs w:val="20"/>
                <w:color w:val="auto"/>
              </w:rPr>
            </w:pPr>
            <w:r>
              <w:rPr>
                <w:rFonts w:ascii="Times New Roman" w:cs="Times New Roman" w:eastAsia="Times New Roman" w:hAnsi="Times New Roman"/>
                <w:sz w:val="13"/>
                <w:szCs w:val="13"/>
                <w:color w:val="auto"/>
              </w:rPr>
              <w:t>less than or equal to zero</w:t>
            </w:r>
          </w:p>
        </w:tc>
        <w:tc>
          <w:tcPr>
            <w:tcW w:w="2220" w:type="dxa"/>
            <w:vAlign w:val="bottom"/>
            <w:tcBorders>
              <w:right w:val="single" w:sz="8" w:color="auto"/>
            </w:tcBorders>
            <w:shd w:val="clear" w:color="auto" w:fill="F0FFFF"/>
          </w:tcPr>
          <w:p>
            <w:pPr>
              <w:ind w:left="80"/>
              <w:spacing w:after="0" w:line="146" w:lineRule="exact"/>
              <w:rPr>
                <w:sz w:val="20"/>
                <w:szCs w:val="20"/>
                <w:color w:val="auto"/>
              </w:rPr>
            </w:pPr>
            <w:r>
              <w:rPr>
                <w:rFonts w:ascii="Times New Roman" w:cs="Times New Roman" w:eastAsia="Times New Roman" w:hAnsi="Times New Roman"/>
                <w:sz w:val="13"/>
                <w:szCs w:val="13"/>
                <w:color w:val="auto"/>
              </w:rPr>
              <w:t>the lesser of: zero or the Index</w:t>
            </w:r>
          </w:p>
        </w:tc>
      </w:tr>
      <w:tr>
        <w:trPr>
          <w:trHeight w:val="139"/>
        </w:trPr>
        <w:tc>
          <w:tcPr>
            <w:tcW w:w="2080" w:type="dxa"/>
            <w:vAlign w:val="bottom"/>
            <w:tcBorders>
              <w:left w:val="single" w:sz="8" w:color="auto"/>
              <w:right w:val="single" w:sz="8" w:color="auto"/>
            </w:tcBorders>
            <w:shd w:val="clear" w:color="auto" w:fill="F0FFFF"/>
          </w:tcPr>
          <w:p>
            <w:pPr>
              <w:spacing w:after="0"/>
              <w:rPr>
                <w:sz w:val="12"/>
                <w:szCs w:val="12"/>
                <w:color w:val="auto"/>
              </w:rPr>
            </w:pPr>
          </w:p>
        </w:tc>
        <w:tc>
          <w:tcPr>
            <w:tcW w:w="2120" w:type="dxa"/>
            <w:vAlign w:val="bottom"/>
            <w:tcBorders>
              <w:right w:val="single" w:sz="8" w:color="auto"/>
            </w:tcBorders>
            <w:shd w:val="clear" w:color="auto" w:fill="F0FFFF"/>
          </w:tcPr>
          <w:p>
            <w:pPr>
              <w:spacing w:after="0"/>
              <w:rPr>
                <w:sz w:val="12"/>
                <w:szCs w:val="12"/>
                <w:color w:val="auto"/>
              </w:rPr>
            </w:pPr>
          </w:p>
        </w:tc>
        <w:tc>
          <w:tcPr>
            <w:tcW w:w="2220" w:type="dxa"/>
            <w:vAlign w:val="bottom"/>
            <w:tcBorders>
              <w:right w:val="single" w:sz="8" w:color="auto"/>
            </w:tcBorders>
            <w:shd w:val="clear" w:color="auto" w:fill="F0FFFF"/>
          </w:tcPr>
          <w:p>
            <w:pPr>
              <w:ind w:left="80"/>
              <w:spacing w:after="0" w:line="139" w:lineRule="exact"/>
              <w:rPr>
                <w:sz w:val="20"/>
                <w:szCs w:val="20"/>
                <w:color w:val="auto"/>
              </w:rPr>
            </w:pPr>
            <w:r>
              <w:rPr>
                <w:rFonts w:ascii="Times New Roman" w:cs="Times New Roman" w:eastAsia="Times New Roman" w:hAnsi="Times New Roman"/>
                <w:sz w:val="13"/>
                <w:szCs w:val="13"/>
                <w:color w:val="auto"/>
              </w:rPr>
              <w:t>Performance increased by the Shield</w:t>
            </w:r>
          </w:p>
        </w:tc>
      </w:tr>
      <w:tr>
        <w:trPr>
          <w:trHeight w:val="149"/>
        </w:trPr>
        <w:tc>
          <w:tcPr>
            <w:tcW w:w="2080" w:type="dxa"/>
            <w:vAlign w:val="bottom"/>
            <w:tcBorders>
              <w:left w:val="single" w:sz="8" w:color="auto"/>
              <w:right w:val="single" w:sz="8" w:color="auto"/>
            </w:tcBorders>
            <w:shd w:val="clear" w:color="auto" w:fill="F0FFFF"/>
          </w:tcPr>
          <w:p>
            <w:pPr>
              <w:spacing w:after="0"/>
              <w:rPr>
                <w:sz w:val="12"/>
                <w:szCs w:val="12"/>
                <w:color w:val="auto"/>
              </w:rPr>
            </w:pPr>
          </w:p>
        </w:tc>
        <w:tc>
          <w:tcPr>
            <w:tcW w:w="2120" w:type="dxa"/>
            <w:vAlign w:val="bottom"/>
            <w:tcBorders>
              <w:right w:val="single" w:sz="8" w:color="auto"/>
            </w:tcBorders>
            <w:shd w:val="clear" w:color="auto" w:fill="F0FFFF"/>
          </w:tcPr>
          <w:p>
            <w:pPr>
              <w:spacing w:after="0"/>
              <w:rPr>
                <w:sz w:val="12"/>
                <w:szCs w:val="12"/>
                <w:color w:val="auto"/>
              </w:rPr>
            </w:pPr>
          </w:p>
        </w:tc>
        <w:tc>
          <w:tcPr>
            <w:tcW w:w="222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3"/>
                <w:szCs w:val="13"/>
                <w:color w:val="auto"/>
              </w:rPr>
              <w:t>Rate (For example: a -15% Index</w:t>
            </w:r>
          </w:p>
        </w:tc>
      </w:tr>
      <w:tr>
        <w:trPr>
          <w:trHeight w:val="149"/>
        </w:trPr>
        <w:tc>
          <w:tcPr>
            <w:tcW w:w="2080" w:type="dxa"/>
            <w:vAlign w:val="bottom"/>
            <w:tcBorders>
              <w:left w:val="single" w:sz="8" w:color="auto"/>
              <w:right w:val="single" w:sz="8" w:color="auto"/>
            </w:tcBorders>
            <w:shd w:val="clear" w:color="auto" w:fill="F0FFFF"/>
          </w:tcPr>
          <w:p>
            <w:pPr>
              <w:spacing w:after="0"/>
              <w:rPr>
                <w:sz w:val="12"/>
                <w:szCs w:val="12"/>
                <w:color w:val="auto"/>
              </w:rPr>
            </w:pPr>
          </w:p>
        </w:tc>
        <w:tc>
          <w:tcPr>
            <w:tcW w:w="2120" w:type="dxa"/>
            <w:vAlign w:val="bottom"/>
            <w:tcBorders>
              <w:right w:val="single" w:sz="8" w:color="auto"/>
            </w:tcBorders>
            <w:shd w:val="clear" w:color="auto" w:fill="F0FFFF"/>
          </w:tcPr>
          <w:p>
            <w:pPr>
              <w:spacing w:after="0"/>
              <w:rPr>
                <w:sz w:val="12"/>
                <w:szCs w:val="12"/>
                <w:color w:val="auto"/>
              </w:rPr>
            </w:pPr>
          </w:p>
        </w:tc>
        <w:tc>
          <w:tcPr>
            <w:tcW w:w="222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3"/>
                <w:szCs w:val="13"/>
                <w:color w:val="auto"/>
              </w:rPr>
              <w:t>Performance with Shield 10 will result</w:t>
            </w:r>
          </w:p>
        </w:tc>
      </w:tr>
      <w:tr>
        <w:trPr>
          <w:trHeight w:val="139"/>
        </w:trPr>
        <w:tc>
          <w:tcPr>
            <w:tcW w:w="2080" w:type="dxa"/>
            <w:vAlign w:val="bottom"/>
            <w:tcBorders>
              <w:left w:val="single" w:sz="8" w:color="auto"/>
              <w:right w:val="single" w:sz="8" w:color="auto"/>
            </w:tcBorders>
            <w:shd w:val="clear" w:color="auto" w:fill="F0FFFF"/>
          </w:tcPr>
          <w:p>
            <w:pPr>
              <w:spacing w:after="0"/>
              <w:rPr>
                <w:sz w:val="12"/>
                <w:szCs w:val="12"/>
                <w:color w:val="auto"/>
              </w:rPr>
            </w:pPr>
          </w:p>
        </w:tc>
        <w:tc>
          <w:tcPr>
            <w:tcW w:w="2120" w:type="dxa"/>
            <w:vAlign w:val="bottom"/>
            <w:tcBorders>
              <w:right w:val="single" w:sz="8" w:color="auto"/>
            </w:tcBorders>
            <w:shd w:val="clear" w:color="auto" w:fill="F0FFFF"/>
          </w:tcPr>
          <w:p>
            <w:pPr>
              <w:spacing w:after="0"/>
              <w:rPr>
                <w:sz w:val="12"/>
                <w:szCs w:val="12"/>
                <w:color w:val="auto"/>
              </w:rPr>
            </w:pPr>
          </w:p>
        </w:tc>
        <w:tc>
          <w:tcPr>
            <w:tcW w:w="2220" w:type="dxa"/>
            <w:vAlign w:val="bottom"/>
            <w:tcBorders>
              <w:right w:val="single" w:sz="8" w:color="auto"/>
            </w:tcBorders>
            <w:shd w:val="clear" w:color="auto" w:fill="F0FFFF"/>
          </w:tcPr>
          <w:p>
            <w:pPr>
              <w:ind w:left="80"/>
              <w:spacing w:after="0" w:line="139" w:lineRule="exact"/>
              <w:rPr>
                <w:sz w:val="20"/>
                <w:szCs w:val="20"/>
                <w:color w:val="auto"/>
              </w:rPr>
            </w:pPr>
            <w:r>
              <w:rPr>
                <w:rFonts w:ascii="Times New Roman" w:cs="Times New Roman" w:eastAsia="Times New Roman" w:hAnsi="Times New Roman"/>
                <w:sz w:val="13"/>
                <w:szCs w:val="13"/>
                <w:color w:val="auto"/>
              </w:rPr>
              <w:t>in a -5% Performance Rate. The</w:t>
            </w:r>
          </w:p>
        </w:tc>
      </w:tr>
      <w:tr>
        <w:trPr>
          <w:trHeight w:val="149"/>
        </w:trPr>
        <w:tc>
          <w:tcPr>
            <w:tcW w:w="2080" w:type="dxa"/>
            <w:vAlign w:val="bottom"/>
            <w:tcBorders>
              <w:left w:val="single" w:sz="8" w:color="auto"/>
              <w:right w:val="single" w:sz="8" w:color="auto"/>
            </w:tcBorders>
            <w:shd w:val="clear" w:color="auto" w:fill="F0FFFF"/>
          </w:tcPr>
          <w:p>
            <w:pPr>
              <w:spacing w:after="0"/>
              <w:rPr>
                <w:sz w:val="12"/>
                <w:szCs w:val="12"/>
                <w:color w:val="auto"/>
              </w:rPr>
            </w:pPr>
          </w:p>
        </w:tc>
        <w:tc>
          <w:tcPr>
            <w:tcW w:w="2120" w:type="dxa"/>
            <w:vAlign w:val="bottom"/>
            <w:tcBorders>
              <w:right w:val="single" w:sz="8" w:color="auto"/>
            </w:tcBorders>
            <w:shd w:val="clear" w:color="auto" w:fill="F0FFFF"/>
          </w:tcPr>
          <w:p>
            <w:pPr>
              <w:spacing w:after="0"/>
              <w:rPr>
                <w:sz w:val="12"/>
                <w:szCs w:val="12"/>
                <w:color w:val="auto"/>
              </w:rPr>
            </w:pPr>
          </w:p>
        </w:tc>
        <w:tc>
          <w:tcPr>
            <w:tcW w:w="222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3"/>
                <w:szCs w:val="13"/>
                <w:color w:val="auto"/>
              </w:rPr>
              <w:t>Performance Rate can never be</w:t>
            </w:r>
          </w:p>
        </w:tc>
      </w:tr>
      <w:tr>
        <w:trPr>
          <w:trHeight w:val="149"/>
        </w:trPr>
        <w:tc>
          <w:tcPr>
            <w:tcW w:w="2080" w:type="dxa"/>
            <w:vAlign w:val="bottom"/>
            <w:tcBorders>
              <w:left w:val="single" w:sz="8" w:color="auto"/>
              <w:right w:val="single" w:sz="8" w:color="auto"/>
            </w:tcBorders>
            <w:shd w:val="clear" w:color="auto" w:fill="F0FFFF"/>
          </w:tcPr>
          <w:p>
            <w:pPr>
              <w:spacing w:after="0"/>
              <w:rPr>
                <w:sz w:val="12"/>
                <w:szCs w:val="12"/>
                <w:color w:val="auto"/>
              </w:rPr>
            </w:pPr>
          </w:p>
        </w:tc>
        <w:tc>
          <w:tcPr>
            <w:tcW w:w="2120" w:type="dxa"/>
            <w:vAlign w:val="bottom"/>
            <w:tcBorders>
              <w:right w:val="single" w:sz="8" w:color="auto"/>
            </w:tcBorders>
            <w:shd w:val="clear" w:color="auto" w:fill="F0FFFF"/>
          </w:tcPr>
          <w:p>
            <w:pPr>
              <w:spacing w:after="0"/>
              <w:rPr>
                <w:sz w:val="12"/>
                <w:szCs w:val="12"/>
                <w:color w:val="auto"/>
              </w:rPr>
            </w:pPr>
          </w:p>
        </w:tc>
        <w:tc>
          <w:tcPr>
            <w:tcW w:w="222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3"/>
                <w:szCs w:val="13"/>
                <w:color w:val="auto"/>
              </w:rPr>
              <w:t>greater than zero if the Index</w:t>
            </w:r>
          </w:p>
        </w:tc>
      </w:tr>
      <w:tr>
        <w:trPr>
          <w:trHeight w:val="191"/>
        </w:trPr>
        <w:tc>
          <w:tcPr>
            <w:tcW w:w="2080" w:type="dxa"/>
            <w:vAlign w:val="bottom"/>
            <w:tcBorders>
              <w:left w:val="single" w:sz="8" w:color="auto"/>
              <w:bottom w:val="single" w:sz="8" w:color="F0FFFF"/>
              <w:right w:val="single" w:sz="8" w:color="auto"/>
            </w:tcBorders>
            <w:shd w:val="clear" w:color="auto" w:fill="F0FFFF"/>
          </w:tcPr>
          <w:p>
            <w:pPr>
              <w:spacing w:after="0"/>
              <w:rPr>
                <w:sz w:val="16"/>
                <w:szCs w:val="16"/>
                <w:color w:val="auto"/>
              </w:rPr>
            </w:pPr>
          </w:p>
        </w:tc>
        <w:tc>
          <w:tcPr>
            <w:tcW w:w="2120" w:type="dxa"/>
            <w:vAlign w:val="bottom"/>
            <w:tcBorders>
              <w:bottom w:val="single" w:sz="8" w:color="F0FFFF"/>
              <w:right w:val="single" w:sz="8" w:color="auto"/>
            </w:tcBorders>
            <w:shd w:val="clear" w:color="auto" w:fill="F0FFFF"/>
          </w:tcPr>
          <w:p>
            <w:pPr>
              <w:spacing w:after="0"/>
              <w:rPr>
                <w:sz w:val="16"/>
                <w:szCs w:val="16"/>
                <w:color w:val="auto"/>
              </w:rPr>
            </w:pPr>
          </w:p>
        </w:tc>
        <w:tc>
          <w:tcPr>
            <w:tcW w:w="2220" w:type="dxa"/>
            <w:vAlign w:val="bottom"/>
            <w:tcBorders>
              <w:bottom w:val="single" w:sz="8" w:color="F0FFFF"/>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3"/>
                <w:szCs w:val="13"/>
                <w:color w:val="auto"/>
              </w:rPr>
              <w:t>Performance is negative.)</w:t>
            </w:r>
          </w:p>
        </w:tc>
      </w:tr>
      <w:tr>
        <w:trPr>
          <w:trHeight w:val="176"/>
        </w:trPr>
        <w:tc>
          <w:tcPr>
            <w:tcW w:w="2080" w:type="dxa"/>
            <w:vAlign w:val="bottom"/>
            <w:tcBorders>
              <w:left w:val="single" w:sz="8" w:color="auto"/>
              <w:right w:val="single" w:sz="8" w:color="auto"/>
            </w:tcBorders>
          </w:tcPr>
          <w:p>
            <w:pPr>
              <w:spacing w:after="0"/>
              <w:rPr>
                <w:sz w:val="15"/>
                <w:szCs w:val="15"/>
                <w:color w:val="auto"/>
              </w:rPr>
            </w:pPr>
          </w:p>
        </w:tc>
        <w:tc>
          <w:tcPr>
            <w:tcW w:w="2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greater than zero and less than the</w:t>
            </w:r>
          </w:p>
        </w:tc>
        <w:tc>
          <w:tcPr>
            <w:tcW w:w="22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the Index Performance</w:t>
            </w:r>
          </w:p>
        </w:tc>
      </w:tr>
      <w:tr>
        <w:trPr>
          <w:trHeight w:val="172"/>
        </w:trPr>
        <w:tc>
          <w:tcPr>
            <w:tcW w:w="2080" w:type="dxa"/>
            <w:vAlign w:val="bottom"/>
            <w:tcBorders>
              <w:left w:val="single" w:sz="8" w:color="auto"/>
              <w:right w:val="single" w:sz="8" w:color="auto"/>
            </w:tcBorders>
          </w:tcPr>
          <w:p>
            <w:pPr>
              <w:spacing w:after="0"/>
              <w:rPr>
                <w:sz w:val="14"/>
                <w:szCs w:val="14"/>
                <w:color w:val="auto"/>
              </w:rPr>
            </w:pPr>
          </w:p>
        </w:tc>
        <w:tc>
          <w:tcPr>
            <w:tcW w:w="2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Cap Rate</w:t>
            </w:r>
          </w:p>
        </w:tc>
        <w:tc>
          <w:tcPr>
            <w:tcW w:w="2220" w:type="dxa"/>
            <w:vAlign w:val="bottom"/>
            <w:tcBorders>
              <w:right w:val="single" w:sz="8" w:color="auto"/>
            </w:tcBorders>
          </w:tcPr>
          <w:p>
            <w:pPr>
              <w:spacing w:after="0"/>
              <w:rPr>
                <w:sz w:val="14"/>
                <w:szCs w:val="14"/>
                <w:color w:val="auto"/>
              </w:rPr>
            </w:pPr>
          </w:p>
        </w:tc>
      </w:tr>
      <w:tr>
        <w:trPr>
          <w:trHeight w:val="39"/>
        </w:trPr>
        <w:tc>
          <w:tcPr>
            <w:tcW w:w="2080" w:type="dxa"/>
            <w:vAlign w:val="bottom"/>
            <w:tcBorders>
              <w:left w:val="single" w:sz="8" w:color="auto"/>
              <w:right w:val="single" w:sz="8" w:color="auto"/>
            </w:tcBorders>
          </w:tcPr>
          <w:p>
            <w:pPr>
              <w:spacing w:after="0"/>
              <w:rPr>
                <w:sz w:val="3"/>
                <w:szCs w:val="3"/>
                <w:color w:val="auto"/>
              </w:rPr>
            </w:pPr>
          </w:p>
        </w:tc>
        <w:tc>
          <w:tcPr>
            <w:tcW w:w="2120" w:type="dxa"/>
            <w:vAlign w:val="bottom"/>
            <w:tcBorders>
              <w:right w:val="single" w:sz="8" w:color="auto"/>
            </w:tcBorders>
          </w:tcPr>
          <w:p>
            <w:pPr>
              <w:spacing w:after="0"/>
              <w:rPr>
                <w:sz w:val="3"/>
                <w:szCs w:val="3"/>
                <w:color w:val="auto"/>
              </w:rPr>
            </w:pPr>
          </w:p>
        </w:tc>
        <w:tc>
          <w:tcPr>
            <w:tcW w:w="2220" w:type="dxa"/>
            <w:vAlign w:val="bottom"/>
            <w:tcBorders>
              <w:right w:val="single" w:sz="8" w:color="auto"/>
            </w:tcBorders>
          </w:tcPr>
          <w:p>
            <w:pPr>
              <w:spacing w:after="0"/>
              <w:rPr>
                <w:sz w:val="3"/>
                <w:szCs w:val="3"/>
                <w:color w:val="auto"/>
              </w:rPr>
            </w:pPr>
          </w:p>
        </w:tc>
      </w:tr>
      <w:tr>
        <w:trPr>
          <w:trHeight w:val="196"/>
        </w:trPr>
        <w:tc>
          <w:tcPr>
            <w:tcW w:w="2080" w:type="dxa"/>
            <w:vAlign w:val="bottom"/>
            <w:tcBorders>
              <w:left w:val="single" w:sz="8" w:color="auto"/>
              <w:right w:val="single" w:sz="8" w:color="auto"/>
            </w:tcBorders>
            <w:shd w:val="clear" w:color="auto" w:fill="F0FFFF"/>
          </w:tcPr>
          <w:p>
            <w:pPr>
              <w:spacing w:after="0"/>
              <w:rPr>
                <w:sz w:val="17"/>
                <w:szCs w:val="17"/>
                <w:color w:val="auto"/>
              </w:rPr>
            </w:pPr>
          </w:p>
        </w:tc>
        <w:tc>
          <w:tcPr>
            <w:tcW w:w="2120" w:type="dxa"/>
            <w:vAlign w:val="bottom"/>
            <w:tcBorders>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3"/>
                <w:szCs w:val="13"/>
                <w:color w:val="auto"/>
              </w:rPr>
              <w:t>greater than zero and equals or</w:t>
            </w:r>
          </w:p>
        </w:tc>
        <w:tc>
          <w:tcPr>
            <w:tcW w:w="222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3"/>
                <w:szCs w:val="13"/>
                <w:color w:val="auto"/>
              </w:rPr>
              <w:t>the Cap Rate</w:t>
            </w:r>
          </w:p>
        </w:tc>
      </w:tr>
      <w:tr>
        <w:trPr>
          <w:trHeight w:val="206"/>
        </w:trPr>
        <w:tc>
          <w:tcPr>
            <w:tcW w:w="2080" w:type="dxa"/>
            <w:vAlign w:val="bottom"/>
            <w:tcBorders>
              <w:left w:val="single" w:sz="8" w:color="auto"/>
              <w:bottom w:val="single" w:sz="8" w:color="F0FFFF"/>
              <w:right w:val="single" w:sz="8" w:color="auto"/>
            </w:tcBorders>
            <w:shd w:val="clear" w:color="auto" w:fill="F0FFFF"/>
          </w:tcPr>
          <w:p>
            <w:pPr>
              <w:spacing w:after="0"/>
              <w:rPr>
                <w:sz w:val="17"/>
                <w:szCs w:val="17"/>
                <w:color w:val="auto"/>
              </w:rPr>
            </w:pPr>
          </w:p>
        </w:tc>
        <w:tc>
          <w:tcPr>
            <w:tcW w:w="2120" w:type="dxa"/>
            <w:vAlign w:val="bottom"/>
            <w:tcBorders>
              <w:bottom w:val="single" w:sz="8" w:color="F0FFFF"/>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3"/>
                <w:szCs w:val="13"/>
                <w:color w:val="auto"/>
              </w:rPr>
              <w:t>exceeds the Cap Rate</w:t>
            </w:r>
          </w:p>
        </w:tc>
        <w:tc>
          <w:tcPr>
            <w:tcW w:w="2220" w:type="dxa"/>
            <w:vAlign w:val="bottom"/>
            <w:tcBorders>
              <w:bottom w:val="single" w:sz="8" w:color="F0FFFF"/>
              <w:right w:val="single" w:sz="8" w:color="auto"/>
            </w:tcBorders>
            <w:shd w:val="clear" w:color="auto" w:fill="F0FFFF"/>
          </w:tcPr>
          <w:p>
            <w:pPr>
              <w:spacing w:after="0"/>
              <w:rPr>
                <w:sz w:val="17"/>
                <w:szCs w:val="17"/>
                <w:color w:val="auto"/>
              </w:rPr>
            </w:pPr>
          </w:p>
        </w:tc>
      </w:tr>
      <w:tr>
        <w:trPr>
          <w:trHeight w:val="146"/>
        </w:trPr>
        <w:tc>
          <w:tcPr>
            <w:tcW w:w="2080" w:type="dxa"/>
            <w:vAlign w:val="bottom"/>
            <w:tcBorders>
              <w:top w:val="single" w:sz="8" w:color="auto"/>
              <w:left w:val="single" w:sz="8" w:color="auto"/>
              <w:right w:val="single" w:sz="8" w:color="auto"/>
            </w:tcBorders>
          </w:tcPr>
          <w:p>
            <w:pPr>
              <w:ind w:left="80"/>
              <w:spacing w:after="0" w:line="146" w:lineRule="exact"/>
              <w:rPr>
                <w:sz w:val="20"/>
                <w:szCs w:val="20"/>
                <w:color w:val="auto"/>
              </w:rPr>
            </w:pPr>
            <w:r>
              <w:rPr>
                <w:rFonts w:ascii="Times New Roman" w:cs="Times New Roman" w:eastAsia="Times New Roman" w:hAnsi="Times New Roman"/>
                <w:sz w:val="13"/>
                <w:szCs w:val="13"/>
                <w:color w:val="auto"/>
              </w:rPr>
              <w:t>Shield Options with a Step Rate</w:t>
            </w:r>
          </w:p>
        </w:tc>
        <w:tc>
          <w:tcPr>
            <w:tcW w:w="2120" w:type="dxa"/>
            <w:vAlign w:val="bottom"/>
            <w:tcBorders>
              <w:top w:val="single" w:sz="8" w:color="auto"/>
              <w:right w:val="single" w:sz="8" w:color="auto"/>
            </w:tcBorders>
          </w:tcPr>
          <w:p>
            <w:pPr>
              <w:ind w:left="60"/>
              <w:spacing w:after="0" w:line="146" w:lineRule="exact"/>
              <w:rPr>
                <w:sz w:val="20"/>
                <w:szCs w:val="20"/>
                <w:color w:val="auto"/>
              </w:rPr>
            </w:pPr>
            <w:r>
              <w:rPr>
                <w:rFonts w:ascii="Times New Roman" w:cs="Times New Roman" w:eastAsia="Times New Roman" w:hAnsi="Times New Roman"/>
                <w:sz w:val="13"/>
                <w:szCs w:val="13"/>
                <w:color w:val="auto"/>
              </w:rPr>
              <w:t>less than zero</w:t>
            </w:r>
          </w:p>
        </w:tc>
        <w:tc>
          <w:tcPr>
            <w:tcW w:w="2220" w:type="dxa"/>
            <w:vAlign w:val="bottom"/>
            <w:tcBorders>
              <w:top w:val="single" w:sz="8" w:color="auto"/>
              <w:right w:val="single" w:sz="8" w:color="auto"/>
            </w:tcBorders>
          </w:tcPr>
          <w:p>
            <w:pPr>
              <w:ind w:left="80"/>
              <w:spacing w:after="0" w:line="146" w:lineRule="exact"/>
              <w:rPr>
                <w:sz w:val="20"/>
                <w:szCs w:val="20"/>
                <w:color w:val="auto"/>
              </w:rPr>
            </w:pPr>
            <w:r>
              <w:rPr>
                <w:rFonts w:ascii="Times New Roman" w:cs="Times New Roman" w:eastAsia="Times New Roman" w:hAnsi="Times New Roman"/>
                <w:sz w:val="13"/>
                <w:szCs w:val="13"/>
                <w:color w:val="auto"/>
              </w:rPr>
              <w:t>the lesser of: zero or the Index</w:t>
            </w:r>
          </w:p>
        </w:tc>
      </w:tr>
      <w:tr>
        <w:trPr>
          <w:trHeight w:val="139"/>
        </w:trPr>
        <w:tc>
          <w:tcPr>
            <w:tcW w:w="2080" w:type="dxa"/>
            <w:vAlign w:val="bottom"/>
            <w:tcBorders>
              <w:left w:val="single" w:sz="8" w:color="auto"/>
              <w:right w:val="single" w:sz="8" w:color="auto"/>
            </w:tcBorders>
          </w:tcPr>
          <w:p>
            <w:pPr>
              <w:spacing w:after="0"/>
              <w:rPr>
                <w:sz w:val="12"/>
                <w:szCs w:val="12"/>
                <w:color w:val="auto"/>
              </w:rPr>
            </w:pPr>
          </w:p>
        </w:tc>
        <w:tc>
          <w:tcPr>
            <w:tcW w:w="212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tcPr>
          <w:p>
            <w:pPr>
              <w:ind w:left="80"/>
              <w:spacing w:after="0" w:line="139" w:lineRule="exact"/>
              <w:rPr>
                <w:sz w:val="20"/>
                <w:szCs w:val="20"/>
                <w:color w:val="auto"/>
              </w:rPr>
            </w:pPr>
            <w:r>
              <w:rPr>
                <w:rFonts w:ascii="Times New Roman" w:cs="Times New Roman" w:eastAsia="Times New Roman" w:hAnsi="Times New Roman"/>
                <w:sz w:val="13"/>
                <w:szCs w:val="13"/>
                <w:color w:val="auto"/>
              </w:rPr>
              <w:t>Performance increased by the Shield</w:t>
            </w:r>
          </w:p>
        </w:tc>
      </w:tr>
      <w:tr>
        <w:trPr>
          <w:trHeight w:val="149"/>
        </w:trPr>
        <w:tc>
          <w:tcPr>
            <w:tcW w:w="2080" w:type="dxa"/>
            <w:vAlign w:val="bottom"/>
            <w:tcBorders>
              <w:left w:val="single" w:sz="8" w:color="auto"/>
              <w:right w:val="single" w:sz="8" w:color="auto"/>
            </w:tcBorders>
          </w:tcPr>
          <w:p>
            <w:pPr>
              <w:spacing w:after="0"/>
              <w:rPr>
                <w:sz w:val="12"/>
                <w:szCs w:val="12"/>
                <w:color w:val="auto"/>
              </w:rPr>
            </w:pPr>
          </w:p>
        </w:tc>
        <w:tc>
          <w:tcPr>
            <w:tcW w:w="212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Rate (For example: a -15% Index</w:t>
            </w:r>
          </w:p>
        </w:tc>
      </w:tr>
      <w:tr>
        <w:trPr>
          <w:trHeight w:val="149"/>
        </w:trPr>
        <w:tc>
          <w:tcPr>
            <w:tcW w:w="2080" w:type="dxa"/>
            <w:vAlign w:val="bottom"/>
            <w:tcBorders>
              <w:left w:val="single" w:sz="8" w:color="auto"/>
              <w:right w:val="single" w:sz="8" w:color="auto"/>
            </w:tcBorders>
          </w:tcPr>
          <w:p>
            <w:pPr>
              <w:spacing w:after="0"/>
              <w:rPr>
                <w:sz w:val="12"/>
                <w:szCs w:val="12"/>
                <w:color w:val="auto"/>
              </w:rPr>
            </w:pPr>
          </w:p>
        </w:tc>
        <w:tc>
          <w:tcPr>
            <w:tcW w:w="212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Performance with Shield 10 will result</w:t>
            </w:r>
          </w:p>
        </w:tc>
      </w:tr>
      <w:tr>
        <w:trPr>
          <w:trHeight w:val="139"/>
        </w:trPr>
        <w:tc>
          <w:tcPr>
            <w:tcW w:w="2080" w:type="dxa"/>
            <w:vAlign w:val="bottom"/>
            <w:tcBorders>
              <w:left w:val="single" w:sz="8" w:color="auto"/>
              <w:right w:val="single" w:sz="8" w:color="auto"/>
            </w:tcBorders>
          </w:tcPr>
          <w:p>
            <w:pPr>
              <w:spacing w:after="0"/>
              <w:rPr>
                <w:sz w:val="12"/>
                <w:szCs w:val="12"/>
                <w:color w:val="auto"/>
              </w:rPr>
            </w:pPr>
          </w:p>
        </w:tc>
        <w:tc>
          <w:tcPr>
            <w:tcW w:w="212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tcPr>
          <w:p>
            <w:pPr>
              <w:ind w:left="80"/>
              <w:spacing w:after="0" w:line="139" w:lineRule="exact"/>
              <w:rPr>
                <w:sz w:val="20"/>
                <w:szCs w:val="20"/>
                <w:color w:val="auto"/>
              </w:rPr>
            </w:pPr>
            <w:r>
              <w:rPr>
                <w:rFonts w:ascii="Times New Roman" w:cs="Times New Roman" w:eastAsia="Times New Roman" w:hAnsi="Times New Roman"/>
                <w:sz w:val="13"/>
                <w:szCs w:val="13"/>
                <w:color w:val="auto"/>
              </w:rPr>
              <w:t>in a -5% Performance Rate. The</w:t>
            </w:r>
          </w:p>
        </w:tc>
      </w:tr>
      <w:tr>
        <w:trPr>
          <w:trHeight w:val="149"/>
        </w:trPr>
        <w:tc>
          <w:tcPr>
            <w:tcW w:w="2080" w:type="dxa"/>
            <w:vAlign w:val="bottom"/>
            <w:tcBorders>
              <w:left w:val="single" w:sz="8" w:color="auto"/>
              <w:right w:val="single" w:sz="8" w:color="auto"/>
            </w:tcBorders>
          </w:tcPr>
          <w:p>
            <w:pPr>
              <w:spacing w:after="0"/>
              <w:rPr>
                <w:sz w:val="12"/>
                <w:szCs w:val="12"/>
                <w:color w:val="auto"/>
              </w:rPr>
            </w:pPr>
          </w:p>
        </w:tc>
        <w:tc>
          <w:tcPr>
            <w:tcW w:w="212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Performance Rate can never be</w:t>
            </w:r>
          </w:p>
        </w:tc>
      </w:tr>
      <w:tr>
        <w:trPr>
          <w:trHeight w:val="149"/>
        </w:trPr>
        <w:tc>
          <w:tcPr>
            <w:tcW w:w="2080" w:type="dxa"/>
            <w:vAlign w:val="bottom"/>
            <w:tcBorders>
              <w:left w:val="single" w:sz="8" w:color="auto"/>
              <w:right w:val="single" w:sz="8" w:color="auto"/>
            </w:tcBorders>
          </w:tcPr>
          <w:p>
            <w:pPr>
              <w:spacing w:after="0"/>
              <w:rPr>
                <w:sz w:val="12"/>
                <w:szCs w:val="12"/>
                <w:color w:val="auto"/>
              </w:rPr>
            </w:pPr>
          </w:p>
        </w:tc>
        <w:tc>
          <w:tcPr>
            <w:tcW w:w="212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greater than zero if the Index</w:t>
            </w:r>
          </w:p>
        </w:tc>
      </w:tr>
      <w:tr>
        <w:trPr>
          <w:trHeight w:val="172"/>
        </w:trPr>
        <w:tc>
          <w:tcPr>
            <w:tcW w:w="2080" w:type="dxa"/>
            <w:vAlign w:val="bottom"/>
            <w:tcBorders>
              <w:left w:val="single" w:sz="8" w:color="auto"/>
              <w:right w:val="single" w:sz="8" w:color="auto"/>
            </w:tcBorders>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22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Performance is negative.)</w:t>
            </w:r>
          </w:p>
        </w:tc>
      </w:tr>
      <w:tr>
        <w:trPr>
          <w:trHeight w:val="39"/>
        </w:trPr>
        <w:tc>
          <w:tcPr>
            <w:tcW w:w="2080" w:type="dxa"/>
            <w:vAlign w:val="bottom"/>
            <w:tcBorders>
              <w:left w:val="single" w:sz="8" w:color="auto"/>
              <w:right w:val="single" w:sz="8" w:color="auto"/>
            </w:tcBorders>
          </w:tcPr>
          <w:p>
            <w:pPr>
              <w:spacing w:after="0"/>
              <w:rPr>
                <w:sz w:val="3"/>
                <w:szCs w:val="3"/>
                <w:color w:val="auto"/>
              </w:rPr>
            </w:pPr>
          </w:p>
        </w:tc>
        <w:tc>
          <w:tcPr>
            <w:tcW w:w="2120" w:type="dxa"/>
            <w:vAlign w:val="bottom"/>
            <w:tcBorders>
              <w:right w:val="single" w:sz="8" w:color="auto"/>
            </w:tcBorders>
          </w:tcPr>
          <w:p>
            <w:pPr>
              <w:spacing w:after="0"/>
              <w:rPr>
                <w:sz w:val="3"/>
                <w:szCs w:val="3"/>
                <w:color w:val="auto"/>
              </w:rPr>
            </w:pPr>
          </w:p>
        </w:tc>
        <w:tc>
          <w:tcPr>
            <w:tcW w:w="2220" w:type="dxa"/>
            <w:vAlign w:val="bottom"/>
            <w:tcBorders>
              <w:right w:val="single" w:sz="8" w:color="auto"/>
            </w:tcBorders>
          </w:tcPr>
          <w:p>
            <w:pPr>
              <w:spacing w:after="0"/>
              <w:rPr>
                <w:sz w:val="3"/>
                <w:szCs w:val="3"/>
                <w:color w:val="auto"/>
              </w:rPr>
            </w:pPr>
          </w:p>
        </w:tc>
      </w:tr>
      <w:tr>
        <w:trPr>
          <w:trHeight w:val="243"/>
        </w:trPr>
        <w:tc>
          <w:tcPr>
            <w:tcW w:w="2080" w:type="dxa"/>
            <w:vAlign w:val="bottom"/>
            <w:tcBorders>
              <w:left w:val="single" w:sz="8" w:color="auto"/>
              <w:bottom w:val="single" w:sz="8" w:color="F0FFFF"/>
              <w:right w:val="single" w:sz="8" w:color="auto"/>
            </w:tcBorders>
            <w:shd w:val="clear" w:color="auto" w:fill="F0FFFF"/>
          </w:tcPr>
          <w:p>
            <w:pPr>
              <w:spacing w:after="0"/>
              <w:rPr>
                <w:sz w:val="20"/>
                <w:szCs w:val="20"/>
                <w:color w:val="auto"/>
              </w:rPr>
            </w:pPr>
          </w:p>
        </w:tc>
        <w:tc>
          <w:tcPr>
            <w:tcW w:w="2120" w:type="dxa"/>
            <w:vAlign w:val="bottom"/>
            <w:tcBorders>
              <w:bottom w:val="single" w:sz="8" w:color="F0FFFF"/>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3"/>
                <w:szCs w:val="13"/>
                <w:color w:val="auto"/>
              </w:rPr>
              <w:t>equal to or greater than zero</w:t>
            </w:r>
          </w:p>
        </w:tc>
        <w:tc>
          <w:tcPr>
            <w:tcW w:w="2220" w:type="dxa"/>
            <w:vAlign w:val="bottom"/>
            <w:tcBorders>
              <w:bottom w:val="single" w:sz="8" w:color="F0FFFF"/>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3"/>
                <w:szCs w:val="13"/>
                <w:color w:val="auto"/>
              </w:rPr>
              <w:t>the Step Rate</w:t>
            </w:r>
          </w:p>
        </w:tc>
      </w:tr>
      <w:tr>
        <w:trPr>
          <w:trHeight w:val="146"/>
        </w:trPr>
        <w:tc>
          <w:tcPr>
            <w:tcW w:w="2080" w:type="dxa"/>
            <w:vAlign w:val="bottom"/>
            <w:tcBorders>
              <w:top w:val="single" w:sz="8" w:color="auto"/>
              <w:left w:val="single" w:sz="8" w:color="auto"/>
              <w:right w:val="single" w:sz="8" w:color="auto"/>
            </w:tcBorders>
          </w:tcPr>
          <w:p>
            <w:pPr>
              <w:ind w:left="80"/>
              <w:spacing w:after="0" w:line="146" w:lineRule="exact"/>
              <w:rPr>
                <w:sz w:val="20"/>
                <w:szCs w:val="20"/>
                <w:color w:val="auto"/>
              </w:rPr>
            </w:pPr>
            <w:r>
              <w:rPr>
                <w:rFonts w:ascii="Times New Roman" w:cs="Times New Roman" w:eastAsia="Times New Roman" w:hAnsi="Times New Roman"/>
                <w:sz w:val="13"/>
                <w:szCs w:val="13"/>
                <w:color w:val="auto"/>
              </w:rPr>
              <w:t>Shield Options with Step Rate Edge</w:t>
            </w:r>
          </w:p>
        </w:tc>
        <w:tc>
          <w:tcPr>
            <w:tcW w:w="2120" w:type="dxa"/>
            <w:vAlign w:val="bottom"/>
            <w:tcBorders>
              <w:top w:val="single" w:sz="8" w:color="auto"/>
              <w:right w:val="single" w:sz="8" w:color="auto"/>
            </w:tcBorders>
          </w:tcPr>
          <w:p>
            <w:pPr>
              <w:ind w:left="60"/>
              <w:spacing w:after="0" w:line="146" w:lineRule="exact"/>
              <w:rPr>
                <w:sz w:val="20"/>
                <w:szCs w:val="20"/>
                <w:color w:val="auto"/>
              </w:rPr>
            </w:pPr>
            <w:r>
              <w:rPr>
                <w:rFonts w:ascii="Times New Roman" w:cs="Times New Roman" w:eastAsia="Times New Roman" w:hAnsi="Times New Roman"/>
                <w:sz w:val="13"/>
                <w:szCs w:val="13"/>
                <w:color w:val="auto"/>
              </w:rPr>
              <w:t>less than zero and exceeds the Shield</w:t>
            </w:r>
          </w:p>
        </w:tc>
        <w:tc>
          <w:tcPr>
            <w:tcW w:w="2220" w:type="dxa"/>
            <w:vAlign w:val="bottom"/>
            <w:tcBorders>
              <w:top w:val="single" w:sz="8" w:color="auto"/>
              <w:right w:val="single" w:sz="8" w:color="auto"/>
            </w:tcBorders>
          </w:tcPr>
          <w:p>
            <w:pPr>
              <w:ind w:left="80"/>
              <w:spacing w:after="0" w:line="146" w:lineRule="exact"/>
              <w:rPr>
                <w:sz w:val="20"/>
                <w:szCs w:val="20"/>
                <w:color w:val="auto"/>
              </w:rPr>
            </w:pPr>
            <w:r>
              <w:rPr>
                <w:rFonts w:ascii="Times New Roman" w:cs="Times New Roman" w:eastAsia="Times New Roman" w:hAnsi="Times New Roman"/>
                <w:sz w:val="13"/>
                <w:szCs w:val="13"/>
                <w:color w:val="auto"/>
              </w:rPr>
              <w:t>Index Performance increased by the</w:t>
            </w:r>
          </w:p>
        </w:tc>
      </w:tr>
      <w:tr>
        <w:trPr>
          <w:trHeight w:val="139"/>
        </w:trPr>
        <w:tc>
          <w:tcPr>
            <w:tcW w:w="2080" w:type="dxa"/>
            <w:vAlign w:val="bottom"/>
            <w:tcBorders>
              <w:left w:val="single" w:sz="8" w:color="auto"/>
              <w:right w:val="single" w:sz="8" w:color="auto"/>
            </w:tcBorders>
          </w:tcPr>
          <w:p>
            <w:pPr>
              <w:spacing w:after="0"/>
              <w:rPr>
                <w:sz w:val="12"/>
                <w:szCs w:val="12"/>
                <w:color w:val="auto"/>
              </w:rPr>
            </w:pPr>
          </w:p>
        </w:tc>
        <w:tc>
          <w:tcPr>
            <w:tcW w:w="2120" w:type="dxa"/>
            <w:vAlign w:val="bottom"/>
            <w:tcBorders>
              <w:right w:val="single" w:sz="8" w:color="auto"/>
            </w:tcBorders>
          </w:tcPr>
          <w:p>
            <w:pPr>
              <w:ind w:left="60"/>
              <w:spacing w:after="0" w:line="139" w:lineRule="exact"/>
              <w:rPr>
                <w:sz w:val="20"/>
                <w:szCs w:val="20"/>
                <w:color w:val="auto"/>
              </w:rPr>
            </w:pPr>
            <w:r>
              <w:rPr>
                <w:rFonts w:ascii="Times New Roman" w:cs="Times New Roman" w:eastAsia="Times New Roman" w:hAnsi="Times New Roman"/>
                <w:sz w:val="13"/>
                <w:szCs w:val="13"/>
                <w:color w:val="auto"/>
              </w:rPr>
              <w:t>Rate</w:t>
            </w:r>
          </w:p>
        </w:tc>
        <w:tc>
          <w:tcPr>
            <w:tcW w:w="2220" w:type="dxa"/>
            <w:vAlign w:val="bottom"/>
            <w:tcBorders>
              <w:right w:val="single" w:sz="8" w:color="auto"/>
            </w:tcBorders>
          </w:tcPr>
          <w:p>
            <w:pPr>
              <w:ind w:left="80"/>
              <w:spacing w:after="0" w:line="139" w:lineRule="exact"/>
              <w:rPr>
                <w:sz w:val="20"/>
                <w:szCs w:val="20"/>
                <w:color w:val="auto"/>
              </w:rPr>
            </w:pPr>
            <w:r>
              <w:rPr>
                <w:rFonts w:ascii="Times New Roman" w:cs="Times New Roman" w:eastAsia="Times New Roman" w:hAnsi="Times New Roman"/>
                <w:sz w:val="13"/>
                <w:szCs w:val="13"/>
                <w:color w:val="auto"/>
              </w:rPr>
              <w:t>Shield Rate (For example: a -15%</w:t>
            </w:r>
          </w:p>
        </w:tc>
      </w:tr>
      <w:tr>
        <w:trPr>
          <w:trHeight w:val="149"/>
        </w:trPr>
        <w:tc>
          <w:tcPr>
            <w:tcW w:w="2080" w:type="dxa"/>
            <w:vAlign w:val="bottom"/>
            <w:tcBorders>
              <w:left w:val="single" w:sz="8" w:color="auto"/>
              <w:right w:val="single" w:sz="8" w:color="auto"/>
            </w:tcBorders>
          </w:tcPr>
          <w:p>
            <w:pPr>
              <w:spacing w:after="0"/>
              <w:rPr>
                <w:sz w:val="12"/>
                <w:szCs w:val="12"/>
                <w:color w:val="auto"/>
              </w:rPr>
            </w:pPr>
          </w:p>
        </w:tc>
        <w:tc>
          <w:tcPr>
            <w:tcW w:w="212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Index Performance with Shield 10 will</w:t>
            </w:r>
          </w:p>
        </w:tc>
      </w:tr>
      <w:tr>
        <w:trPr>
          <w:trHeight w:val="172"/>
        </w:trPr>
        <w:tc>
          <w:tcPr>
            <w:tcW w:w="2080" w:type="dxa"/>
            <w:vAlign w:val="bottom"/>
            <w:tcBorders>
              <w:left w:val="single" w:sz="8" w:color="auto"/>
              <w:right w:val="single" w:sz="8" w:color="auto"/>
            </w:tcBorders>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22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result in a -5% Performance Rate.)</w:t>
            </w:r>
          </w:p>
        </w:tc>
      </w:tr>
      <w:tr>
        <w:trPr>
          <w:trHeight w:val="49"/>
        </w:trPr>
        <w:tc>
          <w:tcPr>
            <w:tcW w:w="2080" w:type="dxa"/>
            <w:vAlign w:val="bottom"/>
            <w:tcBorders>
              <w:left w:val="single" w:sz="8" w:color="auto"/>
              <w:right w:val="single" w:sz="8" w:color="auto"/>
            </w:tcBorders>
          </w:tcPr>
          <w:p>
            <w:pPr>
              <w:spacing w:after="0"/>
              <w:rPr>
                <w:sz w:val="4"/>
                <w:szCs w:val="4"/>
                <w:color w:val="auto"/>
              </w:rPr>
            </w:pPr>
          </w:p>
        </w:tc>
        <w:tc>
          <w:tcPr>
            <w:tcW w:w="2120" w:type="dxa"/>
            <w:vAlign w:val="bottom"/>
            <w:tcBorders>
              <w:right w:val="single" w:sz="8" w:color="auto"/>
            </w:tcBorders>
          </w:tcPr>
          <w:p>
            <w:pPr>
              <w:spacing w:after="0"/>
              <w:rPr>
                <w:sz w:val="4"/>
                <w:szCs w:val="4"/>
                <w:color w:val="auto"/>
              </w:rPr>
            </w:pPr>
          </w:p>
        </w:tc>
        <w:tc>
          <w:tcPr>
            <w:tcW w:w="2220" w:type="dxa"/>
            <w:vAlign w:val="bottom"/>
            <w:tcBorders>
              <w:right w:val="single" w:sz="8" w:color="auto"/>
            </w:tcBorders>
          </w:tcPr>
          <w:p>
            <w:pPr>
              <w:spacing w:after="0"/>
              <w:rPr>
                <w:sz w:val="4"/>
                <w:szCs w:val="4"/>
                <w:color w:val="auto"/>
              </w:rPr>
            </w:pPr>
          </w:p>
        </w:tc>
      </w:tr>
      <w:tr>
        <w:trPr>
          <w:trHeight w:val="176"/>
        </w:trPr>
        <w:tc>
          <w:tcPr>
            <w:tcW w:w="2080" w:type="dxa"/>
            <w:vAlign w:val="bottom"/>
            <w:tcBorders>
              <w:left w:val="single" w:sz="8" w:color="auto"/>
              <w:right w:val="single" w:sz="8" w:color="auto"/>
            </w:tcBorders>
            <w:shd w:val="clear" w:color="auto" w:fill="F0FFFF"/>
          </w:tcPr>
          <w:p>
            <w:pPr>
              <w:spacing w:after="0"/>
              <w:rPr>
                <w:sz w:val="15"/>
                <w:szCs w:val="15"/>
                <w:color w:val="auto"/>
              </w:rPr>
            </w:pPr>
          </w:p>
        </w:tc>
        <w:tc>
          <w:tcPr>
            <w:tcW w:w="2120" w:type="dxa"/>
            <w:vAlign w:val="bottom"/>
            <w:tcBorders>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3"/>
                <w:szCs w:val="13"/>
                <w:color w:val="auto"/>
              </w:rPr>
              <w:t>less than zero but does not exceed</w:t>
            </w:r>
          </w:p>
        </w:tc>
        <w:tc>
          <w:tcPr>
            <w:tcW w:w="222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3"/>
                <w:szCs w:val="13"/>
                <w:color w:val="auto"/>
              </w:rPr>
              <w:t>the Edge Rate</w:t>
            </w:r>
          </w:p>
        </w:tc>
      </w:tr>
      <w:tr>
        <w:trPr>
          <w:trHeight w:val="191"/>
        </w:trPr>
        <w:tc>
          <w:tcPr>
            <w:tcW w:w="2080" w:type="dxa"/>
            <w:vAlign w:val="bottom"/>
            <w:tcBorders>
              <w:left w:val="single" w:sz="8" w:color="auto"/>
              <w:bottom w:val="single" w:sz="8" w:color="F0FFFF"/>
              <w:right w:val="single" w:sz="8" w:color="auto"/>
            </w:tcBorders>
            <w:shd w:val="clear" w:color="auto" w:fill="F0FFFF"/>
          </w:tcPr>
          <w:p>
            <w:pPr>
              <w:spacing w:after="0"/>
              <w:rPr>
                <w:sz w:val="16"/>
                <w:szCs w:val="16"/>
                <w:color w:val="auto"/>
              </w:rPr>
            </w:pPr>
          </w:p>
        </w:tc>
        <w:tc>
          <w:tcPr>
            <w:tcW w:w="2120" w:type="dxa"/>
            <w:vAlign w:val="bottom"/>
            <w:tcBorders>
              <w:bottom w:val="single" w:sz="8" w:color="F0FFFF"/>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3"/>
                <w:szCs w:val="13"/>
                <w:color w:val="auto"/>
              </w:rPr>
              <w:t>the Shield Rate</w:t>
            </w:r>
          </w:p>
        </w:tc>
        <w:tc>
          <w:tcPr>
            <w:tcW w:w="2220" w:type="dxa"/>
            <w:vAlign w:val="bottom"/>
            <w:tcBorders>
              <w:bottom w:val="single" w:sz="8" w:color="F0FFFF"/>
              <w:right w:val="single" w:sz="8" w:color="auto"/>
            </w:tcBorders>
            <w:shd w:val="clear" w:color="auto" w:fill="F0FFFF"/>
          </w:tcPr>
          <w:p>
            <w:pPr>
              <w:spacing w:after="0"/>
              <w:rPr>
                <w:sz w:val="16"/>
                <w:szCs w:val="16"/>
                <w:color w:val="auto"/>
              </w:rPr>
            </w:pPr>
          </w:p>
        </w:tc>
      </w:tr>
      <w:tr>
        <w:trPr>
          <w:trHeight w:val="213"/>
        </w:trPr>
        <w:tc>
          <w:tcPr>
            <w:tcW w:w="2080" w:type="dxa"/>
            <w:vAlign w:val="bottom"/>
            <w:tcBorders>
              <w:left w:val="single" w:sz="8" w:color="auto"/>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zero or positive</w:t>
            </w:r>
          </w:p>
        </w:tc>
        <w:tc>
          <w:tcPr>
            <w:tcW w:w="22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the Edge Rate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-3177540</wp:posOffset>
            </wp:positionV>
            <wp:extent cx="4057015" cy="1257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057015" cy="1257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-2263775</wp:posOffset>
            </wp:positionV>
            <wp:extent cx="4057015" cy="2457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057015" cy="2457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-1760220</wp:posOffset>
            </wp:positionV>
            <wp:extent cx="4057015" cy="787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057015" cy="787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-815340</wp:posOffset>
            </wp:positionV>
            <wp:extent cx="4057015" cy="422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057015" cy="42227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-147320</wp:posOffset>
            </wp:positionV>
            <wp:extent cx="4057015" cy="1384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057015" cy="13843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Example 1—Calculating your Investment Amount without the Performance Lock on a Term End Date</w:t>
      </w:r>
    </w:p>
    <w:p>
      <w:pPr>
        <w:spacing w:after="0" w:line="93" w:lineRule="exact"/>
        <w:rPr>
          <w:sz w:val="20"/>
          <w:szCs w:val="20"/>
          <w:color w:val="auto"/>
        </w:rPr>
      </w:pPr>
    </w:p>
    <w:p>
      <w:pPr>
        <w:jc w:val="both"/>
        <w:ind w:right="3199" w:firstLine="265"/>
        <w:spacing w:after="0" w:line="272" w:lineRule="auto"/>
        <w:rPr>
          <w:sz w:val="20"/>
          <w:szCs w:val="20"/>
          <w:color w:val="auto"/>
        </w:rPr>
      </w:pPr>
      <w:r>
        <w:rPr>
          <w:rFonts w:ascii="Times New Roman" w:cs="Times New Roman" w:eastAsia="Times New Roman" w:hAnsi="Times New Roman"/>
          <w:sz w:val="13"/>
          <w:szCs w:val="13"/>
          <w:color w:val="auto"/>
        </w:rPr>
        <w:t>The following examples illustrate how we calculate and credit interest under each Index crediting methodology assuming hypothetical Index Performance and hypothetical limits on Index gains and losses. The examples assume no withdrawals.</w:t>
      </w:r>
    </w:p>
    <w:p>
      <w:pPr>
        <w:spacing w:after="0" w:line="47" w:lineRule="exact"/>
        <w:rPr>
          <w:sz w:val="20"/>
          <w:szCs w:val="20"/>
          <w:color w:val="auto"/>
        </w:rPr>
      </w:pPr>
    </w:p>
    <w:p>
      <w:pPr>
        <w:jc w:val="both"/>
        <w:ind w:right="3179" w:firstLine="265"/>
        <w:spacing w:after="0"/>
        <w:rPr>
          <w:sz w:val="20"/>
          <w:szCs w:val="20"/>
          <w:color w:val="auto"/>
        </w:rPr>
      </w:pPr>
      <w:r>
        <w:rPr>
          <w:rFonts w:ascii="Times New Roman" w:cs="Times New Roman" w:eastAsia="Times New Roman" w:hAnsi="Times New Roman"/>
          <w:sz w:val="13"/>
          <w:szCs w:val="13"/>
          <w:color w:val="auto"/>
        </w:rPr>
        <w:t>Examples 1A, 1B, and 1C are intended to show how the Investment Amount on a Term End Date is calculated. In each example, assume Owner 1 allocates her $50,000 Purchase Payment into a 1-Year Term / Shield 10 / S&amp;P 500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Index and she allows her allocation to renew year to year for five years. In Example 1A she has selected the Shield 10 S&amp;P 500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Index with a Cap Rate of 10%, in Example 1B she has selected the Shield 10 S&amp;P 500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Index with a Step Rate of 8%, and in Example 1C she has selected the Shield 10 S&amp;P 500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Index with an Edge Rate of 7%. For purposes of each example, assume the Example 1A Cap Rate stays at 10% for all five years, the Example 1B Step Rate stays at 8% for all five years, and the Example 1C Edge Rate stays at 7% for all five years. If a withdrawal were made, a Withdrawal Charge during the first 6 Contract Years as well as an Interim Value calculation may apply; and consequently the Investment Amount for the Term would be adjusted accordingly.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Example 1A—Shield Option with Cap Rate:</w:t>
      </w:r>
    </w:p>
    <w:p>
      <w:pPr>
        <w:spacing w:after="0" w:line="76" w:lineRule="exact"/>
        <w:rPr>
          <w:sz w:val="20"/>
          <w:szCs w:val="20"/>
          <w:color w:val="auto"/>
        </w:rPr>
      </w:pPr>
    </w:p>
    <w:p>
      <w:pPr>
        <w:jc w:val="both"/>
        <w:ind w:right="3199" w:firstLine="265"/>
        <w:spacing w:after="0" w:line="253" w:lineRule="auto"/>
        <w:rPr>
          <w:sz w:val="20"/>
          <w:szCs w:val="20"/>
          <w:color w:val="auto"/>
        </w:rPr>
      </w:pPr>
      <w:r>
        <w:rPr>
          <w:rFonts w:ascii="Times New Roman" w:cs="Times New Roman" w:eastAsia="Times New Roman" w:hAnsi="Times New Roman"/>
          <w:sz w:val="13"/>
          <w:szCs w:val="13"/>
          <w:color w:val="auto"/>
        </w:rPr>
        <w:t>Owner 1 allocates her $50,000 Purchase Payment into a 1-Year Term / Shield 10 / S&amp;P 500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Index with a Cap Rate of 10% and lets it renew year after year for five years. The following example illustrates how her initial $50,000 Purchase Payment could perform over a five-year period given fluctuating Index Values. For renewals into the same Shield Option a new Cap Rate would be declared and go into effect on the Contract Anniversary that coincides with the beginning of the new Shield Option. In some cases, we may declare a Cap Rate for a Shield Option as “uncapped” in which case the Performance Rate that can be received is equal to the Index Performance, subject to the Shield Rate.</w:t>
      </w:r>
    </w:p>
    <w:p>
      <w:pPr>
        <w:spacing w:after="0" w:line="20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color w:val="auto"/>
        </w:rPr>
        <w:t>34</w:t>
      </w:r>
    </w:p>
    <w:p>
      <w:pPr>
        <w:sectPr>
          <w:pgSz w:w="11900" w:h="16838" w:orient="portrait"/>
          <w:cols w:equalWidth="0" w:num="1">
            <w:col w:w="9259"/>
          </w:cols>
          <w:pgMar w:left="1200" w:top="1047"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93915" cy="38100"/>
                    </a:xfrm>
                    <a:prstGeom prst="rect">
                      <a:avLst/>
                    </a:prstGeom>
                    <a:noFill/>
                  </pic:spPr>
                </pic:pic>
              </a:graphicData>
            </a:graphic>
          </wp:anchor>
        </w:drawing>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-41910</wp:posOffset>
            </wp:positionV>
            <wp:extent cx="3036570" cy="17703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036570" cy="177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650" w:type="dxa"/>
        <w:tblCellMar>
          <w:top w:w="0" w:type="dxa"/>
          <w:left w:w="0" w:type="dxa"/>
          <w:bottom w:w="0" w:type="dxa"/>
          <w:right w:w="0" w:type="dxa"/>
        </w:tblCellMar>
      </w:tblPr>
      <w:tr>
        <w:trPr>
          <w:trHeight w:val="175"/>
        </w:trPr>
        <w:tc>
          <w:tcPr>
            <w:tcW w:w="2220" w:type="dxa"/>
            <w:vAlign w:val="bottom"/>
            <w:tcBorders>
              <w:top w:val="single" w:sz="8" w:color="auto"/>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Contract Year</w:t>
            </w:r>
          </w:p>
        </w:tc>
        <w:tc>
          <w:tcPr>
            <w:tcW w:w="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1</w:t>
            </w:r>
          </w:p>
        </w:tc>
        <w:tc>
          <w:tcPr>
            <w:tcW w:w="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2</w:t>
            </w:r>
          </w:p>
        </w:tc>
        <w:tc>
          <w:tcPr>
            <w:tcW w:w="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71"/>
              </w:rPr>
              <w:t>3</w:t>
            </w:r>
          </w:p>
        </w:tc>
        <w:tc>
          <w:tcPr>
            <w:tcW w:w="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71"/>
              </w:rPr>
              <w:t>4</w:t>
            </w:r>
          </w:p>
        </w:tc>
        <w:tc>
          <w:tcPr>
            <w:tcW w:w="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71"/>
              </w:rPr>
              <w:t>5</w:t>
            </w:r>
          </w:p>
        </w:tc>
      </w:tr>
      <w:tr>
        <w:trPr>
          <w:trHeight w:val="187"/>
        </w:trPr>
        <w:tc>
          <w:tcPr>
            <w:tcW w:w="2220" w:type="dxa"/>
            <w:vAlign w:val="bottom"/>
            <w:tcBorders>
              <w:left w:val="single" w:sz="8" w:color="auto"/>
              <w:bottom w:val="single" w:sz="8" w:color="auto"/>
              <w:right w:val="single" w:sz="8" w:color="F0FFFF"/>
            </w:tcBorders>
            <w:gridSpan w:val="2"/>
            <w:shd w:val="clear" w:color="auto" w:fill="F0FFFF"/>
          </w:tcPr>
          <w:p>
            <w:pPr>
              <w:ind w:left="80"/>
              <w:spacing w:after="0"/>
              <w:rPr>
                <w:sz w:val="20"/>
                <w:szCs w:val="20"/>
                <w:color w:val="auto"/>
              </w:rPr>
            </w:pPr>
            <w:r>
              <w:rPr>
                <w:rFonts w:ascii="Times New Roman" w:cs="Times New Roman" w:eastAsia="Times New Roman" w:hAnsi="Times New Roman"/>
                <w:sz w:val="13"/>
                <w:szCs w:val="13"/>
                <w:b w:val="1"/>
                <w:bCs w:val="1"/>
                <w:color w:val="auto"/>
              </w:rPr>
              <w:t>Term Start Date</w:t>
            </w:r>
          </w:p>
        </w:tc>
        <w:tc>
          <w:tcPr>
            <w:tcW w:w="660" w:type="dxa"/>
            <w:vAlign w:val="bottom"/>
            <w:tcBorders>
              <w:bottom w:val="single" w:sz="8" w:color="auto"/>
              <w:right w:val="single" w:sz="8" w:color="F0FFFF"/>
            </w:tcBorders>
            <w:shd w:val="clear" w:color="auto" w:fill="F0FFFF"/>
          </w:tcPr>
          <w:p>
            <w:pPr>
              <w:spacing w:after="0"/>
              <w:rPr>
                <w:sz w:val="16"/>
                <w:szCs w:val="16"/>
                <w:color w:val="auto"/>
              </w:rPr>
            </w:pPr>
          </w:p>
        </w:tc>
        <w:tc>
          <w:tcPr>
            <w:tcW w:w="680" w:type="dxa"/>
            <w:vAlign w:val="bottom"/>
            <w:tcBorders>
              <w:bottom w:val="single" w:sz="8" w:color="auto"/>
              <w:right w:val="single" w:sz="8" w:color="F0FFFF"/>
            </w:tcBorders>
            <w:shd w:val="clear" w:color="auto" w:fill="F0FFFF"/>
          </w:tcPr>
          <w:p>
            <w:pPr>
              <w:spacing w:after="0"/>
              <w:rPr>
                <w:sz w:val="16"/>
                <w:szCs w:val="16"/>
                <w:color w:val="auto"/>
              </w:rPr>
            </w:pPr>
          </w:p>
        </w:tc>
        <w:tc>
          <w:tcPr>
            <w:tcW w:w="680" w:type="dxa"/>
            <w:vAlign w:val="bottom"/>
            <w:tcBorders>
              <w:bottom w:val="single" w:sz="8" w:color="auto"/>
              <w:right w:val="single" w:sz="8" w:color="F0FFFF"/>
            </w:tcBorders>
            <w:shd w:val="clear" w:color="auto" w:fill="F0FFFF"/>
          </w:tcPr>
          <w:p>
            <w:pPr>
              <w:spacing w:after="0"/>
              <w:rPr>
                <w:sz w:val="16"/>
                <w:szCs w:val="16"/>
                <w:color w:val="auto"/>
              </w:rPr>
            </w:pPr>
          </w:p>
        </w:tc>
        <w:tc>
          <w:tcPr>
            <w:tcW w:w="680" w:type="dxa"/>
            <w:vAlign w:val="bottom"/>
            <w:tcBorders>
              <w:bottom w:val="single" w:sz="8" w:color="auto"/>
              <w:right w:val="single" w:sz="8" w:color="F0FFFF"/>
            </w:tcBorders>
            <w:shd w:val="clear" w:color="auto" w:fill="F0FFFF"/>
          </w:tcPr>
          <w:p>
            <w:pPr>
              <w:spacing w:after="0"/>
              <w:rPr>
                <w:sz w:val="16"/>
                <w:szCs w:val="16"/>
                <w:color w:val="auto"/>
              </w:rPr>
            </w:pPr>
          </w:p>
        </w:tc>
        <w:tc>
          <w:tcPr>
            <w:tcW w:w="660" w:type="dxa"/>
            <w:vAlign w:val="bottom"/>
            <w:tcBorders>
              <w:bottom w:val="single" w:sz="8" w:color="auto"/>
              <w:right w:val="single" w:sz="8" w:color="auto"/>
            </w:tcBorders>
            <w:shd w:val="clear" w:color="auto" w:fill="F0FFFF"/>
          </w:tcPr>
          <w:p>
            <w:pPr>
              <w:spacing w:after="0"/>
              <w:rPr>
                <w:sz w:val="16"/>
                <w:szCs w:val="16"/>
                <w:color w:val="auto"/>
              </w:rPr>
            </w:pPr>
          </w:p>
        </w:tc>
      </w:tr>
      <w:tr>
        <w:trPr>
          <w:trHeight w:val="208"/>
        </w:trPr>
        <w:tc>
          <w:tcPr>
            <w:tcW w:w="2220" w:type="dxa"/>
            <w:vAlign w:val="bottom"/>
            <w:tcBorders>
              <w:left w:val="single" w:sz="8" w:color="auto"/>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3"/>
                <w:szCs w:val="13"/>
                <w:color w:val="auto"/>
              </w:rPr>
              <w:t>Investment Amount</w:t>
            </w:r>
            <w:r>
              <w:rPr>
                <w:rFonts w:ascii="Times New Roman" w:cs="Times New Roman" w:eastAsia="Times New Roman" w:hAnsi="Times New Roman"/>
                <w:sz w:val="17"/>
                <w:szCs w:val="17"/>
                <w:color w:val="auto"/>
                <w:vertAlign w:val="superscript"/>
              </w:rPr>
              <w:t>(1)</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$50,000</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$55,000</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$57,750</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$57,750</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$57,750</w:t>
            </w:r>
          </w:p>
        </w:tc>
      </w:tr>
      <w:tr>
        <w:trPr>
          <w:trHeight w:val="179"/>
        </w:trPr>
        <w:tc>
          <w:tcPr>
            <w:tcW w:w="2220" w:type="dxa"/>
            <w:vAlign w:val="bottom"/>
            <w:tcBorders>
              <w:left w:val="single" w:sz="8" w:color="auto"/>
              <w:bottom w:val="single" w:sz="8" w:color="auto"/>
              <w:right w:val="single" w:sz="8" w:color="auto"/>
            </w:tcBorders>
            <w:gridSpan w:val="2"/>
            <w:shd w:val="clear" w:color="auto" w:fill="F0FFFF"/>
          </w:tcPr>
          <w:p>
            <w:pPr>
              <w:ind w:left="200"/>
              <w:spacing w:after="0"/>
              <w:rPr>
                <w:sz w:val="20"/>
                <w:szCs w:val="20"/>
                <w:color w:val="auto"/>
              </w:rPr>
            </w:pPr>
            <w:r>
              <w:rPr>
                <w:rFonts w:ascii="Times New Roman" w:cs="Times New Roman" w:eastAsia="Times New Roman" w:hAnsi="Times New Roman"/>
                <w:sz w:val="13"/>
                <w:szCs w:val="13"/>
                <w:color w:val="auto"/>
              </w:rPr>
              <w:t>Index Value</w:t>
            </w:r>
          </w:p>
        </w:tc>
        <w:tc>
          <w:tcPr>
            <w:tcW w:w="66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1,000</w:t>
            </w:r>
          </w:p>
        </w:tc>
        <w:tc>
          <w:tcPr>
            <w:tcW w:w="6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1,200</w:t>
            </w:r>
          </w:p>
        </w:tc>
        <w:tc>
          <w:tcPr>
            <w:tcW w:w="6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1,260</w:t>
            </w:r>
          </w:p>
        </w:tc>
        <w:tc>
          <w:tcPr>
            <w:tcW w:w="6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1,260</w:t>
            </w:r>
          </w:p>
        </w:tc>
        <w:tc>
          <w:tcPr>
            <w:tcW w:w="66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1,197</w:t>
            </w:r>
          </w:p>
        </w:tc>
      </w:tr>
      <w:tr>
        <w:trPr>
          <w:trHeight w:val="188"/>
        </w:trPr>
        <w:tc>
          <w:tcPr>
            <w:tcW w:w="222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Term End Date</w:t>
            </w:r>
          </w:p>
        </w:tc>
        <w:tc>
          <w:tcPr>
            <w:tcW w:w="6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spacing w:after="0"/>
              <w:rPr>
                <w:sz w:val="16"/>
                <w:szCs w:val="16"/>
                <w:color w:val="auto"/>
              </w:rPr>
            </w:pPr>
          </w:p>
        </w:tc>
      </w:tr>
      <w:tr>
        <w:trPr>
          <w:trHeight w:val="188"/>
        </w:trPr>
        <w:tc>
          <w:tcPr>
            <w:tcW w:w="2220" w:type="dxa"/>
            <w:vAlign w:val="bottom"/>
            <w:tcBorders>
              <w:left w:val="single" w:sz="8" w:color="auto"/>
              <w:bottom w:val="single" w:sz="8" w:color="auto"/>
              <w:right w:val="single" w:sz="8" w:color="auto"/>
            </w:tcBorders>
            <w:gridSpan w:val="2"/>
            <w:shd w:val="clear" w:color="auto" w:fill="F0FFFF"/>
          </w:tcPr>
          <w:p>
            <w:pPr>
              <w:ind w:left="200"/>
              <w:spacing w:after="0"/>
              <w:rPr>
                <w:sz w:val="20"/>
                <w:szCs w:val="20"/>
                <w:color w:val="auto"/>
              </w:rPr>
            </w:pPr>
            <w:r>
              <w:rPr>
                <w:rFonts w:ascii="Times New Roman" w:cs="Times New Roman" w:eastAsia="Times New Roman" w:hAnsi="Times New Roman"/>
                <w:sz w:val="13"/>
                <w:szCs w:val="13"/>
                <w:color w:val="auto"/>
              </w:rPr>
              <w:t>Index Value</w:t>
            </w:r>
          </w:p>
        </w:tc>
        <w:tc>
          <w:tcPr>
            <w:tcW w:w="66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1,200</w:t>
            </w:r>
          </w:p>
        </w:tc>
        <w:tc>
          <w:tcPr>
            <w:tcW w:w="6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1,260</w:t>
            </w:r>
          </w:p>
        </w:tc>
        <w:tc>
          <w:tcPr>
            <w:tcW w:w="6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1,260</w:t>
            </w:r>
          </w:p>
        </w:tc>
        <w:tc>
          <w:tcPr>
            <w:tcW w:w="6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1,197</w:t>
            </w:r>
          </w:p>
        </w:tc>
        <w:tc>
          <w:tcPr>
            <w:tcW w:w="66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1,017</w:t>
            </w:r>
          </w:p>
        </w:tc>
      </w:tr>
      <w:tr>
        <w:trPr>
          <w:trHeight w:val="208"/>
        </w:trPr>
        <w:tc>
          <w:tcPr>
            <w:tcW w:w="2220" w:type="dxa"/>
            <w:vAlign w:val="bottom"/>
            <w:tcBorders>
              <w:left w:val="single" w:sz="8" w:color="auto"/>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3"/>
                <w:szCs w:val="13"/>
                <w:color w:val="auto"/>
              </w:rPr>
              <w:t>Index Performance</w:t>
            </w:r>
            <w:r>
              <w:rPr>
                <w:rFonts w:ascii="Times New Roman" w:cs="Times New Roman" w:eastAsia="Times New Roman" w:hAnsi="Times New Roman"/>
                <w:sz w:val="17"/>
                <w:szCs w:val="17"/>
                <w:color w:val="auto"/>
                <w:vertAlign w:val="superscript"/>
              </w:rPr>
              <w:t>(2)</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20%</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5%</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0%</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-5%</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-15%</w:t>
            </w:r>
          </w:p>
        </w:tc>
      </w:tr>
      <w:tr>
        <w:trPr>
          <w:trHeight w:val="179"/>
        </w:trPr>
        <w:tc>
          <w:tcPr>
            <w:tcW w:w="2220" w:type="dxa"/>
            <w:vAlign w:val="bottom"/>
            <w:tcBorders>
              <w:left w:val="single" w:sz="8" w:color="auto"/>
              <w:bottom w:val="single" w:sz="8" w:color="auto"/>
              <w:right w:val="single" w:sz="8" w:color="auto"/>
            </w:tcBorders>
            <w:gridSpan w:val="2"/>
            <w:shd w:val="clear" w:color="auto" w:fill="F0FFFF"/>
          </w:tcPr>
          <w:p>
            <w:pPr>
              <w:ind w:left="200"/>
              <w:spacing w:after="0"/>
              <w:rPr>
                <w:sz w:val="20"/>
                <w:szCs w:val="20"/>
                <w:color w:val="auto"/>
              </w:rPr>
            </w:pPr>
            <w:r>
              <w:rPr>
                <w:rFonts w:ascii="Times New Roman" w:cs="Times New Roman" w:eastAsia="Times New Roman" w:hAnsi="Times New Roman"/>
                <w:sz w:val="13"/>
                <w:szCs w:val="13"/>
                <w:color w:val="auto"/>
              </w:rPr>
              <w:t>Cap Rate</w:t>
            </w:r>
          </w:p>
        </w:tc>
        <w:tc>
          <w:tcPr>
            <w:tcW w:w="66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6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6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6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66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10%</w:t>
            </w:r>
          </w:p>
        </w:tc>
      </w:tr>
      <w:tr>
        <w:trPr>
          <w:trHeight w:val="188"/>
        </w:trPr>
        <w:tc>
          <w:tcPr>
            <w:tcW w:w="2220" w:type="dxa"/>
            <w:vAlign w:val="bottom"/>
            <w:tcBorders>
              <w:left w:val="single" w:sz="8" w:color="auto"/>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3"/>
                <w:szCs w:val="13"/>
                <w:color w:val="auto"/>
              </w:rPr>
              <w:t>Shield Rate</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10%</w:t>
            </w:r>
          </w:p>
        </w:tc>
      </w:tr>
      <w:tr>
        <w:trPr>
          <w:trHeight w:val="208"/>
        </w:trPr>
        <w:tc>
          <w:tcPr>
            <w:tcW w:w="2220" w:type="dxa"/>
            <w:vAlign w:val="bottom"/>
            <w:tcBorders>
              <w:left w:val="single" w:sz="8" w:color="auto"/>
              <w:bottom w:val="single" w:sz="8" w:color="auto"/>
              <w:right w:val="single" w:sz="8" w:color="auto"/>
            </w:tcBorders>
            <w:gridSpan w:val="2"/>
            <w:shd w:val="clear" w:color="auto" w:fill="F0FFFF"/>
          </w:tcPr>
          <w:p>
            <w:pPr>
              <w:ind w:left="200"/>
              <w:spacing w:after="0"/>
              <w:rPr>
                <w:sz w:val="20"/>
                <w:szCs w:val="20"/>
                <w:color w:val="auto"/>
              </w:rPr>
            </w:pPr>
            <w:r>
              <w:rPr>
                <w:rFonts w:ascii="Times New Roman" w:cs="Times New Roman" w:eastAsia="Times New Roman" w:hAnsi="Times New Roman"/>
                <w:sz w:val="13"/>
                <w:szCs w:val="13"/>
                <w:color w:val="auto"/>
              </w:rPr>
              <w:t>Performance Rate (one year)</w:t>
            </w:r>
            <w:r>
              <w:rPr>
                <w:rFonts w:ascii="Times New Roman" w:cs="Times New Roman" w:eastAsia="Times New Roman" w:hAnsi="Times New Roman"/>
                <w:sz w:val="17"/>
                <w:szCs w:val="17"/>
                <w:color w:val="auto"/>
                <w:vertAlign w:val="superscript"/>
              </w:rPr>
              <w:t>(3)</w:t>
            </w:r>
          </w:p>
        </w:tc>
        <w:tc>
          <w:tcPr>
            <w:tcW w:w="66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6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5%</w:t>
            </w:r>
          </w:p>
        </w:tc>
        <w:tc>
          <w:tcPr>
            <w:tcW w:w="6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0%</w:t>
            </w:r>
          </w:p>
        </w:tc>
        <w:tc>
          <w:tcPr>
            <w:tcW w:w="6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0%</w:t>
            </w:r>
          </w:p>
        </w:tc>
        <w:tc>
          <w:tcPr>
            <w:tcW w:w="66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-5%</w:t>
            </w:r>
          </w:p>
        </w:tc>
      </w:tr>
      <w:tr>
        <w:trPr>
          <w:trHeight w:val="198"/>
        </w:trPr>
        <w:tc>
          <w:tcPr>
            <w:tcW w:w="2220" w:type="dxa"/>
            <w:vAlign w:val="bottom"/>
            <w:tcBorders>
              <w:left w:val="single" w:sz="8" w:color="auto"/>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3"/>
                <w:szCs w:val="13"/>
                <w:color w:val="auto"/>
              </w:rPr>
              <w:t>Performance Rate Adjustment</w:t>
            </w:r>
            <w:r>
              <w:rPr>
                <w:rFonts w:ascii="Times New Roman" w:cs="Times New Roman" w:eastAsia="Times New Roman" w:hAnsi="Times New Roman"/>
                <w:sz w:val="17"/>
                <w:szCs w:val="17"/>
                <w:color w:val="auto"/>
                <w:vertAlign w:val="superscript"/>
              </w:rPr>
              <w:t>(4)</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$5,000</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$2,750</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$0</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$0</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-$2,888</w:t>
            </w:r>
          </w:p>
        </w:tc>
      </w:tr>
      <w:tr>
        <w:trPr>
          <w:trHeight w:val="196"/>
        </w:trPr>
        <w:tc>
          <w:tcPr>
            <w:tcW w:w="2220" w:type="dxa"/>
            <w:vAlign w:val="bottom"/>
            <w:tcBorders>
              <w:left w:val="single" w:sz="8" w:color="auto"/>
              <w:bottom w:val="single" w:sz="8" w:color="auto"/>
              <w:right w:val="single" w:sz="8" w:color="auto"/>
            </w:tcBorders>
            <w:gridSpan w:val="2"/>
            <w:shd w:val="clear" w:color="auto" w:fill="F0FFFF"/>
          </w:tcPr>
          <w:p>
            <w:pPr>
              <w:ind w:left="200"/>
              <w:spacing w:after="0"/>
              <w:rPr>
                <w:sz w:val="20"/>
                <w:szCs w:val="20"/>
                <w:color w:val="auto"/>
              </w:rPr>
            </w:pPr>
            <w:r>
              <w:rPr>
                <w:rFonts w:ascii="Times New Roman" w:cs="Times New Roman" w:eastAsia="Times New Roman" w:hAnsi="Times New Roman"/>
                <w:sz w:val="13"/>
                <w:szCs w:val="13"/>
                <w:b w:val="1"/>
                <w:bCs w:val="1"/>
                <w:color w:val="auto"/>
              </w:rPr>
              <w:t>Investment Amount</w:t>
            </w:r>
            <w:r>
              <w:rPr>
                <w:rFonts w:ascii="Times New Roman" w:cs="Times New Roman" w:eastAsia="Times New Roman" w:hAnsi="Times New Roman"/>
                <w:sz w:val="17"/>
                <w:szCs w:val="17"/>
                <w:b w:val="1"/>
                <w:bCs w:val="1"/>
                <w:color w:val="auto"/>
                <w:vertAlign w:val="superscript"/>
              </w:rPr>
              <w:t>(5)</w:t>
            </w:r>
          </w:p>
        </w:tc>
        <w:tc>
          <w:tcPr>
            <w:tcW w:w="66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$55,000</w:t>
            </w:r>
          </w:p>
        </w:tc>
        <w:tc>
          <w:tcPr>
            <w:tcW w:w="6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$57,750</w:t>
            </w:r>
          </w:p>
        </w:tc>
        <w:tc>
          <w:tcPr>
            <w:tcW w:w="6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b w:val="1"/>
                <w:bCs w:val="1"/>
                <w:color w:val="auto"/>
              </w:rPr>
              <w:t>$57,750</w:t>
            </w:r>
          </w:p>
        </w:tc>
        <w:tc>
          <w:tcPr>
            <w:tcW w:w="6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b w:val="1"/>
                <w:bCs w:val="1"/>
                <w:color w:val="auto"/>
              </w:rPr>
              <w:t>$57,750</w:t>
            </w:r>
          </w:p>
        </w:tc>
        <w:tc>
          <w:tcPr>
            <w:tcW w:w="66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b w:val="1"/>
                <w:bCs w:val="1"/>
                <w:color w:val="auto"/>
              </w:rPr>
              <w:t>$54,862</w:t>
            </w:r>
          </w:p>
        </w:tc>
      </w:tr>
      <w:tr>
        <w:trPr>
          <w:trHeight w:val="131"/>
        </w:trPr>
        <w:tc>
          <w:tcPr>
            <w:tcW w:w="820" w:type="dxa"/>
            <w:vAlign w:val="bottom"/>
            <w:tcBorders>
              <w:bottom w:val="single" w:sz="8" w:color="9A9A9A"/>
            </w:tcBorders>
          </w:tcPr>
          <w:p>
            <w:pPr>
              <w:spacing w:after="0"/>
              <w:rPr>
                <w:sz w:val="11"/>
                <w:szCs w:val="11"/>
                <w:color w:val="auto"/>
              </w:rPr>
            </w:pPr>
          </w:p>
        </w:tc>
        <w:tc>
          <w:tcPr>
            <w:tcW w:w="1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-1699895</wp:posOffset>
            </wp:positionV>
            <wp:extent cx="3527425" cy="1136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527425" cy="11366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-1454785</wp:posOffset>
            </wp:positionV>
            <wp:extent cx="3527425" cy="1384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527425" cy="13843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-1183640</wp:posOffset>
            </wp:positionV>
            <wp:extent cx="3527425" cy="1320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527425" cy="13208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-918845</wp:posOffset>
            </wp:positionV>
            <wp:extent cx="3527425" cy="1384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527425" cy="13843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-648335</wp:posOffset>
            </wp:positionV>
            <wp:extent cx="3527425" cy="1320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527425" cy="13208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-377190</wp:posOffset>
            </wp:positionV>
            <wp:extent cx="3527425" cy="1384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527425" cy="138430"/>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-24765</wp:posOffset>
            </wp:positionV>
            <wp:extent cx="31750"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-24765</wp:posOffset>
            </wp:positionV>
            <wp:extent cx="31750"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pacing w:after="0" w:line="45" w:lineRule="exact"/>
        <w:rPr>
          <w:sz w:val="20"/>
          <w:szCs w:val="20"/>
          <w:color w:val="auto"/>
        </w:rPr>
      </w:pPr>
    </w:p>
    <w:p>
      <w:pPr>
        <w:ind w:left="640" w:right="3559"/>
        <w:spacing w:after="0" w:line="266" w:lineRule="auto"/>
        <w:rPr>
          <w:sz w:val="20"/>
          <w:szCs w:val="20"/>
          <w:color w:val="auto"/>
        </w:rPr>
      </w:pPr>
      <w:r>
        <w:rPr>
          <w:rFonts w:ascii="Times New Roman" w:cs="Times New Roman" w:eastAsia="Times New Roman" w:hAnsi="Times New Roman"/>
          <w:sz w:val="13"/>
          <w:szCs w:val="13"/>
          <w:b w:val="1"/>
          <w:bCs w:val="1"/>
          <w:color w:val="auto"/>
        </w:rPr>
        <w:t>The following notes to the table above provide important calculations showing how certain values are determined.</w:t>
      </w:r>
    </w:p>
    <w:p>
      <w:pPr>
        <w:ind w:left="640"/>
        <w:spacing w:after="0" w:line="215" w:lineRule="auto"/>
        <w:rPr>
          <w:sz w:val="20"/>
          <w:szCs w:val="20"/>
          <w:color w:val="auto"/>
        </w:rPr>
      </w:pPr>
      <w:r>
        <w:rPr>
          <w:rFonts w:ascii="Times New Roman" w:cs="Times New Roman" w:eastAsia="Times New Roman" w:hAnsi="Times New Roman"/>
          <w:sz w:val="5"/>
          <w:szCs w:val="5"/>
          <w:color w:val="auto"/>
        </w:rPr>
        <w:t>(1)</w:t>
      </w:r>
    </w:p>
    <w:p>
      <w:pPr>
        <w:jc w:val="both"/>
        <w:ind w:left="900" w:right="3259"/>
        <w:spacing w:after="0" w:line="230" w:lineRule="auto"/>
        <w:rPr>
          <w:sz w:val="20"/>
          <w:szCs w:val="20"/>
          <w:color w:val="auto"/>
        </w:rPr>
      </w:pPr>
      <w:r>
        <w:rPr>
          <w:rFonts w:ascii="Times New Roman" w:cs="Times New Roman" w:eastAsia="Times New Roman" w:hAnsi="Times New Roman"/>
          <w:sz w:val="13"/>
          <w:szCs w:val="13"/>
          <w:color w:val="auto"/>
        </w:rPr>
        <w:t>Investment Amount at Term Start Date in year one is the $50,000 Purchase Payment. In years two through five, the Investment Amount at Term Start Date would be $55,000, $57,750, $57,750 and $57,750,</w:t>
      </w:r>
    </w:p>
    <w:p>
      <w:pPr>
        <w:spacing w:after="0" w:line="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respectively, which was the Investment Amount at Term End Date for the prior year.</w:t>
      </w:r>
    </w:p>
    <w:p>
      <w:pPr>
        <w:ind w:left="640"/>
        <w:spacing w:after="0" w:line="204" w:lineRule="auto"/>
        <w:rPr>
          <w:sz w:val="20"/>
          <w:szCs w:val="20"/>
          <w:color w:val="auto"/>
        </w:rPr>
      </w:pPr>
      <w:r>
        <w:rPr>
          <w:rFonts w:ascii="Times New Roman" w:cs="Times New Roman" w:eastAsia="Times New Roman" w:hAnsi="Times New Roman"/>
          <w:sz w:val="5"/>
          <w:szCs w:val="5"/>
          <w:color w:val="auto"/>
        </w:rPr>
        <w:t>(2)</w:t>
      </w:r>
    </w:p>
    <w:p>
      <w:pPr>
        <w:ind w:left="900"/>
        <w:spacing w:after="0"/>
        <w:rPr>
          <w:sz w:val="20"/>
          <w:szCs w:val="20"/>
          <w:color w:val="auto"/>
        </w:rPr>
      </w:pPr>
      <w:r>
        <w:rPr>
          <w:rFonts w:ascii="Times New Roman" w:cs="Times New Roman" w:eastAsia="Times New Roman" w:hAnsi="Times New Roman"/>
          <w:sz w:val="13"/>
          <w:szCs w:val="13"/>
          <w:color w:val="auto"/>
        </w:rPr>
        <w:t>Index Performance is equal to the percentage change in the Index Value measured from the Term Start Date</w:t>
      </w:r>
    </w:p>
    <w:p>
      <w:pPr>
        <w:jc w:val="right"/>
        <w:ind w:right="4099"/>
        <w:spacing w:after="0"/>
        <w:rPr>
          <w:sz w:val="20"/>
          <w:szCs w:val="20"/>
          <w:color w:val="auto"/>
        </w:rPr>
      </w:pPr>
      <w:r>
        <w:rPr>
          <w:rFonts w:ascii="Times New Roman" w:cs="Times New Roman" w:eastAsia="Times New Roman" w:hAnsi="Times New Roman"/>
          <w:sz w:val="13"/>
          <w:szCs w:val="13"/>
          <w:color w:val="auto"/>
        </w:rPr>
        <w:t>to the Term End Date. For example, in year one, Index Performance is calculated as follows:</w:t>
      </w:r>
    </w:p>
    <w:p>
      <w:pPr>
        <w:spacing w:after="0" w:line="45" w:lineRule="exact"/>
        <w:rPr>
          <w:sz w:val="20"/>
          <w:szCs w:val="20"/>
          <w:color w:val="auto"/>
        </w:rPr>
      </w:pPr>
    </w:p>
    <w:p>
      <w:pPr>
        <w:jc w:val="right"/>
        <w:ind w:right="4119"/>
        <w:spacing w:after="0"/>
        <w:rPr>
          <w:sz w:val="20"/>
          <w:szCs w:val="20"/>
          <w:color w:val="auto"/>
        </w:rPr>
      </w:pPr>
      <w:r>
        <w:rPr>
          <w:rFonts w:ascii="Times New Roman" w:cs="Times New Roman" w:eastAsia="Times New Roman" w:hAnsi="Times New Roman"/>
          <w:sz w:val="13"/>
          <w:szCs w:val="13"/>
          <w:color w:val="auto"/>
        </w:rPr>
        <w:t>(1,200 [Index Value at Term End Date] –1,000 [Index Value at Term Start Date])</w:t>
      </w:r>
    </w:p>
    <w:p>
      <w:pPr>
        <w:spacing w:after="0" w:line="3" w:lineRule="exact"/>
        <w:rPr>
          <w:sz w:val="20"/>
          <w:szCs w:val="20"/>
          <w:color w:val="auto"/>
        </w:rPr>
      </w:pPr>
    </w:p>
    <w:p>
      <w:pPr>
        <w:ind w:left="2500" w:hanging="99"/>
        <w:spacing w:after="0"/>
        <w:tabs>
          <w:tab w:leader="none" w:pos="2500" w:val="left"/>
        </w:tabs>
        <w:numPr>
          <w:ilvl w:val="1"/>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1,000 [Index Value at Term Start Date] = 20%</w:t>
      </w:r>
    </w:p>
    <w:p>
      <w:pPr>
        <w:spacing w:after="0" w:line="34" w:lineRule="exact"/>
        <w:rPr>
          <w:rFonts w:ascii="Times New Roman" w:cs="Times New Roman" w:eastAsia="Times New Roman" w:hAnsi="Times New Roman"/>
          <w:sz w:val="13"/>
          <w:szCs w:val="13"/>
          <w:color w:val="auto"/>
        </w:rPr>
      </w:pPr>
    </w:p>
    <w:p>
      <w:pPr>
        <w:jc w:val="both"/>
        <w:ind w:left="900" w:right="3259" w:hanging="261"/>
        <w:spacing w:after="0" w:line="228" w:lineRule="auto"/>
        <w:tabs>
          <w:tab w:leader="none" w:pos="900" w:val="left"/>
        </w:tabs>
        <w:numPr>
          <w:ilvl w:val="0"/>
          <w:numId w:val="1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 year one, Index Performance exceeds the Cap Rate and therefore the Performance Rate is equal to the Cap Rate. In years two and three the Performance Rate is equal to the Index Performance because the Index Performance is not negative and does not exceed the Cap Rate. In year four the Performance Rate is 0% because the Index Performance is –5% and the Shield 10 absorbs up to 10% of the negative Index Performance. In year five, the Performance Rate is –5% because the Index Performance is –15% and the Shield 10 absorbs up to 10% of negative Index Performance.</w:t>
      </w:r>
    </w:p>
    <w:p>
      <w:pPr>
        <w:spacing w:after="0" w:line="26" w:lineRule="exact"/>
        <w:rPr>
          <w:rFonts w:ascii="Times New Roman" w:cs="Times New Roman" w:eastAsia="Times New Roman" w:hAnsi="Times New Roman"/>
          <w:sz w:val="17"/>
          <w:szCs w:val="17"/>
          <w:color w:val="auto"/>
          <w:vertAlign w:val="superscript"/>
        </w:rPr>
      </w:pPr>
    </w:p>
    <w:p>
      <w:pPr>
        <w:jc w:val="both"/>
        <w:ind w:left="900" w:right="3259" w:hanging="261"/>
        <w:spacing w:after="0" w:line="226" w:lineRule="auto"/>
        <w:tabs>
          <w:tab w:leader="none" w:pos="900" w:val="left"/>
        </w:tabs>
        <w:numPr>
          <w:ilvl w:val="0"/>
          <w:numId w:val="1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 xml:space="preserve">The Performance Rate Adjustment is equal to the product of the Investment Amount at the Term Start Date adjusted for any withdrawals (including RMDs, systematic withdrawals, and any applicable </w:t>
      </w:r>
      <w:r>
        <w:rPr>
          <w:rFonts w:ascii="Times New Roman" w:cs="Times New Roman" w:eastAsia="Times New Roman" w:hAnsi="Times New Roman"/>
          <w:sz w:val="13"/>
          <w:szCs w:val="13"/>
          <w:u w:val="single" w:color="auto"/>
          <w:color w:val="auto"/>
        </w:rPr>
        <w:t>Withdrawal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Charge</w:t>
      </w:r>
      <w:r>
        <w:rPr>
          <w:rFonts w:ascii="Times New Roman" w:cs="Times New Roman" w:eastAsia="Times New Roman" w:hAnsi="Times New Roman"/>
          <w:sz w:val="13"/>
          <w:szCs w:val="13"/>
          <w:color w:val="auto"/>
        </w:rPr>
        <w:t>) (there are no withdrawals in the example) multiplied by the Performance Rate. For example, in year one the Performance Rate Adjustment is calculated as follows:</w:t>
      </w:r>
    </w:p>
    <w:p>
      <w:pPr>
        <w:spacing w:after="0" w:line="2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$50,000 [Investment Amount at Term Start Date] x 10% [Performance Rate] = $5,000</w:t>
      </w:r>
    </w:p>
    <w:p>
      <w:pPr>
        <w:spacing w:after="0" w:line="200" w:lineRule="exact"/>
        <w:rPr>
          <w:sz w:val="20"/>
          <w:szCs w:val="20"/>
          <w:color w:val="auto"/>
        </w:rPr>
      </w:pPr>
    </w:p>
    <w:p>
      <w:pPr>
        <w:spacing w:after="0" w:line="33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3"/>
          <w:szCs w:val="13"/>
          <w:color w:val="auto"/>
        </w:rPr>
        <w:t>35</w:t>
      </w:r>
    </w:p>
    <w:p>
      <w:pPr>
        <w:sectPr>
          <w:pgSz w:w="11900" w:h="16838" w:orient="portrait"/>
          <w:cols w:equalWidth="0" w:num="1">
            <w:col w:w="9899"/>
          </w:cols>
          <w:pgMar w:left="560" w:top="980" w:right="1440" w:bottom="1440" w:gutter="0" w:footer="0" w:header="0"/>
        </w:sectPr>
      </w:pPr>
    </w:p>
    <w:bookmarkStart w:id="37" w:name="page38"/>
    <w:bookmarkEnd w:id="37"/>
    <w:p>
      <w:pPr>
        <w:ind w:left="640"/>
        <w:spacing w:after="0"/>
        <w:rPr>
          <w:sz w:val="20"/>
          <w:szCs w:val="20"/>
          <w:color w:val="auto"/>
        </w:rPr>
      </w:pPr>
      <w:r>
        <w:rPr>
          <w:rFonts w:ascii="Times New Roman" w:cs="Times New Roman" w:eastAsia="Times New Roman" w:hAnsi="Times New Roman"/>
          <w:sz w:val="9"/>
          <w:szCs w:val="9"/>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93915" cy="38100"/>
                    </a:xfrm>
                    <a:prstGeom prst="rect">
                      <a:avLst/>
                    </a:prstGeom>
                    <a:noFill/>
                  </pic:spPr>
                </pic:pic>
              </a:graphicData>
            </a:graphic>
          </wp:anchor>
        </w:drawing>
        <w:t>(5)</w:t>
      </w:r>
    </w:p>
    <w:p>
      <w:pPr>
        <w:jc w:val="both"/>
        <w:ind w:left="900" w:right="3259"/>
        <w:spacing w:after="0" w:line="238" w:lineRule="auto"/>
        <w:rPr>
          <w:sz w:val="20"/>
          <w:szCs w:val="20"/>
          <w:color w:val="auto"/>
        </w:rPr>
      </w:pPr>
      <w:r>
        <w:rPr>
          <w:rFonts w:ascii="Times New Roman" w:cs="Times New Roman" w:eastAsia="Times New Roman" w:hAnsi="Times New Roman"/>
          <w:sz w:val="13"/>
          <w:szCs w:val="13"/>
          <w:color w:val="auto"/>
        </w:rPr>
        <w:t xml:space="preserve">The Investment Amount at the Term End Date is equal to the Investment Amount at Term Start Date adjusted for any withdrawals (including RMDs, systematic withdrawals, and any applicable </w:t>
      </w:r>
      <w:r>
        <w:rPr>
          <w:rFonts w:ascii="Times New Roman" w:cs="Times New Roman" w:eastAsia="Times New Roman" w:hAnsi="Times New Roman"/>
          <w:sz w:val="13"/>
          <w:szCs w:val="13"/>
          <w:u w:val="single" w:color="auto"/>
          <w:color w:val="auto"/>
        </w:rPr>
        <w:t>Withdrawal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Charge</w:t>
      </w:r>
      <w:r>
        <w:rPr>
          <w:rFonts w:ascii="Times New Roman" w:cs="Times New Roman" w:eastAsia="Times New Roman" w:hAnsi="Times New Roman"/>
          <w:sz w:val="13"/>
          <w:szCs w:val="13"/>
          <w:color w:val="auto"/>
        </w:rPr>
        <w:t>) (there are no withdrawals in the example) plus the Performance Rate Adjustment. For example, in year one the Investment Amount at the Term End Date is calculated as follows:</w:t>
      </w:r>
    </w:p>
    <w:p>
      <w:pPr>
        <w:spacing w:after="0" w:line="2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3"/>
          <w:szCs w:val="13"/>
          <w:color w:val="auto"/>
        </w:rPr>
        <w:t>$50,000 [Investment Amount at Term Start Date] + $5,000 [Performance Rate Adjustment] = $55,000</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Example 1B—Shield Option with Step Rate:</w:t>
      </w:r>
    </w:p>
    <w:p>
      <w:pPr>
        <w:spacing w:after="0" w:line="76" w:lineRule="exact"/>
        <w:rPr>
          <w:sz w:val="20"/>
          <w:szCs w:val="20"/>
          <w:color w:val="auto"/>
        </w:rPr>
      </w:pPr>
    </w:p>
    <w:p>
      <w:pPr>
        <w:jc w:val="both"/>
        <w:ind w:left="640" w:right="3199" w:firstLine="265"/>
        <w:spacing w:after="0" w:line="250" w:lineRule="auto"/>
        <w:rPr>
          <w:sz w:val="20"/>
          <w:szCs w:val="20"/>
          <w:color w:val="auto"/>
        </w:rPr>
      </w:pPr>
      <w:r>
        <w:rPr>
          <w:rFonts w:ascii="Times New Roman" w:cs="Times New Roman" w:eastAsia="Times New Roman" w:hAnsi="Times New Roman"/>
          <w:sz w:val="13"/>
          <w:szCs w:val="13"/>
          <w:color w:val="auto"/>
        </w:rPr>
        <w:t>Owner 1 allocates her $50,000 Purchase Payment into a 1-Year Term / Shield 10 / S&amp;P 500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Index with a Step Rate of 8% and lets it renew year after year for five years. The following example illustrates how her initial $50,000 Purchase Payment could perform over a five-year period given fluctuating Index Values. For renewals into the same Shield Option a new Step Rate would be declared and go into effect on the Contract Anniversary that coincides with the beginning of the new Shield Option.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-43815</wp:posOffset>
            </wp:positionV>
            <wp:extent cx="3036570" cy="17703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036570" cy="177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650" w:type="dxa"/>
        <w:tblCellMar>
          <w:top w:w="0" w:type="dxa"/>
          <w:left w:w="0" w:type="dxa"/>
          <w:bottom w:w="0" w:type="dxa"/>
          <w:right w:w="0" w:type="dxa"/>
        </w:tblCellMar>
      </w:tblPr>
      <w:tr>
        <w:trPr>
          <w:trHeight w:val="175"/>
        </w:trPr>
        <w:tc>
          <w:tcPr>
            <w:tcW w:w="2220" w:type="dxa"/>
            <w:vAlign w:val="bottom"/>
            <w:tcBorders>
              <w:top w:val="single" w:sz="8" w:color="auto"/>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Contract Year</w:t>
            </w:r>
          </w:p>
        </w:tc>
        <w:tc>
          <w:tcPr>
            <w:tcW w:w="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1</w:t>
            </w:r>
          </w:p>
        </w:tc>
        <w:tc>
          <w:tcPr>
            <w:tcW w:w="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2</w:t>
            </w:r>
          </w:p>
        </w:tc>
        <w:tc>
          <w:tcPr>
            <w:tcW w:w="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71"/>
              </w:rPr>
              <w:t>3</w:t>
            </w:r>
          </w:p>
        </w:tc>
        <w:tc>
          <w:tcPr>
            <w:tcW w:w="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71"/>
              </w:rPr>
              <w:t>4</w:t>
            </w:r>
          </w:p>
        </w:tc>
        <w:tc>
          <w:tcPr>
            <w:tcW w:w="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71"/>
              </w:rPr>
              <w:t>5</w:t>
            </w:r>
          </w:p>
        </w:tc>
      </w:tr>
      <w:tr>
        <w:trPr>
          <w:trHeight w:val="187"/>
        </w:trPr>
        <w:tc>
          <w:tcPr>
            <w:tcW w:w="2220" w:type="dxa"/>
            <w:vAlign w:val="bottom"/>
            <w:tcBorders>
              <w:left w:val="single" w:sz="8" w:color="auto"/>
              <w:bottom w:val="single" w:sz="8" w:color="auto"/>
              <w:right w:val="single" w:sz="8" w:color="F0FFFF"/>
            </w:tcBorders>
            <w:gridSpan w:val="2"/>
            <w:shd w:val="clear" w:color="auto" w:fill="F0FFFF"/>
          </w:tcPr>
          <w:p>
            <w:pPr>
              <w:ind w:left="80"/>
              <w:spacing w:after="0"/>
              <w:rPr>
                <w:sz w:val="20"/>
                <w:szCs w:val="20"/>
                <w:color w:val="auto"/>
              </w:rPr>
            </w:pPr>
            <w:r>
              <w:rPr>
                <w:rFonts w:ascii="Times New Roman" w:cs="Times New Roman" w:eastAsia="Times New Roman" w:hAnsi="Times New Roman"/>
                <w:sz w:val="13"/>
                <w:szCs w:val="13"/>
                <w:b w:val="1"/>
                <w:bCs w:val="1"/>
                <w:color w:val="auto"/>
              </w:rPr>
              <w:t>Term Start Date</w:t>
            </w:r>
          </w:p>
        </w:tc>
        <w:tc>
          <w:tcPr>
            <w:tcW w:w="660" w:type="dxa"/>
            <w:vAlign w:val="bottom"/>
            <w:tcBorders>
              <w:bottom w:val="single" w:sz="8" w:color="auto"/>
              <w:right w:val="single" w:sz="8" w:color="F0FFFF"/>
            </w:tcBorders>
            <w:shd w:val="clear" w:color="auto" w:fill="F0FFFF"/>
          </w:tcPr>
          <w:p>
            <w:pPr>
              <w:spacing w:after="0"/>
              <w:rPr>
                <w:sz w:val="16"/>
                <w:szCs w:val="16"/>
                <w:color w:val="auto"/>
              </w:rPr>
            </w:pPr>
          </w:p>
        </w:tc>
        <w:tc>
          <w:tcPr>
            <w:tcW w:w="680" w:type="dxa"/>
            <w:vAlign w:val="bottom"/>
            <w:tcBorders>
              <w:bottom w:val="single" w:sz="8" w:color="auto"/>
              <w:right w:val="single" w:sz="8" w:color="F0FFFF"/>
            </w:tcBorders>
            <w:shd w:val="clear" w:color="auto" w:fill="F0FFFF"/>
          </w:tcPr>
          <w:p>
            <w:pPr>
              <w:spacing w:after="0"/>
              <w:rPr>
                <w:sz w:val="16"/>
                <w:szCs w:val="16"/>
                <w:color w:val="auto"/>
              </w:rPr>
            </w:pPr>
          </w:p>
        </w:tc>
        <w:tc>
          <w:tcPr>
            <w:tcW w:w="680" w:type="dxa"/>
            <w:vAlign w:val="bottom"/>
            <w:tcBorders>
              <w:bottom w:val="single" w:sz="8" w:color="auto"/>
              <w:right w:val="single" w:sz="8" w:color="F0FFFF"/>
            </w:tcBorders>
            <w:shd w:val="clear" w:color="auto" w:fill="F0FFFF"/>
          </w:tcPr>
          <w:p>
            <w:pPr>
              <w:spacing w:after="0"/>
              <w:rPr>
                <w:sz w:val="16"/>
                <w:szCs w:val="16"/>
                <w:color w:val="auto"/>
              </w:rPr>
            </w:pPr>
          </w:p>
        </w:tc>
        <w:tc>
          <w:tcPr>
            <w:tcW w:w="680" w:type="dxa"/>
            <w:vAlign w:val="bottom"/>
            <w:tcBorders>
              <w:bottom w:val="single" w:sz="8" w:color="auto"/>
              <w:right w:val="single" w:sz="8" w:color="F0FFFF"/>
            </w:tcBorders>
            <w:shd w:val="clear" w:color="auto" w:fill="F0FFFF"/>
          </w:tcPr>
          <w:p>
            <w:pPr>
              <w:spacing w:after="0"/>
              <w:rPr>
                <w:sz w:val="16"/>
                <w:szCs w:val="16"/>
                <w:color w:val="auto"/>
              </w:rPr>
            </w:pPr>
          </w:p>
        </w:tc>
        <w:tc>
          <w:tcPr>
            <w:tcW w:w="660" w:type="dxa"/>
            <w:vAlign w:val="bottom"/>
            <w:tcBorders>
              <w:bottom w:val="single" w:sz="8" w:color="auto"/>
              <w:right w:val="single" w:sz="8" w:color="auto"/>
            </w:tcBorders>
            <w:shd w:val="clear" w:color="auto" w:fill="F0FFFF"/>
          </w:tcPr>
          <w:p>
            <w:pPr>
              <w:spacing w:after="0"/>
              <w:rPr>
                <w:sz w:val="16"/>
                <w:szCs w:val="16"/>
                <w:color w:val="auto"/>
              </w:rPr>
            </w:pPr>
          </w:p>
        </w:tc>
      </w:tr>
      <w:tr>
        <w:trPr>
          <w:trHeight w:val="208"/>
        </w:trPr>
        <w:tc>
          <w:tcPr>
            <w:tcW w:w="2220" w:type="dxa"/>
            <w:vAlign w:val="bottom"/>
            <w:tcBorders>
              <w:left w:val="single" w:sz="8" w:color="auto"/>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3"/>
                <w:szCs w:val="13"/>
                <w:color w:val="auto"/>
              </w:rPr>
              <w:t>Investment Amount</w:t>
            </w:r>
            <w:r>
              <w:rPr>
                <w:rFonts w:ascii="Times New Roman" w:cs="Times New Roman" w:eastAsia="Times New Roman" w:hAnsi="Times New Roman"/>
                <w:sz w:val="17"/>
                <w:szCs w:val="17"/>
                <w:color w:val="auto"/>
                <w:vertAlign w:val="superscript"/>
              </w:rPr>
              <w:t>(1)</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$50,000</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$54,000</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$58,320</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$62,986</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$62,986</w:t>
            </w:r>
          </w:p>
        </w:tc>
      </w:tr>
      <w:tr>
        <w:trPr>
          <w:trHeight w:val="179"/>
        </w:trPr>
        <w:tc>
          <w:tcPr>
            <w:tcW w:w="2220" w:type="dxa"/>
            <w:vAlign w:val="bottom"/>
            <w:tcBorders>
              <w:left w:val="single" w:sz="8" w:color="auto"/>
              <w:bottom w:val="single" w:sz="8" w:color="auto"/>
              <w:right w:val="single" w:sz="8" w:color="auto"/>
            </w:tcBorders>
            <w:gridSpan w:val="2"/>
            <w:shd w:val="clear" w:color="auto" w:fill="F0FFFF"/>
          </w:tcPr>
          <w:p>
            <w:pPr>
              <w:ind w:left="200"/>
              <w:spacing w:after="0"/>
              <w:rPr>
                <w:sz w:val="20"/>
                <w:szCs w:val="20"/>
                <w:color w:val="auto"/>
              </w:rPr>
            </w:pPr>
            <w:r>
              <w:rPr>
                <w:rFonts w:ascii="Times New Roman" w:cs="Times New Roman" w:eastAsia="Times New Roman" w:hAnsi="Times New Roman"/>
                <w:sz w:val="13"/>
                <w:szCs w:val="13"/>
                <w:color w:val="auto"/>
              </w:rPr>
              <w:t>Index Value</w:t>
            </w:r>
          </w:p>
        </w:tc>
        <w:tc>
          <w:tcPr>
            <w:tcW w:w="66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1,000</w:t>
            </w:r>
          </w:p>
        </w:tc>
        <w:tc>
          <w:tcPr>
            <w:tcW w:w="6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1,050</w:t>
            </w:r>
          </w:p>
        </w:tc>
        <w:tc>
          <w:tcPr>
            <w:tcW w:w="6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1,260</w:t>
            </w:r>
          </w:p>
        </w:tc>
        <w:tc>
          <w:tcPr>
            <w:tcW w:w="6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1,260</w:t>
            </w:r>
          </w:p>
        </w:tc>
        <w:tc>
          <w:tcPr>
            <w:tcW w:w="66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1,134</w:t>
            </w:r>
          </w:p>
        </w:tc>
      </w:tr>
      <w:tr>
        <w:trPr>
          <w:trHeight w:val="188"/>
        </w:trPr>
        <w:tc>
          <w:tcPr>
            <w:tcW w:w="222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Term End Date</w:t>
            </w:r>
          </w:p>
        </w:tc>
        <w:tc>
          <w:tcPr>
            <w:tcW w:w="6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spacing w:after="0"/>
              <w:rPr>
                <w:sz w:val="16"/>
                <w:szCs w:val="16"/>
                <w:color w:val="auto"/>
              </w:rPr>
            </w:pPr>
          </w:p>
        </w:tc>
      </w:tr>
      <w:tr>
        <w:trPr>
          <w:trHeight w:val="188"/>
        </w:trPr>
        <w:tc>
          <w:tcPr>
            <w:tcW w:w="2220" w:type="dxa"/>
            <w:vAlign w:val="bottom"/>
            <w:tcBorders>
              <w:left w:val="single" w:sz="8" w:color="auto"/>
              <w:bottom w:val="single" w:sz="8" w:color="auto"/>
              <w:right w:val="single" w:sz="8" w:color="auto"/>
            </w:tcBorders>
            <w:gridSpan w:val="2"/>
            <w:shd w:val="clear" w:color="auto" w:fill="F0FFFF"/>
          </w:tcPr>
          <w:p>
            <w:pPr>
              <w:ind w:left="200"/>
              <w:spacing w:after="0"/>
              <w:rPr>
                <w:sz w:val="20"/>
                <w:szCs w:val="20"/>
                <w:color w:val="auto"/>
              </w:rPr>
            </w:pPr>
            <w:r>
              <w:rPr>
                <w:rFonts w:ascii="Times New Roman" w:cs="Times New Roman" w:eastAsia="Times New Roman" w:hAnsi="Times New Roman"/>
                <w:sz w:val="13"/>
                <w:szCs w:val="13"/>
                <w:color w:val="auto"/>
              </w:rPr>
              <w:t>Index Value</w:t>
            </w:r>
          </w:p>
        </w:tc>
        <w:tc>
          <w:tcPr>
            <w:tcW w:w="66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1,050</w:t>
            </w:r>
          </w:p>
        </w:tc>
        <w:tc>
          <w:tcPr>
            <w:tcW w:w="6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1,260</w:t>
            </w:r>
          </w:p>
        </w:tc>
        <w:tc>
          <w:tcPr>
            <w:tcW w:w="6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1,260</w:t>
            </w:r>
          </w:p>
        </w:tc>
        <w:tc>
          <w:tcPr>
            <w:tcW w:w="6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1,134</w:t>
            </w:r>
          </w:p>
        </w:tc>
        <w:tc>
          <w:tcPr>
            <w:tcW w:w="66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964</w:t>
            </w:r>
          </w:p>
        </w:tc>
      </w:tr>
      <w:tr>
        <w:trPr>
          <w:trHeight w:val="208"/>
        </w:trPr>
        <w:tc>
          <w:tcPr>
            <w:tcW w:w="2220" w:type="dxa"/>
            <w:vAlign w:val="bottom"/>
            <w:tcBorders>
              <w:left w:val="single" w:sz="8" w:color="auto"/>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3"/>
                <w:szCs w:val="13"/>
                <w:color w:val="auto"/>
              </w:rPr>
              <w:t>Index Performance</w:t>
            </w:r>
            <w:r>
              <w:rPr>
                <w:rFonts w:ascii="Times New Roman" w:cs="Times New Roman" w:eastAsia="Times New Roman" w:hAnsi="Times New Roman"/>
                <w:sz w:val="17"/>
                <w:szCs w:val="17"/>
                <w:color w:val="auto"/>
                <w:vertAlign w:val="superscript"/>
              </w:rPr>
              <w:t>(2)</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5%</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20%</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0%</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-10%</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-15%</w:t>
            </w:r>
          </w:p>
        </w:tc>
      </w:tr>
      <w:tr>
        <w:trPr>
          <w:trHeight w:val="179"/>
        </w:trPr>
        <w:tc>
          <w:tcPr>
            <w:tcW w:w="2220" w:type="dxa"/>
            <w:vAlign w:val="bottom"/>
            <w:tcBorders>
              <w:left w:val="single" w:sz="8" w:color="auto"/>
              <w:bottom w:val="single" w:sz="8" w:color="auto"/>
              <w:right w:val="single" w:sz="8" w:color="auto"/>
            </w:tcBorders>
            <w:gridSpan w:val="2"/>
            <w:shd w:val="clear" w:color="auto" w:fill="F0FFFF"/>
          </w:tcPr>
          <w:p>
            <w:pPr>
              <w:ind w:left="200"/>
              <w:spacing w:after="0"/>
              <w:rPr>
                <w:sz w:val="20"/>
                <w:szCs w:val="20"/>
                <w:color w:val="auto"/>
              </w:rPr>
            </w:pPr>
            <w:r>
              <w:rPr>
                <w:rFonts w:ascii="Times New Roman" w:cs="Times New Roman" w:eastAsia="Times New Roman" w:hAnsi="Times New Roman"/>
                <w:sz w:val="13"/>
                <w:szCs w:val="13"/>
                <w:color w:val="auto"/>
              </w:rPr>
              <w:t>Step Rate</w:t>
            </w:r>
          </w:p>
        </w:tc>
        <w:tc>
          <w:tcPr>
            <w:tcW w:w="66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8%</w:t>
            </w:r>
          </w:p>
        </w:tc>
        <w:tc>
          <w:tcPr>
            <w:tcW w:w="6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8%</w:t>
            </w:r>
          </w:p>
        </w:tc>
        <w:tc>
          <w:tcPr>
            <w:tcW w:w="6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8%</w:t>
            </w:r>
          </w:p>
        </w:tc>
        <w:tc>
          <w:tcPr>
            <w:tcW w:w="6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8%</w:t>
            </w:r>
          </w:p>
        </w:tc>
        <w:tc>
          <w:tcPr>
            <w:tcW w:w="66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8%</w:t>
            </w:r>
          </w:p>
        </w:tc>
      </w:tr>
      <w:tr>
        <w:trPr>
          <w:trHeight w:val="188"/>
        </w:trPr>
        <w:tc>
          <w:tcPr>
            <w:tcW w:w="2220" w:type="dxa"/>
            <w:vAlign w:val="bottom"/>
            <w:tcBorders>
              <w:left w:val="single" w:sz="8" w:color="auto"/>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3"/>
                <w:szCs w:val="13"/>
                <w:color w:val="auto"/>
              </w:rPr>
              <w:t>Shield Rate</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10%</w:t>
            </w:r>
          </w:p>
        </w:tc>
      </w:tr>
      <w:tr>
        <w:trPr>
          <w:trHeight w:val="208"/>
        </w:trPr>
        <w:tc>
          <w:tcPr>
            <w:tcW w:w="2220" w:type="dxa"/>
            <w:vAlign w:val="bottom"/>
            <w:tcBorders>
              <w:left w:val="single" w:sz="8" w:color="auto"/>
              <w:bottom w:val="single" w:sz="8" w:color="auto"/>
              <w:right w:val="single" w:sz="8" w:color="auto"/>
            </w:tcBorders>
            <w:gridSpan w:val="2"/>
            <w:shd w:val="clear" w:color="auto" w:fill="F0FFFF"/>
          </w:tcPr>
          <w:p>
            <w:pPr>
              <w:ind w:left="200"/>
              <w:spacing w:after="0"/>
              <w:rPr>
                <w:sz w:val="20"/>
                <w:szCs w:val="20"/>
                <w:color w:val="auto"/>
              </w:rPr>
            </w:pPr>
            <w:r>
              <w:rPr>
                <w:rFonts w:ascii="Times New Roman" w:cs="Times New Roman" w:eastAsia="Times New Roman" w:hAnsi="Times New Roman"/>
                <w:sz w:val="13"/>
                <w:szCs w:val="13"/>
                <w:color w:val="auto"/>
              </w:rPr>
              <w:t>Performance Rate (one year)</w:t>
            </w:r>
            <w:r>
              <w:rPr>
                <w:rFonts w:ascii="Times New Roman" w:cs="Times New Roman" w:eastAsia="Times New Roman" w:hAnsi="Times New Roman"/>
                <w:sz w:val="17"/>
                <w:szCs w:val="17"/>
                <w:color w:val="auto"/>
                <w:vertAlign w:val="superscript"/>
              </w:rPr>
              <w:t>(3)</w:t>
            </w:r>
          </w:p>
        </w:tc>
        <w:tc>
          <w:tcPr>
            <w:tcW w:w="66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8%</w:t>
            </w:r>
          </w:p>
        </w:tc>
        <w:tc>
          <w:tcPr>
            <w:tcW w:w="6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8%</w:t>
            </w:r>
          </w:p>
        </w:tc>
        <w:tc>
          <w:tcPr>
            <w:tcW w:w="6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8%</w:t>
            </w:r>
          </w:p>
        </w:tc>
        <w:tc>
          <w:tcPr>
            <w:tcW w:w="6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0%</w:t>
            </w:r>
          </w:p>
        </w:tc>
        <w:tc>
          <w:tcPr>
            <w:tcW w:w="66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-5%</w:t>
            </w:r>
          </w:p>
        </w:tc>
      </w:tr>
      <w:tr>
        <w:trPr>
          <w:trHeight w:val="198"/>
        </w:trPr>
        <w:tc>
          <w:tcPr>
            <w:tcW w:w="2220" w:type="dxa"/>
            <w:vAlign w:val="bottom"/>
            <w:tcBorders>
              <w:left w:val="single" w:sz="8" w:color="auto"/>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3"/>
                <w:szCs w:val="13"/>
                <w:color w:val="auto"/>
              </w:rPr>
              <w:t>Performance Rate Adjustment</w:t>
            </w:r>
            <w:r>
              <w:rPr>
                <w:rFonts w:ascii="Times New Roman" w:cs="Times New Roman" w:eastAsia="Times New Roman" w:hAnsi="Times New Roman"/>
                <w:sz w:val="17"/>
                <w:szCs w:val="17"/>
                <w:color w:val="auto"/>
                <w:vertAlign w:val="superscript"/>
              </w:rPr>
              <w:t>(4)</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$4,000</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$4,320</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$4,666</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$0</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-$3,149</w:t>
            </w:r>
          </w:p>
        </w:tc>
      </w:tr>
      <w:tr>
        <w:trPr>
          <w:trHeight w:val="196"/>
        </w:trPr>
        <w:tc>
          <w:tcPr>
            <w:tcW w:w="2220" w:type="dxa"/>
            <w:vAlign w:val="bottom"/>
            <w:tcBorders>
              <w:left w:val="single" w:sz="8" w:color="auto"/>
              <w:bottom w:val="single" w:sz="8" w:color="auto"/>
              <w:right w:val="single" w:sz="8" w:color="auto"/>
            </w:tcBorders>
            <w:gridSpan w:val="2"/>
            <w:shd w:val="clear" w:color="auto" w:fill="F0FFFF"/>
          </w:tcPr>
          <w:p>
            <w:pPr>
              <w:ind w:left="200"/>
              <w:spacing w:after="0"/>
              <w:rPr>
                <w:sz w:val="20"/>
                <w:szCs w:val="20"/>
                <w:color w:val="auto"/>
              </w:rPr>
            </w:pPr>
            <w:r>
              <w:rPr>
                <w:rFonts w:ascii="Times New Roman" w:cs="Times New Roman" w:eastAsia="Times New Roman" w:hAnsi="Times New Roman"/>
                <w:sz w:val="13"/>
                <w:szCs w:val="13"/>
                <w:b w:val="1"/>
                <w:bCs w:val="1"/>
                <w:color w:val="auto"/>
              </w:rPr>
              <w:t>Investment Amount</w:t>
            </w:r>
            <w:r>
              <w:rPr>
                <w:rFonts w:ascii="Times New Roman" w:cs="Times New Roman" w:eastAsia="Times New Roman" w:hAnsi="Times New Roman"/>
                <w:sz w:val="17"/>
                <w:szCs w:val="17"/>
                <w:b w:val="1"/>
                <w:bCs w:val="1"/>
                <w:color w:val="auto"/>
                <w:vertAlign w:val="superscript"/>
              </w:rPr>
              <w:t>(5)</w:t>
            </w:r>
          </w:p>
        </w:tc>
        <w:tc>
          <w:tcPr>
            <w:tcW w:w="66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$54,000</w:t>
            </w:r>
          </w:p>
        </w:tc>
        <w:tc>
          <w:tcPr>
            <w:tcW w:w="6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$58,320</w:t>
            </w:r>
          </w:p>
        </w:tc>
        <w:tc>
          <w:tcPr>
            <w:tcW w:w="6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b w:val="1"/>
                <w:bCs w:val="1"/>
                <w:color w:val="auto"/>
              </w:rPr>
              <w:t>$62,986</w:t>
            </w:r>
          </w:p>
        </w:tc>
        <w:tc>
          <w:tcPr>
            <w:tcW w:w="6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b w:val="1"/>
                <w:bCs w:val="1"/>
                <w:color w:val="auto"/>
              </w:rPr>
              <w:t>$62,986</w:t>
            </w:r>
          </w:p>
        </w:tc>
        <w:tc>
          <w:tcPr>
            <w:tcW w:w="66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b w:val="1"/>
                <w:bCs w:val="1"/>
                <w:color w:val="auto"/>
              </w:rPr>
              <w:t>$59,837</w:t>
            </w:r>
          </w:p>
        </w:tc>
      </w:tr>
      <w:tr>
        <w:trPr>
          <w:trHeight w:val="131"/>
        </w:trPr>
        <w:tc>
          <w:tcPr>
            <w:tcW w:w="820" w:type="dxa"/>
            <w:vAlign w:val="bottom"/>
            <w:tcBorders>
              <w:bottom w:val="single" w:sz="8" w:color="auto"/>
            </w:tcBorders>
          </w:tcPr>
          <w:p>
            <w:pPr>
              <w:spacing w:after="0"/>
              <w:rPr>
                <w:sz w:val="11"/>
                <w:szCs w:val="11"/>
                <w:color w:val="auto"/>
              </w:rPr>
            </w:pPr>
          </w:p>
        </w:tc>
        <w:tc>
          <w:tcPr>
            <w:tcW w:w="1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-1699895</wp:posOffset>
            </wp:positionV>
            <wp:extent cx="3527425" cy="1136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527425" cy="11366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-1454785</wp:posOffset>
            </wp:positionV>
            <wp:extent cx="3527425" cy="1384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527425" cy="13843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-1183640</wp:posOffset>
            </wp:positionV>
            <wp:extent cx="3527425" cy="1320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527425" cy="13208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-918845</wp:posOffset>
            </wp:positionV>
            <wp:extent cx="3527425" cy="1384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527425" cy="13843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-648335</wp:posOffset>
            </wp:positionV>
            <wp:extent cx="3527425" cy="1320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527425" cy="13208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-377190</wp:posOffset>
            </wp:positionV>
            <wp:extent cx="3527425" cy="1384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527425" cy="138430"/>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-31115</wp:posOffset>
            </wp:positionV>
            <wp:extent cx="31750" cy="44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1750" cy="44450"/>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-31115</wp:posOffset>
            </wp:positionV>
            <wp:extent cx="31750" cy="44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1750" cy="44450"/>
                    </a:xfrm>
                    <a:prstGeom prst="rect">
                      <a:avLst/>
                    </a:prstGeom>
                    <a:noFill/>
                  </pic:spPr>
                </pic:pic>
              </a:graphicData>
            </a:graphic>
          </wp:anchor>
        </w:drawing>
      </w:r>
    </w:p>
    <w:p>
      <w:pPr>
        <w:spacing w:after="0" w:line="45" w:lineRule="exact"/>
        <w:rPr>
          <w:sz w:val="20"/>
          <w:szCs w:val="20"/>
          <w:color w:val="auto"/>
        </w:rPr>
      </w:pPr>
    </w:p>
    <w:p>
      <w:pPr>
        <w:ind w:left="640" w:right="3559"/>
        <w:spacing w:after="0" w:line="266" w:lineRule="auto"/>
        <w:rPr>
          <w:sz w:val="20"/>
          <w:szCs w:val="20"/>
          <w:color w:val="auto"/>
        </w:rPr>
      </w:pPr>
      <w:r>
        <w:rPr>
          <w:rFonts w:ascii="Times New Roman" w:cs="Times New Roman" w:eastAsia="Times New Roman" w:hAnsi="Times New Roman"/>
          <w:sz w:val="13"/>
          <w:szCs w:val="13"/>
          <w:b w:val="1"/>
          <w:bCs w:val="1"/>
          <w:color w:val="auto"/>
        </w:rPr>
        <w:t>The following notes to the table above provide important calculations showing how certain values are determined.</w:t>
      </w:r>
    </w:p>
    <w:p>
      <w:pPr>
        <w:spacing w:after="0" w:line="28" w:lineRule="exact"/>
        <w:rPr>
          <w:sz w:val="20"/>
          <w:szCs w:val="20"/>
          <w:color w:val="auto"/>
        </w:rPr>
      </w:pPr>
    </w:p>
    <w:p>
      <w:pPr>
        <w:jc w:val="both"/>
        <w:ind w:left="900" w:right="3259" w:hanging="261"/>
        <w:spacing w:after="0" w:line="216" w:lineRule="auto"/>
        <w:tabs>
          <w:tab w:leader="none" w:pos="900" w:val="left"/>
        </w:tabs>
        <w:numPr>
          <w:ilvl w:val="0"/>
          <w:numId w:val="1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Investment Amount at Term Start Date in year one is the $50,000 Purchase Payment. In years two through five, the Investment Amount at the Term Start Date would be $54,000, $58,320, $62,986 and</w:t>
      </w:r>
    </w:p>
    <w:p>
      <w:pPr>
        <w:spacing w:after="0" w:line="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$62,986, respectively, which was the Investment Amount at the Term End Date for the prior year.</w:t>
      </w:r>
    </w:p>
    <w:p>
      <w:pPr>
        <w:ind w:left="640"/>
        <w:spacing w:after="0" w:line="204" w:lineRule="auto"/>
        <w:rPr>
          <w:sz w:val="20"/>
          <w:szCs w:val="20"/>
          <w:color w:val="auto"/>
        </w:rPr>
      </w:pPr>
      <w:r>
        <w:rPr>
          <w:rFonts w:ascii="Times New Roman" w:cs="Times New Roman" w:eastAsia="Times New Roman" w:hAnsi="Times New Roman"/>
          <w:sz w:val="5"/>
          <w:szCs w:val="5"/>
          <w:color w:val="auto"/>
        </w:rPr>
        <w:t>(2)</w:t>
      </w:r>
    </w:p>
    <w:p>
      <w:pPr>
        <w:ind w:left="900" w:right="3259"/>
        <w:spacing w:after="0" w:line="238" w:lineRule="auto"/>
        <w:rPr>
          <w:sz w:val="20"/>
          <w:szCs w:val="20"/>
          <w:color w:val="auto"/>
        </w:rPr>
      </w:pPr>
      <w:r>
        <w:rPr>
          <w:rFonts w:ascii="Times New Roman" w:cs="Times New Roman" w:eastAsia="Times New Roman" w:hAnsi="Times New Roman"/>
          <w:sz w:val="13"/>
          <w:szCs w:val="13"/>
          <w:color w:val="auto"/>
        </w:rPr>
        <w:t>Index Performance is equal to the percentage change in the Index Value measured from the Term Start Date to the Term End Date. For example, in year one, Index Performance is calculated as follows:</w:t>
      </w:r>
    </w:p>
    <w:p>
      <w:pPr>
        <w:spacing w:after="0" w:line="3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3"/>
          <w:szCs w:val="13"/>
          <w:color w:val="auto"/>
        </w:rPr>
        <w:t>(1,050 [Index Value at Term End Date] – 1,000 [Index Value at Term Start Date])</w:t>
      </w:r>
    </w:p>
    <w:p>
      <w:pPr>
        <w:spacing w:after="0" w:line="13" w:lineRule="exact"/>
        <w:rPr>
          <w:sz w:val="20"/>
          <w:szCs w:val="20"/>
          <w:color w:val="auto"/>
        </w:rPr>
      </w:pPr>
    </w:p>
    <w:p>
      <w:pPr>
        <w:ind w:left="2520" w:hanging="108"/>
        <w:spacing w:after="0"/>
        <w:tabs>
          <w:tab w:leader="none" w:pos="25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1,000 [Index Value at Term Start Date]) = 5%</w:t>
      </w:r>
    </w:p>
    <w:p>
      <w:pPr>
        <w:spacing w:after="0" w:line="213" w:lineRule="exact"/>
        <w:rPr>
          <w:rFonts w:ascii="Times New Roman" w:cs="Times New Roman" w:eastAsia="Times New Roman" w:hAnsi="Times New Roman"/>
          <w:sz w:val="13"/>
          <w:szCs w:val="13"/>
          <w:color w:val="auto"/>
        </w:rPr>
      </w:pPr>
    </w:p>
    <w:p>
      <w:pPr>
        <w:ind w:left="36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36</w:t>
      </w:r>
    </w:p>
    <w:p>
      <w:pPr>
        <w:sectPr>
          <w:pgSz w:w="11900" w:h="16838" w:orient="portrait"/>
          <w:cols w:equalWidth="0" w:num="1">
            <w:col w:w="9899"/>
          </w:cols>
          <w:pgMar w:left="560" w:top="950" w:right="1440" w:bottom="1440" w:gutter="0" w:footer="0" w:header="0"/>
        </w:sectPr>
      </w:pPr>
    </w:p>
    <w:bookmarkStart w:id="38" w:name="page39"/>
    <w:bookmarkEnd w:id="38"/>
    <w:p>
      <w:pPr>
        <w:ind w:left="640"/>
        <w:spacing w:after="0"/>
        <w:rPr>
          <w:sz w:val="20"/>
          <w:szCs w:val="20"/>
          <w:color w:val="auto"/>
        </w:rPr>
      </w:pPr>
      <w:r>
        <w:rPr>
          <w:rFonts w:ascii="Times New Roman" w:cs="Times New Roman" w:eastAsia="Times New Roman" w:hAnsi="Times New Roman"/>
          <w:sz w:val="9"/>
          <w:szCs w:val="9"/>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93915" cy="38100"/>
                    </a:xfrm>
                    <a:prstGeom prst="rect">
                      <a:avLst/>
                    </a:prstGeom>
                    <a:noFill/>
                  </pic:spPr>
                </pic:pic>
              </a:graphicData>
            </a:graphic>
          </wp:anchor>
        </w:drawing>
        <w:t>(3)</w:t>
      </w:r>
    </w:p>
    <w:p>
      <w:pPr>
        <w:jc w:val="both"/>
        <w:ind w:left="900" w:right="3259"/>
        <w:spacing w:after="0" w:line="236" w:lineRule="auto"/>
        <w:rPr>
          <w:sz w:val="20"/>
          <w:szCs w:val="20"/>
          <w:color w:val="auto"/>
        </w:rPr>
      </w:pPr>
      <w:r>
        <w:rPr>
          <w:rFonts w:ascii="Times New Roman" w:cs="Times New Roman" w:eastAsia="Times New Roman" w:hAnsi="Times New Roman"/>
          <w:sz w:val="13"/>
          <w:szCs w:val="13"/>
          <w:color w:val="auto"/>
        </w:rPr>
        <w:t>In years one, two and three the Performance Rate is equal to the Step Rate because the Index Performance is positive or zero. It should be noted that although Index Performance was 20% in year two, the Performance Rate is capped at 8% by the Step Rate. In year four the Performance Rate is 0% because the Index Performance is –10% and the Shield 10 absorbs up to 10% of the negative Index Performance. In year five, the Performance Rate is –5% because the Index Performance is –15% and the Shield 10 absorbs up to 10% of the negative Index Performance.</w:t>
      </w:r>
    </w:p>
    <w:p>
      <w:pPr>
        <w:spacing w:after="0" w:line="27" w:lineRule="exact"/>
        <w:rPr>
          <w:sz w:val="20"/>
          <w:szCs w:val="20"/>
          <w:color w:val="auto"/>
        </w:rPr>
      </w:pPr>
    </w:p>
    <w:p>
      <w:pPr>
        <w:jc w:val="both"/>
        <w:ind w:left="900" w:right="3259" w:hanging="261"/>
        <w:spacing w:after="0" w:line="226" w:lineRule="auto"/>
        <w:tabs>
          <w:tab w:leader="none" w:pos="900" w:val="left"/>
        </w:tabs>
        <w:numPr>
          <w:ilvl w:val="0"/>
          <w:numId w:val="1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 xml:space="preserve">The Performance Rate Adjustment is equal to the product of the Investment Amount at the Term Start Date adjusted for any withdrawals (including RMDs, systematic withdrawals, and any applicable </w:t>
      </w:r>
      <w:r>
        <w:rPr>
          <w:rFonts w:ascii="Times New Roman" w:cs="Times New Roman" w:eastAsia="Times New Roman" w:hAnsi="Times New Roman"/>
          <w:sz w:val="13"/>
          <w:szCs w:val="13"/>
          <w:u w:val="single" w:color="auto"/>
          <w:color w:val="auto"/>
        </w:rPr>
        <w:t>Withdrawal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Charge</w:t>
      </w:r>
      <w:r>
        <w:rPr>
          <w:rFonts w:ascii="Times New Roman" w:cs="Times New Roman" w:eastAsia="Times New Roman" w:hAnsi="Times New Roman"/>
          <w:sz w:val="13"/>
          <w:szCs w:val="13"/>
          <w:color w:val="auto"/>
        </w:rPr>
        <w:t>) (there are no withdrawals in the example) multiplied by the Performance Rate. For example, in year one the Performance Rate Adjustment is calculated as follows:</w:t>
      </w:r>
    </w:p>
    <w:p>
      <w:pPr>
        <w:spacing w:after="0" w:line="2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3"/>
          <w:szCs w:val="13"/>
          <w:color w:val="auto"/>
        </w:rPr>
        <w:t>$50,000 [Investment Amount at Term Start Date] x 8% [Performance Rate] = $4,000</w:t>
      </w:r>
    </w:p>
    <w:p>
      <w:pPr>
        <w:spacing w:after="0" w:line="49" w:lineRule="exact"/>
        <w:rPr>
          <w:sz w:val="20"/>
          <w:szCs w:val="20"/>
          <w:color w:val="auto"/>
        </w:rPr>
      </w:pPr>
    </w:p>
    <w:p>
      <w:pPr>
        <w:jc w:val="both"/>
        <w:ind w:left="900" w:right="3259" w:hanging="261"/>
        <w:spacing w:after="0" w:line="226" w:lineRule="auto"/>
        <w:tabs>
          <w:tab w:leader="none" w:pos="900" w:val="left"/>
        </w:tabs>
        <w:numPr>
          <w:ilvl w:val="0"/>
          <w:numId w:val="2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 xml:space="preserve">The Investment Amount at the Term End Date is equal to the Investment Amount at Term Start Date adjusted for any withdrawals (including RMDs, systematic withdrawals, and any applicable </w:t>
      </w:r>
      <w:r>
        <w:rPr>
          <w:rFonts w:ascii="Times New Roman" w:cs="Times New Roman" w:eastAsia="Times New Roman" w:hAnsi="Times New Roman"/>
          <w:sz w:val="13"/>
          <w:szCs w:val="13"/>
          <w:u w:val="single" w:color="auto"/>
          <w:color w:val="auto"/>
        </w:rPr>
        <w:t>Withdrawal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Charge</w:t>
      </w:r>
      <w:r>
        <w:rPr>
          <w:rFonts w:ascii="Times New Roman" w:cs="Times New Roman" w:eastAsia="Times New Roman" w:hAnsi="Times New Roman"/>
          <w:sz w:val="13"/>
          <w:szCs w:val="13"/>
          <w:color w:val="auto"/>
        </w:rPr>
        <w:t>) (there are no withdrawals in the example) plus the Performance Rate Adjustment. For example, in year one the Investment Amount at the Term End Date is calculated as follows:</w:t>
      </w:r>
    </w:p>
    <w:p>
      <w:pPr>
        <w:spacing w:after="0" w:line="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3"/>
          <w:szCs w:val="13"/>
          <w:color w:val="auto"/>
        </w:rPr>
        <w:t>$50,000 [Investment Amount at Term Start Date] + $4,000 [Performance Rate Adjustment] = $54,000</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Example 1C—Shield Option with Step Rate Edge:</w:t>
      </w:r>
    </w:p>
    <w:p>
      <w:pPr>
        <w:spacing w:after="0" w:line="76" w:lineRule="exact"/>
        <w:rPr>
          <w:sz w:val="20"/>
          <w:szCs w:val="20"/>
          <w:color w:val="auto"/>
        </w:rPr>
      </w:pPr>
    </w:p>
    <w:p>
      <w:pPr>
        <w:jc w:val="both"/>
        <w:ind w:left="640" w:right="3199" w:firstLine="265"/>
        <w:spacing w:after="0" w:line="250" w:lineRule="auto"/>
        <w:rPr>
          <w:sz w:val="20"/>
          <w:szCs w:val="20"/>
          <w:color w:val="auto"/>
        </w:rPr>
      </w:pPr>
      <w:r>
        <w:rPr>
          <w:rFonts w:ascii="Times New Roman" w:cs="Times New Roman" w:eastAsia="Times New Roman" w:hAnsi="Times New Roman"/>
          <w:sz w:val="13"/>
          <w:szCs w:val="13"/>
          <w:color w:val="auto"/>
        </w:rPr>
        <w:t>Owner 1 allocates her $50,000 Purchase Payment into a 1-Year Term / Shield 10 / S&amp;P 500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Index with an Edge Rate of 7% and lets it renew year after year for five years. The following example illustrates how her initial $50,000 Purchase Payment could perform over a five-year period given fluctuating Index Values. For renewals into the same Shield Option a new Edge Rate would be declared and go into effect on the Contract Anniversary that coincides with the beginning of the new Shield Option.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-43815</wp:posOffset>
            </wp:positionV>
            <wp:extent cx="3036570" cy="19462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036570" cy="1946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3"/>
          <w:szCs w:val="13"/>
          <w:color w:val="auto"/>
        </w:rPr>
        <w:t>37</w:t>
      </w:r>
    </w:p>
    <w:p>
      <w:pPr>
        <w:sectPr>
          <w:pgSz w:w="11900" w:h="16838" w:orient="portrait"/>
          <w:cols w:equalWidth="0" w:num="1">
            <w:col w:w="9899"/>
          </w:cols>
          <w:pgMar w:left="560" w:top="950" w:right="1440" w:bottom="1440" w:gutter="0" w:footer="0" w:header="0"/>
        </w:sectPr>
      </w:pPr>
    </w:p>
    <w:bookmarkStart w:id="39" w:name="page40"/>
    <w:bookmarkEnd w:id="39"/>
    <w:tbl>
      <w:tblPr>
        <w:tblLayout w:type="fixed"/>
        <w:tblInd w:w="11" w:type="dxa"/>
        <w:tblCellMar>
          <w:top w:w="0" w:type="dxa"/>
          <w:left w:w="0" w:type="dxa"/>
          <w:bottom w:w="0" w:type="dxa"/>
          <w:right w:w="0" w:type="dxa"/>
        </w:tblCellMar>
      </w:tblPr>
      <w:tr>
        <w:trPr>
          <w:trHeight w:val="175"/>
        </w:trPr>
        <w:tc>
          <w:tcPr>
            <w:tcW w:w="2220" w:type="dxa"/>
            <w:vAlign w:val="bottom"/>
            <w:tcBorders>
              <w:top w:val="single" w:sz="8" w:color="auto"/>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Contract Year</w:t>
            </w:r>
          </w:p>
        </w:tc>
        <w:tc>
          <w:tcPr>
            <w:tcW w:w="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1</w:t>
            </w:r>
          </w:p>
        </w:tc>
        <w:tc>
          <w:tcPr>
            <w:tcW w:w="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2</w:t>
            </w:r>
          </w:p>
        </w:tc>
        <w:tc>
          <w:tcPr>
            <w:tcW w:w="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71"/>
              </w:rPr>
              <w:t>3</w:t>
            </w:r>
          </w:p>
        </w:tc>
        <w:tc>
          <w:tcPr>
            <w:tcW w:w="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71"/>
              </w:rPr>
              <w:t>4</w:t>
            </w:r>
          </w:p>
        </w:tc>
        <w:tc>
          <w:tcPr>
            <w:tcW w:w="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71"/>
              </w:rPr>
              <w:t>5</w:t>
            </w:r>
          </w:p>
        </w:tc>
      </w:tr>
      <w:tr>
        <w:trPr>
          <w:trHeight w:val="187"/>
        </w:trPr>
        <w:tc>
          <w:tcPr>
            <w:tcW w:w="2220" w:type="dxa"/>
            <w:vAlign w:val="bottom"/>
            <w:tcBorders>
              <w:left w:val="single" w:sz="8" w:color="auto"/>
              <w:bottom w:val="single" w:sz="8" w:color="auto"/>
              <w:right w:val="single" w:sz="8" w:color="F0FFFF"/>
            </w:tcBorders>
            <w:gridSpan w:val="2"/>
            <w:shd w:val="clear" w:color="auto" w:fill="F0FFFF"/>
          </w:tcPr>
          <w:p>
            <w:pPr>
              <w:ind w:left="80"/>
              <w:spacing w:after="0"/>
              <w:rPr>
                <w:sz w:val="20"/>
                <w:szCs w:val="20"/>
                <w:color w:val="auto"/>
              </w:rPr>
            </w:pPr>
            <w:r>
              <w:rPr>
                <w:rFonts w:ascii="Times New Roman" w:cs="Times New Roman" w:eastAsia="Times New Roman" w:hAnsi="Times New Roman"/>
                <w:sz w:val="13"/>
                <w:szCs w:val="13"/>
                <w:b w:val="1"/>
                <w:bCs w:val="1"/>
                <w:color w:val="auto"/>
              </w:rPr>
              <w:t>Term Start Date</w:t>
            </w:r>
          </w:p>
        </w:tc>
        <w:tc>
          <w:tcPr>
            <w:tcW w:w="660" w:type="dxa"/>
            <w:vAlign w:val="bottom"/>
            <w:tcBorders>
              <w:bottom w:val="single" w:sz="8" w:color="auto"/>
              <w:right w:val="single" w:sz="8" w:color="F0FFFF"/>
            </w:tcBorders>
            <w:shd w:val="clear" w:color="auto" w:fill="F0FFFF"/>
          </w:tcPr>
          <w:p>
            <w:pPr>
              <w:spacing w:after="0"/>
              <w:rPr>
                <w:sz w:val="16"/>
                <w:szCs w:val="16"/>
                <w:color w:val="auto"/>
              </w:rPr>
            </w:pPr>
          </w:p>
        </w:tc>
        <w:tc>
          <w:tcPr>
            <w:tcW w:w="680" w:type="dxa"/>
            <w:vAlign w:val="bottom"/>
            <w:tcBorders>
              <w:bottom w:val="single" w:sz="8" w:color="auto"/>
              <w:right w:val="single" w:sz="8" w:color="F0FFFF"/>
            </w:tcBorders>
            <w:shd w:val="clear" w:color="auto" w:fill="F0FFFF"/>
          </w:tcPr>
          <w:p>
            <w:pPr>
              <w:spacing w:after="0"/>
              <w:rPr>
                <w:sz w:val="16"/>
                <w:szCs w:val="16"/>
                <w:color w:val="auto"/>
              </w:rPr>
            </w:pPr>
          </w:p>
        </w:tc>
        <w:tc>
          <w:tcPr>
            <w:tcW w:w="680" w:type="dxa"/>
            <w:vAlign w:val="bottom"/>
            <w:tcBorders>
              <w:bottom w:val="single" w:sz="8" w:color="auto"/>
              <w:right w:val="single" w:sz="8" w:color="F0FFFF"/>
            </w:tcBorders>
            <w:shd w:val="clear" w:color="auto" w:fill="F0FFFF"/>
          </w:tcPr>
          <w:p>
            <w:pPr>
              <w:spacing w:after="0"/>
              <w:rPr>
                <w:sz w:val="16"/>
                <w:szCs w:val="16"/>
                <w:color w:val="auto"/>
              </w:rPr>
            </w:pPr>
          </w:p>
        </w:tc>
        <w:tc>
          <w:tcPr>
            <w:tcW w:w="680" w:type="dxa"/>
            <w:vAlign w:val="bottom"/>
            <w:tcBorders>
              <w:bottom w:val="single" w:sz="8" w:color="auto"/>
              <w:right w:val="single" w:sz="8" w:color="F0FFFF"/>
            </w:tcBorders>
            <w:shd w:val="clear" w:color="auto" w:fill="F0FFFF"/>
          </w:tcPr>
          <w:p>
            <w:pPr>
              <w:spacing w:after="0"/>
              <w:rPr>
                <w:sz w:val="16"/>
                <w:szCs w:val="16"/>
                <w:color w:val="auto"/>
              </w:rPr>
            </w:pPr>
          </w:p>
        </w:tc>
        <w:tc>
          <w:tcPr>
            <w:tcW w:w="660" w:type="dxa"/>
            <w:vAlign w:val="bottom"/>
            <w:tcBorders>
              <w:bottom w:val="single" w:sz="8" w:color="auto"/>
              <w:right w:val="single" w:sz="8" w:color="auto"/>
            </w:tcBorders>
            <w:shd w:val="clear" w:color="auto" w:fill="F0FFFF"/>
          </w:tcPr>
          <w:p>
            <w:pPr>
              <w:spacing w:after="0"/>
              <w:rPr>
                <w:sz w:val="16"/>
                <w:szCs w:val="16"/>
                <w:color w:val="auto"/>
              </w:rPr>
            </w:pPr>
          </w:p>
        </w:tc>
      </w:tr>
      <w:tr>
        <w:trPr>
          <w:trHeight w:val="208"/>
        </w:trPr>
        <w:tc>
          <w:tcPr>
            <w:tcW w:w="2220" w:type="dxa"/>
            <w:vAlign w:val="bottom"/>
            <w:tcBorders>
              <w:left w:val="single" w:sz="8" w:color="auto"/>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3"/>
                <w:szCs w:val="13"/>
                <w:color w:val="auto"/>
              </w:rPr>
              <w:t>Investment Amount</w:t>
            </w:r>
            <w:r>
              <w:rPr>
                <w:rFonts w:ascii="Times New Roman" w:cs="Times New Roman" w:eastAsia="Times New Roman" w:hAnsi="Times New Roman"/>
                <w:sz w:val="17"/>
                <w:szCs w:val="17"/>
                <w:color w:val="auto"/>
                <w:vertAlign w:val="superscript"/>
              </w:rPr>
              <w:t>(1)</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$50,000</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$53,500</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$57,245</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$61,252</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$65,540</w:t>
            </w:r>
          </w:p>
        </w:tc>
      </w:tr>
      <w:tr>
        <w:trPr>
          <w:trHeight w:val="179"/>
        </w:trPr>
        <w:tc>
          <w:tcPr>
            <w:tcW w:w="2220" w:type="dxa"/>
            <w:vAlign w:val="bottom"/>
            <w:tcBorders>
              <w:left w:val="single" w:sz="8" w:color="auto"/>
              <w:bottom w:val="single" w:sz="8" w:color="auto"/>
              <w:right w:val="single" w:sz="8" w:color="auto"/>
            </w:tcBorders>
            <w:gridSpan w:val="2"/>
            <w:shd w:val="clear" w:color="auto" w:fill="F0FFFF"/>
          </w:tcPr>
          <w:p>
            <w:pPr>
              <w:ind w:left="200"/>
              <w:spacing w:after="0"/>
              <w:rPr>
                <w:sz w:val="20"/>
                <w:szCs w:val="20"/>
                <w:color w:val="auto"/>
              </w:rPr>
            </w:pPr>
            <w:r>
              <w:rPr>
                <w:rFonts w:ascii="Times New Roman" w:cs="Times New Roman" w:eastAsia="Times New Roman" w:hAnsi="Times New Roman"/>
                <w:sz w:val="13"/>
                <w:szCs w:val="13"/>
                <w:color w:val="auto"/>
              </w:rPr>
              <w:t>Index Value</w:t>
            </w:r>
          </w:p>
        </w:tc>
        <w:tc>
          <w:tcPr>
            <w:tcW w:w="66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1,000</w:t>
            </w:r>
          </w:p>
        </w:tc>
        <w:tc>
          <w:tcPr>
            <w:tcW w:w="6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1,050</w:t>
            </w:r>
          </w:p>
        </w:tc>
        <w:tc>
          <w:tcPr>
            <w:tcW w:w="6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1,260</w:t>
            </w:r>
          </w:p>
        </w:tc>
        <w:tc>
          <w:tcPr>
            <w:tcW w:w="6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1,260</w:t>
            </w:r>
          </w:p>
        </w:tc>
        <w:tc>
          <w:tcPr>
            <w:tcW w:w="66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1,134</w:t>
            </w:r>
          </w:p>
        </w:tc>
      </w:tr>
      <w:tr>
        <w:trPr>
          <w:trHeight w:val="188"/>
        </w:trPr>
        <w:tc>
          <w:tcPr>
            <w:tcW w:w="222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Term End Date</w:t>
            </w:r>
          </w:p>
        </w:tc>
        <w:tc>
          <w:tcPr>
            <w:tcW w:w="6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spacing w:after="0"/>
              <w:rPr>
                <w:sz w:val="16"/>
                <w:szCs w:val="16"/>
                <w:color w:val="auto"/>
              </w:rPr>
            </w:pPr>
          </w:p>
        </w:tc>
      </w:tr>
      <w:tr>
        <w:trPr>
          <w:trHeight w:val="188"/>
        </w:trPr>
        <w:tc>
          <w:tcPr>
            <w:tcW w:w="2220" w:type="dxa"/>
            <w:vAlign w:val="bottom"/>
            <w:tcBorders>
              <w:left w:val="single" w:sz="8" w:color="auto"/>
              <w:bottom w:val="single" w:sz="8" w:color="auto"/>
              <w:right w:val="single" w:sz="8" w:color="auto"/>
            </w:tcBorders>
            <w:gridSpan w:val="2"/>
            <w:shd w:val="clear" w:color="auto" w:fill="F0FFFF"/>
          </w:tcPr>
          <w:p>
            <w:pPr>
              <w:ind w:left="200"/>
              <w:spacing w:after="0"/>
              <w:rPr>
                <w:sz w:val="20"/>
                <w:szCs w:val="20"/>
                <w:color w:val="auto"/>
              </w:rPr>
            </w:pPr>
            <w:r>
              <w:rPr>
                <w:rFonts w:ascii="Times New Roman" w:cs="Times New Roman" w:eastAsia="Times New Roman" w:hAnsi="Times New Roman"/>
                <w:sz w:val="13"/>
                <w:szCs w:val="13"/>
                <w:color w:val="auto"/>
              </w:rPr>
              <w:t>Index Value</w:t>
            </w:r>
          </w:p>
        </w:tc>
        <w:tc>
          <w:tcPr>
            <w:tcW w:w="66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1,050</w:t>
            </w:r>
          </w:p>
        </w:tc>
        <w:tc>
          <w:tcPr>
            <w:tcW w:w="6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1,260</w:t>
            </w:r>
          </w:p>
        </w:tc>
        <w:tc>
          <w:tcPr>
            <w:tcW w:w="6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1,260</w:t>
            </w:r>
          </w:p>
        </w:tc>
        <w:tc>
          <w:tcPr>
            <w:tcW w:w="6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1,134</w:t>
            </w:r>
          </w:p>
        </w:tc>
        <w:tc>
          <w:tcPr>
            <w:tcW w:w="66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964</w:t>
            </w:r>
          </w:p>
        </w:tc>
      </w:tr>
      <w:tr>
        <w:trPr>
          <w:trHeight w:val="208"/>
        </w:trPr>
        <w:tc>
          <w:tcPr>
            <w:tcW w:w="2220" w:type="dxa"/>
            <w:vAlign w:val="bottom"/>
            <w:tcBorders>
              <w:left w:val="single" w:sz="8" w:color="auto"/>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3"/>
                <w:szCs w:val="13"/>
                <w:color w:val="auto"/>
              </w:rPr>
              <w:t>Index Performance</w:t>
            </w:r>
            <w:r>
              <w:rPr>
                <w:rFonts w:ascii="Times New Roman" w:cs="Times New Roman" w:eastAsia="Times New Roman" w:hAnsi="Times New Roman"/>
                <w:sz w:val="17"/>
                <w:szCs w:val="17"/>
                <w:color w:val="auto"/>
                <w:vertAlign w:val="superscript"/>
              </w:rPr>
              <w:t>(2)</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5%</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20%</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0%</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-10%</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-15%</w:t>
            </w:r>
          </w:p>
        </w:tc>
      </w:tr>
      <w:tr>
        <w:trPr>
          <w:trHeight w:val="179"/>
        </w:trPr>
        <w:tc>
          <w:tcPr>
            <w:tcW w:w="2220" w:type="dxa"/>
            <w:vAlign w:val="bottom"/>
            <w:tcBorders>
              <w:left w:val="single" w:sz="8" w:color="auto"/>
              <w:bottom w:val="single" w:sz="8" w:color="auto"/>
              <w:right w:val="single" w:sz="8" w:color="auto"/>
            </w:tcBorders>
            <w:gridSpan w:val="2"/>
            <w:shd w:val="clear" w:color="auto" w:fill="F0FFFF"/>
          </w:tcPr>
          <w:p>
            <w:pPr>
              <w:ind w:left="200"/>
              <w:spacing w:after="0"/>
              <w:rPr>
                <w:sz w:val="20"/>
                <w:szCs w:val="20"/>
                <w:color w:val="auto"/>
              </w:rPr>
            </w:pPr>
            <w:r>
              <w:rPr>
                <w:rFonts w:ascii="Times New Roman" w:cs="Times New Roman" w:eastAsia="Times New Roman" w:hAnsi="Times New Roman"/>
                <w:sz w:val="13"/>
                <w:szCs w:val="13"/>
                <w:color w:val="auto"/>
              </w:rPr>
              <w:t>Edge Rate</w:t>
            </w:r>
          </w:p>
        </w:tc>
        <w:tc>
          <w:tcPr>
            <w:tcW w:w="66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7%</w:t>
            </w:r>
          </w:p>
        </w:tc>
        <w:tc>
          <w:tcPr>
            <w:tcW w:w="6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7%</w:t>
            </w:r>
          </w:p>
        </w:tc>
        <w:tc>
          <w:tcPr>
            <w:tcW w:w="6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7%</w:t>
            </w:r>
          </w:p>
        </w:tc>
        <w:tc>
          <w:tcPr>
            <w:tcW w:w="6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7%</w:t>
            </w:r>
          </w:p>
        </w:tc>
        <w:tc>
          <w:tcPr>
            <w:tcW w:w="66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7%</w:t>
            </w:r>
          </w:p>
        </w:tc>
      </w:tr>
      <w:tr>
        <w:trPr>
          <w:trHeight w:val="188"/>
        </w:trPr>
        <w:tc>
          <w:tcPr>
            <w:tcW w:w="2220" w:type="dxa"/>
            <w:vAlign w:val="bottom"/>
            <w:tcBorders>
              <w:left w:val="single" w:sz="8" w:color="auto"/>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3"/>
                <w:szCs w:val="13"/>
                <w:color w:val="auto"/>
              </w:rPr>
              <w:t>Shield Rate</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10%</w:t>
            </w:r>
          </w:p>
        </w:tc>
      </w:tr>
      <w:tr>
        <w:trPr>
          <w:trHeight w:val="208"/>
        </w:trPr>
        <w:tc>
          <w:tcPr>
            <w:tcW w:w="2220" w:type="dxa"/>
            <w:vAlign w:val="bottom"/>
            <w:tcBorders>
              <w:left w:val="single" w:sz="8" w:color="auto"/>
              <w:bottom w:val="single" w:sz="8" w:color="auto"/>
              <w:right w:val="single" w:sz="8" w:color="auto"/>
            </w:tcBorders>
            <w:gridSpan w:val="2"/>
            <w:shd w:val="clear" w:color="auto" w:fill="F0FFFF"/>
          </w:tcPr>
          <w:p>
            <w:pPr>
              <w:ind w:left="200"/>
              <w:spacing w:after="0"/>
              <w:rPr>
                <w:sz w:val="20"/>
                <w:szCs w:val="20"/>
                <w:color w:val="auto"/>
              </w:rPr>
            </w:pPr>
            <w:r>
              <w:rPr>
                <w:rFonts w:ascii="Times New Roman" w:cs="Times New Roman" w:eastAsia="Times New Roman" w:hAnsi="Times New Roman"/>
                <w:sz w:val="13"/>
                <w:szCs w:val="13"/>
                <w:color w:val="auto"/>
              </w:rPr>
              <w:t>Performance Rate (one year)</w:t>
            </w:r>
            <w:r>
              <w:rPr>
                <w:rFonts w:ascii="Times New Roman" w:cs="Times New Roman" w:eastAsia="Times New Roman" w:hAnsi="Times New Roman"/>
                <w:sz w:val="17"/>
                <w:szCs w:val="17"/>
                <w:color w:val="auto"/>
                <w:vertAlign w:val="superscript"/>
              </w:rPr>
              <w:t>(3)</w:t>
            </w:r>
          </w:p>
        </w:tc>
        <w:tc>
          <w:tcPr>
            <w:tcW w:w="66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7%</w:t>
            </w:r>
          </w:p>
        </w:tc>
        <w:tc>
          <w:tcPr>
            <w:tcW w:w="6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7%</w:t>
            </w:r>
          </w:p>
        </w:tc>
        <w:tc>
          <w:tcPr>
            <w:tcW w:w="6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7%</w:t>
            </w:r>
          </w:p>
        </w:tc>
        <w:tc>
          <w:tcPr>
            <w:tcW w:w="6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7%</w:t>
            </w:r>
          </w:p>
        </w:tc>
        <w:tc>
          <w:tcPr>
            <w:tcW w:w="66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-5%</w:t>
            </w:r>
          </w:p>
        </w:tc>
      </w:tr>
      <w:tr>
        <w:trPr>
          <w:trHeight w:val="198"/>
        </w:trPr>
        <w:tc>
          <w:tcPr>
            <w:tcW w:w="2220" w:type="dxa"/>
            <w:vAlign w:val="bottom"/>
            <w:tcBorders>
              <w:left w:val="single" w:sz="8" w:color="auto"/>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3"/>
                <w:szCs w:val="13"/>
                <w:color w:val="auto"/>
              </w:rPr>
              <w:t>Performance Rate Adjustment</w:t>
            </w:r>
            <w:r>
              <w:rPr>
                <w:rFonts w:ascii="Times New Roman" w:cs="Times New Roman" w:eastAsia="Times New Roman" w:hAnsi="Times New Roman"/>
                <w:sz w:val="17"/>
                <w:szCs w:val="17"/>
                <w:color w:val="auto"/>
                <w:vertAlign w:val="superscript"/>
              </w:rPr>
              <w:t>(4)</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$3,500</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$3,745</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$4,007</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$4,288</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-$3,277</w:t>
            </w:r>
          </w:p>
        </w:tc>
      </w:tr>
      <w:tr>
        <w:trPr>
          <w:trHeight w:val="196"/>
        </w:trPr>
        <w:tc>
          <w:tcPr>
            <w:tcW w:w="2220" w:type="dxa"/>
            <w:vAlign w:val="bottom"/>
            <w:tcBorders>
              <w:left w:val="single" w:sz="8" w:color="auto"/>
              <w:bottom w:val="single" w:sz="8" w:color="auto"/>
              <w:right w:val="single" w:sz="8" w:color="auto"/>
            </w:tcBorders>
            <w:gridSpan w:val="2"/>
            <w:shd w:val="clear" w:color="auto" w:fill="F0FFFF"/>
          </w:tcPr>
          <w:p>
            <w:pPr>
              <w:ind w:left="200"/>
              <w:spacing w:after="0"/>
              <w:rPr>
                <w:sz w:val="20"/>
                <w:szCs w:val="20"/>
                <w:color w:val="auto"/>
              </w:rPr>
            </w:pPr>
            <w:r>
              <w:rPr>
                <w:rFonts w:ascii="Times New Roman" w:cs="Times New Roman" w:eastAsia="Times New Roman" w:hAnsi="Times New Roman"/>
                <w:sz w:val="13"/>
                <w:szCs w:val="13"/>
                <w:b w:val="1"/>
                <w:bCs w:val="1"/>
                <w:color w:val="auto"/>
              </w:rPr>
              <w:t>Investment Amount</w:t>
            </w:r>
            <w:r>
              <w:rPr>
                <w:rFonts w:ascii="Times New Roman" w:cs="Times New Roman" w:eastAsia="Times New Roman" w:hAnsi="Times New Roman"/>
                <w:sz w:val="17"/>
                <w:szCs w:val="17"/>
                <w:color w:val="auto"/>
                <w:vertAlign w:val="superscript"/>
              </w:rPr>
              <w:t>(5)</w:t>
            </w:r>
          </w:p>
        </w:tc>
        <w:tc>
          <w:tcPr>
            <w:tcW w:w="66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$53,500</w:t>
            </w:r>
          </w:p>
        </w:tc>
        <w:tc>
          <w:tcPr>
            <w:tcW w:w="6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$57,245</w:t>
            </w:r>
          </w:p>
        </w:tc>
        <w:tc>
          <w:tcPr>
            <w:tcW w:w="6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b w:val="1"/>
                <w:bCs w:val="1"/>
                <w:color w:val="auto"/>
              </w:rPr>
              <w:t>$61,252</w:t>
            </w:r>
          </w:p>
        </w:tc>
        <w:tc>
          <w:tcPr>
            <w:tcW w:w="6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b w:val="1"/>
                <w:bCs w:val="1"/>
                <w:color w:val="auto"/>
              </w:rPr>
              <w:t>$65,540</w:t>
            </w:r>
          </w:p>
        </w:tc>
        <w:tc>
          <w:tcPr>
            <w:tcW w:w="66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b w:val="1"/>
                <w:bCs w:val="1"/>
                <w:color w:val="auto"/>
              </w:rPr>
              <w:t>$62,263</w:t>
            </w:r>
          </w:p>
        </w:tc>
      </w:tr>
      <w:tr>
        <w:trPr>
          <w:trHeight w:val="131"/>
        </w:trPr>
        <w:tc>
          <w:tcPr>
            <w:tcW w:w="820" w:type="dxa"/>
            <w:vAlign w:val="bottom"/>
            <w:tcBorders>
              <w:bottom w:val="single" w:sz="8" w:color="auto"/>
            </w:tcBorders>
          </w:tcPr>
          <w:p>
            <w:pPr>
              <w:spacing w:after="0"/>
              <w:rPr>
                <w:sz w:val="11"/>
                <w:szCs w:val="11"/>
                <w:color w:val="auto"/>
              </w:rPr>
            </w:pPr>
          </w:p>
        </w:tc>
        <w:tc>
          <w:tcPr>
            <w:tcW w:w="1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93915" cy="3810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-1699895</wp:posOffset>
            </wp:positionV>
            <wp:extent cx="3527425" cy="1136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527425" cy="11366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-1454785</wp:posOffset>
            </wp:positionV>
            <wp:extent cx="3527425" cy="1384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527425" cy="13843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-1183640</wp:posOffset>
            </wp:positionV>
            <wp:extent cx="3527425" cy="1320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527425" cy="1320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-918845</wp:posOffset>
            </wp:positionV>
            <wp:extent cx="3527425" cy="1384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527425" cy="13843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-648335</wp:posOffset>
            </wp:positionV>
            <wp:extent cx="3527425" cy="1320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527425" cy="1320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-377190</wp:posOffset>
            </wp:positionV>
            <wp:extent cx="3527425" cy="1384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527425" cy="138430"/>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-31115</wp:posOffset>
            </wp:positionV>
            <wp:extent cx="31750" cy="44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1750" cy="4445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-31115</wp:posOffset>
            </wp:positionV>
            <wp:extent cx="31750" cy="44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1750" cy="44450"/>
                    </a:xfrm>
                    <a:prstGeom prst="rect">
                      <a:avLst/>
                    </a:prstGeom>
                    <a:noFill/>
                  </pic:spPr>
                </pic:pic>
              </a:graphicData>
            </a:graphic>
          </wp:anchor>
        </w:drawing>
      </w:r>
    </w:p>
    <w:p>
      <w:pPr>
        <w:spacing w:after="0" w:line="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1"/>
          <w:szCs w:val="11"/>
          <w:b w:val="1"/>
          <w:bCs w:val="1"/>
          <w:color w:val="auto"/>
        </w:rPr>
        <w:t>The following notes to the table above provide important calculations showing how certain values are determined.</w:t>
      </w:r>
    </w:p>
    <w:p>
      <w:pPr>
        <w:sectPr>
          <w:pgSz w:w="11900" w:h="16838" w:orient="portrait"/>
          <w:cols w:equalWidth="0" w:num="1">
            <w:col w:w="9261"/>
          </w:cols>
          <w:pgMar w:left="1199" w:top="1037" w:right="1440" w:bottom="1440" w:gutter="0" w:footer="0" w:header="0"/>
        </w:sectPr>
      </w:pPr>
    </w:p>
    <w:p>
      <w:pPr>
        <w:ind w:left="1"/>
        <w:spacing w:after="0" w:line="198" w:lineRule="auto"/>
        <w:rPr>
          <w:sz w:val="20"/>
          <w:szCs w:val="20"/>
          <w:color w:val="auto"/>
        </w:rPr>
      </w:pPr>
      <w:r>
        <w:rPr>
          <w:rFonts w:ascii="Times New Roman" w:cs="Times New Roman" w:eastAsia="Times New Roman" w:hAnsi="Times New Roman"/>
          <w:sz w:val="8"/>
          <w:szCs w:val="8"/>
          <w:color w:val="auto"/>
        </w:rPr>
        <w:t>(1)</w:t>
      </w:r>
    </w:p>
    <w:p>
      <w:pPr>
        <w:jc w:val="both"/>
        <w:ind w:left="261"/>
        <w:spacing w:after="0" w:line="238" w:lineRule="auto"/>
        <w:rPr>
          <w:sz w:val="20"/>
          <w:szCs w:val="20"/>
          <w:color w:val="auto"/>
        </w:rPr>
      </w:pPr>
      <w:r>
        <w:rPr>
          <w:rFonts w:ascii="Times New Roman" w:cs="Times New Roman" w:eastAsia="Times New Roman" w:hAnsi="Times New Roman"/>
          <w:sz w:val="13"/>
          <w:szCs w:val="13"/>
          <w:color w:val="auto"/>
        </w:rPr>
        <w:t>The Investment Amount at Term Start Date in year one is the $50,000 Purchase Payment. In years through five, the Investment Amount at the Term Start Date would be $53,500, $57,245, $61,252 $65,540, respectively, which was the Investment Amount at the Term End Date for the prior year.</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two</w:t>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and</w:t>
      </w:r>
    </w:p>
    <w:p>
      <w:pPr>
        <w:spacing w:after="0" w:line="184" w:lineRule="exact"/>
        <w:rPr>
          <w:sz w:val="20"/>
          <w:szCs w:val="20"/>
          <w:color w:val="auto"/>
        </w:rPr>
      </w:pPr>
    </w:p>
    <w:p>
      <w:pPr>
        <w:sectPr>
          <w:pgSz w:w="11900" w:h="16838" w:orient="portrait"/>
          <w:cols w:equalWidth="0" w:num="2">
            <w:col w:w="5761" w:space="40"/>
            <w:col w:w="3459"/>
          </w:cols>
          <w:pgMar w:left="1199" w:top="1037" w:right="1440" w:bottom="1440" w:gutter="0" w:footer="0" w:header="0"/>
          <w:type w:val="continuous"/>
        </w:sectPr>
      </w:pPr>
    </w:p>
    <w:p>
      <w:pPr>
        <w:ind w:left="261" w:right="3259" w:hanging="261"/>
        <w:spacing w:after="0" w:line="223" w:lineRule="auto"/>
        <w:tabs>
          <w:tab w:leader="none" w:pos="261" w:val="left"/>
        </w:tabs>
        <w:numPr>
          <w:ilvl w:val="0"/>
          <w:numId w:val="2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Index Performance is equal to the percentage change in the Index Value measured from the Term Start Date to the Term End Date. For example, in year one, Index Performance is calculated as follows:</w:t>
      </w:r>
    </w:p>
    <w:p>
      <w:pPr>
        <w:spacing w:after="0" w:line="37" w:lineRule="exact"/>
        <w:rPr>
          <w:sz w:val="20"/>
          <w:szCs w:val="20"/>
          <w:color w:val="auto"/>
        </w:rPr>
      </w:pPr>
    </w:p>
    <w:p>
      <w:pPr>
        <w:jc w:val="center"/>
        <w:ind w:right="3238"/>
        <w:spacing w:after="0"/>
        <w:rPr>
          <w:sz w:val="20"/>
          <w:szCs w:val="20"/>
          <w:color w:val="auto"/>
        </w:rPr>
      </w:pPr>
      <w:r>
        <w:rPr>
          <w:rFonts w:ascii="Times New Roman" w:cs="Times New Roman" w:eastAsia="Times New Roman" w:hAnsi="Times New Roman"/>
          <w:sz w:val="13"/>
          <w:szCs w:val="13"/>
          <w:color w:val="auto"/>
        </w:rPr>
        <w:t>(1,050 [Index Value at Term End Date] – 1,000 [Index Value at Term Start Date])</w:t>
      </w:r>
    </w:p>
    <w:p>
      <w:pPr>
        <w:spacing w:after="0" w:line="13" w:lineRule="exact"/>
        <w:rPr>
          <w:sz w:val="20"/>
          <w:szCs w:val="20"/>
          <w:color w:val="auto"/>
        </w:rPr>
      </w:pPr>
    </w:p>
    <w:p>
      <w:pPr>
        <w:jc w:val="center"/>
        <w:ind w:right="3198"/>
        <w:spacing w:after="0"/>
        <w:rPr>
          <w:sz w:val="20"/>
          <w:szCs w:val="20"/>
          <w:color w:val="auto"/>
        </w:rPr>
      </w:pPr>
      <w:r>
        <w:rPr>
          <w:rFonts w:ascii="Times New Roman" w:cs="Times New Roman" w:eastAsia="Times New Roman" w:hAnsi="Times New Roman"/>
          <w:sz w:val="13"/>
          <w:szCs w:val="13"/>
          <w:color w:val="auto"/>
        </w:rPr>
        <w:t>÷ 1,000 [Index Value at Term Start Date]) = 5%</w:t>
      </w:r>
    </w:p>
    <w:p>
      <w:pPr>
        <w:ind w:left="1"/>
        <w:spacing w:after="0" w:line="204" w:lineRule="auto"/>
        <w:rPr>
          <w:sz w:val="20"/>
          <w:szCs w:val="20"/>
          <w:color w:val="auto"/>
        </w:rPr>
      </w:pPr>
      <w:r>
        <w:rPr>
          <w:rFonts w:ascii="Times New Roman" w:cs="Times New Roman" w:eastAsia="Times New Roman" w:hAnsi="Times New Roman"/>
          <w:sz w:val="5"/>
          <w:szCs w:val="5"/>
          <w:color w:val="auto"/>
        </w:rPr>
        <w:t>(3)</w:t>
      </w:r>
    </w:p>
    <w:p>
      <w:pPr>
        <w:jc w:val="both"/>
        <w:ind w:left="261" w:right="3259"/>
        <w:spacing w:after="0" w:line="234" w:lineRule="auto"/>
        <w:rPr>
          <w:sz w:val="20"/>
          <w:szCs w:val="20"/>
          <w:color w:val="auto"/>
        </w:rPr>
      </w:pPr>
      <w:r>
        <w:rPr>
          <w:rFonts w:ascii="Times New Roman" w:cs="Times New Roman" w:eastAsia="Times New Roman" w:hAnsi="Times New Roman"/>
          <w:sz w:val="13"/>
          <w:szCs w:val="13"/>
          <w:color w:val="auto"/>
        </w:rPr>
        <w:t>In years one, two and three the Performance Rate is equal to the Edge Rate because the Index Performance is positive or zero. It should be noted that although Index Performance was 20% in year two, the Performance Rate is capped at 7% by the Edge Rate. In year four the Performance Rate is 7% because the Index Performance is –10% and does not exceed the Shield 10 which absorbs up to 10% of the negative Index Performance. In year five, the Performance Rate is –5% because the Index Performance is –15% and the Shield 10 absorbs up to 10% of the negative Index Performance.</w:t>
      </w:r>
    </w:p>
    <w:p>
      <w:pPr>
        <w:ind w:left="1"/>
        <w:spacing w:after="0" w:line="200" w:lineRule="auto"/>
        <w:rPr>
          <w:sz w:val="20"/>
          <w:szCs w:val="20"/>
          <w:color w:val="auto"/>
        </w:rPr>
      </w:pPr>
      <w:r>
        <w:rPr>
          <w:rFonts w:ascii="Times New Roman" w:cs="Times New Roman" w:eastAsia="Times New Roman" w:hAnsi="Times New Roman"/>
          <w:sz w:val="5"/>
          <w:szCs w:val="5"/>
          <w:color w:val="auto"/>
        </w:rPr>
        <w:t>(4)</w:t>
      </w:r>
    </w:p>
    <w:p>
      <w:pPr>
        <w:jc w:val="both"/>
        <w:ind w:left="261" w:right="3259"/>
        <w:spacing w:after="0" w:line="238" w:lineRule="auto"/>
        <w:rPr>
          <w:sz w:val="20"/>
          <w:szCs w:val="20"/>
          <w:color w:val="auto"/>
        </w:rPr>
      </w:pPr>
      <w:r>
        <w:rPr>
          <w:rFonts w:ascii="Times New Roman" w:cs="Times New Roman" w:eastAsia="Times New Roman" w:hAnsi="Times New Roman"/>
          <w:sz w:val="13"/>
          <w:szCs w:val="13"/>
          <w:color w:val="auto"/>
        </w:rPr>
        <w:t xml:space="preserve">The Performance Rate Adjustment is equal to the product of the Investment Amount at the Term Start Date adjusted for any withdrawals (including RMDs, systematic withdrawals, and any applicable </w:t>
      </w:r>
      <w:r>
        <w:rPr>
          <w:rFonts w:ascii="Times New Roman" w:cs="Times New Roman" w:eastAsia="Times New Roman" w:hAnsi="Times New Roman"/>
          <w:sz w:val="13"/>
          <w:szCs w:val="13"/>
          <w:u w:val="single" w:color="auto"/>
          <w:color w:val="auto"/>
        </w:rPr>
        <w:t>Withdrawal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Charge</w:t>
      </w:r>
      <w:r>
        <w:rPr>
          <w:rFonts w:ascii="Times New Roman" w:cs="Times New Roman" w:eastAsia="Times New Roman" w:hAnsi="Times New Roman"/>
          <w:sz w:val="13"/>
          <w:szCs w:val="13"/>
          <w:color w:val="auto"/>
        </w:rPr>
        <w:t>) (there are no withdrawals in the example) multiplied by the Performance Rate. For example, in year one the Performance Rate Adjustment is calculated as follows:</w:t>
      </w:r>
    </w:p>
    <w:p>
      <w:pPr>
        <w:spacing w:after="0" w:line="28" w:lineRule="exact"/>
        <w:rPr>
          <w:sz w:val="20"/>
          <w:szCs w:val="20"/>
          <w:color w:val="auto"/>
        </w:rPr>
      </w:pPr>
    </w:p>
    <w:p>
      <w:pPr>
        <w:ind w:left="781"/>
        <w:spacing w:after="0"/>
        <w:rPr>
          <w:sz w:val="20"/>
          <w:szCs w:val="20"/>
          <w:color w:val="auto"/>
        </w:rPr>
      </w:pPr>
      <w:r>
        <w:rPr>
          <w:rFonts w:ascii="Times New Roman" w:cs="Times New Roman" w:eastAsia="Times New Roman" w:hAnsi="Times New Roman"/>
          <w:sz w:val="13"/>
          <w:szCs w:val="13"/>
          <w:color w:val="auto"/>
        </w:rPr>
        <w:t>$50,000 [Investment Amount at Term Start Date] x 7% [Performance Rate] = $3,500</w:t>
      </w:r>
    </w:p>
    <w:p>
      <w:pPr>
        <w:ind w:left="1"/>
        <w:spacing w:after="0" w:line="218" w:lineRule="auto"/>
        <w:rPr>
          <w:sz w:val="20"/>
          <w:szCs w:val="20"/>
          <w:color w:val="auto"/>
        </w:rPr>
      </w:pPr>
      <w:r>
        <w:rPr>
          <w:rFonts w:ascii="Times New Roman" w:cs="Times New Roman" w:eastAsia="Times New Roman" w:hAnsi="Times New Roman"/>
          <w:sz w:val="6"/>
          <w:szCs w:val="6"/>
          <w:color w:val="auto"/>
        </w:rPr>
        <w:t>(5)</w:t>
      </w:r>
    </w:p>
    <w:p>
      <w:pPr>
        <w:jc w:val="both"/>
        <w:ind w:left="261" w:right="3259"/>
        <w:spacing w:after="0" w:line="238" w:lineRule="auto"/>
        <w:rPr>
          <w:sz w:val="20"/>
          <w:szCs w:val="20"/>
          <w:color w:val="auto"/>
        </w:rPr>
      </w:pPr>
      <w:r>
        <w:rPr>
          <w:rFonts w:ascii="Times New Roman" w:cs="Times New Roman" w:eastAsia="Times New Roman" w:hAnsi="Times New Roman"/>
          <w:sz w:val="13"/>
          <w:szCs w:val="13"/>
          <w:color w:val="auto"/>
        </w:rPr>
        <w:t xml:space="preserve">The Investment Amount at the Term End Date is equal to the Investment Amount at Term Start Date adjusted for any withdrawals (including RMDs, systematic withdrawals, and any applicable </w:t>
      </w:r>
      <w:r>
        <w:rPr>
          <w:rFonts w:ascii="Times New Roman" w:cs="Times New Roman" w:eastAsia="Times New Roman" w:hAnsi="Times New Roman"/>
          <w:sz w:val="13"/>
          <w:szCs w:val="13"/>
          <w:u w:val="single" w:color="auto"/>
          <w:color w:val="auto"/>
        </w:rPr>
        <w:t>Withdrawal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Charge</w:t>
      </w:r>
      <w:r>
        <w:rPr>
          <w:rFonts w:ascii="Times New Roman" w:cs="Times New Roman" w:eastAsia="Times New Roman" w:hAnsi="Times New Roman"/>
          <w:sz w:val="13"/>
          <w:szCs w:val="13"/>
          <w:color w:val="auto"/>
        </w:rPr>
        <w:t>) (there are no withdrawals in the example) plus the Performance Rate Adjustment. For example, in year one the Investment Amount at the Term End Date is calculated as follows:</w:t>
      </w:r>
    </w:p>
    <w:p>
      <w:pPr>
        <w:spacing w:after="0" w:line="28" w:lineRule="exact"/>
        <w:rPr>
          <w:sz w:val="20"/>
          <w:szCs w:val="20"/>
          <w:color w:val="auto"/>
        </w:rPr>
      </w:pPr>
    </w:p>
    <w:p>
      <w:pPr>
        <w:ind w:left="341"/>
        <w:spacing w:after="0"/>
        <w:rPr>
          <w:sz w:val="20"/>
          <w:szCs w:val="20"/>
          <w:color w:val="auto"/>
        </w:rPr>
      </w:pPr>
      <w:r>
        <w:rPr>
          <w:rFonts w:ascii="Times New Roman" w:cs="Times New Roman" w:eastAsia="Times New Roman" w:hAnsi="Times New Roman"/>
          <w:sz w:val="13"/>
          <w:szCs w:val="13"/>
          <w:color w:val="auto"/>
        </w:rPr>
        <w:t>$50,000 [Investment Amount at Term Start Date] + $3,500 [Performance Rate Adjustment] = $53,500</w:t>
      </w:r>
    </w:p>
    <w:p>
      <w:pPr>
        <w:spacing w:after="0" w:line="235" w:lineRule="exact"/>
        <w:rPr>
          <w:sz w:val="20"/>
          <w:szCs w:val="20"/>
          <w:color w:val="auto"/>
        </w:rPr>
      </w:pPr>
    </w:p>
    <w:p>
      <w:pPr>
        <w:ind w:left="1821"/>
        <w:spacing w:after="0"/>
        <w:rPr>
          <w:sz w:val="20"/>
          <w:szCs w:val="20"/>
          <w:color w:val="auto"/>
        </w:rPr>
      </w:pPr>
      <w:r>
        <w:rPr>
          <w:rFonts w:ascii="Times New Roman" w:cs="Times New Roman" w:eastAsia="Times New Roman" w:hAnsi="Times New Roman"/>
          <w:sz w:val="13"/>
          <w:szCs w:val="13"/>
          <w:b w:val="1"/>
          <w:bCs w:val="1"/>
          <w:color w:val="auto"/>
        </w:rPr>
        <w:t>CHARGES, FEES, AND ADJUSTMENTS</w:t>
      </w:r>
    </w:p>
    <w:p>
      <w:pPr>
        <w:spacing w:after="0" w:line="16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Interim Value Calculation</w:t>
      </w:r>
    </w:p>
    <w:p>
      <w:pPr>
        <w:spacing w:after="0" w:line="91" w:lineRule="exact"/>
        <w:rPr>
          <w:sz w:val="20"/>
          <w:szCs w:val="20"/>
          <w:color w:val="auto"/>
        </w:rPr>
      </w:pPr>
    </w:p>
    <w:p>
      <w:pPr>
        <w:jc w:val="both"/>
        <w:ind w:left="1" w:right="3199" w:firstLine="265"/>
        <w:spacing w:after="0" w:line="262" w:lineRule="auto"/>
        <w:rPr>
          <w:sz w:val="20"/>
          <w:szCs w:val="20"/>
          <w:color w:val="auto"/>
        </w:rPr>
      </w:pPr>
      <w:r>
        <w:rPr>
          <w:rFonts w:ascii="Times New Roman" w:cs="Times New Roman" w:eastAsia="Times New Roman" w:hAnsi="Times New Roman"/>
          <w:sz w:val="13"/>
          <w:szCs w:val="13"/>
          <w:color w:val="auto"/>
        </w:rPr>
        <w:t>Your Investment Amount in each Shield Option on the Term End Date is calculated as described above under “Calculating your Investment Amount on a Term End Date”. In setting the various rates we use in calculating the Investment Amount, we assume that you are going to hold a Shield Option until the Term End Date. Nevertheless, you have the right under the Contract to make withdrawals, Surrender the Contract, annuitize, and exercise Performance Lock before the Term End Date. Therefore, we calculate an Interim Value on each Business Day between the Term Start Date and the Term End Date.</w:t>
      </w:r>
    </w:p>
    <w:p>
      <w:pPr>
        <w:spacing w:after="0" w:line="53" w:lineRule="exact"/>
        <w:rPr>
          <w:sz w:val="20"/>
          <w:szCs w:val="20"/>
          <w:color w:val="auto"/>
        </w:rPr>
      </w:pPr>
    </w:p>
    <w:p>
      <w:pPr>
        <w:jc w:val="both"/>
        <w:ind w:left="1" w:right="3199" w:firstLine="265"/>
        <w:spacing w:after="0" w:line="265" w:lineRule="auto"/>
        <w:rPr>
          <w:sz w:val="20"/>
          <w:szCs w:val="20"/>
          <w:color w:val="auto"/>
        </w:rPr>
      </w:pPr>
      <w:r>
        <w:rPr>
          <w:rFonts w:ascii="Times New Roman" w:cs="Times New Roman" w:eastAsia="Times New Roman" w:hAnsi="Times New Roman"/>
          <w:sz w:val="13"/>
          <w:szCs w:val="13"/>
          <w:color w:val="auto"/>
        </w:rPr>
        <w:t>Between the Term Start Date and the Term End Date, we use the Interim Value to calculate the amount that is available for (1) annuitization; (2) death benefits; (3) withdrawals (including RMDs and systematic withdrawals);</w:t>
      </w:r>
    </w:p>
    <w:p>
      <w:pPr>
        <w:jc w:val="both"/>
        <w:ind w:left="1" w:right="3199" w:hanging="1"/>
        <w:spacing w:after="0" w:line="259" w:lineRule="auto"/>
        <w:tabs>
          <w:tab w:leader="none" w:pos="192"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Surrenders; and (5) Performance Lock. The Interim Value is also used to determine how much the Investment Amount will be reduced by a withdrawal. You may obtain your Interim Value on any Business Day by calling us at (888) 243-1932 or by accessing our website at www.brighthousefinancial.com. However, Interim Values fluctuate daily, and the current value(s) quoted may differ from the actual value(s) calculated.</w:t>
      </w:r>
    </w:p>
    <w:p>
      <w:pPr>
        <w:spacing w:after="0" w:line="195" w:lineRule="exact"/>
        <w:rPr>
          <w:sz w:val="20"/>
          <w:szCs w:val="20"/>
          <w:color w:val="auto"/>
        </w:rPr>
      </w:pPr>
    </w:p>
    <w:p>
      <w:pPr>
        <w:ind w:left="2981"/>
        <w:spacing w:after="0"/>
        <w:rPr>
          <w:sz w:val="20"/>
          <w:szCs w:val="20"/>
          <w:color w:val="auto"/>
        </w:rPr>
      </w:pPr>
      <w:r>
        <w:rPr>
          <w:rFonts w:ascii="Times New Roman" w:cs="Times New Roman" w:eastAsia="Times New Roman" w:hAnsi="Times New Roman"/>
          <w:sz w:val="13"/>
          <w:szCs w:val="13"/>
          <w:color w:val="auto"/>
        </w:rPr>
        <w:t>38</w:t>
      </w:r>
    </w:p>
    <w:p>
      <w:pPr>
        <w:sectPr>
          <w:pgSz w:w="11900" w:h="16838" w:orient="portrait"/>
          <w:cols w:equalWidth="0" w:num="1">
            <w:col w:w="9261"/>
          </w:cols>
          <w:pgMar w:left="1199" w:top="1037" w:right="1440" w:bottom="1440" w:gutter="0" w:footer="0" w:header="0"/>
          <w:type w:val="continuous"/>
        </w:sectPr>
      </w:pPr>
    </w:p>
    <w:bookmarkStart w:id="40" w:name="page41"/>
    <w:bookmarkEnd w:id="40"/>
    <w:p>
      <w:pPr>
        <w:jc w:val="both"/>
        <w:ind w:right="3199" w:firstLine="265"/>
        <w:spacing w:after="0" w:line="25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93915" cy="38100"/>
                    </a:xfrm>
                    <a:prstGeom prst="rect">
                      <a:avLst/>
                    </a:prstGeom>
                    <a:noFill/>
                  </pic:spPr>
                </pic:pic>
              </a:graphicData>
            </a:graphic>
          </wp:anchor>
        </w:drawing>
        <w:t>We calculate the Interim Value of each Shield Option on any Business Day other than the Term Start Date and Term End Date. If you request a full or partial withdrawal during a Term, the Withdrawal Amount will be deducted from the Interim Values of the Shield Options in which you are invested (unless you instruct us otherwise for a partial withdrawal). Withdrawals from the Shield Options during the Term will reduce the Interim Values of those Shield Options on a dollar-for-dollar basis by the portion of the Withdrawal Amount deducted from each Shield Option. We will pay you a net amount after adjustments for any Withdrawal Charge. The net amount payable to you is equal to the amount withdrawn (including any applicable Withdrawal Charge), less Premium Tax and other taxes, if any. (See “WITHDRAWAL PROVISIONS” for more information.) Once a Shield Option reaches the Term End Date, there is no Interim Value, and the Performance Rate will be applied to the Investment Amount based off the Rate Crediting Type and applicable Shield Rate.</w:t>
      </w:r>
    </w:p>
    <w:p>
      <w:pPr>
        <w:spacing w:after="0" w:line="70" w:lineRule="exact"/>
        <w:rPr>
          <w:sz w:val="20"/>
          <w:szCs w:val="20"/>
          <w:color w:val="auto"/>
        </w:rPr>
      </w:pPr>
    </w:p>
    <w:p>
      <w:pPr>
        <w:jc w:val="both"/>
        <w:ind w:right="3199" w:firstLine="265"/>
        <w:spacing w:after="0" w:line="266" w:lineRule="auto"/>
        <w:rPr>
          <w:sz w:val="20"/>
          <w:szCs w:val="20"/>
          <w:color w:val="auto"/>
        </w:rPr>
      </w:pPr>
      <w:r>
        <w:rPr>
          <w:rFonts w:ascii="Times New Roman" w:cs="Times New Roman" w:eastAsia="Times New Roman" w:hAnsi="Times New Roman"/>
          <w:sz w:val="13"/>
          <w:szCs w:val="13"/>
          <w:color w:val="auto"/>
        </w:rPr>
        <w:t>If you have not exercised the Performance Lock, the Interim Value is included in the Account Value to reflect the amount in the applicable Shield Option prior to the Term End Date. If you exercise the Performance Lock for a Shield Option, the Performance Lock Value will be the Interim Value calculated at the end of the current Business Day on which you exercise the Performance Lock. See “PERFORMANCE LOCK” for more information.</w:t>
      </w:r>
    </w:p>
    <w:p>
      <w:pPr>
        <w:spacing w:after="0" w:line="52" w:lineRule="exact"/>
        <w:rPr>
          <w:sz w:val="20"/>
          <w:szCs w:val="20"/>
          <w:color w:val="auto"/>
        </w:rPr>
      </w:pPr>
    </w:p>
    <w:p>
      <w:pPr>
        <w:jc w:val="both"/>
        <w:ind w:right="3199" w:firstLine="265"/>
        <w:spacing w:after="0" w:line="259" w:lineRule="auto"/>
        <w:rPr>
          <w:sz w:val="20"/>
          <w:szCs w:val="20"/>
          <w:color w:val="auto"/>
        </w:rPr>
      </w:pPr>
      <w:r>
        <w:rPr>
          <w:rFonts w:ascii="Times New Roman" w:cs="Times New Roman" w:eastAsia="Times New Roman" w:hAnsi="Times New Roman"/>
          <w:sz w:val="13"/>
          <w:szCs w:val="13"/>
          <w:color w:val="auto"/>
        </w:rPr>
        <w:t>The Interim Value is a calculated value that reflects the value of each Shield Option taking into account the applicable Shield Rate and Rate Crediting Type, current price of the underlying Index, the time remaining until the Term End Date, and the current value of the investments we have made to fund our obligations under the Shield Option. The Interim Value is an estimate of the current value of fixed income and derivative instruments we could purchase to assure our ability to meet our obligations to the Owner at a Term End Date. The Interim Value calculation is different than the calculation we use to calculate the Investment Amount for a Shield Option on the Term End Date. The Interim Value calculation is intended to protect the Company from losses on those fixed income and derivative instruments when amounts are withdrawn (or otherwise removed) from a Shield Option before the Term End Date. The Interim Value calculation transfers this risk from the Company to Contract Owners.</w:t>
      </w:r>
    </w:p>
    <w:p>
      <w:pPr>
        <w:spacing w:after="0" w:line="225" w:lineRule="exact"/>
        <w:rPr>
          <w:sz w:val="20"/>
          <w:szCs w:val="20"/>
          <w:color w:val="auto"/>
        </w:rPr>
      </w:pPr>
    </w:p>
    <w:p>
      <w:pPr>
        <w:jc w:val="both"/>
        <w:ind w:right="3199" w:firstLine="265"/>
        <w:spacing w:after="0" w:line="290" w:lineRule="auto"/>
        <w:rPr>
          <w:sz w:val="20"/>
          <w:szCs w:val="20"/>
          <w:color w:val="auto"/>
        </w:rPr>
      </w:pPr>
      <w:r>
        <w:rPr>
          <w:rFonts w:ascii="Times New Roman" w:cs="Times New Roman" w:eastAsia="Times New Roman" w:hAnsi="Times New Roman"/>
          <w:sz w:val="13"/>
          <w:szCs w:val="13"/>
          <w:color w:val="auto"/>
        </w:rPr>
        <w:t>The Interim Value assesses the fair value of the assets allocated to the Shield Option (Investment Amount) plus the current value of the portfolio of options utilized to replicate the performance of these Shield Options.</w:t>
      </w:r>
    </w:p>
    <w:p>
      <w:pPr>
        <w:spacing w:after="0" w:line="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The Interim Value for a Shield Option is equal to the sum of (1) and (2), where:</w:t>
      </w:r>
    </w:p>
    <w:p>
      <w:pPr>
        <w:spacing w:after="0" w:line="89" w:lineRule="exact"/>
        <w:rPr>
          <w:sz w:val="20"/>
          <w:szCs w:val="20"/>
          <w:color w:val="auto"/>
        </w:rPr>
      </w:pPr>
    </w:p>
    <w:p>
      <w:pPr>
        <w:ind w:left="260" w:right="3559" w:firstLine="3"/>
        <w:spacing w:after="0" w:line="334" w:lineRule="auto"/>
        <w:tabs>
          <w:tab w:leader="none" w:pos="392"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(1) Is the market value of the Fixed Income Asset Proxy on the Business Day the Interim Value is calculated.</w:t>
      </w:r>
    </w:p>
    <w:p>
      <w:pPr>
        <w:spacing w:after="0" w:line="12" w:lineRule="exact"/>
        <w:rPr>
          <w:rFonts w:ascii="Times New Roman" w:cs="Times New Roman" w:eastAsia="Times New Roman" w:hAnsi="Times New Roman"/>
          <w:sz w:val="12"/>
          <w:szCs w:val="12"/>
          <w:color w:val="auto"/>
        </w:rPr>
      </w:pPr>
    </w:p>
    <w:p>
      <w:pPr>
        <w:ind w:left="400" w:hanging="137"/>
        <w:spacing w:after="0"/>
        <w:tabs>
          <w:tab w:leader="none" w:pos="40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(2) Is the current market value of the Derivative Asset Proxy.</w:t>
      </w:r>
    </w:p>
    <w:p>
      <w:pPr>
        <w:spacing w:after="0" w:line="89" w:lineRule="exact"/>
        <w:rPr>
          <w:sz w:val="20"/>
          <w:szCs w:val="20"/>
          <w:color w:val="auto"/>
        </w:rPr>
      </w:pPr>
    </w:p>
    <w:p>
      <w:pPr>
        <w:ind w:right="3199" w:firstLine="263"/>
        <w:spacing w:after="0" w:line="290" w:lineRule="auto"/>
        <w:tabs>
          <w:tab w:leader="none" w:pos="431"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Fixed Income Asset Proxy is meant to represent the market value of the fixed income assets supporting each Shield Option.</w:t>
      </w:r>
    </w:p>
    <w:p>
      <w:pPr>
        <w:spacing w:after="0" w:line="36" w:lineRule="exact"/>
        <w:rPr>
          <w:sz w:val="20"/>
          <w:szCs w:val="20"/>
          <w:color w:val="auto"/>
        </w:rPr>
      </w:pPr>
    </w:p>
    <w:p>
      <w:pPr>
        <w:jc w:val="both"/>
        <w:ind w:right="3199" w:firstLine="265"/>
        <w:spacing w:after="0" w:line="263" w:lineRule="auto"/>
        <w:rPr>
          <w:sz w:val="20"/>
          <w:szCs w:val="20"/>
          <w:color w:val="auto"/>
        </w:rPr>
      </w:pPr>
      <w:r>
        <w:rPr>
          <w:rFonts w:ascii="Times New Roman" w:cs="Times New Roman" w:eastAsia="Times New Roman" w:hAnsi="Times New Roman"/>
          <w:sz w:val="13"/>
          <w:szCs w:val="13"/>
          <w:color w:val="auto"/>
        </w:rPr>
        <w:t>The Market Value Rate is the Constant Maturity Treasury (CMT) rate with a maturity equal to that of the Term. If a maturity of the CMT rate is not available that equals the Term, then the Market Value Rate will be linearly interpolated between the two closest available CMT maturities. The Market Value Rate will apply on a uniform basis for a class of Contract Owners in the same Shield Option and will be administered in a uniform and non-discriminatory manner.</w:t>
      </w:r>
    </w:p>
    <w:p>
      <w:pPr>
        <w:spacing w:after="0" w:line="54" w:lineRule="exact"/>
        <w:rPr>
          <w:sz w:val="20"/>
          <w:szCs w:val="20"/>
          <w:color w:val="auto"/>
        </w:rPr>
      </w:pPr>
    </w:p>
    <w:p>
      <w:pPr>
        <w:jc w:val="both"/>
        <w:ind w:right="3199" w:firstLine="263"/>
        <w:spacing w:after="0" w:line="260" w:lineRule="auto"/>
        <w:tabs>
          <w:tab w:leader="none" w:pos="408"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Derivative Asset Proxy is meant to represent an estimation of the market value of the possibility of gain or loss on the Term End Date. The value may be positive or negative. For each Shield Option, we solely designate and value options using the Black-Scholes Model, each of which is tied to the performance of the underlying Index associated with the Shield Option. We use derivatives to provide an estimate of the gain or loss on the Investment Amount allocated to the Shield Option that could occur on the Term End Date. This estimate also reflects the impact of the Cap Rate, Step Rate, Edge Rate, and Shield Rate at the end of the Term as well as the estimated cost of exiting the replicating options prior to the Term End Date.</w:t>
      </w:r>
    </w:p>
    <w:p>
      <w:pPr>
        <w:spacing w:after="0" w:line="57" w:lineRule="exact"/>
        <w:rPr>
          <w:sz w:val="20"/>
          <w:szCs w:val="20"/>
          <w:color w:val="auto"/>
        </w:rPr>
      </w:pPr>
    </w:p>
    <w:p>
      <w:pPr>
        <w:jc w:val="both"/>
        <w:ind w:right="3199" w:firstLine="265"/>
        <w:spacing w:after="0" w:line="263" w:lineRule="auto"/>
        <w:rPr>
          <w:sz w:val="20"/>
          <w:szCs w:val="20"/>
          <w:color w:val="auto"/>
        </w:rPr>
      </w:pPr>
      <w:r>
        <w:rPr>
          <w:rFonts w:ascii="Times New Roman" w:cs="Times New Roman" w:eastAsia="Times New Roman" w:hAnsi="Times New Roman"/>
          <w:sz w:val="13"/>
          <w:szCs w:val="13"/>
          <w:color w:val="auto"/>
        </w:rPr>
        <w:t>The valuation of the options is based on the Black-Scholes Model, which is one of the standard methods for valuing derivatives based on inputs from third party vendors. The methodology used to value these options is determined solely by us and may vary, higher or lower, from other estimated valuations or the actual selling price of identical derivatives. Any variance between our estimated fair value price and other estimated or actual prices may be different from Shield Option type to Shield Option type and may also change from day to day.</w:t>
      </w:r>
    </w:p>
    <w:p>
      <w:pPr>
        <w:spacing w:after="0" w:line="54" w:lineRule="exact"/>
        <w:rPr>
          <w:sz w:val="20"/>
          <w:szCs w:val="20"/>
          <w:color w:val="auto"/>
        </w:rPr>
      </w:pPr>
    </w:p>
    <w:p>
      <w:pPr>
        <w:jc w:val="both"/>
        <w:ind w:right="3199" w:firstLine="265"/>
        <w:spacing w:after="0" w:line="290" w:lineRule="auto"/>
        <w:rPr>
          <w:sz w:val="20"/>
          <w:szCs w:val="20"/>
          <w:color w:val="auto"/>
        </w:rPr>
      </w:pPr>
      <w:r>
        <w:rPr>
          <w:rFonts w:ascii="Times New Roman" w:cs="Times New Roman" w:eastAsia="Times New Roman" w:hAnsi="Times New Roman"/>
          <w:sz w:val="13"/>
          <w:szCs w:val="13"/>
          <w:color w:val="auto"/>
        </w:rPr>
        <w:t>There are many external factors that may impact the Interim Value including changes in the Indices, changes in the interest rate environment, and volatility.</w:t>
      </w:r>
    </w:p>
    <w:p>
      <w:pPr>
        <w:spacing w:after="0" w:line="36" w:lineRule="exact"/>
        <w:rPr>
          <w:sz w:val="20"/>
          <w:szCs w:val="20"/>
          <w:color w:val="auto"/>
        </w:rPr>
      </w:pPr>
    </w:p>
    <w:p>
      <w:pPr>
        <w:jc w:val="both"/>
        <w:ind w:right="3199" w:firstLine="265"/>
        <w:spacing w:after="0" w:line="272" w:lineRule="auto"/>
        <w:rPr>
          <w:sz w:val="20"/>
          <w:szCs w:val="20"/>
          <w:color w:val="auto"/>
        </w:rPr>
      </w:pPr>
      <w:r>
        <w:rPr>
          <w:rFonts w:ascii="Times New Roman" w:cs="Times New Roman" w:eastAsia="Times New Roman" w:hAnsi="Times New Roman"/>
          <w:sz w:val="13"/>
          <w:szCs w:val="13"/>
          <w:color w:val="auto"/>
        </w:rPr>
        <w:t>When we calculate the Interim Value, we will obtain market data for derivative pricing each Business Day from outside vendors. If these values are available and we are delayed in receiving these values, and cannot calculate a new Interim Value, we will use the prior Business Day’s Interim Value.</w:t>
      </w:r>
    </w:p>
    <w:p>
      <w:pPr>
        <w:spacing w:after="0" w:line="47" w:lineRule="exact"/>
        <w:rPr>
          <w:sz w:val="20"/>
          <w:szCs w:val="20"/>
          <w:color w:val="auto"/>
        </w:rPr>
      </w:pPr>
    </w:p>
    <w:p>
      <w:pPr>
        <w:jc w:val="both"/>
        <w:ind w:right="3199" w:firstLine="265"/>
        <w:spacing w:after="0" w:line="290" w:lineRule="auto"/>
        <w:rPr>
          <w:sz w:val="20"/>
          <w:szCs w:val="20"/>
          <w:color w:val="auto"/>
        </w:rPr>
      </w:pPr>
      <w:r>
        <w:rPr>
          <w:rFonts w:ascii="Times New Roman" w:cs="Times New Roman" w:eastAsia="Times New Roman" w:hAnsi="Times New Roman"/>
          <w:sz w:val="13"/>
          <w:szCs w:val="13"/>
          <w:color w:val="auto"/>
        </w:rPr>
        <w:t>Detailed information on the Interim Value calculation and examples can be found in the Statement of Additional Information (“SAI”) that accompanies this prospectus.</w:t>
      </w:r>
    </w:p>
    <w:p>
      <w:pPr>
        <w:spacing w:after="0" w:line="17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color w:val="auto"/>
        </w:rPr>
        <w:t>39</w:t>
      </w:r>
    </w:p>
    <w:p>
      <w:pPr>
        <w:sectPr>
          <w:pgSz w:w="11900" w:h="16838" w:orient="portrait"/>
          <w:cols w:equalWidth="0" w:num="1">
            <w:col w:w="9259"/>
          </w:cols>
          <w:pgMar w:left="1200" w:top="1049" w:right="1440" w:bottom="1440" w:gutter="0" w:footer="0" w:header="0"/>
        </w:sectPr>
      </w:pPr>
    </w:p>
    <w:bookmarkStart w:id="41" w:name="page42"/>
    <w:bookmarkEnd w:id="41"/>
    <w:p>
      <w:pPr>
        <w:jc w:val="both"/>
        <w:ind w:right="3179" w:firstLine="265"/>
        <w:spacing w:after="0" w:line="25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93915" cy="38100"/>
                    </a:xfrm>
                    <a:prstGeom prst="rect">
                      <a:avLst/>
                    </a:prstGeom>
                    <a:noFill/>
                  </pic:spPr>
                </pic:pic>
              </a:graphicData>
            </a:graphic>
          </wp:anchor>
        </w:drawing>
        <w:t>The Interim Value calculated may be less than the Investment Amount at the time the Interim Value is calculated even if the current Index Value is higher than it was on the Term Start Date. Additionally, the Shield Rate and the Rate Crediting Type only apply to amounts held in the Shield Option until the Term End Date. This means that the Interim Value does not receive the protection from loss provided by the Shield Rate, or the application of the Rate Crediting Type. The Interim Value could be more or less than the amount you would receive had you held the investment until the Term End Date, after the Performance Rate Adjustment. As a result, there could be less money available under your Contract for withdrawals, Surrenders, death benefit payments, and annuitization. A negative Interim Value could result in a loss beyond the protection of the Shield Rate. In extreme circumstances, you could lose up to 100% of the value of the Shield Option if you exercise the Performance Lock, or if you make a withdrawal, Surrender, or otherwise remove amounts from the Shield Options before the Term End Date.</w:t>
      </w:r>
    </w:p>
    <w:p>
      <w:pPr>
        <w:spacing w:after="0" w:line="216" w:lineRule="exact"/>
        <w:rPr>
          <w:sz w:val="20"/>
          <w:szCs w:val="20"/>
          <w:color w:val="auto"/>
        </w:rPr>
      </w:pPr>
    </w:p>
    <w:p>
      <w:pPr>
        <w:jc w:val="both"/>
        <w:ind w:right="3199" w:firstLine="265"/>
        <w:spacing w:after="0" w:line="259" w:lineRule="auto"/>
        <w:rPr>
          <w:sz w:val="20"/>
          <w:szCs w:val="20"/>
          <w:color w:val="auto"/>
        </w:rPr>
      </w:pPr>
      <w:r>
        <w:rPr>
          <w:rFonts w:ascii="Times New Roman" w:cs="Times New Roman" w:eastAsia="Times New Roman" w:hAnsi="Times New Roman"/>
          <w:sz w:val="13"/>
          <w:szCs w:val="13"/>
          <w:b w:val="1"/>
          <w:bCs w:val="1"/>
          <w:color w:val="auto"/>
        </w:rPr>
        <w:t xml:space="preserve">If you have not exercised the Performance Lock, the withdrawal amount (including any applicable Withdrawal Charge) will reduce the Investment Amount for each Shield Option by the percentage reduction in the Interim Value of such Shield Option (i.e. a proportional reduction). Accordingly, when the Interim Value is </w:t>
      </w:r>
      <w:r>
        <w:rPr>
          <w:rFonts w:ascii="Times New Roman" w:cs="Times New Roman" w:eastAsia="Times New Roman" w:hAnsi="Times New Roman"/>
          <w:sz w:val="13"/>
          <w:szCs w:val="13"/>
          <w:b w:val="1"/>
          <w:bCs w:val="1"/>
          <w:i w:val="1"/>
          <w:iCs w:val="1"/>
          <w:color w:val="auto"/>
        </w:rPr>
        <w:t>less</w:t>
      </w:r>
      <w:r>
        <w:rPr>
          <w:rFonts w:ascii="Times New Roman" w:cs="Times New Roman" w:eastAsia="Times New Roman" w:hAnsi="Times New Roman"/>
          <w:sz w:val="13"/>
          <w:szCs w:val="13"/>
          <w:b w:val="1"/>
          <w:bCs w:val="1"/>
          <w:color w:val="auto"/>
        </w:rPr>
        <w:t xml:space="preserve"> than the Investment Amount, the reduction to the Shield Option is on a more than dollar for dollar basis. On the other hand, when the Interim Value is </w:t>
      </w:r>
      <w:r>
        <w:rPr>
          <w:rFonts w:ascii="Times New Roman" w:cs="Times New Roman" w:eastAsia="Times New Roman" w:hAnsi="Times New Roman"/>
          <w:sz w:val="13"/>
          <w:szCs w:val="13"/>
          <w:b w:val="1"/>
          <w:bCs w:val="1"/>
          <w:i w:val="1"/>
          <w:iCs w:val="1"/>
          <w:color w:val="auto"/>
        </w:rPr>
        <w:t>greater</w:t>
      </w:r>
      <w:r>
        <w:rPr>
          <w:rFonts w:ascii="Times New Roman" w:cs="Times New Roman" w:eastAsia="Times New Roman" w:hAnsi="Times New Roman"/>
          <w:sz w:val="13"/>
          <w:szCs w:val="13"/>
          <w:b w:val="1"/>
          <w:bCs w:val="1"/>
          <w:color w:val="auto"/>
        </w:rPr>
        <w:t xml:space="preserve"> than the Investment Amount, the reduction to the Shield Option is on a less than dollar for dollar basis. The remaining Investment Amount after a withdrawal will be used as the new Investment Amount for the Term until the Term End Date or the next Interim Value calculation for that Shield Option. To see how a withdrawal impacts the Performance Lock Value, see “PERFORMANCE LOCK”.</w:t>
      </w:r>
    </w:p>
    <w:p>
      <w:pPr>
        <w:spacing w:after="0" w:line="58" w:lineRule="exact"/>
        <w:rPr>
          <w:sz w:val="20"/>
          <w:szCs w:val="20"/>
          <w:color w:val="auto"/>
        </w:rPr>
      </w:pPr>
    </w:p>
    <w:p>
      <w:pPr>
        <w:jc w:val="both"/>
        <w:ind w:right="3199" w:firstLine="265"/>
        <w:spacing w:after="0" w:line="261" w:lineRule="auto"/>
        <w:rPr>
          <w:sz w:val="20"/>
          <w:szCs w:val="20"/>
          <w:color w:val="auto"/>
        </w:rPr>
      </w:pPr>
      <w:r>
        <w:rPr>
          <w:rFonts w:ascii="Times New Roman" w:cs="Times New Roman" w:eastAsia="Times New Roman" w:hAnsi="Times New Roman"/>
          <w:sz w:val="13"/>
          <w:szCs w:val="13"/>
          <w:color w:val="auto"/>
        </w:rPr>
        <w:t xml:space="preserve">Reductions to the Investment Amount will reduce the Interim Value for that Shield Option for the remainder of the Term, and, as a result, the positive interest, if any, credited to the remaining Investment Amount on the Term End Date will be less than if you had not taken a withdrawal. </w:t>
      </w:r>
      <w:r>
        <w:rPr>
          <w:rFonts w:ascii="Times New Roman" w:cs="Times New Roman" w:eastAsia="Times New Roman" w:hAnsi="Times New Roman"/>
          <w:sz w:val="13"/>
          <w:szCs w:val="13"/>
          <w:b w:val="1"/>
          <w:bCs w:val="1"/>
          <w:color w:val="auto"/>
        </w:rPr>
        <w:t>Withdrawals and deductions from the</w:t>
      </w:r>
    </w:p>
    <w:p>
      <w:pPr>
        <w:spacing w:after="0" w:line="2" w:lineRule="exact"/>
        <w:rPr>
          <w:sz w:val="20"/>
          <w:szCs w:val="20"/>
          <w:color w:val="auto"/>
        </w:rPr>
      </w:pPr>
    </w:p>
    <w:p>
      <w:pPr>
        <w:jc w:val="both"/>
        <w:ind w:right="3199"/>
        <w:spacing w:after="0" w:line="262" w:lineRule="auto"/>
        <w:rPr>
          <w:sz w:val="20"/>
          <w:szCs w:val="20"/>
          <w:color w:val="auto"/>
        </w:rPr>
      </w:pPr>
      <w:r>
        <w:rPr>
          <w:rFonts w:ascii="Times New Roman" w:cs="Times New Roman" w:eastAsia="Times New Roman" w:hAnsi="Times New Roman"/>
          <w:sz w:val="13"/>
          <w:szCs w:val="13"/>
          <w:b w:val="1"/>
          <w:bCs w:val="1"/>
          <w:color w:val="auto"/>
        </w:rPr>
        <w:t>Shield Options prior to the Term End Date, such as systematic withdrawals and RMDs, may have an adverse effect on the values and benefits under your Contract. If you intend to make such ongoing withdrawals, you should consult with a financial professional about whether this Contract is appropriate for you.</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Withdrawal Charge</w:t>
      </w:r>
    </w:p>
    <w:p>
      <w:pPr>
        <w:spacing w:after="0" w:line="91" w:lineRule="exact"/>
        <w:rPr>
          <w:sz w:val="20"/>
          <w:szCs w:val="20"/>
          <w:color w:val="auto"/>
        </w:rPr>
      </w:pPr>
    </w:p>
    <w:p>
      <w:pPr>
        <w:jc w:val="both"/>
        <w:ind w:right="3199" w:firstLine="265"/>
        <w:spacing w:after="0" w:line="272" w:lineRule="auto"/>
        <w:rPr>
          <w:sz w:val="20"/>
          <w:szCs w:val="20"/>
          <w:color w:val="auto"/>
        </w:rPr>
      </w:pPr>
      <w:r>
        <w:rPr>
          <w:rFonts w:ascii="Times New Roman" w:cs="Times New Roman" w:eastAsia="Times New Roman" w:hAnsi="Times New Roman"/>
          <w:sz w:val="13"/>
          <w:szCs w:val="13"/>
          <w:color w:val="auto"/>
        </w:rPr>
        <w:t>We impose a Withdrawal Charge to reimburse us for contract sales expenses, including commissions and other distribution, promotion, and acquisition expenses. During the Accumulation Period, you can make a partial or complete withdrawal from your Contract.</w:t>
      </w:r>
    </w:p>
    <w:p>
      <w:pPr>
        <w:spacing w:after="0" w:line="47" w:lineRule="exact"/>
        <w:rPr>
          <w:sz w:val="20"/>
          <w:szCs w:val="20"/>
          <w:color w:val="auto"/>
        </w:rPr>
      </w:pPr>
    </w:p>
    <w:p>
      <w:pPr>
        <w:jc w:val="both"/>
        <w:ind w:right="3199" w:firstLine="265"/>
        <w:spacing w:after="0" w:line="290" w:lineRule="auto"/>
        <w:rPr>
          <w:sz w:val="20"/>
          <w:szCs w:val="20"/>
          <w:color w:val="auto"/>
        </w:rPr>
      </w:pPr>
      <w:r>
        <w:rPr>
          <w:rFonts w:ascii="Times New Roman" w:cs="Times New Roman" w:eastAsia="Times New Roman" w:hAnsi="Times New Roman"/>
          <w:sz w:val="13"/>
          <w:szCs w:val="13"/>
          <w:color w:val="auto"/>
        </w:rPr>
        <w:t>The Withdrawal Charge is a percentage that is applied to any amount that is withdrawn from the Account Value in a Contract Year in excess of the Free Withdrawal Amount.</w:t>
      </w:r>
    </w:p>
    <w:p>
      <w:pPr>
        <w:spacing w:after="0" w:line="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The Withdrawal Charge is calculated at the time of each withdrawal in accordance with the following:</w:t>
      </w:r>
    </w:p>
    <w:p>
      <w:pPr>
        <w:spacing w:after="0" w:line="162" w:lineRule="exact"/>
        <w:rPr>
          <w:sz w:val="20"/>
          <w:szCs w:val="20"/>
          <w:color w:val="auto"/>
        </w:rPr>
      </w:pPr>
    </w:p>
    <w:tbl>
      <w:tblPr>
        <w:tblLayout w:type="fixed"/>
        <w:tblInd w:w="1460" w:type="dxa"/>
        <w:tblCellMar>
          <w:top w:w="0" w:type="dxa"/>
          <w:left w:w="0" w:type="dxa"/>
          <w:bottom w:w="0" w:type="dxa"/>
          <w:right w:w="0" w:type="dxa"/>
        </w:tblCellMar>
      </w:tblPr>
      <w:tr>
        <w:trPr>
          <w:trHeight w:val="129"/>
        </w:trPr>
        <w:tc>
          <w:tcPr>
            <w:tcW w:w="18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Number of Complete Contract</w:t>
            </w: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18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Years since Issue Date</w:t>
            </w:r>
          </w:p>
        </w:tc>
        <w:tc>
          <w:tcPr>
            <w:tcW w:w="14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w w:val="94"/>
              </w:rPr>
              <w:t>Withdrawal Charge percentage</w:t>
            </w:r>
          </w:p>
        </w:tc>
      </w:tr>
      <w:tr>
        <w:trPr>
          <w:trHeight w:val="28"/>
        </w:trPr>
        <w:tc>
          <w:tcPr>
            <w:tcW w:w="1220" w:type="dxa"/>
            <w:vAlign w:val="bottom"/>
            <w:tcBorders>
              <w:top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18"/>
        </w:trPr>
        <w:tc>
          <w:tcPr>
            <w:tcW w:w="1220" w:type="dxa"/>
            <w:vAlign w:val="bottom"/>
            <w:tcBorders>
              <w:bottom w:val="single" w:sz="8" w:color="F0FFFF"/>
            </w:tcBorders>
            <w:shd w:val="clear" w:color="auto" w:fill="F0FFFF"/>
          </w:tcPr>
          <w:p>
            <w:pPr>
              <w:ind w:left="120"/>
              <w:spacing w:after="0"/>
              <w:rPr>
                <w:sz w:val="20"/>
                <w:szCs w:val="20"/>
                <w:color w:val="auto"/>
              </w:rPr>
            </w:pPr>
            <w:r>
              <w:rPr>
                <w:rFonts w:ascii="Times New Roman" w:cs="Times New Roman" w:eastAsia="Times New Roman" w:hAnsi="Times New Roman"/>
                <w:sz w:val="13"/>
                <w:szCs w:val="13"/>
                <w:color w:val="auto"/>
              </w:rPr>
              <w:t>0</w:t>
            </w:r>
          </w:p>
        </w:tc>
        <w:tc>
          <w:tcPr>
            <w:tcW w:w="640" w:type="dxa"/>
            <w:vAlign w:val="bottom"/>
            <w:tcBorders>
              <w:bottom w:val="single" w:sz="8" w:color="F0FFFF"/>
            </w:tcBorders>
            <w:shd w:val="clear" w:color="auto" w:fill="F0FFFF"/>
          </w:tcPr>
          <w:p>
            <w:pPr>
              <w:spacing w:after="0"/>
              <w:rPr>
                <w:sz w:val="18"/>
                <w:szCs w:val="18"/>
                <w:color w:val="auto"/>
              </w:rPr>
            </w:pPr>
          </w:p>
        </w:tc>
        <w:tc>
          <w:tcPr>
            <w:tcW w:w="1300" w:type="dxa"/>
            <w:vAlign w:val="bottom"/>
            <w:tcBorders>
              <w:bottom w:val="single" w:sz="8" w:color="F0FFFF"/>
            </w:tcBorders>
            <w:shd w:val="clear" w:color="auto" w:fill="F0FFFF"/>
          </w:tcPr>
          <w:p>
            <w:pPr>
              <w:jc w:val="right"/>
              <w:ind w:right="496"/>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8"/>
                <w:szCs w:val="18"/>
                <w:color w:val="auto"/>
              </w:rPr>
            </w:pPr>
          </w:p>
        </w:tc>
      </w:tr>
      <w:tr>
        <w:trPr>
          <w:trHeight w:val="199"/>
        </w:trPr>
        <w:tc>
          <w:tcPr>
            <w:tcW w:w="1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1</w:t>
            </w:r>
          </w:p>
        </w:tc>
        <w:tc>
          <w:tcPr>
            <w:tcW w:w="640" w:type="dxa"/>
            <w:vAlign w:val="bottom"/>
          </w:tcPr>
          <w:p>
            <w:pPr>
              <w:spacing w:after="0"/>
              <w:rPr>
                <w:sz w:val="17"/>
                <w:szCs w:val="17"/>
                <w:color w:val="auto"/>
              </w:rPr>
            </w:pPr>
          </w:p>
        </w:tc>
        <w:tc>
          <w:tcPr>
            <w:tcW w:w="1300" w:type="dxa"/>
            <w:vAlign w:val="bottom"/>
          </w:tcPr>
          <w:p>
            <w:pPr>
              <w:jc w:val="right"/>
              <w:ind w:right="496"/>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7"/>
                <w:szCs w:val="17"/>
                <w:color w:val="auto"/>
              </w:rPr>
            </w:pPr>
          </w:p>
        </w:tc>
      </w:tr>
      <w:tr>
        <w:trPr>
          <w:trHeight w:val="39"/>
        </w:trPr>
        <w:tc>
          <w:tcPr>
            <w:tcW w:w="1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18"/>
        </w:trPr>
        <w:tc>
          <w:tcPr>
            <w:tcW w:w="1220" w:type="dxa"/>
            <w:vAlign w:val="bottom"/>
            <w:tcBorders>
              <w:bottom w:val="single" w:sz="8" w:color="F0FFFF"/>
            </w:tcBorders>
            <w:shd w:val="clear" w:color="auto" w:fill="F0FFFF"/>
          </w:tcPr>
          <w:p>
            <w:pPr>
              <w:ind w:left="120"/>
              <w:spacing w:after="0"/>
              <w:rPr>
                <w:sz w:val="20"/>
                <w:szCs w:val="20"/>
                <w:color w:val="auto"/>
              </w:rPr>
            </w:pPr>
            <w:r>
              <w:rPr>
                <w:rFonts w:ascii="Times New Roman" w:cs="Times New Roman" w:eastAsia="Times New Roman" w:hAnsi="Times New Roman"/>
                <w:sz w:val="13"/>
                <w:szCs w:val="13"/>
                <w:color w:val="auto"/>
              </w:rPr>
              <w:t>2</w:t>
            </w:r>
          </w:p>
        </w:tc>
        <w:tc>
          <w:tcPr>
            <w:tcW w:w="640" w:type="dxa"/>
            <w:vAlign w:val="bottom"/>
            <w:tcBorders>
              <w:bottom w:val="single" w:sz="8" w:color="F0FFFF"/>
            </w:tcBorders>
            <w:shd w:val="clear" w:color="auto" w:fill="F0FFFF"/>
          </w:tcPr>
          <w:p>
            <w:pPr>
              <w:spacing w:after="0"/>
              <w:rPr>
                <w:sz w:val="18"/>
                <w:szCs w:val="18"/>
                <w:color w:val="auto"/>
              </w:rPr>
            </w:pPr>
          </w:p>
        </w:tc>
        <w:tc>
          <w:tcPr>
            <w:tcW w:w="1300" w:type="dxa"/>
            <w:vAlign w:val="bottom"/>
            <w:tcBorders>
              <w:bottom w:val="single" w:sz="8" w:color="F0FFFF"/>
            </w:tcBorders>
            <w:shd w:val="clear" w:color="auto" w:fill="F0FFFF"/>
          </w:tcPr>
          <w:p>
            <w:pPr>
              <w:jc w:val="right"/>
              <w:ind w:right="496"/>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8"/>
                <w:szCs w:val="18"/>
                <w:color w:val="auto"/>
              </w:rPr>
            </w:pPr>
          </w:p>
        </w:tc>
      </w:tr>
      <w:tr>
        <w:trPr>
          <w:trHeight w:val="199"/>
        </w:trPr>
        <w:tc>
          <w:tcPr>
            <w:tcW w:w="1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3</w:t>
            </w:r>
          </w:p>
        </w:tc>
        <w:tc>
          <w:tcPr>
            <w:tcW w:w="640" w:type="dxa"/>
            <w:vAlign w:val="bottom"/>
          </w:tcPr>
          <w:p>
            <w:pPr>
              <w:spacing w:after="0"/>
              <w:rPr>
                <w:sz w:val="17"/>
                <w:szCs w:val="17"/>
                <w:color w:val="auto"/>
              </w:rPr>
            </w:pPr>
          </w:p>
        </w:tc>
        <w:tc>
          <w:tcPr>
            <w:tcW w:w="1300" w:type="dxa"/>
            <w:vAlign w:val="bottom"/>
          </w:tcPr>
          <w:p>
            <w:pPr>
              <w:jc w:val="right"/>
              <w:ind w:right="496"/>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7"/>
                <w:szCs w:val="17"/>
                <w:color w:val="auto"/>
              </w:rPr>
            </w:pPr>
          </w:p>
        </w:tc>
      </w:tr>
      <w:tr>
        <w:trPr>
          <w:trHeight w:val="39"/>
        </w:trPr>
        <w:tc>
          <w:tcPr>
            <w:tcW w:w="1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18"/>
        </w:trPr>
        <w:tc>
          <w:tcPr>
            <w:tcW w:w="1220" w:type="dxa"/>
            <w:vAlign w:val="bottom"/>
            <w:tcBorders>
              <w:bottom w:val="single" w:sz="8" w:color="F0FFFF"/>
            </w:tcBorders>
            <w:shd w:val="clear" w:color="auto" w:fill="F0FFFF"/>
          </w:tcPr>
          <w:p>
            <w:pPr>
              <w:ind w:left="120"/>
              <w:spacing w:after="0"/>
              <w:rPr>
                <w:sz w:val="20"/>
                <w:szCs w:val="20"/>
                <w:color w:val="auto"/>
              </w:rPr>
            </w:pPr>
            <w:r>
              <w:rPr>
                <w:rFonts w:ascii="Times New Roman" w:cs="Times New Roman" w:eastAsia="Times New Roman" w:hAnsi="Times New Roman"/>
                <w:sz w:val="13"/>
                <w:szCs w:val="13"/>
                <w:color w:val="auto"/>
              </w:rPr>
              <w:t>4</w:t>
            </w:r>
          </w:p>
        </w:tc>
        <w:tc>
          <w:tcPr>
            <w:tcW w:w="640" w:type="dxa"/>
            <w:vAlign w:val="bottom"/>
            <w:tcBorders>
              <w:bottom w:val="single" w:sz="8" w:color="F0FFFF"/>
            </w:tcBorders>
            <w:shd w:val="clear" w:color="auto" w:fill="F0FFFF"/>
          </w:tcPr>
          <w:p>
            <w:pPr>
              <w:spacing w:after="0"/>
              <w:rPr>
                <w:sz w:val="18"/>
                <w:szCs w:val="18"/>
                <w:color w:val="auto"/>
              </w:rPr>
            </w:pPr>
          </w:p>
        </w:tc>
        <w:tc>
          <w:tcPr>
            <w:tcW w:w="1300" w:type="dxa"/>
            <w:vAlign w:val="bottom"/>
            <w:tcBorders>
              <w:bottom w:val="single" w:sz="8" w:color="F0FFFF"/>
            </w:tcBorders>
            <w:shd w:val="clear" w:color="auto" w:fill="F0FFFF"/>
          </w:tcPr>
          <w:p>
            <w:pPr>
              <w:jc w:val="right"/>
              <w:ind w:right="496"/>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8"/>
                <w:szCs w:val="18"/>
                <w:color w:val="auto"/>
              </w:rPr>
            </w:pPr>
          </w:p>
        </w:tc>
      </w:tr>
      <w:tr>
        <w:trPr>
          <w:trHeight w:val="199"/>
        </w:trPr>
        <w:tc>
          <w:tcPr>
            <w:tcW w:w="1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5</w:t>
            </w:r>
          </w:p>
        </w:tc>
        <w:tc>
          <w:tcPr>
            <w:tcW w:w="640" w:type="dxa"/>
            <w:vAlign w:val="bottom"/>
          </w:tcPr>
          <w:p>
            <w:pPr>
              <w:spacing w:after="0"/>
              <w:rPr>
                <w:sz w:val="17"/>
                <w:szCs w:val="17"/>
                <w:color w:val="auto"/>
              </w:rPr>
            </w:pPr>
          </w:p>
        </w:tc>
        <w:tc>
          <w:tcPr>
            <w:tcW w:w="1300" w:type="dxa"/>
            <w:vAlign w:val="bottom"/>
          </w:tcPr>
          <w:p>
            <w:pPr>
              <w:jc w:val="right"/>
              <w:ind w:right="496"/>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7"/>
                <w:szCs w:val="17"/>
                <w:color w:val="auto"/>
              </w:rPr>
            </w:pPr>
          </w:p>
        </w:tc>
      </w:tr>
      <w:tr>
        <w:trPr>
          <w:trHeight w:val="39"/>
        </w:trPr>
        <w:tc>
          <w:tcPr>
            <w:tcW w:w="1860" w:type="dxa"/>
            <w:vAlign w:val="bottom"/>
            <w:gridSpan w:val="2"/>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98"/>
        </w:trPr>
        <w:tc>
          <w:tcPr>
            <w:tcW w:w="1860" w:type="dxa"/>
            <w:vAlign w:val="bottom"/>
            <w:gridSpan w:val="2"/>
            <w:shd w:val="clear" w:color="auto" w:fill="F0FFFF"/>
          </w:tcPr>
          <w:p>
            <w:pPr>
              <w:ind w:left="120"/>
              <w:spacing w:after="0"/>
              <w:rPr>
                <w:sz w:val="20"/>
                <w:szCs w:val="20"/>
                <w:color w:val="auto"/>
              </w:rPr>
            </w:pPr>
            <w:r>
              <w:rPr>
                <w:rFonts w:ascii="Times New Roman" w:cs="Times New Roman" w:eastAsia="Times New Roman" w:hAnsi="Times New Roman"/>
                <w:sz w:val="13"/>
                <w:szCs w:val="13"/>
                <w:color w:val="auto"/>
              </w:rPr>
              <w:t>6 or more</w:t>
            </w:r>
          </w:p>
        </w:tc>
        <w:tc>
          <w:tcPr>
            <w:tcW w:w="1300" w:type="dxa"/>
            <w:vAlign w:val="bottom"/>
            <w:shd w:val="clear" w:color="auto" w:fill="F0FFFF"/>
          </w:tcPr>
          <w:p>
            <w:pPr>
              <w:jc w:val="right"/>
              <w:ind w:right="496"/>
              <w:spacing w:after="0"/>
              <w:rPr>
                <w:sz w:val="20"/>
                <w:szCs w:val="20"/>
                <w:color w:val="auto"/>
              </w:rPr>
            </w:pPr>
            <w:r>
              <w:rPr>
                <w:rFonts w:ascii="Times New Roman" w:cs="Times New Roman" w:eastAsia="Times New Roman" w:hAnsi="Times New Roman"/>
                <w:sz w:val="13"/>
                <w:szCs w:val="13"/>
                <w:color w:val="auto"/>
              </w:rPr>
              <w:t>0%</w:t>
            </w:r>
          </w:p>
        </w:tc>
        <w:tc>
          <w:tcPr>
            <w:tcW w:w="120" w:type="dxa"/>
            <w:vAlign w:val="bottom"/>
          </w:tcPr>
          <w:p>
            <w:pPr>
              <w:spacing w:after="0"/>
              <w:rPr>
                <w:sz w:val="17"/>
                <w:szCs w:val="17"/>
                <w:color w:val="auto"/>
              </w:rPr>
            </w:pPr>
          </w:p>
        </w:tc>
      </w:tr>
    </w:tbl>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color w:val="auto"/>
        </w:rPr>
        <w:t xml:space="preserve">Note: </w:t>
      </w:r>
      <w:r>
        <w:rPr>
          <w:rFonts w:ascii="Times New Roman" w:cs="Times New Roman" w:eastAsia="Times New Roman" w:hAnsi="Times New Roman"/>
          <w:sz w:val="13"/>
          <w:szCs w:val="13"/>
          <w:color w:val="auto"/>
        </w:rPr>
        <w:t>For tax purposes, earnings from Non-Qualified Contracts are generally considered to come out first.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When No Withdrawal Charge Applies</w:t>
      </w:r>
    </w:p>
    <w:p>
      <w:pPr>
        <w:spacing w:after="0" w:line="91" w:lineRule="exact"/>
        <w:rPr>
          <w:sz w:val="20"/>
          <w:szCs w:val="20"/>
          <w:color w:val="auto"/>
        </w:rPr>
      </w:pPr>
    </w:p>
    <w:p>
      <w:pPr>
        <w:ind w:right="3199" w:firstLine="265"/>
        <w:spacing w:after="0" w:line="290" w:lineRule="auto"/>
        <w:rPr>
          <w:sz w:val="20"/>
          <w:szCs w:val="20"/>
          <w:color w:val="auto"/>
        </w:rPr>
      </w:pPr>
      <w:r>
        <w:rPr>
          <w:rFonts w:ascii="Times New Roman" w:cs="Times New Roman" w:eastAsia="Times New Roman" w:hAnsi="Times New Roman"/>
          <w:sz w:val="13"/>
          <w:szCs w:val="13"/>
          <w:color w:val="auto"/>
        </w:rPr>
        <w:t>In some cases we will not charge you the Withdrawal Charge when you make a withdrawal. We may, however, ask you to prove that you meet any of the following conditions:</w:t>
      </w:r>
    </w:p>
    <w:p>
      <w:pPr>
        <w:spacing w:after="0" w:line="65" w:lineRule="exact"/>
        <w:rPr>
          <w:sz w:val="20"/>
          <w:szCs w:val="20"/>
          <w:color w:val="auto"/>
        </w:rPr>
      </w:pPr>
    </w:p>
    <w:p>
      <w:pPr>
        <w:ind w:left="780" w:hanging="517"/>
        <w:spacing w:after="0"/>
        <w:tabs>
          <w:tab w:leader="none" w:pos="78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Maturity of the Contract;</w:t>
      </w:r>
    </w:p>
    <w:p>
      <w:pPr>
        <w:spacing w:after="0" w:line="118" w:lineRule="exact"/>
        <w:rPr>
          <w:rFonts w:ascii="Times New Roman" w:cs="Times New Roman" w:eastAsia="Times New Roman" w:hAnsi="Times New Roman"/>
          <w:sz w:val="13"/>
          <w:szCs w:val="13"/>
          <w:color w:val="auto"/>
        </w:rPr>
      </w:pPr>
    </w:p>
    <w:p>
      <w:pPr>
        <w:ind w:left="780" w:hanging="517"/>
        <w:spacing w:after="0"/>
        <w:tabs>
          <w:tab w:leader="none" w:pos="78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Payment of the death benefit;</w:t>
      </w:r>
    </w:p>
    <w:p>
      <w:pPr>
        <w:spacing w:after="0" w:line="118" w:lineRule="exact"/>
        <w:rPr>
          <w:rFonts w:ascii="Times New Roman" w:cs="Times New Roman" w:eastAsia="Times New Roman" w:hAnsi="Times New Roman"/>
          <w:sz w:val="13"/>
          <w:szCs w:val="13"/>
          <w:color w:val="auto"/>
        </w:rPr>
      </w:pPr>
    </w:p>
    <w:p>
      <w:pPr>
        <w:ind w:left="780" w:hanging="517"/>
        <w:spacing w:after="0"/>
        <w:tabs>
          <w:tab w:leader="none" w:pos="78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Application of your Account Value to an Annuity Option;</w:t>
      </w:r>
    </w:p>
    <w:p>
      <w:pPr>
        <w:spacing w:after="0" w:line="108" w:lineRule="exact"/>
        <w:rPr>
          <w:rFonts w:ascii="Times New Roman" w:cs="Times New Roman" w:eastAsia="Times New Roman" w:hAnsi="Times New Roman"/>
          <w:sz w:val="13"/>
          <w:szCs w:val="13"/>
          <w:color w:val="auto"/>
        </w:rPr>
      </w:pPr>
    </w:p>
    <w:p>
      <w:pPr>
        <w:ind w:left="780" w:right="3259" w:hanging="517"/>
        <w:spacing w:after="0" w:line="265" w:lineRule="auto"/>
        <w:tabs>
          <w:tab w:leader="none" w:pos="78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withdrawal is to avoid required Federal income tax penalties or to satisfy Federal income tax rules</w:t>
      </w:r>
    </w:p>
    <w:p>
      <w:pPr>
        <w:ind w:left="260" w:right="3259"/>
        <w:spacing w:after="0" w:line="269" w:lineRule="auto"/>
        <w:rPr>
          <w:sz w:val="20"/>
          <w:szCs w:val="20"/>
          <w:color w:val="auto"/>
        </w:rPr>
      </w:pPr>
      <w:r>
        <w:rPr>
          <w:rFonts w:ascii="Times New Roman" w:cs="Times New Roman" w:eastAsia="Times New Roman" w:hAnsi="Times New Roman"/>
          <w:sz w:val="13"/>
          <w:szCs w:val="13"/>
          <w:color w:val="auto"/>
        </w:rPr>
        <w:t>concerning minimum distribution requirements that apply to your Contract, except for RMDs on a decedent Roth IRA. For</w:t>
      </w:r>
    </w:p>
    <w:p>
      <w:pPr>
        <w:spacing w:after="0" w:line="18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color w:val="auto"/>
        </w:rPr>
        <w:t>40</w:t>
      </w:r>
    </w:p>
    <w:p>
      <w:pPr>
        <w:sectPr>
          <w:pgSz w:w="11900" w:h="16838" w:orient="portrait"/>
          <w:cols w:equalWidth="0" w:num="1">
            <w:col w:w="9259"/>
          </w:cols>
          <w:pgMar w:left="1200" w:top="1049" w:right="1440" w:bottom="1440" w:gutter="0" w:footer="0" w:header="0"/>
        </w:sectPr>
      </w:pPr>
    </w:p>
    <w:bookmarkStart w:id="42" w:name="page43"/>
    <w:bookmarkEnd w:id="42"/>
    <w:p>
      <w:pPr>
        <w:ind w:left="260" w:right="3199"/>
        <w:spacing w:after="0" w:line="29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93915" cy="38100"/>
                    </a:xfrm>
                    <a:prstGeom prst="rect">
                      <a:avLst/>
                    </a:prstGeom>
                    <a:noFill/>
                  </pic:spPr>
                </pic:pic>
              </a:graphicData>
            </a:graphic>
          </wp:anchor>
        </w:drawing>
        <w:t>purposes of this exception, we assume that the Contract is the only contract or funding vehicle from which distributions are required to be taken and we will ignore all other Account Values;</w:t>
      </w:r>
    </w:p>
    <w:p>
      <w:pPr>
        <w:spacing w:after="0" w:line="65" w:lineRule="exact"/>
        <w:rPr>
          <w:sz w:val="20"/>
          <w:szCs w:val="20"/>
          <w:color w:val="auto"/>
        </w:rPr>
      </w:pPr>
    </w:p>
    <w:p>
      <w:pPr>
        <w:ind w:left="780" w:hanging="517"/>
        <w:spacing w:after="0"/>
        <w:tabs>
          <w:tab w:leader="none" w:pos="7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you properly “recharacterize” as permitted under Federal tax law your Traditional IRA Contract</w:t>
      </w:r>
    </w:p>
    <w:p>
      <w:pPr>
        <w:spacing w:after="0" w:line="22" w:lineRule="exact"/>
        <w:rPr>
          <w:sz w:val="20"/>
          <w:szCs w:val="20"/>
          <w:color w:val="auto"/>
        </w:rPr>
      </w:pPr>
    </w:p>
    <w:p>
      <w:pPr>
        <w:jc w:val="right"/>
        <w:ind w:right="7819"/>
        <w:spacing w:after="0"/>
        <w:rPr>
          <w:sz w:val="20"/>
          <w:szCs w:val="20"/>
          <w:color w:val="auto"/>
        </w:rPr>
      </w:pPr>
      <w:r>
        <w:rPr>
          <w:rFonts w:ascii="Times New Roman" w:cs="Times New Roman" w:eastAsia="Times New Roman" w:hAnsi="Times New Roman"/>
          <w:sz w:val="13"/>
          <w:szCs w:val="13"/>
          <w:color w:val="auto"/>
        </w:rPr>
        <w:t>or Roth IRA</w:t>
      </w:r>
    </w:p>
    <w:p>
      <w:pPr>
        <w:spacing w:after="0" w:line="9" w:lineRule="exact"/>
        <w:rPr>
          <w:sz w:val="20"/>
          <w:szCs w:val="20"/>
          <w:color w:val="auto"/>
        </w:rPr>
      </w:pPr>
    </w:p>
    <w:p>
      <w:pPr>
        <w:jc w:val="right"/>
        <w:ind w:right="7819"/>
        <w:spacing w:after="0"/>
        <w:rPr>
          <w:sz w:val="20"/>
          <w:szCs w:val="20"/>
          <w:color w:val="auto"/>
        </w:rPr>
      </w:pPr>
      <w:r>
        <w:rPr>
          <w:rFonts w:ascii="Times New Roman" w:cs="Times New Roman" w:eastAsia="Times New Roman" w:hAnsi="Times New Roman"/>
          <w:sz w:val="13"/>
          <w:szCs w:val="13"/>
          <w:color w:val="auto"/>
        </w:rPr>
        <w:t>Contract issued by us;</w:t>
      </w:r>
    </w:p>
    <w:p>
      <w:pPr>
        <w:spacing w:after="0" w:line="105" w:lineRule="exact"/>
        <w:rPr>
          <w:sz w:val="20"/>
          <w:szCs w:val="20"/>
          <w:color w:val="auto"/>
        </w:rPr>
      </w:pPr>
    </w:p>
    <w:p>
      <w:pPr>
        <w:ind w:left="780" w:right="3259" w:hanging="517"/>
        <w:spacing w:after="0" w:line="265" w:lineRule="auto"/>
        <w:tabs>
          <w:tab w:leader="none" w:pos="7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we agree in writing that none will apply. For example, if you transfer your Account Value to another approved</w:t>
      </w:r>
    </w:p>
    <w:p>
      <w:pPr>
        <w:ind w:left="260"/>
        <w:spacing w:after="0"/>
        <w:rPr>
          <w:sz w:val="20"/>
          <w:szCs w:val="20"/>
          <w:color w:val="auto"/>
        </w:rPr>
      </w:pPr>
      <w:r>
        <w:rPr>
          <w:rFonts w:ascii="Times New Roman" w:cs="Times New Roman" w:eastAsia="Times New Roman" w:hAnsi="Times New Roman"/>
          <w:sz w:val="13"/>
          <w:szCs w:val="13"/>
          <w:color w:val="auto"/>
        </w:rPr>
        <w:t>annuity contract issued by us or one of our affiliates;</w:t>
      </w:r>
    </w:p>
    <w:p>
      <w:pPr>
        <w:spacing w:after="0" w:line="105" w:lineRule="exact"/>
        <w:rPr>
          <w:sz w:val="20"/>
          <w:szCs w:val="20"/>
          <w:color w:val="auto"/>
        </w:rPr>
      </w:pPr>
    </w:p>
    <w:p>
      <w:pPr>
        <w:ind w:left="780" w:right="3479" w:hanging="517"/>
        <w:spacing w:after="0" w:line="290" w:lineRule="auto"/>
        <w:tabs>
          <w:tab w:leader="none" w:pos="78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Withdrawals pursuant to either the Nursing Home Exception or the Terminal Illness Exception (see below); or</w:t>
      </w:r>
    </w:p>
    <w:p>
      <w:pPr>
        <w:spacing w:after="0" w:line="55" w:lineRule="exact"/>
        <w:rPr>
          <w:rFonts w:ascii="Times New Roman" w:cs="Times New Roman" w:eastAsia="Times New Roman" w:hAnsi="Times New Roman"/>
          <w:sz w:val="13"/>
          <w:szCs w:val="13"/>
          <w:color w:val="auto"/>
        </w:rPr>
      </w:pPr>
    </w:p>
    <w:p>
      <w:pPr>
        <w:ind w:left="780" w:hanging="517"/>
        <w:spacing w:after="0"/>
        <w:tabs>
          <w:tab w:leader="none" w:pos="78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Withdrawals up to the Free Withdrawal Amount.</w:t>
      </w:r>
    </w:p>
    <w:p>
      <w:pPr>
        <w:spacing w:after="0" w:line="97" w:lineRule="exact"/>
        <w:rPr>
          <w:sz w:val="20"/>
          <w:szCs w:val="20"/>
          <w:color w:val="auto"/>
        </w:rPr>
      </w:pPr>
    </w:p>
    <w:p>
      <w:pPr>
        <w:ind w:right="3199" w:firstLine="265"/>
        <w:spacing w:after="0" w:line="293" w:lineRule="auto"/>
        <w:rPr>
          <w:sz w:val="20"/>
          <w:szCs w:val="20"/>
          <w:color w:val="auto"/>
        </w:rPr>
      </w:pPr>
      <w:r>
        <w:rPr>
          <w:rFonts w:ascii="Times New Roman" w:cs="Times New Roman" w:eastAsia="Times New Roman" w:hAnsi="Times New Roman"/>
          <w:sz w:val="13"/>
          <w:szCs w:val="13"/>
          <w:b w:val="1"/>
          <w:bCs w:val="1"/>
          <w:color w:val="auto"/>
        </w:rPr>
        <w:t xml:space="preserve">Nursing Home Exception/Terminal Illness Exception. </w:t>
      </w:r>
      <w:r>
        <w:rPr>
          <w:rFonts w:ascii="Times New Roman" w:cs="Times New Roman" w:eastAsia="Times New Roman" w:hAnsi="Times New Roman"/>
          <w:sz w:val="13"/>
          <w:szCs w:val="13"/>
          <w:color w:val="auto"/>
        </w:rPr>
        <w:t>After the first Contract Year, a Withdrawal Charge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which would otherwise apply to a withdrawal will be waived, if you, or your Joint Owner:</w:t>
      </w:r>
    </w:p>
    <w:p>
      <w:pPr>
        <w:spacing w:after="0" w:line="44" w:lineRule="exact"/>
        <w:rPr>
          <w:sz w:val="20"/>
          <w:szCs w:val="20"/>
          <w:color w:val="auto"/>
        </w:rPr>
      </w:pPr>
    </w:p>
    <w:p>
      <w:pPr>
        <w:jc w:val="both"/>
        <w:ind w:left="420" w:right="3259" w:hanging="157"/>
        <w:spacing w:after="0" w:line="263" w:lineRule="auto"/>
        <w:tabs>
          <w:tab w:leader="none" w:pos="42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(Nursing Home Exception) Has been a resident of certain nursing home facilities or a hospital for a minimum of 90 consecutive days or for a minimum total of 90 days where there is no more than a 6-month break in that residency and the residencies are for related causes, where you have exercised this right no later than 90 days after exiting the nursing home facility or hospital. The confinement must be prescribed by a physician and be medically necessary; or</w:t>
      </w:r>
    </w:p>
    <w:p>
      <w:pPr>
        <w:spacing w:after="0" w:line="53" w:lineRule="exact"/>
        <w:rPr>
          <w:rFonts w:ascii="Times New Roman" w:cs="Times New Roman" w:eastAsia="Times New Roman" w:hAnsi="Times New Roman"/>
          <w:sz w:val="13"/>
          <w:szCs w:val="13"/>
          <w:color w:val="auto"/>
        </w:rPr>
      </w:pPr>
    </w:p>
    <w:p>
      <w:pPr>
        <w:jc w:val="both"/>
        <w:ind w:left="420" w:right="3259" w:hanging="157"/>
        <w:spacing w:after="0" w:line="272" w:lineRule="auto"/>
        <w:tabs>
          <w:tab w:leader="none" w:pos="42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(Terminal Illness Exception) Is diagnosed with a terminal illness and not expected to live more than 12 months (a physician certifies to your illness and life expectancy) and you were not diagnosed with the terminal illness as of the date we issued your Contract.</w:t>
      </w:r>
    </w:p>
    <w:p>
      <w:pPr>
        <w:spacing w:after="0" w:line="47" w:lineRule="exact"/>
        <w:rPr>
          <w:sz w:val="20"/>
          <w:szCs w:val="20"/>
          <w:color w:val="auto"/>
        </w:rPr>
      </w:pPr>
    </w:p>
    <w:p>
      <w:pPr>
        <w:jc w:val="both"/>
        <w:ind w:right="3199" w:firstLine="265"/>
        <w:spacing w:after="0" w:line="272" w:lineRule="auto"/>
        <w:rPr>
          <w:sz w:val="20"/>
          <w:szCs w:val="20"/>
          <w:color w:val="auto"/>
        </w:rPr>
      </w:pPr>
      <w:r>
        <w:rPr>
          <w:rFonts w:ascii="Times New Roman" w:cs="Times New Roman" w:eastAsia="Times New Roman" w:hAnsi="Times New Roman"/>
          <w:sz w:val="13"/>
          <w:szCs w:val="13"/>
          <w:color w:val="auto"/>
        </w:rPr>
        <w:t>These Contract features are only available if you are less than 81 years old on the Issue Date of your Contract and terminate on the Annuity Date. These Contract features are free of charge. Additional conditions and requirements apply and are specified in the rider(s) that are part of your Contract.</w:t>
      </w:r>
    </w:p>
    <w:p>
      <w:pPr>
        <w:spacing w:after="0" w:line="45" w:lineRule="exact"/>
        <w:rPr>
          <w:sz w:val="20"/>
          <w:szCs w:val="20"/>
          <w:color w:val="auto"/>
        </w:rPr>
      </w:pPr>
    </w:p>
    <w:p>
      <w:pPr>
        <w:jc w:val="both"/>
        <w:ind w:right="3199" w:firstLine="265"/>
        <w:spacing w:after="0" w:line="264" w:lineRule="auto"/>
        <w:rPr>
          <w:sz w:val="20"/>
          <w:szCs w:val="20"/>
          <w:color w:val="auto"/>
        </w:rPr>
      </w:pPr>
      <w:r>
        <w:rPr>
          <w:rFonts w:ascii="Times New Roman" w:cs="Times New Roman" w:eastAsia="Times New Roman" w:hAnsi="Times New Roman"/>
          <w:sz w:val="13"/>
          <w:szCs w:val="13"/>
          <w:b w:val="1"/>
          <w:bCs w:val="1"/>
          <w:color w:val="auto"/>
        </w:rPr>
        <w:t>Free Withdrawal Amount.</w:t>
      </w:r>
      <w:r>
        <w:rPr>
          <w:rFonts w:ascii="Times New Roman" w:cs="Times New Roman" w:eastAsia="Times New Roman" w:hAnsi="Times New Roman"/>
          <w:sz w:val="13"/>
          <w:szCs w:val="13"/>
          <w:color w:val="auto"/>
        </w:rPr>
        <w:t xml:space="preserve">  After the first Contract Year, you may withdraw a portion of your Account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Value free from any Withdrawal Charge. The Free Withdrawal Amount each Contract Year is equal to 10% of your Account Value as of the prior Contract Anniversary, less the total amount withdrawn from the Account Value in the current Contract Year. The Free Withdrawal Amount is non-cumulative and is not carried over to other Contract Years.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Premium and Other Taxes</w:t>
      </w:r>
    </w:p>
    <w:p>
      <w:pPr>
        <w:spacing w:after="0" w:line="91" w:lineRule="exact"/>
        <w:rPr>
          <w:sz w:val="20"/>
          <w:szCs w:val="20"/>
          <w:color w:val="auto"/>
        </w:rPr>
      </w:pPr>
    </w:p>
    <w:p>
      <w:pPr>
        <w:jc w:val="both"/>
        <w:ind w:right="3199" w:firstLine="265"/>
        <w:spacing w:after="0" w:line="272" w:lineRule="auto"/>
        <w:rPr>
          <w:sz w:val="20"/>
          <w:szCs w:val="20"/>
          <w:color w:val="auto"/>
        </w:rPr>
      </w:pPr>
      <w:r>
        <w:rPr>
          <w:rFonts w:ascii="Times New Roman" w:cs="Times New Roman" w:eastAsia="Times New Roman" w:hAnsi="Times New Roman"/>
          <w:sz w:val="13"/>
          <w:szCs w:val="13"/>
          <w:color w:val="auto"/>
        </w:rPr>
        <w:t>We reserve the right to deduct from the Purchase Payment or Account Value any taxes relating to the Contract paid by us to any government entity. New York state does not currently assess Premium Taxes on purchase payments you make. We will determine when taxes relate to the Contract.</w:t>
      </w:r>
    </w:p>
    <w:p>
      <w:pPr>
        <w:spacing w:after="0" w:line="47" w:lineRule="exact"/>
        <w:rPr>
          <w:sz w:val="20"/>
          <w:szCs w:val="20"/>
          <w:color w:val="auto"/>
        </w:rPr>
      </w:pPr>
    </w:p>
    <w:p>
      <w:pPr>
        <w:jc w:val="both"/>
        <w:ind w:right="3199" w:firstLine="265"/>
        <w:spacing w:after="0" w:line="272" w:lineRule="auto"/>
        <w:rPr>
          <w:sz w:val="20"/>
          <w:szCs w:val="20"/>
          <w:color w:val="auto"/>
        </w:rPr>
      </w:pPr>
      <w:r>
        <w:rPr>
          <w:rFonts w:ascii="Times New Roman" w:cs="Times New Roman" w:eastAsia="Times New Roman" w:hAnsi="Times New Roman"/>
          <w:sz w:val="13"/>
          <w:szCs w:val="13"/>
          <w:color w:val="auto"/>
        </w:rPr>
        <w:t>We may pay taxes when due and deduct that amount from the Account Value at a later date. Payment at an earlier date does not waive any right we may have to deduct amounts at a later date. Generally, it is our practice not to charge Premium Taxes until Annuity Payments begin.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Income Taxes</w:t>
      </w:r>
    </w:p>
    <w:p>
      <w:pPr>
        <w:spacing w:after="0" w:line="91" w:lineRule="exact"/>
        <w:rPr>
          <w:sz w:val="20"/>
          <w:szCs w:val="20"/>
          <w:color w:val="auto"/>
        </w:rPr>
      </w:pPr>
    </w:p>
    <w:p>
      <w:pPr>
        <w:jc w:val="both"/>
        <w:ind w:right="3199" w:firstLine="265"/>
        <w:spacing w:after="0" w:line="290" w:lineRule="auto"/>
        <w:rPr>
          <w:sz w:val="20"/>
          <w:szCs w:val="20"/>
          <w:color w:val="auto"/>
        </w:rPr>
      </w:pPr>
      <w:r>
        <w:rPr>
          <w:rFonts w:ascii="Times New Roman" w:cs="Times New Roman" w:eastAsia="Times New Roman" w:hAnsi="Times New Roman"/>
          <w:sz w:val="13"/>
          <w:szCs w:val="13"/>
          <w:color w:val="auto"/>
        </w:rPr>
        <w:t>We reserve the right to deduct from the Contract for any income taxes which we incur because of the Contract. At the present time, however, we are not incurring any such income tax or making any such deductions.</w:t>
      </w:r>
    </w:p>
    <w:p>
      <w:pPr>
        <w:spacing w:after="0" w:line="192"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3"/>
          <w:szCs w:val="13"/>
          <w:b w:val="1"/>
          <w:bCs w:val="1"/>
          <w:color w:val="auto"/>
        </w:rPr>
        <w:t>WITHDRAWAL PROVISIONS</w:t>
      </w:r>
    </w:p>
    <w:p>
      <w:pPr>
        <w:spacing w:after="0" w:line="91" w:lineRule="exact"/>
        <w:rPr>
          <w:sz w:val="20"/>
          <w:szCs w:val="20"/>
          <w:color w:val="auto"/>
        </w:rPr>
      </w:pPr>
    </w:p>
    <w:p>
      <w:pPr>
        <w:jc w:val="both"/>
        <w:ind w:right="3199" w:firstLine="265"/>
        <w:spacing w:after="0" w:line="265" w:lineRule="auto"/>
        <w:rPr>
          <w:sz w:val="20"/>
          <w:szCs w:val="20"/>
          <w:color w:val="auto"/>
        </w:rPr>
      </w:pPr>
      <w:r>
        <w:rPr>
          <w:rFonts w:ascii="Times New Roman" w:cs="Times New Roman" w:eastAsia="Times New Roman" w:hAnsi="Times New Roman"/>
          <w:sz w:val="13"/>
          <w:szCs w:val="13"/>
          <w:color w:val="auto"/>
        </w:rPr>
        <w:t>Prior to the Annuity Date, you may, upon Notice to us, request a full or a partial withdrawal and we will withdraw that amount from your Account Value (the “Withdrawal Amount”). A withdrawal (including RMDs,</w:t>
      </w:r>
    </w:p>
    <w:p>
      <w:pPr>
        <w:jc w:val="both"/>
        <w:ind w:right="3199"/>
        <w:spacing w:after="0" w:line="254" w:lineRule="auto"/>
        <w:rPr>
          <w:sz w:val="20"/>
          <w:szCs w:val="20"/>
          <w:color w:val="auto"/>
        </w:rPr>
      </w:pPr>
      <w:r>
        <w:rPr>
          <w:rFonts w:ascii="Times New Roman" w:cs="Times New Roman" w:eastAsia="Times New Roman" w:hAnsi="Times New Roman"/>
          <w:sz w:val="13"/>
          <w:szCs w:val="13"/>
          <w:color w:val="auto"/>
        </w:rPr>
        <w:t xml:space="preserve">systematic withdrawals, and any applicable </w:t>
      </w:r>
      <w:r>
        <w:rPr>
          <w:rFonts w:ascii="Times New Roman" w:cs="Times New Roman" w:eastAsia="Times New Roman" w:hAnsi="Times New Roman"/>
          <w:sz w:val="13"/>
          <w:szCs w:val="13"/>
          <w:u w:val="single" w:color="auto"/>
          <w:color w:val="auto"/>
        </w:rPr>
        <w:t>Withdrawal Charge</w:t>
      </w:r>
      <w:r>
        <w:rPr>
          <w:rFonts w:ascii="Times New Roman" w:cs="Times New Roman" w:eastAsia="Times New Roman" w:hAnsi="Times New Roman"/>
          <w:sz w:val="13"/>
          <w:szCs w:val="13"/>
          <w:color w:val="auto"/>
        </w:rPr>
        <w:t>) will result in a reduction to the Investment Amount in each Shield Option, the Fixed Account, and the Holding Account in the ratio that each Shield Option, the Fixed Account, and the Holding Account bears to the total Account Value, unless you instruct us otherwise. If a Withdrawal Charge is applicable, it is applied to the Withdrawal Amount that is in excess of the applicable Free Withdrawal Amount. See “Withdrawal Charge” and “When No Withdrawal Charge Applies” under “CHARGES, FEES, AND ADJUSTMENTS”. For a partial withdrawal, the amount payable to you will be a net amount equal to the requested Withdrawal Amount reduced by any applicable Withdrawal Charge and Premium Tax and other taxes. Alternatively, you can choose to have the Withdrawal Charge and Premium Tax and other taxes deducted from the remaining Account Value, in which case you would receive the full dollar amount you requested. However, this may result in a higher Withdrawal Charge because the charge increases the amount taken from your Account Value to cover the withdrawal and, since it is a percentage of the total amount withdrawn, the Withdrawal Charge will also be higher. A withdrawal (including RMDs, systematic withdrawals, and any applicable</w:t>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u w:val="single" w:color="auto"/>
          <w:color w:val="auto"/>
        </w:rPr>
        <w:t>Withdrawal Charge</w:t>
      </w:r>
      <w:r>
        <w:rPr>
          <w:rFonts w:ascii="Times New Roman" w:cs="Times New Roman" w:eastAsia="Times New Roman" w:hAnsi="Times New Roman"/>
          <w:sz w:val="13"/>
          <w:szCs w:val="13"/>
          <w:color w:val="auto"/>
        </w:rPr>
        <w:t>) will also result in a proportionate reduction to the</w:t>
      </w:r>
    </w:p>
    <w:p>
      <w:pPr>
        <w:spacing w:after="0" w:line="20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color w:val="auto"/>
        </w:rPr>
        <w:t>41</w:t>
      </w:r>
    </w:p>
    <w:p>
      <w:pPr>
        <w:sectPr>
          <w:pgSz w:w="11900" w:h="16838" w:orient="portrait"/>
          <w:cols w:equalWidth="0" w:num="1">
            <w:col w:w="9259"/>
          </w:cols>
          <w:pgMar w:left="1200" w:top="1049" w:right="1440" w:bottom="1440" w:gutter="0" w:footer="0" w:header="0"/>
        </w:sectPr>
      </w:pPr>
    </w:p>
    <w:bookmarkStart w:id="43" w:name="page44"/>
    <w:bookmarkEnd w:id="43"/>
    <w:p>
      <w:pPr>
        <w:jc w:val="both"/>
        <w:ind w:right="3199"/>
        <w:spacing w:after="0" w:line="27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93915" cy="38100"/>
                    </a:xfrm>
                    <a:prstGeom prst="rect">
                      <a:avLst/>
                    </a:prstGeom>
                    <a:noFill/>
                  </pic:spPr>
                </pic:pic>
              </a:graphicData>
            </a:graphic>
          </wp:anchor>
        </w:drawing>
        <w:t>death benefit under the Contract. If you have the Return of Premium death benefit, your Purchase Payment is reduced proportionally by the percentage reduction in Account Value of the Shield Option(s), the Fixed Account, and the Holding Account for each partial withdrawal.</w:t>
      </w:r>
    </w:p>
    <w:p>
      <w:pPr>
        <w:spacing w:after="0" w:line="57" w:lineRule="exact"/>
        <w:rPr>
          <w:sz w:val="20"/>
          <w:szCs w:val="20"/>
          <w:color w:val="auto"/>
        </w:rPr>
      </w:pPr>
    </w:p>
    <w:p>
      <w:pPr>
        <w:jc w:val="both"/>
        <w:ind w:right="3199" w:firstLine="265"/>
        <w:spacing w:after="0" w:line="261" w:lineRule="auto"/>
        <w:rPr>
          <w:sz w:val="20"/>
          <w:szCs w:val="20"/>
          <w:color w:val="auto"/>
        </w:rPr>
      </w:pPr>
      <w:r>
        <w:rPr>
          <w:rFonts w:ascii="Times New Roman" w:cs="Times New Roman" w:eastAsia="Times New Roman" w:hAnsi="Times New Roman"/>
          <w:sz w:val="13"/>
          <w:szCs w:val="13"/>
          <w:color w:val="auto"/>
        </w:rPr>
        <w:t>The total Withdrawal Amount from the Account Value must not be less than $500, which is the minimum partial withdrawal amount. If the withdrawal would result in the Account Value being less than the Minimum Account Value ($2,000), we will treat the withdrawal request as a request for a full withdrawal. We will not</w:t>
      </w:r>
    </w:p>
    <w:tbl>
      <w:tblPr>
        <w:tblLayout w:type="fixed"/>
        <w:tblInd w:w="0" w:type="dxa"/>
        <w:tblCellMar>
          <w:top w:w="0" w:type="dxa"/>
          <w:left w:w="0" w:type="dxa"/>
          <w:bottom w:w="0" w:type="dxa"/>
          <w:right w:w="0" w:type="dxa"/>
        </w:tblCellMar>
      </w:tblPr>
      <w:tr>
        <w:trPr>
          <w:trHeight w:val="130"/>
        </w:trPr>
        <w:tc>
          <w:tcPr>
            <w:tcW w:w="1020" w:type="dxa"/>
            <w:vAlign w:val="bottom"/>
            <w:gridSpan w:val="3"/>
          </w:tcPr>
          <w:p>
            <w:pPr>
              <w:spacing w:after="0" w:line="131" w:lineRule="exact"/>
              <w:rPr>
                <w:sz w:val="20"/>
                <w:szCs w:val="20"/>
                <w:color w:val="auto"/>
              </w:rPr>
            </w:pPr>
            <w:r>
              <w:rPr>
                <w:rFonts w:ascii="Times New Roman" w:cs="Times New Roman" w:eastAsia="Times New Roman" w:hAnsi="Times New Roman"/>
                <w:sz w:val="13"/>
                <w:szCs w:val="13"/>
                <w:color w:val="auto"/>
              </w:rPr>
              <w:t>terminate any</w:t>
            </w:r>
          </w:p>
        </w:tc>
        <w:tc>
          <w:tcPr>
            <w:tcW w:w="5040" w:type="dxa"/>
            <w:vAlign w:val="bottom"/>
            <w:gridSpan w:val="12"/>
          </w:tcPr>
          <w:p>
            <w:pPr>
              <w:jc w:val="right"/>
              <w:spacing w:after="0" w:line="131" w:lineRule="exact"/>
              <w:rPr>
                <w:sz w:val="20"/>
                <w:szCs w:val="20"/>
                <w:color w:val="auto"/>
              </w:rPr>
            </w:pPr>
            <w:r>
              <w:rPr>
                <w:rFonts w:ascii="Times New Roman" w:cs="Times New Roman" w:eastAsia="Times New Roman" w:hAnsi="Times New Roman"/>
                <w:sz w:val="13"/>
                <w:szCs w:val="13"/>
                <w:color w:val="auto"/>
              </w:rPr>
              <w:t>Contract if at the time the termination would otherwise occur the guaranteed amount under any</w:t>
            </w:r>
          </w:p>
        </w:tc>
      </w:tr>
      <w:tr>
        <w:trPr>
          <w:trHeight w:val="20"/>
        </w:trPr>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9"/>
        </w:trPr>
        <w:tc>
          <w:tcPr>
            <w:tcW w:w="1740" w:type="dxa"/>
            <w:vAlign w:val="bottom"/>
            <w:gridSpan w:val="6"/>
          </w:tcPr>
          <w:p>
            <w:pPr>
              <w:spacing w:after="0" w:line="139" w:lineRule="exact"/>
              <w:rPr>
                <w:sz w:val="20"/>
                <w:szCs w:val="20"/>
                <w:color w:val="auto"/>
              </w:rPr>
            </w:pPr>
            <w:r>
              <w:rPr>
                <w:rFonts w:ascii="Times New Roman" w:cs="Times New Roman" w:eastAsia="Times New Roman" w:hAnsi="Times New Roman"/>
                <w:sz w:val="13"/>
                <w:szCs w:val="13"/>
                <w:color w:val="auto"/>
              </w:rPr>
              <w:t>death benefit is greater than the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40" w:type="dxa"/>
            <w:vAlign w:val="bottom"/>
            <w:gridSpan w:val="5"/>
          </w:tcPr>
          <w:p>
            <w:pPr>
              <w:spacing w:after="0" w:line="139" w:lineRule="exact"/>
              <w:rPr>
                <w:sz w:val="20"/>
                <w:szCs w:val="20"/>
                <w:color w:val="auto"/>
              </w:rPr>
            </w:pPr>
            <w:r>
              <w:rPr>
                <w:rFonts w:ascii="Times New Roman" w:cs="Times New Roman" w:eastAsia="Times New Roman" w:hAnsi="Times New Roman"/>
                <w:sz w:val="13"/>
                <w:szCs w:val="13"/>
                <w:color w:val="auto"/>
              </w:rPr>
              <w:t>Account Value.</w:t>
            </w: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20"/>
        </w:trPr>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5"/>
        </w:trPr>
        <w:tc>
          <w:tcPr>
            <w:tcW w:w="220" w:type="dxa"/>
            <w:vAlign w:val="bottom"/>
          </w:tcPr>
          <w:p>
            <w:pPr>
              <w:spacing w:after="0"/>
              <w:rPr>
                <w:sz w:val="20"/>
                <w:szCs w:val="20"/>
                <w:color w:val="auto"/>
              </w:rPr>
            </w:pPr>
          </w:p>
        </w:tc>
        <w:tc>
          <w:tcPr>
            <w:tcW w:w="5840" w:type="dxa"/>
            <w:vAlign w:val="bottom"/>
            <w:gridSpan w:val="14"/>
          </w:tcPr>
          <w:p>
            <w:pPr>
              <w:jc w:val="right"/>
              <w:spacing w:after="0"/>
              <w:rPr>
                <w:sz w:val="20"/>
                <w:szCs w:val="20"/>
                <w:color w:val="auto"/>
              </w:rPr>
            </w:pPr>
            <w:r>
              <w:rPr>
                <w:rFonts w:ascii="Times New Roman" w:cs="Times New Roman" w:eastAsia="Times New Roman" w:hAnsi="Times New Roman"/>
                <w:sz w:val="13"/>
                <w:szCs w:val="13"/>
                <w:color w:val="auto"/>
              </w:rPr>
              <w:t>If you request a full or partial withdrawal (unless you instruct us otherwise for a partial withdrawal), the</w:t>
            </w:r>
          </w:p>
        </w:tc>
      </w:tr>
      <w:tr>
        <w:trPr>
          <w:trHeight w:val="142"/>
        </w:trPr>
        <w:tc>
          <w:tcPr>
            <w:tcW w:w="2740" w:type="dxa"/>
            <w:vAlign w:val="bottom"/>
            <w:gridSpan w:val="10"/>
          </w:tcPr>
          <w:p>
            <w:pPr>
              <w:spacing w:after="0" w:line="142" w:lineRule="exact"/>
              <w:rPr>
                <w:sz w:val="20"/>
                <w:szCs w:val="20"/>
                <w:color w:val="auto"/>
              </w:rPr>
            </w:pPr>
            <w:r>
              <w:rPr>
                <w:rFonts w:ascii="Times New Roman" w:cs="Times New Roman" w:eastAsia="Times New Roman" w:hAnsi="Times New Roman"/>
                <w:sz w:val="13"/>
                <w:szCs w:val="13"/>
                <w:color w:val="auto"/>
              </w:rPr>
              <w:t>Withdrawal Amount after adjustments for any</w:t>
            </w:r>
          </w:p>
        </w:tc>
        <w:tc>
          <w:tcPr>
            <w:tcW w:w="3320" w:type="dxa"/>
            <w:vAlign w:val="bottom"/>
            <w:gridSpan w:val="5"/>
          </w:tcPr>
          <w:p>
            <w:pPr>
              <w:jc w:val="right"/>
              <w:spacing w:after="0" w:line="142" w:lineRule="exact"/>
              <w:rPr>
                <w:sz w:val="20"/>
                <w:szCs w:val="20"/>
                <w:color w:val="auto"/>
              </w:rPr>
            </w:pPr>
            <w:r>
              <w:rPr>
                <w:rFonts w:ascii="Times New Roman" w:cs="Times New Roman" w:eastAsia="Times New Roman" w:hAnsi="Times New Roman"/>
                <w:sz w:val="13"/>
                <w:szCs w:val="13"/>
                <w:color w:val="auto"/>
              </w:rPr>
              <w:t>Withdrawal Charge will result in our paying you a net amount.</w:t>
            </w:r>
          </w:p>
        </w:tc>
      </w:tr>
      <w:tr>
        <w:trPr>
          <w:trHeight w:val="20"/>
        </w:trPr>
        <w:tc>
          <w:tcPr>
            <w:tcW w:w="4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9"/>
        </w:trPr>
        <w:tc>
          <w:tcPr>
            <w:tcW w:w="4700" w:type="dxa"/>
            <w:vAlign w:val="bottom"/>
            <w:gridSpan w:val="13"/>
          </w:tcPr>
          <w:p>
            <w:pPr>
              <w:spacing w:after="0" w:line="139" w:lineRule="exact"/>
              <w:rPr>
                <w:sz w:val="20"/>
                <w:szCs w:val="20"/>
                <w:color w:val="auto"/>
              </w:rPr>
            </w:pPr>
            <w:r>
              <w:rPr>
                <w:rFonts w:ascii="Times New Roman" w:cs="Times New Roman" w:eastAsia="Times New Roman" w:hAnsi="Times New Roman"/>
                <w:sz w:val="13"/>
                <w:szCs w:val="13"/>
                <w:color w:val="auto"/>
              </w:rPr>
              <w:t>The net amount payable to you is equal to the amount withdrawn (reduced by any</w:t>
            </w:r>
          </w:p>
        </w:tc>
        <w:tc>
          <w:tcPr>
            <w:tcW w:w="13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3"/>
                <w:szCs w:val="13"/>
                <w:color w:val="auto"/>
                <w:w w:val="99"/>
              </w:rPr>
              <w:t>Withdrawal Charge) from</w:t>
            </w:r>
          </w:p>
        </w:tc>
      </w:tr>
      <w:tr>
        <w:trPr>
          <w:trHeight w:val="139"/>
        </w:trPr>
        <w:tc>
          <w:tcPr>
            <w:tcW w:w="22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rPr>
              <w:t>the</w:t>
            </w:r>
          </w:p>
        </w:tc>
        <w:tc>
          <w:tcPr>
            <w:tcW w:w="240" w:type="dxa"/>
            <w:vAlign w:val="bottom"/>
          </w:tcPr>
          <w:p>
            <w:pPr>
              <w:spacing w:after="0"/>
              <w:rPr>
                <w:sz w:val="12"/>
                <w:szCs w:val="12"/>
                <w:color w:val="auto"/>
              </w:rPr>
            </w:pPr>
          </w:p>
        </w:tc>
        <w:tc>
          <w:tcPr>
            <w:tcW w:w="1280" w:type="dxa"/>
            <w:vAlign w:val="bottom"/>
            <w:gridSpan w:val="4"/>
          </w:tcPr>
          <w:p>
            <w:pPr>
              <w:spacing w:after="0" w:line="139" w:lineRule="exact"/>
              <w:rPr>
                <w:sz w:val="20"/>
                <w:szCs w:val="20"/>
                <w:color w:val="auto"/>
              </w:rPr>
            </w:pPr>
            <w:r>
              <w:rPr>
                <w:rFonts w:ascii="Times New Roman" w:cs="Times New Roman" w:eastAsia="Times New Roman" w:hAnsi="Times New Roman"/>
                <w:sz w:val="13"/>
                <w:szCs w:val="13"/>
                <w:color w:val="auto"/>
              </w:rPr>
              <w:t>Account Value, less</w:t>
            </w:r>
          </w:p>
        </w:tc>
        <w:tc>
          <w:tcPr>
            <w:tcW w:w="2960" w:type="dxa"/>
            <w:vAlign w:val="bottom"/>
            <w:gridSpan w:val="7"/>
          </w:tcPr>
          <w:p>
            <w:pPr>
              <w:ind w:left="60"/>
              <w:spacing w:after="0" w:line="139" w:lineRule="exact"/>
              <w:rPr>
                <w:sz w:val="20"/>
                <w:szCs w:val="20"/>
                <w:color w:val="auto"/>
              </w:rPr>
            </w:pPr>
            <w:r>
              <w:rPr>
                <w:rFonts w:ascii="Times New Roman" w:cs="Times New Roman" w:eastAsia="Times New Roman" w:hAnsi="Times New Roman"/>
                <w:sz w:val="13"/>
                <w:szCs w:val="13"/>
                <w:color w:val="auto"/>
              </w:rPr>
              <w:t>Premium Tax and other taxes, if any.</w:t>
            </w:r>
          </w:p>
        </w:tc>
        <w:tc>
          <w:tcPr>
            <w:tcW w:w="10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r>
      <w:tr>
        <w:trPr>
          <w:trHeight w:val="20"/>
        </w:trPr>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8"/>
        </w:trPr>
        <w:tc>
          <w:tcPr>
            <w:tcW w:w="220" w:type="dxa"/>
            <w:vAlign w:val="bottom"/>
          </w:tcPr>
          <w:p>
            <w:pPr>
              <w:spacing w:after="0"/>
              <w:rPr>
                <w:sz w:val="18"/>
                <w:szCs w:val="18"/>
                <w:color w:val="auto"/>
              </w:rPr>
            </w:pPr>
          </w:p>
        </w:tc>
        <w:tc>
          <w:tcPr>
            <w:tcW w:w="4480" w:type="dxa"/>
            <w:vAlign w:val="bottom"/>
            <w:gridSpan w:val="12"/>
          </w:tcPr>
          <w:p>
            <w:pPr>
              <w:ind w:left="40"/>
              <w:spacing w:after="0"/>
              <w:rPr>
                <w:sz w:val="20"/>
                <w:szCs w:val="20"/>
                <w:color w:val="auto"/>
              </w:rPr>
            </w:pPr>
            <w:r>
              <w:rPr>
                <w:rFonts w:ascii="Times New Roman" w:cs="Times New Roman" w:eastAsia="Times New Roman" w:hAnsi="Times New Roman"/>
                <w:sz w:val="13"/>
                <w:szCs w:val="13"/>
                <w:color w:val="auto"/>
              </w:rPr>
              <w:t>Withdrawals (including RMDs, systematic withdrawals, and any applicable</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9"/>
              </w:rPr>
              <w:t>Withdrawal Charge) from</w:t>
            </w:r>
          </w:p>
        </w:tc>
      </w:tr>
      <w:tr>
        <w:trPr>
          <w:trHeight w:val="20"/>
        </w:trPr>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7" w:lineRule="exact"/>
        <w:rPr>
          <w:sz w:val="20"/>
          <w:szCs w:val="20"/>
          <w:color w:val="auto"/>
        </w:rPr>
      </w:pPr>
    </w:p>
    <w:p>
      <w:pPr>
        <w:jc w:val="both"/>
        <w:ind w:right="3199"/>
        <w:spacing w:after="0" w:line="266" w:lineRule="auto"/>
        <w:rPr>
          <w:sz w:val="20"/>
          <w:szCs w:val="20"/>
          <w:color w:val="auto"/>
        </w:rPr>
      </w:pPr>
      <w:r>
        <w:rPr>
          <w:rFonts w:ascii="Times New Roman" w:cs="Times New Roman" w:eastAsia="Times New Roman" w:hAnsi="Times New Roman"/>
          <w:sz w:val="13"/>
          <w:szCs w:val="13"/>
          <w:color w:val="auto"/>
        </w:rPr>
        <w:t>the Fixed Account (if available) will reduce the Fixed Account Value dollar for dollar by the portion of the Withdrawal Amount deducted from the Fixed Account. Withdrawals from the Shield Options on the Term End Date will reduce the Investment Amount dollar for dollar by the portion of the Withdrawal Amount deducted from the Shield Options after the application of the Performance Rate.</w:t>
      </w:r>
    </w:p>
    <w:p>
      <w:pPr>
        <w:spacing w:after="0" w:line="50" w:lineRule="exact"/>
        <w:rPr>
          <w:sz w:val="20"/>
          <w:szCs w:val="20"/>
          <w:color w:val="auto"/>
        </w:rPr>
      </w:pPr>
    </w:p>
    <w:p>
      <w:pPr>
        <w:jc w:val="both"/>
        <w:ind w:right="3179" w:firstLine="265"/>
        <w:spacing w:after="0" w:line="259" w:lineRule="auto"/>
        <w:rPr>
          <w:sz w:val="20"/>
          <w:szCs w:val="20"/>
          <w:color w:val="auto"/>
        </w:rPr>
      </w:pPr>
      <w:r>
        <w:rPr>
          <w:rFonts w:ascii="Times New Roman" w:cs="Times New Roman" w:eastAsia="Times New Roman" w:hAnsi="Times New Roman"/>
          <w:sz w:val="13"/>
          <w:szCs w:val="13"/>
          <w:b w:val="1"/>
          <w:bCs w:val="1"/>
          <w:color w:val="auto"/>
        </w:rPr>
        <w:t xml:space="preserve">If the withdrawal is taken during a Term, the Withdrawal Amount (including RMDs, systematic withdrawals, and any applicable </w:t>
      </w:r>
      <w:r>
        <w:rPr>
          <w:rFonts w:ascii="Times New Roman" w:cs="Times New Roman" w:eastAsia="Times New Roman" w:hAnsi="Times New Roman"/>
          <w:sz w:val="13"/>
          <w:szCs w:val="13"/>
          <w:b w:val="1"/>
          <w:bCs w:val="1"/>
          <w:u w:val="single" w:color="auto"/>
          <w:color w:val="auto"/>
        </w:rPr>
        <w:t>Withdrawal Charge</w:t>
      </w:r>
      <w:r>
        <w:rPr>
          <w:rFonts w:ascii="Times New Roman" w:cs="Times New Roman" w:eastAsia="Times New Roman" w:hAnsi="Times New Roman"/>
          <w:sz w:val="13"/>
          <w:szCs w:val="13"/>
          <w:b w:val="1"/>
          <w:bCs w:val="1"/>
          <w:color w:val="auto"/>
        </w:rPr>
        <w:t xml:space="preserve">) will reduce the Investment Amount for each Shield Option by the percentage reduction in the Interim Value of such Shield Option </w:t>
      </w:r>
      <w:r>
        <w:rPr>
          <w:rFonts w:ascii="Times New Roman" w:cs="Times New Roman" w:eastAsia="Times New Roman" w:hAnsi="Times New Roman"/>
          <w:sz w:val="13"/>
          <w:szCs w:val="13"/>
          <w:b w:val="1"/>
          <w:bCs w:val="1"/>
          <w:i w:val="1"/>
          <w:iCs w:val="1"/>
          <w:color w:val="auto"/>
        </w:rPr>
        <w:t>(i.e.</w:t>
      </w:r>
      <w:r>
        <w:rPr>
          <w:rFonts w:ascii="Times New Roman" w:cs="Times New Roman" w:eastAsia="Times New Roman" w:hAnsi="Times New Roman"/>
          <w:sz w:val="13"/>
          <w:szCs w:val="13"/>
          <w:b w:val="1"/>
          <w:bCs w:val="1"/>
          <w:color w:val="auto"/>
        </w:rPr>
        <w:t xml:space="preserve"> a proportional reduction), or, if you have exercised the </w:t>
      </w:r>
      <w:r>
        <w:rPr>
          <w:rFonts w:ascii="Times New Roman" w:cs="Times New Roman" w:eastAsia="Times New Roman" w:hAnsi="Times New Roman"/>
          <w:sz w:val="13"/>
          <w:szCs w:val="13"/>
          <w:b w:val="1"/>
          <w:bCs w:val="1"/>
          <w:u w:val="single" w:color="auto"/>
          <w:color w:val="auto"/>
        </w:rPr>
        <w:t>Performance Lock</w:t>
      </w:r>
      <w:r>
        <w:rPr>
          <w:rFonts w:ascii="Times New Roman" w:cs="Times New Roman" w:eastAsia="Times New Roman" w:hAnsi="Times New Roman"/>
          <w:sz w:val="13"/>
          <w:szCs w:val="13"/>
          <w:b w:val="1"/>
          <w:bCs w:val="1"/>
          <w:color w:val="auto"/>
        </w:rPr>
        <w:t xml:space="preserve">, it will reduce the </w:t>
      </w:r>
      <w:r>
        <w:rPr>
          <w:rFonts w:ascii="Times New Roman" w:cs="Times New Roman" w:eastAsia="Times New Roman" w:hAnsi="Times New Roman"/>
          <w:sz w:val="13"/>
          <w:szCs w:val="13"/>
          <w:b w:val="1"/>
          <w:bCs w:val="1"/>
          <w:u w:val="single" w:color="auto"/>
          <w:color w:val="auto"/>
        </w:rPr>
        <w:t>Performance Lock Value</w:t>
      </w:r>
      <w:r>
        <w:rPr>
          <w:rFonts w:ascii="Times New Roman" w:cs="Times New Roman" w:eastAsia="Times New Roman" w:hAnsi="Times New Roman"/>
          <w:sz w:val="13"/>
          <w:szCs w:val="13"/>
          <w:b w:val="1"/>
          <w:bCs w:val="1"/>
          <w:color w:val="auto"/>
        </w:rPr>
        <w:t xml:space="preserve"> of the </w:t>
      </w:r>
      <w:r>
        <w:rPr>
          <w:rFonts w:ascii="Times New Roman" w:cs="Times New Roman" w:eastAsia="Times New Roman" w:hAnsi="Times New Roman"/>
          <w:sz w:val="13"/>
          <w:szCs w:val="13"/>
          <w:b w:val="1"/>
          <w:bCs w:val="1"/>
          <w:u w:val="single" w:color="auto"/>
          <w:color w:val="auto"/>
        </w:rPr>
        <w:t>Shield Option</w:t>
      </w:r>
      <w:r>
        <w:rPr>
          <w:rFonts w:ascii="Times New Roman" w:cs="Times New Roman" w:eastAsia="Times New Roman" w:hAnsi="Times New Roman"/>
          <w:sz w:val="13"/>
          <w:szCs w:val="13"/>
          <w:b w:val="1"/>
          <w:bCs w:val="1"/>
          <w:color w:val="auto"/>
        </w:rPr>
        <w:t xml:space="preserve"> by the dollar amount of the withdrawal. Accordingly, when the Interim Value is </w:t>
      </w:r>
      <w:r>
        <w:rPr>
          <w:rFonts w:ascii="Times New Roman" w:cs="Times New Roman" w:eastAsia="Times New Roman" w:hAnsi="Times New Roman"/>
          <w:sz w:val="13"/>
          <w:szCs w:val="13"/>
          <w:b w:val="1"/>
          <w:bCs w:val="1"/>
          <w:i w:val="1"/>
          <w:iCs w:val="1"/>
          <w:color w:val="auto"/>
        </w:rPr>
        <w:t>less</w:t>
      </w:r>
      <w:r>
        <w:rPr>
          <w:rFonts w:ascii="Times New Roman" w:cs="Times New Roman" w:eastAsia="Times New Roman" w:hAnsi="Times New Roman"/>
          <w:sz w:val="13"/>
          <w:szCs w:val="13"/>
          <w:b w:val="1"/>
          <w:bCs w:val="1"/>
          <w:color w:val="auto"/>
        </w:rPr>
        <w:t xml:space="preserve"> than the Investment Amount, the reduction to the Shield Option is on a more than dollar for dollar basis. On the other hand, when the Interim Value is </w:t>
      </w:r>
      <w:r>
        <w:rPr>
          <w:rFonts w:ascii="Times New Roman" w:cs="Times New Roman" w:eastAsia="Times New Roman" w:hAnsi="Times New Roman"/>
          <w:sz w:val="13"/>
          <w:szCs w:val="13"/>
          <w:b w:val="1"/>
          <w:bCs w:val="1"/>
          <w:i w:val="1"/>
          <w:iCs w:val="1"/>
          <w:color w:val="auto"/>
        </w:rPr>
        <w:t>greater</w:t>
      </w:r>
      <w:r>
        <w:rPr>
          <w:rFonts w:ascii="Times New Roman" w:cs="Times New Roman" w:eastAsia="Times New Roman" w:hAnsi="Times New Roman"/>
          <w:sz w:val="13"/>
          <w:szCs w:val="13"/>
          <w:b w:val="1"/>
          <w:bCs w:val="1"/>
          <w:color w:val="auto"/>
        </w:rPr>
        <w:t xml:space="preserve"> than the Investment Amount, the reduction to the Shield Option is on a less than dollar for dollar basis. </w:t>
      </w:r>
      <w:r>
        <w:rPr>
          <w:rFonts w:ascii="Times New Roman" w:cs="Times New Roman" w:eastAsia="Times New Roman" w:hAnsi="Times New Roman"/>
          <w:sz w:val="13"/>
          <w:szCs w:val="13"/>
          <w:color w:val="auto"/>
        </w:rPr>
        <w:t>See “Interim Value Calculation” under “CHARGES, FEES,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AND ADJUSTMENTS” for more information.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0" w:type="dxa"/>
            <w:vAlign w:val="bottom"/>
          </w:tcPr>
          <w:p>
            <w:pPr>
              <w:spacing w:after="0"/>
              <w:rPr>
                <w:sz w:val="12"/>
                <w:szCs w:val="12"/>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For example, assume the</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6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Performance Lock has not been exercised and</w:t>
            </w:r>
          </w:p>
        </w:tc>
        <w:tc>
          <w:tcPr>
            <w:tcW w:w="180" w:type="dxa"/>
            <w:vAlign w:val="bottom"/>
          </w:tcPr>
          <w:p>
            <w:pPr>
              <w:spacing w:after="0"/>
              <w:rPr>
                <w:sz w:val="12"/>
                <w:szCs w:val="12"/>
                <w:color w:val="auto"/>
              </w:rPr>
            </w:pPr>
          </w:p>
        </w:tc>
        <w:tc>
          <w:tcPr>
            <w:tcW w:w="144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w w:val="99"/>
              </w:rPr>
              <w:t>Owner 1 makes a $100,000</w:t>
            </w:r>
          </w:p>
        </w:tc>
      </w:tr>
      <w:tr>
        <w:trPr>
          <w:trHeight w:val="20"/>
        </w:trPr>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right w:val="single" w:sz="8" w:color="auto"/>
            </w:tcBorders>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9"/>
        </w:trPr>
        <w:tc>
          <w:tcPr>
            <w:tcW w:w="300" w:type="dxa"/>
            <w:vAlign w:val="bottom"/>
          </w:tcPr>
          <w:p>
            <w:pPr>
              <w:spacing w:after="0"/>
              <w:rPr>
                <w:sz w:val="12"/>
                <w:szCs w:val="12"/>
                <w:color w:val="auto"/>
              </w:rPr>
            </w:pPr>
          </w:p>
        </w:tc>
        <w:tc>
          <w:tcPr>
            <w:tcW w:w="1320" w:type="dxa"/>
            <w:vAlign w:val="bottom"/>
            <w:gridSpan w:val="4"/>
          </w:tcPr>
          <w:p>
            <w:pPr>
              <w:spacing w:after="0" w:line="139" w:lineRule="exact"/>
              <w:rPr>
                <w:sz w:val="20"/>
                <w:szCs w:val="20"/>
                <w:color w:val="auto"/>
              </w:rPr>
            </w:pPr>
            <w:r>
              <w:rPr>
                <w:rFonts w:ascii="Times New Roman" w:cs="Times New Roman" w:eastAsia="Times New Roman" w:hAnsi="Times New Roman"/>
                <w:sz w:val="13"/>
                <w:szCs w:val="13"/>
                <w:color w:val="auto"/>
              </w:rPr>
              <w:t>Purchase Payment at</w:t>
            </w:r>
          </w:p>
        </w:tc>
        <w:tc>
          <w:tcPr>
            <w:tcW w:w="1980" w:type="dxa"/>
            <w:vAlign w:val="bottom"/>
            <w:gridSpan w:val="8"/>
          </w:tcPr>
          <w:p>
            <w:pPr>
              <w:ind w:left="40"/>
              <w:spacing w:after="0" w:line="139" w:lineRule="exact"/>
              <w:rPr>
                <w:sz w:val="20"/>
                <w:szCs w:val="20"/>
                <w:color w:val="auto"/>
              </w:rPr>
            </w:pPr>
            <w:r>
              <w:rPr>
                <w:rFonts w:ascii="Times New Roman" w:cs="Times New Roman" w:eastAsia="Times New Roman" w:hAnsi="Times New Roman"/>
                <w:sz w:val="13"/>
                <w:szCs w:val="13"/>
                <w:color w:val="auto"/>
              </w:rPr>
              <w:t>Contract issue and allocates the</w:t>
            </w:r>
          </w:p>
        </w:tc>
        <w:tc>
          <w:tcPr>
            <w:tcW w:w="2080" w:type="dxa"/>
            <w:vAlign w:val="bottom"/>
            <w:gridSpan w:val="9"/>
          </w:tcPr>
          <w:p>
            <w:pPr>
              <w:ind w:left="40"/>
              <w:spacing w:after="0" w:line="139" w:lineRule="exact"/>
              <w:rPr>
                <w:sz w:val="20"/>
                <w:szCs w:val="20"/>
                <w:color w:val="auto"/>
              </w:rPr>
            </w:pPr>
            <w:r>
              <w:rPr>
                <w:rFonts w:ascii="Times New Roman" w:cs="Times New Roman" w:eastAsia="Times New Roman" w:hAnsi="Times New Roman"/>
                <w:sz w:val="13"/>
                <w:szCs w:val="13"/>
                <w:color w:val="auto"/>
              </w:rPr>
              <w:t>Purchase Payment equally to two</w:t>
            </w:r>
          </w:p>
        </w:tc>
        <w:tc>
          <w:tcPr>
            <w:tcW w:w="38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3"/>
                <w:szCs w:val="13"/>
                <w:color w:val="auto"/>
              </w:rPr>
              <w:t>Shield</w:t>
            </w:r>
          </w:p>
        </w:tc>
      </w:tr>
      <w:tr>
        <w:trPr>
          <w:trHeight w:val="20"/>
        </w:trPr>
        <w:tc>
          <w:tcPr>
            <w:tcW w:w="3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139"/>
        </w:trPr>
        <w:tc>
          <w:tcPr>
            <w:tcW w:w="3600" w:type="dxa"/>
            <w:vAlign w:val="bottom"/>
            <w:gridSpan w:val="13"/>
          </w:tcPr>
          <w:p>
            <w:pPr>
              <w:spacing w:after="0" w:line="139" w:lineRule="exact"/>
              <w:rPr>
                <w:sz w:val="20"/>
                <w:szCs w:val="20"/>
                <w:color w:val="auto"/>
              </w:rPr>
            </w:pPr>
            <w:r>
              <w:rPr>
                <w:rFonts w:ascii="Times New Roman" w:cs="Times New Roman" w:eastAsia="Times New Roman" w:hAnsi="Times New Roman"/>
                <w:sz w:val="13"/>
                <w:szCs w:val="13"/>
                <w:color w:val="auto"/>
              </w:rPr>
              <w:t>Options so that each starts with $50,000. This amount is the initial</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60" w:type="dxa"/>
            <w:vAlign w:val="bottom"/>
            <w:gridSpan w:val="9"/>
          </w:tcPr>
          <w:p>
            <w:pPr>
              <w:jc w:val="right"/>
              <w:spacing w:after="0" w:line="139" w:lineRule="exact"/>
              <w:rPr>
                <w:sz w:val="20"/>
                <w:szCs w:val="20"/>
                <w:color w:val="auto"/>
              </w:rPr>
            </w:pPr>
            <w:r>
              <w:rPr>
                <w:rFonts w:ascii="Times New Roman" w:cs="Times New Roman" w:eastAsia="Times New Roman" w:hAnsi="Times New Roman"/>
                <w:sz w:val="13"/>
                <w:szCs w:val="13"/>
                <w:color w:val="auto"/>
              </w:rPr>
              <w:t>Investment Amount. Assume in 6 months</w:t>
            </w:r>
          </w:p>
        </w:tc>
      </w:tr>
      <w:tr>
        <w:trPr>
          <w:trHeight w:val="20"/>
        </w:trPr>
        <w:tc>
          <w:tcPr>
            <w:tcW w:w="3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139"/>
        </w:trPr>
        <w:tc>
          <w:tcPr>
            <w:tcW w:w="300" w:type="dxa"/>
            <w:vAlign w:val="bottom"/>
          </w:tcPr>
          <w:p>
            <w:pPr>
              <w:spacing w:after="0"/>
              <w:rPr>
                <w:sz w:val="12"/>
                <w:szCs w:val="12"/>
                <w:color w:val="auto"/>
              </w:rPr>
            </w:pPr>
          </w:p>
        </w:tc>
        <w:tc>
          <w:tcPr>
            <w:tcW w:w="1320" w:type="dxa"/>
            <w:vAlign w:val="bottom"/>
            <w:gridSpan w:val="4"/>
          </w:tcPr>
          <w:p>
            <w:pPr>
              <w:spacing w:after="0" w:line="139" w:lineRule="exact"/>
              <w:rPr>
                <w:sz w:val="20"/>
                <w:szCs w:val="20"/>
                <w:color w:val="auto"/>
              </w:rPr>
            </w:pPr>
            <w:r>
              <w:rPr>
                <w:rFonts w:ascii="Times New Roman" w:cs="Times New Roman" w:eastAsia="Times New Roman" w:hAnsi="Times New Roman"/>
                <w:sz w:val="13"/>
                <w:szCs w:val="13"/>
                <w:color w:val="auto"/>
              </w:rPr>
              <w:t>Shield Option A has an</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6"/>
          </w:tcPr>
          <w:p>
            <w:pPr>
              <w:spacing w:after="0" w:line="139" w:lineRule="exact"/>
              <w:rPr>
                <w:sz w:val="20"/>
                <w:szCs w:val="20"/>
                <w:color w:val="auto"/>
              </w:rPr>
            </w:pPr>
            <w:r>
              <w:rPr>
                <w:rFonts w:ascii="Times New Roman" w:cs="Times New Roman" w:eastAsia="Times New Roman" w:hAnsi="Times New Roman"/>
                <w:sz w:val="13"/>
                <w:szCs w:val="13"/>
                <w:color w:val="auto"/>
              </w:rPr>
              <w:t>Interim Value of $65,000 and</w:t>
            </w:r>
          </w:p>
        </w:tc>
        <w:tc>
          <w:tcPr>
            <w:tcW w:w="40" w:type="dxa"/>
            <w:vAlign w:val="bottom"/>
          </w:tcPr>
          <w:p>
            <w:pPr>
              <w:spacing w:after="0"/>
              <w:rPr>
                <w:sz w:val="12"/>
                <w:szCs w:val="12"/>
                <w:color w:val="auto"/>
              </w:rPr>
            </w:pPr>
          </w:p>
        </w:tc>
        <w:tc>
          <w:tcPr>
            <w:tcW w:w="800" w:type="dxa"/>
            <w:vAlign w:val="bottom"/>
            <w:gridSpan w:val="4"/>
          </w:tcPr>
          <w:p>
            <w:pPr>
              <w:ind w:left="160"/>
              <w:spacing w:after="0" w:line="139" w:lineRule="exact"/>
              <w:rPr>
                <w:sz w:val="20"/>
                <w:szCs w:val="20"/>
                <w:color w:val="auto"/>
              </w:rPr>
            </w:pPr>
            <w:r>
              <w:rPr>
                <w:rFonts w:ascii="Times New Roman" w:cs="Times New Roman" w:eastAsia="Times New Roman" w:hAnsi="Times New Roman"/>
                <w:sz w:val="13"/>
                <w:szCs w:val="13"/>
                <w:color w:val="auto"/>
              </w:rPr>
              <w:t>Shield</w:t>
            </w:r>
          </w:p>
        </w:tc>
        <w:tc>
          <w:tcPr>
            <w:tcW w:w="1240" w:type="dxa"/>
            <w:vAlign w:val="bottom"/>
            <w:gridSpan w:val="4"/>
          </w:tcPr>
          <w:p>
            <w:pPr>
              <w:spacing w:after="0" w:line="139" w:lineRule="exact"/>
              <w:rPr>
                <w:sz w:val="20"/>
                <w:szCs w:val="20"/>
                <w:color w:val="auto"/>
              </w:rPr>
            </w:pPr>
            <w:r>
              <w:rPr>
                <w:rFonts w:ascii="Times New Roman" w:cs="Times New Roman" w:eastAsia="Times New Roman" w:hAnsi="Times New Roman"/>
                <w:sz w:val="13"/>
                <w:szCs w:val="13"/>
                <w:color w:val="auto"/>
              </w:rPr>
              <w:t>Option B has an</w:t>
            </w:r>
          </w:p>
        </w:tc>
        <w:tc>
          <w:tcPr>
            <w:tcW w:w="38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3"/>
                <w:szCs w:val="13"/>
                <w:color w:val="auto"/>
                <w:w w:val="93"/>
              </w:rPr>
              <w:t>Interim</w:t>
            </w:r>
          </w:p>
        </w:tc>
      </w:tr>
      <w:tr>
        <w:trPr>
          <w:trHeight w:val="20"/>
        </w:trPr>
        <w:tc>
          <w:tcPr>
            <w:tcW w:w="300" w:type="dxa"/>
            <w:vAlign w:val="bottom"/>
            <w:tcBorders>
              <w:right w:val="single" w:sz="8" w:color="auto"/>
            </w:tcBorders>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r>
      <w:tr>
        <w:trPr>
          <w:trHeight w:val="139"/>
        </w:trPr>
        <w:tc>
          <w:tcPr>
            <w:tcW w:w="2480" w:type="dxa"/>
            <w:vAlign w:val="bottom"/>
            <w:gridSpan w:val="10"/>
          </w:tcPr>
          <w:p>
            <w:pPr>
              <w:spacing w:after="0" w:line="139" w:lineRule="exact"/>
              <w:rPr>
                <w:sz w:val="20"/>
                <w:szCs w:val="20"/>
                <w:color w:val="auto"/>
              </w:rPr>
            </w:pPr>
            <w:r>
              <w:rPr>
                <w:rFonts w:ascii="Times New Roman" w:cs="Times New Roman" w:eastAsia="Times New Roman" w:hAnsi="Times New Roman"/>
                <w:sz w:val="13"/>
                <w:szCs w:val="13"/>
                <w:color w:val="auto"/>
              </w:rPr>
              <w:t>Value of $45,000. Assume  at this time</w:t>
            </w:r>
          </w:p>
        </w:tc>
        <w:tc>
          <w:tcPr>
            <w:tcW w:w="3580" w:type="dxa"/>
            <w:vAlign w:val="bottom"/>
            <w:gridSpan w:val="14"/>
          </w:tcPr>
          <w:p>
            <w:pPr>
              <w:jc w:val="right"/>
              <w:spacing w:after="0" w:line="139" w:lineRule="exact"/>
              <w:rPr>
                <w:sz w:val="20"/>
                <w:szCs w:val="20"/>
                <w:color w:val="auto"/>
              </w:rPr>
            </w:pPr>
            <w:r>
              <w:rPr>
                <w:rFonts w:ascii="Times New Roman" w:cs="Times New Roman" w:eastAsia="Times New Roman" w:hAnsi="Times New Roman"/>
                <w:sz w:val="13"/>
                <w:szCs w:val="13"/>
                <w:color w:val="auto"/>
              </w:rPr>
              <w:t>Owner 1 decides to make a withdrawal of $20,000.  If the entire</w:t>
            </w:r>
          </w:p>
        </w:tc>
      </w:tr>
      <w:tr>
        <w:trPr>
          <w:trHeight w:val="20"/>
        </w:trPr>
        <w:tc>
          <w:tcPr>
            <w:tcW w:w="3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7" w:lineRule="exact"/>
        <w:rPr>
          <w:sz w:val="20"/>
          <w:szCs w:val="20"/>
          <w:color w:val="auto"/>
        </w:rPr>
      </w:pPr>
    </w:p>
    <w:p>
      <w:pPr>
        <w:jc w:val="both"/>
        <w:ind w:right="3199"/>
        <w:spacing w:after="0" w:line="260" w:lineRule="auto"/>
        <w:rPr>
          <w:sz w:val="20"/>
          <w:szCs w:val="20"/>
          <w:color w:val="auto"/>
        </w:rPr>
      </w:pPr>
      <w:r>
        <w:rPr>
          <w:rFonts w:ascii="Times New Roman" w:cs="Times New Roman" w:eastAsia="Times New Roman" w:hAnsi="Times New Roman"/>
          <w:sz w:val="13"/>
          <w:szCs w:val="13"/>
          <w:color w:val="auto"/>
        </w:rPr>
        <w:t>withdrawal is taken from Shield Option A, the reduction in the Interim Value is 30.77% ($20,000 ÷ $65,000). The Investment Amount for Shield Option A would then be reduced to $34,615.38 ($50,000 x (1-30.77%)). The total Investment Amount is then $84,615.38 ($34,615.38 + $50,000). If the entire withdrawal is taken from Shield Option B, the reduction in the Interim Value is 44.44% ($20,000 ÷ $45,000). The Investment Amount for Shield</w:t>
      </w:r>
    </w:p>
    <w:tbl>
      <w:tblPr>
        <w:tblLayout w:type="fixed"/>
        <w:tblInd w:w="0" w:type="dxa"/>
        <w:tblCellMar>
          <w:top w:w="0" w:type="dxa"/>
          <w:left w:w="0" w:type="dxa"/>
          <w:bottom w:w="0" w:type="dxa"/>
          <w:right w:w="0" w:type="dxa"/>
        </w:tblCellMar>
      </w:tblPr>
      <w:tr>
        <w:trPr>
          <w:trHeight w:val="146"/>
        </w:trPr>
        <w:tc>
          <w:tcPr>
            <w:tcW w:w="580" w:type="dxa"/>
            <w:vAlign w:val="bottom"/>
            <w:gridSpan w:val="2"/>
          </w:tcPr>
          <w:p>
            <w:pPr>
              <w:spacing w:after="0" w:line="146" w:lineRule="exact"/>
              <w:rPr>
                <w:sz w:val="20"/>
                <w:szCs w:val="20"/>
                <w:color w:val="auto"/>
              </w:rPr>
            </w:pPr>
            <w:r>
              <w:rPr>
                <w:rFonts w:ascii="Times New Roman" w:cs="Times New Roman" w:eastAsia="Times New Roman" w:hAnsi="Times New Roman"/>
                <w:sz w:val="13"/>
                <w:szCs w:val="13"/>
                <w:color w:val="auto"/>
              </w:rPr>
              <w:t>Option B</w:t>
            </w:r>
          </w:p>
        </w:tc>
        <w:tc>
          <w:tcPr>
            <w:tcW w:w="580" w:type="dxa"/>
            <w:vAlign w:val="bottom"/>
            <w:gridSpan w:val="4"/>
          </w:tcPr>
          <w:p>
            <w:pPr>
              <w:ind w:left="20"/>
              <w:spacing w:after="0" w:line="146" w:lineRule="exact"/>
              <w:rPr>
                <w:sz w:val="20"/>
                <w:szCs w:val="20"/>
                <w:color w:val="auto"/>
              </w:rPr>
            </w:pPr>
            <w:r>
              <w:rPr>
                <w:rFonts w:ascii="Times New Roman" w:cs="Times New Roman" w:eastAsia="Times New Roman" w:hAnsi="Times New Roman"/>
                <w:sz w:val="13"/>
                <w:szCs w:val="13"/>
                <w:color w:val="auto"/>
              </w:rPr>
              <w:t>would be</w:t>
            </w:r>
          </w:p>
        </w:tc>
        <w:tc>
          <w:tcPr>
            <w:tcW w:w="2000" w:type="dxa"/>
            <w:vAlign w:val="bottom"/>
            <w:gridSpan w:val="9"/>
          </w:tcPr>
          <w:p>
            <w:pPr>
              <w:jc w:val="center"/>
              <w:ind w:right="20"/>
              <w:spacing w:after="0" w:line="146" w:lineRule="exact"/>
              <w:rPr>
                <w:sz w:val="20"/>
                <w:szCs w:val="20"/>
                <w:color w:val="auto"/>
              </w:rPr>
            </w:pPr>
            <w:r>
              <w:rPr>
                <w:rFonts w:ascii="Times New Roman" w:cs="Times New Roman" w:eastAsia="Times New Roman" w:hAnsi="Times New Roman"/>
                <w:sz w:val="13"/>
                <w:szCs w:val="13"/>
                <w:color w:val="auto"/>
              </w:rPr>
              <w:t>reduced to $27,777.78 ($50,000 x</w:t>
            </w:r>
          </w:p>
        </w:tc>
        <w:tc>
          <w:tcPr>
            <w:tcW w:w="1360" w:type="dxa"/>
            <w:vAlign w:val="bottom"/>
            <w:gridSpan w:val="6"/>
          </w:tcPr>
          <w:p>
            <w:pPr>
              <w:ind w:left="40"/>
              <w:spacing w:after="0" w:line="146" w:lineRule="exact"/>
              <w:rPr>
                <w:sz w:val="20"/>
                <w:szCs w:val="20"/>
                <w:color w:val="auto"/>
              </w:rPr>
            </w:pPr>
            <w:r>
              <w:rPr>
                <w:rFonts w:ascii="Times New Roman" w:cs="Times New Roman" w:eastAsia="Times New Roman" w:hAnsi="Times New Roman"/>
                <w:sz w:val="13"/>
                <w:szCs w:val="13"/>
                <w:color w:val="auto"/>
              </w:rPr>
              <w:t>(1-44.44%)). The total</w:t>
            </w:r>
          </w:p>
        </w:tc>
        <w:tc>
          <w:tcPr>
            <w:tcW w:w="60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3"/>
                <w:szCs w:val="13"/>
                <w:color w:val="auto"/>
                <w:w w:val="96"/>
              </w:rPr>
              <w:t>Investment</w:t>
            </w:r>
          </w:p>
        </w:tc>
        <w:tc>
          <w:tcPr>
            <w:tcW w:w="940" w:type="dxa"/>
            <w:vAlign w:val="bottom"/>
            <w:gridSpan w:val="7"/>
          </w:tcPr>
          <w:p>
            <w:pPr>
              <w:jc w:val="right"/>
              <w:spacing w:after="0" w:line="146" w:lineRule="exact"/>
              <w:rPr>
                <w:sz w:val="20"/>
                <w:szCs w:val="20"/>
                <w:color w:val="auto"/>
              </w:rPr>
            </w:pPr>
            <w:r>
              <w:rPr>
                <w:rFonts w:ascii="Times New Roman" w:cs="Times New Roman" w:eastAsia="Times New Roman" w:hAnsi="Times New Roman"/>
                <w:sz w:val="13"/>
                <w:szCs w:val="13"/>
                <w:color w:val="auto"/>
              </w:rPr>
              <w:t>Amount is then</w:t>
            </w:r>
          </w:p>
        </w:tc>
      </w:tr>
      <w:tr>
        <w:trPr>
          <w:trHeight w:val="172"/>
        </w:trPr>
        <w:tc>
          <w:tcPr>
            <w:tcW w:w="202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$77,777.78 ($50,000 + $27,777.78).</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08"/>
        </w:trPr>
        <w:tc>
          <w:tcPr>
            <w:tcW w:w="28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w w:val="89"/>
              </w:rPr>
              <w:t>Using</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the same</w:t>
            </w:r>
          </w:p>
        </w:tc>
        <w:tc>
          <w:tcPr>
            <w:tcW w:w="5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example</w:t>
            </w:r>
          </w:p>
        </w:tc>
        <w:tc>
          <w:tcPr>
            <w:tcW w:w="3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77"/>
              </w:rPr>
              <w:t>above</w:t>
            </w:r>
          </w:p>
        </w:tc>
        <w:tc>
          <w:tcPr>
            <w:tcW w:w="1140" w:type="dxa"/>
            <w:vAlign w:val="bottom"/>
            <w:gridSpan w:val="5"/>
          </w:tcPr>
          <w:p>
            <w:pPr>
              <w:ind w:left="100"/>
              <w:spacing w:after="0"/>
              <w:rPr>
                <w:sz w:val="20"/>
                <w:szCs w:val="20"/>
                <w:color w:val="auto"/>
              </w:rPr>
            </w:pPr>
            <w:r>
              <w:rPr>
                <w:rFonts w:ascii="Times New Roman" w:cs="Times New Roman" w:eastAsia="Times New Roman" w:hAnsi="Times New Roman"/>
                <w:sz w:val="13"/>
                <w:szCs w:val="13"/>
                <w:color w:val="auto"/>
              </w:rPr>
              <w:t>and assuming</w:t>
            </w:r>
          </w:p>
        </w:tc>
        <w:tc>
          <w:tcPr>
            <w:tcW w:w="60" w:type="dxa"/>
            <w:vAlign w:val="bottom"/>
          </w:tcPr>
          <w:p>
            <w:pPr>
              <w:spacing w:after="0"/>
              <w:rPr>
                <w:sz w:val="18"/>
                <w:szCs w:val="18"/>
                <w:color w:val="auto"/>
              </w:rPr>
            </w:pPr>
          </w:p>
        </w:tc>
        <w:tc>
          <w:tcPr>
            <w:tcW w:w="5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Owner 1</w:t>
            </w: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exercised the</w:t>
            </w:r>
          </w:p>
        </w:tc>
        <w:tc>
          <w:tcPr>
            <w:tcW w:w="200" w:type="dxa"/>
            <w:vAlign w:val="bottom"/>
          </w:tcPr>
          <w:p>
            <w:pPr>
              <w:spacing w:after="0"/>
              <w:rPr>
                <w:sz w:val="18"/>
                <w:szCs w:val="18"/>
                <w:color w:val="auto"/>
              </w:rPr>
            </w:pPr>
          </w:p>
        </w:tc>
        <w:tc>
          <w:tcPr>
            <w:tcW w:w="840" w:type="dxa"/>
            <w:vAlign w:val="bottom"/>
            <w:gridSpan w:val="6"/>
          </w:tcPr>
          <w:p>
            <w:pPr>
              <w:ind w:left="120"/>
              <w:spacing w:after="0"/>
              <w:rPr>
                <w:sz w:val="20"/>
                <w:szCs w:val="20"/>
                <w:color w:val="auto"/>
              </w:rPr>
            </w:pPr>
            <w:r>
              <w:rPr>
                <w:rFonts w:ascii="Times New Roman" w:cs="Times New Roman" w:eastAsia="Times New Roman" w:hAnsi="Times New Roman"/>
                <w:sz w:val="13"/>
                <w:szCs w:val="13"/>
                <w:color w:val="auto"/>
              </w:rPr>
              <w:t>Performance</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Lock on</w:t>
            </w:r>
          </w:p>
        </w:tc>
      </w:tr>
      <w:tr>
        <w:trPr>
          <w:trHeight w:val="20"/>
        </w:trPr>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39"/>
        </w:trPr>
        <w:tc>
          <w:tcPr>
            <w:tcW w:w="280" w:type="dxa"/>
            <w:vAlign w:val="bottom"/>
          </w:tcPr>
          <w:p>
            <w:pPr>
              <w:spacing w:after="0"/>
              <w:rPr>
                <w:sz w:val="12"/>
                <w:szCs w:val="12"/>
                <w:color w:val="auto"/>
              </w:rPr>
            </w:pPr>
          </w:p>
        </w:tc>
        <w:tc>
          <w:tcPr>
            <w:tcW w:w="1420" w:type="dxa"/>
            <w:vAlign w:val="bottom"/>
            <w:gridSpan w:val="8"/>
          </w:tcPr>
          <w:p>
            <w:pPr>
              <w:spacing w:after="0" w:line="139" w:lineRule="exact"/>
              <w:rPr>
                <w:sz w:val="20"/>
                <w:szCs w:val="20"/>
                <w:color w:val="auto"/>
              </w:rPr>
            </w:pPr>
            <w:r>
              <w:rPr>
                <w:rFonts w:ascii="Times New Roman" w:cs="Times New Roman" w:eastAsia="Times New Roman" w:hAnsi="Times New Roman"/>
                <w:sz w:val="13"/>
                <w:szCs w:val="13"/>
                <w:color w:val="auto"/>
              </w:rPr>
              <w:t>Shield Option A and</w:t>
            </w:r>
          </w:p>
        </w:tc>
        <w:tc>
          <w:tcPr>
            <w:tcW w:w="32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w w:val="84"/>
              </w:rPr>
              <w:t>Shield</w:t>
            </w:r>
          </w:p>
        </w:tc>
        <w:tc>
          <w:tcPr>
            <w:tcW w:w="1720" w:type="dxa"/>
            <w:vAlign w:val="bottom"/>
            <w:gridSpan w:val="9"/>
          </w:tcPr>
          <w:p>
            <w:pPr>
              <w:ind w:left="320"/>
              <w:spacing w:after="0" w:line="139" w:lineRule="exact"/>
              <w:rPr>
                <w:sz w:val="20"/>
                <w:szCs w:val="20"/>
                <w:color w:val="auto"/>
              </w:rPr>
            </w:pPr>
            <w:r>
              <w:rPr>
                <w:rFonts w:ascii="Times New Roman" w:cs="Times New Roman" w:eastAsia="Times New Roman" w:hAnsi="Times New Roman"/>
                <w:sz w:val="13"/>
                <w:szCs w:val="13"/>
                <w:color w:val="auto"/>
              </w:rPr>
              <w:t>Option B resulting in a</w:t>
            </w:r>
          </w:p>
        </w:tc>
        <w:tc>
          <w:tcPr>
            <w:tcW w:w="2320" w:type="dxa"/>
            <w:vAlign w:val="bottom"/>
            <w:gridSpan w:val="12"/>
          </w:tcPr>
          <w:p>
            <w:pPr>
              <w:jc w:val="right"/>
              <w:spacing w:after="0" w:line="139" w:lineRule="exact"/>
              <w:rPr>
                <w:sz w:val="20"/>
                <w:szCs w:val="20"/>
                <w:color w:val="auto"/>
              </w:rPr>
            </w:pPr>
            <w:r>
              <w:rPr>
                <w:rFonts w:ascii="Times New Roman" w:cs="Times New Roman" w:eastAsia="Times New Roman" w:hAnsi="Times New Roman"/>
                <w:sz w:val="13"/>
                <w:szCs w:val="13"/>
                <w:color w:val="auto"/>
              </w:rPr>
              <w:t>Performance Lock Value of $65,000 for</w:t>
            </w:r>
          </w:p>
        </w:tc>
      </w:tr>
      <w:tr>
        <w:trPr>
          <w:trHeight w:val="20"/>
        </w:trPr>
        <w:tc>
          <w:tcPr>
            <w:tcW w:w="280" w:type="dxa"/>
            <w:vAlign w:val="bottom"/>
            <w:tcBorders>
              <w:right w:val="single" w:sz="8" w:color="auto"/>
            </w:tcBorders>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Borders>
              <w:left w:val="single" w:sz="8" w:color="auto"/>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20" w:type="dxa"/>
            <w:vAlign w:val="bottom"/>
            <w:tcBorders>
              <w:right w:val="single" w:sz="8" w:color="auto"/>
            </w:tcBorders>
            <w:gridSpan w:val="3"/>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139"/>
        </w:trPr>
        <w:tc>
          <w:tcPr>
            <w:tcW w:w="280" w:type="dxa"/>
            <w:vAlign w:val="bottom"/>
          </w:tcPr>
          <w:p>
            <w:pPr>
              <w:spacing w:after="0"/>
              <w:rPr>
                <w:sz w:val="12"/>
                <w:szCs w:val="12"/>
                <w:color w:val="auto"/>
              </w:rPr>
            </w:pPr>
          </w:p>
        </w:tc>
        <w:tc>
          <w:tcPr>
            <w:tcW w:w="1740" w:type="dxa"/>
            <w:vAlign w:val="bottom"/>
            <w:gridSpan w:val="9"/>
          </w:tcPr>
          <w:p>
            <w:pPr>
              <w:spacing w:after="0" w:line="139" w:lineRule="exact"/>
              <w:rPr>
                <w:sz w:val="20"/>
                <w:szCs w:val="20"/>
                <w:color w:val="auto"/>
              </w:rPr>
            </w:pPr>
            <w:r>
              <w:rPr>
                <w:rFonts w:ascii="Times New Roman" w:cs="Times New Roman" w:eastAsia="Times New Roman" w:hAnsi="Times New Roman"/>
                <w:sz w:val="13"/>
                <w:szCs w:val="13"/>
                <w:color w:val="auto"/>
                <w:w w:val="99"/>
              </w:rPr>
              <w:t>Shield Option A and $45,000 for</w:t>
            </w:r>
          </w:p>
        </w:tc>
        <w:tc>
          <w:tcPr>
            <w:tcW w:w="360" w:type="dxa"/>
            <w:vAlign w:val="bottom"/>
          </w:tcPr>
          <w:p>
            <w:pPr>
              <w:spacing w:after="0"/>
              <w:rPr>
                <w:sz w:val="12"/>
                <w:szCs w:val="12"/>
                <w:color w:val="auto"/>
              </w:rPr>
            </w:pPr>
          </w:p>
        </w:tc>
        <w:tc>
          <w:tcPr>
            <w:tcW w:w="2740" w:type="dxa"/>
            <w:vAlign w:val="bottom"/>
            <w:gridSpan w:val="13"/>
          </w:tcPr>
          <w:p>
            <w:pPr>
              <w:jc w:val="right"/>
              <w:ind w:right="40"/>
              <w:spacing w:after="0" w:line="139" w:lineRule="exact"/>
              <w:rPr>
                <w:sz w:val="20"/>
                <w:szCs w:val="20"/>
                <w:color w:val="auto"/>
              </w:rPr>
            </w:pPr>
            <w:r>
              <w:rPr>
                <w:rFonts w:ascii="Times New Roman" w:cs="Times New Roman" w:eastAsia="Times New Roman" w:hAnsi="Times New Roman"/>
                <w:sz w:val="13"/>
                <w:szCs w:val="13"/>
                <w:color w:val="auto"/>
              </w:rPr>
              <w:t>Shield Option B. Assume that after exercising the</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5"/>
          </w:tcPr>
          <w:p>
            <w:pPr>
              <w:jc w:val="right"/>
              <w:spacing w:after="0" w:line="139" w:lineRule="exact"/>
              <w:rPr>
                <w:sz w:val="20"/>
                <w:szCs w:val="20"/>
                <w:color w:val="auto"/>
              </w:rPr>
            </w:pPr>
            <w:r>
              <w:rPr>
                <w:rFonts w:ascii="Times New Roman" w:cs="Times New Roman" w:eastAsia="Times New Roman" w:hAnsi="Times New Roman"/>
                <w:sz w:val="13"/>
                <w:szCs w:val="13"/>
                <w:color w:val="auto"/>
              </w:rPr>
              <w:t>Performance</w:t>
            </w:r>
          </w:p>
        </w:tc>
      </w:tr>
      <w:tr>
        <w:trPr>
          <w:trHeight w:val="20"/>
        </w:trPr>
        <w:tc>
          <w:tcPr>
            <w:tcW w:w="28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r>
      <w:tr>
        <w:trPr>
          <w:trHeight w:val="149"/>
        </w:trPr>
        <w:tc>
          <w:tcPr>
            <w:tcW w:w="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Lock,</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80" w:type="dxa"/>
            <w:vAlign w:val="bottom"/>
            <w:gridSpan w:val="20"/>
          </w:tcPr>
          <w:p>
            <w:pPr>
              <w:jc w:val="right"/>
              <w:ind w:right="60"/>
              <w:spacing w:after="0"/>
              <w:rPr>
                <w:sz w:val="20"/>
                <w:szCs w:val="20"/>
                <w:color w:val="auto"/>
              </w:rPr>
            </w:pPr>
            <w:r>
              <w:rPr>
                <w:rFonts w:ascii="Times New Roman" w:cs="Times New Roman" w:eastAsia="Times New Roman" w:hAnsi="Times New Roman"/>
                <w:sz w:val="13"/>
                <w:szCs w:val="13"/>
                <w:color w:val="auto"/>
              </w:rPr>
              <w:t>Owner 1 makes a withdrawal of $20,000. If the entire withdrawal is taken</w:t>
            </w:r>
          </w:p>
        </w:tc>
        <w:tc>
          <w:tcPr>
            <w:tcW w:w="44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from</w:t>
            </w:r>
          </w:p>
        </w:tc>
        <w:tc>
          <w:tcPr>
            <w:tcW w:w="160" w:type="dxa"/>
            <w:vAlign w:val="bottom"/>
          </w:tcPr>
          <w:p>
            <w:pPr>
              <w:spacing w:after="0"/>
              <w:rPr>
                <w:sz w:val="12"/>
                <w:szCs w:val="12"/>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6"/>
              </w:rPr>
              <w:t>Shield</w:t>
            </w:r>
          </w:p>
        </w:tc>
      </w:tr>
      <w:tr>
        <w:trPr>
          <w:trHeight w:val="20"/>
        </w:trPr>
        <w:tc>
          <w:tcPr>
            <w:tcW w:w="2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00"/>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r>
      <w:tr>
        <w:trPr>
          <w:trHeight w:val="139"/>
        </w:trPr>
        <w:tc>
          <w:tcPr>
            <w:tcW w:w="280" w:type="dxa"/>
            <w:vAlign w:val="bottom"/>
          </w:tcPr>
          <w:p>
            <w:pPr>
              <w:spacing w:after="0"/>
              <w:rPr>
                <w:sz w:val="12"/>
                <w:szCs w:val="12"/>
                <w:color w:val="auto"/>
              </w:rPr>
            </w:pPr>
          </w:p>
        </w:tc>
        <w:tc>
          <w:tcPr>
            <w:tcW w:w="880" w:type="dxa"/>
            <w:vAlign w:val="bottom"/>
            <w:gridSpan w:val="5"/>
          </w:tcPr>
          <w:p>
            <w:pPr>
              <w:spacing w:after="0" w:line="139" w:lineRule="exact"/>
              <w:rPr>
                <w:sz w:val="20"/>
                <w:szCs w:val="20"/>
                <w:color w:val="auto"/>
              </w:rPr>
            </w:pPr>
            <w:r>
              <w:rPr>
                <w:rFonts w:ascii="Times New Roman" w:cs="Times New Roman" w:eastAsia="Times New Roman" w:hAnsi="Times New Roman"/>
                <w:sz w:val="13"/>
                <w:szCs w:val="13"/>
                <w:color w:val="auto"/>
              </w:rPr>
              <w:t>Option A, the</w:t>
            </w:r>
          </w:p>
        </w:tc>
        <w:tc>
          <w:tcPr>
            <w:tcW w:w="120" w:type="dxa"/>
            <w:vAlign w:val="bottom"/>
          </w:tcPr>
          <w:p>
            <w:pPr>
              <w:spacing w:after="0"/>
              <w:rPr>
                <w:sz w:val="12"/>
                <w:szCs w:val="12"/>
                <w:color w:val="auto"/>
              </w:rPr>
            </w:pPr>
          </w:p>
        </w:tc>
        <w:tc>
          <w:tcPr>
            <w:tcW w:w="1880" w:type="dxa"/>
            <w:vAlign w:val="bottom"/>
            <w:gridSpan w:val="8"/>
          </w:tcPr>
          <w:p>
            <w:pPr>
              <w:jc w:val="center"/>
              <w:ind w:right="160"/>
              <w:spacing w:after="0" w:line="139" w:lineRule="exact"/>
              <w:rPr>
                <w:sz w:val="20"/>
                <w:szCs w:val="20"/>
                <w:color w:val="auto"/>
              </w:rPr>
            </w:pPr>
            <w:r>
              <w:rPr>
                <w:rFonts w:ascii="Times New Roman" w:cs="Times New Roman" w:eastAsia="Times New Roman" w:hAnsi="Times New Roman"/>
                <w:sz w:val="13"/>
                <w:szCs w:val="13"/>
                <w:color w:val="auto"/>
              </w:rPr>
              <w:t>Performance Lock Value of that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60" w:type="dxa"/>
            <w:vAlign w:val="bottom"/>
            <w:gridSpan w:val="14"/>
          </w:tcPr>
          <w:p>
            <w:pPr>
              <w:jc w:val="right"/>
              <w:spacing w:after="0" w:line="139" w:lineRule="exact"/>
              <w:rPr>
                <w:sz w:val="20"/>
                <w:szCs w:val="20"/>
                <w:color w:val="auto"/>
              </w:rPr>
            </w:pPr>
            <w:r>
              <w:rPr>
                <w:rFonts w:ascii="Times New Roman" w:cs="Times New Roman" w:eastAsia="Times New Roman" w:hAnsi="Times New Roman"/>
                <w:sz w:val="13"/>
                <w:szCs w:val="13"/>
                <w:color w:val="auto"/>
              </w:rPr>
              <w:t>Shield Option would be after the withdrawal is then</w:t>
            </w:r>
          </w:p>
        </w:tc>
      </w:tr>
      <w:tr>
        <w:trPr>
          <w:trHeight w:val="20"/>
        </w:trPr>
        <w:tc>
          <w:tcPr>
            <w:tcW w:w="280" w:type="dxa"/>
            <w:vAlign w:val="bottom"/>
            <w:tcBorders>
              <w:right w:val="single" w:sz="8" w:color="auto"/>
            </w:tcBorders>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580" w:type="dxa"/>
            <w:vAlign w:val="bottom"/>
            <w:tcBorders>
              <w:left w:val="single" w:sz="8" w:color="auto"/>
            </w:tcBorders>
            <w:gridSpan w:val="2"/>
            <w:shd w:val="clear" w:color="auto" w:fill="000000"/>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r>
      <w:tr>
        <w:trPr>
          <w:trHeight w:val="139"/>
        </w:trPr>
        <w:tc>
          <w:tcPr>
            <w:tcW w:w="3740" w:type="dxa"/>
            <w:vAlign w:val="bottom"/>
            <w:gridSpan w:val="19"/>
          </w:tcPr>
          <w:p>
            <w:pPr>
              <w:spacing w:after="0" w:line="139" w:lineRule="exact"/>
              <w:rPr>
                <w:sz w:val="20"/>
                <w:szCs w:val="20"/>
                <w:color w:val="auto"/>
              </w:rPr>
            </w:pPr>
            <w:r>
              <w:rPr>
                <w:rFonts w:ascii="Times New Roman" w:cs="Times New Roman" w:eastAsia="Times New Roman" w:hAnsi="Times New Roman"/>
                <w:sz w:val="13"/>
                <w:szCs w:val="13"/>
                <w:color w:val="auto"/>
              </w:rPr>
              <w:t>$90,000 ($45,000 + $45,000). If the entire withdrawal is taken from</w:t>
            </w:r>
          </w:p>
        </w:tc>
        <w:tc>
          <w:tcPr>
            <w:tcW w:w="280" w:type="dxa"/>
            <w:vAlign w:val="bottom"/>
          </w:tcPr>
          <w:p>
            <w:pPr>
              <w:spacing w:after="0"/>
              <w:rPr>
                <w:sz w:val="12"/>
                <w:szCs w:val="12"/>
                <w:color w:val="auto"/>
              </w:rPr>
            </w:pPr>
          </w:p>
        </w:tc>
        <w:tc>
          <w:tcPr>
            <w:tcW w:w="1100" w:type="dxa"/>
            <w:vAlign w:val="bottom"/>
            <w:gridSpan w:val="4"/>
          </w:tcPr>
          <w:p>
            <w:pPr>
              <w:jc w:val="right"/>
              <w:ind w:right="40"/>
              <w:spacing w:after="0" w:line="139" w:lineRule="exact"/>
              <w:rPr>
                <w:sz w:val="20"/>
                <w:szCs w:val="20"/>
                <w:color w:val="auto"/>
              </w:rPr>
            </w:pPr>
            <w:r>
              <w:rPr>
                <w:rFonts w:ascii="Times New Roman" w:cs="Times New Roman" w:eastAsia="Times New Roman" w:hAnsi="Times New Roman"/>
                <w:sz w:val="13"/>
                <w:szCs w:val="13"/>
                <w:color w:val="auto"/>
                <w:w w:val="97"/>
              </w:rPr>
              <w:t>Shield Option B, the</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4"/>
          </w:tcPr>
          <w:p>
            <w:pPr>
              <w:jc w:val="right"/>
              <w:spacing w:after="0" w:line="139" w:lineRule="exact"/>
              <w:rPr>
                <w:sz w:val="20"/>
                <w:szCs w:val="20"/>
                <w:color w:val="auto"/>
              </w:rPr>
            </w:pPr>
            <w:r>
              <w:rPr>
                <w:rFonts w:ascii="Times New Roman" w:cs="Times New Roman" w:eastAsia="Times New Roman" w:hAnsi="Times New Roman"/>
                <w:sz w:val="13"/>
                <w:szCs w:val="13"/>
                <w:color w:val="auto"/>
                <w:w w:val="96"/>
              </w:rPr>
              <w:t>Performance</w:t>
            </w:r>
          </w:p>
        </w:tc>
      </w:tr>
      <w:tr>
        <w:trPr>
          <w:trHeight w:val="20"/>
        </w:trPr>
        <w:tc>
          <w:tcPr>
            <w:tcW w:w="60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00" w:type="dxa"/>
            <w:vAlign w:val="bottom"/>
            <w:tcBorders>
              <w:right w:val="single" w:sz="8" w:color="auto"/>
            </w:tcBorders>
            <w:gridSpan w:val="1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r>
      <w:tr>
        <w:trPr>
          <w:trHeight w:val="139"/>
        </w:trPr>
        <w:tc>
          <w:tcPr>
            <w:tcW w:w="1160" w:type="dxa"/>
            <w:vAlign w:val="bottom"/>
            <w:gridSpan w:val="6"/>
          </w:tcPr>
          <w:p>
            <w:pPr>
              <w:spacing w:after="0" w:line="139" w:lineRule="exact"/>
              <w:rPr>
                <w:sz w:val="20"/>
                <w:szCs w:val="20"/>
                <w:color w:val="auto"/>
              </w:rPr>
            </w:pPr>
            <w:r>
              <w:rPr>
                <w:rFonts w:ascii="Times New Roman" w:cs="Times New Roman" w:eastAsia="Times New Roman" w:hAnsi="Times New Roman"/>
                <w:sz w:val="13"/>
                <w:szCs w:val="13"/>
                <w:color w:val="auto"/>
              </w:rPr>
              <w:t>Lock Value of that</w:t>
            </w:r>
          </w:p>
        </w:tc>
        <w:tc>
          <w:tcPr>
            <w:tcW w:w="120" w:type="dxa"/>
            <w:vAlign w:val="bottom"/>
          </w:tcPr>
          <w:p>
            <w:pPr>
              <w:spacing w:after="0"/>
              <w:rPr>
                <w:sz w:val="12"/>
                <w:szCs w:val="12"/>
                <w:color w:val="auto"/>
              </w:rPr>
            </w:pPr>
          </w:p>
        </w:tc>
        <w:tc>
          <w:tcPr>
            <w:tcW w:w="3840" w:type="dxa"/>
            <w:vAlign w:val="bottom"/>
            <w:gridSpan w:val="17"/>
          </w:tcPr>
          <w:p>
            <w:pPr>
              <w:jc w:val="right"/>
              <w:ind w:right="140"/>
              <w:spacing w:after="0" w:line="139" w:lineRule="exact"/>
              <w:rPr>
                <w:sz w:val="20"/>
                <w:szCs w:val="20"/>
                <w:color w:val="auto"/>
              </w:rPr>
            </w:pPr>
            <w:r>
              <w:rPr>
                <w:rFonts w:ascii="Times New Roman" w:cs="Times New Roman" w:eastAsia="Times New Roman" w:hAnsi="Times New Roman"/>
                <w:sz w:val="13"/>
                <w:szCs w:val="13"/>
                <w:color w:val="auto"/>
              </w:rPr>
              <w:t>Shield Option would be reduced to $25,000 ($45,000 - $20,000). The</w:t>
            </w:r>
          </w:p>
        </w:tc>
        <w:tc>
          <w:tcPr>
            <w:tcW w:w="100" w:type="dxa"/>
            <w:vAlign w:val="bottom"/>
          </w:tcPr>
          <w:p>
            <w:pPr>
              <w:spacing w:after="0"/>
              <w:rPr>
                <w:sz w:val="12"/>
                <w:szCs w:val="12"/>
                <w:color w:val="auto"/>
              </w:rPr>
            </w:pPr>
          </w:p>
        </w:tc>
        <w:tc>
          <w:tcPr>
            <w:tcW w:w="840" w:type="dxa"/>
            <w:vAlign w:val="bottom"/>
            <w:gridSpan w:val="6"/>
          </w:tcPr>
          <w:p>
            <w:pPr>
              <w:jc w:val="right"/>
              <w:spacing w:after="0" w:line="139" w:lineRule="exact"/>
              <w:rPr>
                <w:sz w:val="20"/>
                <w:szCs w:val="20"/>
                <w:color w:val="auto"/>
              </w:rPr>
            </w:pPr>
            <w:r>
              <w:rPr>
                <w:rFonts w:ascii="Times New Roman" w:cs="Times New Roman" w:eastAsia="Times New Roman" w:hAnsi="Times New Roman"/>
                <w:sz w:val="13"/>
                <w:szCs w:val="13"/>
                <w:color w:val="auto"/>
              </w:rPr>
              <w:t>Account Value</w:t>
            </w:r>
          </w:p>
        </w:tc>
      </w:tr>
      <w:tr>
        <w:trPr>
          <w:trHeight w:val="20"/>
        </w:trPr>
        <w:tc>
          <w:tcPr>
            <w:tcW w:w="600" w:type="dxa"/>
            <w:vAlign w:val="bottom"/>
            <w:gridSpan w:val="3"/>
            <w:shd w:val="clear" w:color="auto" w:fill="000000"/>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169"/>
        </w:trPr>
        <w:tc>
          <w:tcPr>
            <w:tcW w:w="316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after the withdrawal is then $90,000 ($65,000 + $25,000).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r>
    </w:tbl>
    <w:p>
      <w:pPr>
        <w:spacing w:after="0" w:line="66" w:lineRule="exact"/>
        <w:rPr>
          <w:sz w:val="20"/>
          <w:szCs w:val="20"/>
          <w:color w:val="auto"/>
        </w:rPr>
      </w:pPr>
    </w:p>
    <w:p>
      <w:pPr>
        <w:jc w:val="both"/>
        <w:ind w:right="3179" w:firstLine="265"/>
        <w:spacing w:after="0" w:line="266" w:lineRule="auto"/>
        <w:rPr>
          <w:sz w:val="20"/>
          <w:szCs w:val="20"/>
          <w:color w:val="auto"/>
        </w:rPr>
      </w:pPr>
      <w:r>
        <w:rPr>
          <w:rFonts w:ascii="Times New Roman" w:cs="Times New Roman" w:eastAsia="Times New Roman" w:hAnsi="Times New Roman"/>
          <w:sz w:val="13"/>
          <w:szCs w:val="13"/>
          <w:color w:val="auto"/>
        </w:rPr>
        <w:t>The remaining Investment Amount after a withdrawal will be used as the new Investment Amount for the Term until the Term End Date or the next Interim Value calculation for that Shield Option. A partial withdrawal from a Shield Option does not affect the Cap Rate, Step Rate, or Edge Rate, as applicable, and the Shield Rate that will apply to the remaining Investment Amounts that are held in the Shield Option through the Term End Date.</w:t>
      </w:r>
    </w:p>
    <w:p>
      <w:pPr>
        <w:spacing w:after="0" w:line="52" w:lineRule="exact"/>
        <w:rPr>
          <w:sz w:val="20"/>
          <w:szCs w:val="20"/>
          <w:color w:val="auto"/>
        </w:rPr>
      </w:pPr>
    </w:p>
    <w:p>
      <w:pPr>
        <w:jc w:val="both"/>
        <w:ind w:right="3199" w:firstLine="265"/>
        <w:spacing w:after="0" w:line="290" w:lineRule="auto"/>
        <w:rPr>
          <w:sz w:val="20"/>
          <w:szCs w:val="20"/>
          <w:color w:val="auto"/>
        </w:rPr>
      </w:pPr>
      <w:r>
        <w:rPr>
          <w:rFonts w:ascii="Times New Roman" w:cs="Times New Roman" w:eastAsia="Times New Roman" w:hAnsi="Times New Roman"/>
          <w:sz w:val="13"/>
          <w:szCs w:val="13"/>
          <w:color w:val="auto"/>
        </w:rPr>
        <w:t xml:space="preserve">After receipt of a </w:t>
      </w:r>
      <w:r>
        <w:rPr>
          <w:rFonts w:ascii="Times New Roman" w:cs="Times New Roman" w:eastAsia="Times New Roman" w:hAnsi="Times New Roman"/>
          <w:sz w:val="13"/>
          <w:szCs w:val="13"/>
          <w:u w:val="single" w:color="auto"/>
          <w:color w:val="auto"/>
        </w:rPr>
        <w:t>Notice</w:t>
      </w:r>
      <w:r>
        <w:rPr>
          <w:rFonts w:ascii="Times New Roman" w:cs="Times New Roman" w:eastAsia="Times New Roman" w:hAnsi="Times New Roman"/>
          <w:sz w:val="13"/>
          <w:szCs w:val="13"/>
          <w:color w:val="auto"/>
        </w:rPr>
        <w:t xml:space="preserve"> of withdrawal from you, we reserve the right to defer payment for a withdrawal for the period permitted by applicable law but not more than six (6) months.</w:t>
      </w:r>
    </w:p>
    <w:p>
      <w:pPr>
        <w:spacing w:after="0" w:line="34" w:lineRule="exact"/>
        <w:rPr>
          <w:sz w:val="20"/>
          <w:szCs w:val="20"/>
          <w:color w:val="auto"/>
        </w:rPr>
      </w:pPr>
    </w:p>
    <w:p>
      <w:pPr>
        <w:jc w:val="both"/>
        <w:ind w:right="3199" w:firstLine="265"/>
        <w:spacing w:after="0" w:line="271" w:lineRule="auto"/>
        <w:rPr>
          <w:sz w:val="20"/>
          <w:szCs w:val="20"/>
          <w:color w:val="auto"/>
        </w:rPr>
      </w:pPr>
      <w:r>
        <w:rPr>
          <w:rFonts w:ascii="Times New Roman" w:cs="Times New Roman" w:eastAsia="Times New Roman" w:hAnsi="Times New Roman"/>
          <w:sz w:val="13"/>
          <w:szCs w:val="13"/>
          <w:b w:val="1"/>
          <w:bCs w:val="1"/>
          <w:color w:val="auto"/>
        </w:rPr>
        <w:t>Divorce.</w:t>
      </w:r>
      <w:r>
        <w:rPr>
          <w:rFonts w:ascii="Times New Roman" w:cs="Times New Roman" w:eastAsia="Times New Roman" w:hAnsi="Times New Roman"/>
          <w:sz w:val="13"/>
          <w:szCs w:val="13"/>
          <w:color w:val="auto"/>
        </w:rPr>
        <w:t xml:space="preserve">  A withdrawal made pursuant to a divorce or separation agreement is subject to the same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Withdrawal Charge provisions described in this section, if permissible under tax law. In addition, the withdrawal will reduce the Account Value and the death benefit. The withdrawal could have a significant negative impact on the death benefit.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Systematic Withdrawal Program</w:t>
      </w:r>
    </w:p>
    <w:p>
      <w:pPr>
        <w:spacing w:after="0" w:line="91" w:lineRule="exact"/>
        <w:rPr>
          <w:sz w:val="20"/>
          <w:szCs w:val="20"/>
          <w:color w:val="auto"/>
        </w:rPr>
      </w:pPr>
    </w:p>
    <w:p>
      <w:pPr>
        <w:jc w:val="both"/>
        <w:ind w:right="3199" w:firstLine="265"/>
        <w:spacing w:after="0" w:line="263" w:lineRule="auto"/>
        <w:rPr>
          <w:sz w:val="20"/>
          <w:szCs w:val="20"/>
          <w:color w:val="auto"/>
        </w:rPr>
      </w:pPr>
      <w:r>
        <w:rPr>
          <w:rFonts w:ascii="Times New Roman" w:cs="Times New Roman" w:eastAsia="Times New Roman" w:hAnsi="Times New Roman"/>
          <w:sz w:val="13"/>
          <w:szCs w:val="13"/>
          <w:color w:val="auto"/>
        </w:rPr>
        <w:t>For automated processing of RMD amounts withdrawn from an IRA Contract or qualified annuity Contract, you may elect this program in any Contract Year. However, for automated processing of amounts withdrawn for purposes other than RMDs, you may elect this program after the first Contract Year for up to 10% of your Account Value as of the prior Contract Anniversary. We do not assess a charge for this program. You can receive payments monthly, quarterly, semi-annually, or</w:t>
      </w:r>
    </w:p>
    <w:p>
      <w:pPr>
        <w:spacing w:after="0" w:line="193"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color w:val="auto"/>
        </w:rPr>
        <w:t>42</w:t>
      </w:r>
    </w:p>
    <w:p>
      <w:pPr>
        <w:sectPr>
          <w:pgSz w:w="11900" w:h="16838" w:orient="portrait"/>
          <w:cols w:equalWidth="0" w:num="1">
            <w:col w:w="9259"/>
          </w:cols>
          <w:pgMar w:left="1200" w:top="1049" w:right="1440" w:bottom="1440" w:gutter="0" w:footer="0" w:header="0"/>
        </w:sectPr>
      </w:pPr>
    </w:p>
    <w:bookmarkStart w:id="44" w:name="page45"/>
    <w:bookmarkEnd w:id="44"/>
    <w:p>
      <w:pPr>
        <w:jc w:val="both"/>
        <w:ind w:right="3199"/>
        <w:spacing w:after="0" w:line="26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93915" cy="38100"/>
                    </a:xfrm>
                    <a:prstGeom prst="rect">
                      <a:avLst/>
                    </a:prstGeom>
                    <a:noFill/>
                  </pic:spPr>
                </pic:pic>
              </a:graphicData>
            </a:graphic>
          </wp:anchor>
        </w:drawing>
        <w:t>annually provided that each payment must amount to at least $100 (a minimum of $500 must be distributed per Contract Year). We reserve the right to change the required minimum or the availability of this program. If the New York Stock Exchange is closed on a day when the withdrawal is to be made, we will process the withdrawal on the next Business Day. While the Systematic Withdrawal Program is in effect, you can make additional withdrawals outside the program. However, such withdrawals, in addition to the systematic withdrawals, will be considered when determining the applicability of any Withdrawal Charge.</w:t>
      </w:r>
    </w:p>
    <w:p>
      <w:pPr>
        <w:spacing w:after="0" w:line="62" w:lineRule="exact"/>
        <w:rPr>
          <w:sz w:val="20"/>
          <w:szCs w:val="20"/>
          <w:color w:val="auto"/>
        </w:rPr>
      </w:pPr>
    </w:p>
    <w:p>
      <w:pPr>
        <w:jc w:val="both"/>
        <w:ind w:right="3199" w:firstLine="265"/>
        <w:spacing w:after="0" w:line="272" w:lineRule="auto"/>
        <w:rPr>
          <w:sz w:val="20"/>
          <w:szCs w:val="20"/>
          <w:color w:val="auto"/>
        </w:rPr>
      </w:pPr>
      <w:r>
        <w:rPr>
          <w:rFonts w:ascii="Times New Roman" w:cs="Times New Roman" w:eastAsia="Times New Roman" w:hAnsi="Times New Roman"/>
          <w:sz w:val="13"/>
          <w:szCs w:val="13"/>
          <w:color w:val="auto"/>
        </w:rPr>
        <w:t>Withdrawals under the Systematic Withdrawal Program may either be drawn proportionally from all Allocation Options or you can designate where the withdrawal will be drawn: one or more Shield Options, the Fixed Account, and/or the Holding Account.</w:t>
      </w:r>
    </w:p>
    <w:p>
      <w:pPr>
        <w:spacing w:after="0" w:line="45" w:lineRule="exact"/>
        <w:rPr>
          <w:sz w:val="20"/>
          <w:szCs w:val="20"/>
          <w:color w:val="auto"/>
        </w:rPr>
      </w:pPr>
    </w:p>
    <w:p>
      <w:pPr>
        <w:jc w:val="both"/>
        <w:ind w:right="3199" w:firstLine="265"/>
        <w:spacing w:after="0" w:line="258" w:lineRule="auto"/>
        <w:rPr>
          <w:sz w:val="20"/>
          <w:szCs w:val="20"/>
          <w:color w:val="auto"/>
        </w:rPr>
      </w:pPr>
      <w:r>
        <w:rPr>
          <w:rFonts w:ascii="Times New Roman" w:cs="Times New Roman" w:eastAsia="Times New Roman" w:hAnsi="Times New Roman"/>
          <w:sz w:val="13"/>
          <w:szCs w:val="13"/>
          <w:b w:val="1"/>
          <w:bCs w:val="1"/>
          <w:color w:val="auto"/>
        </w:rPr>
        <w:t>Unless you have exercised the Performance Lock, each withdrawal, systematic or otherwise (including any applicable Withdrawal Charge), will reduce the Investment Amount for each Shield Option by the same percentage reduction in the Interim Value of such Shield Option (</w:t>
      </w:r>
      <w:r>
        <w:rPr>
          <w:rFonts w:ascii="Times New Roman" w:cs="Times New Roman" w:eastAsia="Times New Roman" w:hAnsi="Times New Roman"/>
          <w:sz w:val="13"/>
          <w:szCs w:val="13"/>
          <w:b w:val="1"/>
          <w:bCs w:val="1"/>
          <w:i w:val="1"/>
          <w:iCs w:val="1"/>
          <w:color w:val="auto"/>
        </w:rPr>
        <w:t>i.e.</w:t>
      </w:r>
      <w:r>
        <w:rPr>
          <w:rFonts w:ascii="Times New Roman" w:cs="Times New Roman" w:eastAsia="Times New Roman" w:hAnsi="Times New Roman"/>
          <w:sz w:val="13"/>
          <w:szCs w:val="13"/>
          <w:b w:val="1"/>
          <w:bCs w:val="1"/>
          <w:color w:val="auto"/>
        </w:rPr>
        <w:t xml:space="preserve"> a proportional reduction). Therefore, a withdrawal when Interim Value is less than the Investment Amount will cause a greater percentage reduction in the remaining Investment Amount relative to the percentage reduction for the same Withdrawal Amount when Interim Value is greater than the Investment Amount. If you exercise Performance Lock on any Shield Option, the Performance Lock Value for that Shield Option will be reduced by the dollar amount of the withdrawal. Each withdrawal from the Fixed Account or the Holding Account reduces the value of that account by the amount of the withdrawal (dollar for dollar). These systematic withdrawals may have an adverse effect on the values and benefits under your Contract. If you intend to make such ongoing withdrawals, you should consult with a financial professional about whether this Contract is appropriate for you.</w:t>
      </w:r>
    </w:p>
    <w:p>
      <w:pPr>
        <w:spacing w:after="0" w:line="68" w:lineRule="exact"/>
        <w:rPr>
          <w:sz w:val="20"/>
          <w:szCs w:val="20"/>
          <w:color w:val="auto"/>
        </w:rPr>
      </w:pPr>
    </w:p>
    <w:p>
      <w:pPr>
        <w:jc w:val="both"/>
        <w:ind w:right="3199" w:firstLine="265"/>
        <w:spacing w:after="0" w:line="272" w:lineRule="auto"/>
        <w:rPr>
          <w:sz w:val="20"/>
          <w:szCs w:val="20"/>
          <w:color w:val="auto"/>
        </w:rPr>
      </w:pPr>
      <w:r>
        <w:rPr>
          <w:rFonts w:ascii="Times New Roman" w:cs="Times New Roman" w:eastAsia="Times New Roman" w:hAnsi="Times New Roman"/>
          <w:sz w:val="13"/>
          <w:szCs w:val="13"/>
          <w:color w:val="auto"/>
        </w:rPr>
        <w:t>If you choose proportional withdrawals, all withdrawals are drawn from the Shield Options, the Fixed Account, and the Holding Account in the ratio that each Shield Option(s), the Fixed Account and/or the Holding Account bears to your Account Value.</w:t>
      </w:r>
    </w:p>
    <w:p>
      <w:pPr>
        <w:spacing w:after="0" w:line="47" w:lineRule="exact"/>
        <w:rPr>
          <w:sz w:val="20"/>
          <w:szCs w:val="20"/>
          <w:color w:val="auto"/>
        </w:rPr>
      </w:pPr>
    </w:p>
    <w:p>
      <w:pPr>
        <w:jc w:val="both"/>
        <w:ind w:right="3179" w:firstLine="265"/>
        <w:spacing w:after="0" w:line="259" w:lineRule="auto"/>
        <w:rPr>
          <w:sz w:val="20"/>
          <w:szCs w:val="20"/>
          <w:color w:val="auto"/>
        </w:rPr>
      </w:pPr>
      <w:r>
        <w:rPr>
          <w:rFonts w:ascii="Times New Roman" w:cs="Times New Roman" w:eastAsia="Times New Roman" w:hAnsi="Times New Roman"/>
          <w:sz w:val="13"/>
          <w:szCs w:val="13"/>
          <w:color w:val="auto"/>
        </w:rPr>
        <w:t>If you choose withdrawals from specific Shield Option(s), the Fixed Account, and/or the Holding Account all withdrawals are drawn from the specified Shield Option(s), Fixed Account, and/or the Holding Account in an amount you determine. If there are insufficient funds in the specified Shield Options, the Fixed Account, and the Holding Account to cover the amount of the withdrawal, the withdrawal will be processed to take the amount in that Shield Option, Fixed Account, or the Holding Account to $0, and the remaining amount of the withdrawal will default to proportional from all Shield Options, the Fixed Account, and the Holding Account to which you are allocated. Future withdrawals under the Systematic Withdrawal Program will continue to be drawn proportionally, unless you instruct us otherwise.</w:t>
      </w:r>
    </w:p>
    <w:p>
      <w:pPr>
        <w:spacing w:after="0" w:line="59" w:lineRule="exact"/>
        <w:rPr>
          <w:sz w:val="20"/>
          <w:szCs w:val="20"/>
          <w:color w:val="auto"/>
        </w:rPr>
      </w:pPr>
    </w:p>
    <w:p>
      <w:pPr>
        <w:jc w:val="both"/>
        <w:ind w:right="3199" w:firstLine="265"/>
        <w:spacing w:after="0" w:line="290" w:lineRule="auto"/>
        <w:rPr>
          <w:sz w:val="20"/>
          <w:szCs w:val="20"/>
          <w:color w:val="auto"/>
        </w:rPr>
      </w:pPr>
      <w:r>
        <w:rPr>
          <w:rFonts w:ascii="Times New Roman" w:cs="Times New Roman" w:eastAsia="Times New Roman" w:hAnsi="Times New Roman"/>
          <w:sz w:val="13"/>
          <w:szCs w:val="13"/>
          <w:color w:val="auto"/>
        </w:rPr>
        <w:t>You may terminate your participation in the Systematic Withdrawal Program at any time. We will terminate your participation in the Systematic Withdrawal Program when we receive notification of your death.</w:t>
      </w:r>
    </w:p>
    <w:p>
      <w:pPr>
        <w:spacing w:after="0" w:line="34" w:lineRule="exact"/>
        <w:rPr>
          <w:sz w:val="20"/>
          <w:szCs w:val="20"/>
          <w:color w:val="auto"/>
        </w:rPr>
      </w:pPr>
    </w:p>
    <w:p>
      <w:pPr>
        <w:jc w:val="both"/>
        <w:ind w:right="3199" w:firstLine="265"/>
        <w:spacing w:after="0" w:line="258" w:lineRule="auto"/>
        <w:rPr>
          <w:sz w:val="20"/>
          <w:szCs w:val="20"/>
          <w:color w:val="auto"/>
        </w:rPr>
      </w:pPr>
      <w:r>
        <w:rPr>
          <w:rFonts w:ascii="Times New Roman" w:cs="Times New Roman" w:eastAsia="Times New Roman" w:hAnsi="Times New Roman"/>
          <w:sz w:val="13"/>
          <w:szCs w:val="13"/>
          <w:b w:val="1"/>
          <w:bCs w:val="1"/>
          <w:color w:val="auto"/>
        </w:rPr>
        <w:t>Income taxes, tax penalties, and certain restrictions may apply to withdrawals under the Systematic Withdrawal Program. Withdrawals under the Systematic Withdrawal Program are subject to the same Withdrawal Charge provisions and risks as any other withdrawals under the Contract. Among other things, this means that Withdrawal Amounts in excess of the Free Wthdrawal Amount are subject to a Withdrawal Charge. Moreover, since Withdrawal Amounts from a Shield Option will reduce the Investment Amount for that Shield Option by the percentage reduction in the Interim Value of that Shield Option, a withdrawal when the Interim Value is lower than the Investment Amount will cause a greater percentage reduction in the Investment Amount relative to the percentage reduction for the same Withdrawal Amount when the Interim Value is higher than the Investment Amount. If you exercise Performance Lock on any Shield Option, the Performance Lock Value for that Shield Option will be reduced by the dollar amount of the withdrawal. Since withdrawals under the Systematic Withdrawal Program are automatic, you will have no control over the timing of those withdrawals.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Example 3—Withdrawals</w:t>
      </w:r>
    </w:p>
    <w:p>
      <w:pPr>
        <w:spacing w:after="0" w:line="93" w:lineRule="exact"/>
        <w:rPr>
          <w:sz w:val="20"/>
          <w:szCs w:val="20"/>
          <w:color w:val="auto"/>
        </w:rPr>
      </w:pPr>
    </w:p>
    <w:p>
      <w:pPr>
        <w:jc w:val="both"/>
        <w:ind w:right="3199" w:firstLine="265"/>
        <w:spacing w:after="0" w:line="251" w:lineRule="auto"/>
        <w:rPr>
          <w:sz w:val="20"/>
          <w:szCs w:val="20"/>
          <w:color w:val="auto"/>
        </w:rPr>
      </w:pPr>
      <w:r>
        <w:rPr>
          <w:rFonts w:ascii="Times New Roman" w:cs="Times New Roman" w:eastAsia="Times New Roman" w:hAnsi="Times New Roman"/>
          <w:sz w:val="13"/>
          <w:szCs w:val="13"/>
          <w:color w:val="auto"/>
        </w:rPr>
        <w:t>Examples 3A and 3B are intended to show how withdrawals work. Both examples assume that that the Performance Lock has not been exercised and Owner 1 allocates her $50,000 Purchase Payment to the 1-Year Term / Shield 10 / S&amp;P 500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Index with a Cap Rate of 10%. Example 3A will illustrate a withdrawal when Interim Value, at the time of the withdrawal is greater than the Investment Amount on the Term Start Date and assumes no Withdrawal Charge applies due to a Withdrawal Charge waiver. Example 3B will illustrate a withdrawal when Interim Value, at the time of the withdrawal, is less than the Investment Amount on the Term Start Date and a 7% Withdrawal Charge is applied. In both examples, Owner 1 takes only one $20,000 withdrawal exactly halfway through the Term. The remaining Investment Amount after a withdrawal will be used as the new Investment Amount for the Term until the Term End Date for that Shield Option (assuming no additional withdrawals).</w:t>
      </w:r>
    </w:p>
    <w:p>
      <w:pPr>
        <w:spacing w:after="0" w:line="36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color w:val="auto"/>
        </w:rPr>
        <w:t>43</w:t>
      </w:r>
    </w:p>
    <w:p>
      <w:pPr>
        <w:sectPr>
          <w:pgSz w:w="11900" w:h="16838" w:orient="portrait"/>
          <w:cols w:equalWidth="0" w:num="1">
            <w:col w:w="9259"/>
          </w:cols>
          <w:pgMar w:left="1200" w:top="1049"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93915" cy="38100"/>
                    </a:xfrm>
                    <a:prstGeom prst="rect">
                      <a:avLst/>
                    </a:prstGeom>
                    <a:noFill/>
                  </pic:spPr>
                </pic:pic>
              </a:graphicData>
            </a:graphic>
          </wp:anchor>
        </w:drawing>
        <w:t>Example 3A—Interim Value is greater than Investment Amount and no Withdrawal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36195</wp:posOffset>
            </wp:positionV>
            <wp:extent cx="3861435" cy="29737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861435" cy="2973705"/>
                    </a:xfrm>
                    <a:prstGeom prst="rect">
                      <a:avLst/>
                    </a:prstGeom>
                    <a:noFill/>
                  </pic:spPr>
                </pic:pic>
              </a:graphicData>
            </a:graphic>
          </wp:anchor>
        </w:drawing>
      </w:r>
    </w:p>
    <w:p>
      <w:pPr>
        <w:spacing w:after="0" w:line="6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Term Start Date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Borders>
              <w:top w:val="single" w:sz="8" w:color="auto"/>
              <w:bottom w:val="single" w:sz="8" w:color="auto"/>
            </w:tcBorders>
          </w:tcPr>
          <w:p>
            <w:pPr>
              <w:spacing w:after="0"/>
              <w:rPr>
                <w:sz w:val="17"/>
                <w:szCs w:val="17"/>
                <w:color w:val="auto"/>
              </w:rPr>
            </w:pPr>
          </w:p>
        </w:tc>
        <w:tc>
          <w:tcPr>
            <w:tcW w:w="4720" w:type="dxa"/>
            <w:vAlign w:val="bottom"/>
            <w:tcBorders>
              <w:top w:val="single" w:sz="8" w:color="auto"/>
              <w:bottom w:val="single" w:sz="8" w:color="auto"/>
              <w:right w:val="single" w:sz="8" w:color="auto"/>
            </w:tcBorders>
            <w:gridSpan w:val="2"/>
            <w:shd w:val="clear" w:color="auto" w:fill="F0FFFF"/>
          </w:tcPr>
          <w:p>
            <w:pPr>
              <w:ind w:left="180"/>
              <w:spacing w:after="0"/>
              <w:rPr>
                <w:sz w:val="20"/>
                <w:szCs w:val="20"/>
                <w:color w:val="auto"/>
              </w:rPr>
            </w:pPr>
            <w:r>
              <w:rPr>
                <w:rFonts w:ascii="Times New Roman" w:cs="Times New Roman" w:eastAsia="Times New Roman" w:hAnsi="Times New Roman"/>
                <w:sz w:val="13"/>
                <w:szCs w:val="13"/>
                <w:color w:val="auto"/>
              </w:rPr>
              <w:t>Investment Amount</w:t>
            </w:r>
          </w:p>
        </w:tc>
        <w:tc>
          <w:tcPr>
            <w:tcW w:w="1320" w:type="dxa"/>
            <w:vAlign w:val="bottom"/>
            <w:tcBorders>
              <w:top w:val="single" w:sz="8" w:color="auto"/>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$50,000</w:t>
            </w:r>
          </w:p>
        </w:tc>
        <w:tc>
          <w:tcPr>
            <w:tcW w:w="20" w:type="dxa"/>
            <w:vAlign w:val="bottom"/>
            <w:tcBorders>
              <w:top w:val="single" w:sz="8" w:color="auto"/>
              <w:bottom w:val="single" w:sz="8" w:color="auto"/>
            </w:tcBorders>
          </w:tcPr>
          <w:p>
            <w:pPr>
              <w:spacing w:after="0"/>
              <w:rPr>
                <w:sz w:val="17"/>
                <w:szCs w:val="17"/>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472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color w:val="auto"/>
              </w:rPr>
              <w:t>Shield Rate</w:t>
            </w:r>
          </w:p>
        </w:tc>
        <w:tc>
          <w:tcPr>
            <w:tcW w:w="134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3"/>
                <w:szCs w:val="13"/>
                <w:color w:val="auto"/>
              </w:rPr>
              <w:t>Shield 10</w:t>
            </w:r>
          </w:p>
        </w:tc>
      </w:tr>
      <w:tr>
        <w:trPr>
          <w:trHeight w:val="188"/>
        </w:trPr>
        <w:tc>
          <w:tcPr>
            <w:tcW w:w="20" w:type="dxa"/>
            <w:vAlign w:val="bottom"/>
            <w:tcBorders>
              <w:bottom w:val="single" w:sz="8" w:color="auto"/>
            </w:tcBorders>
          </w:tcPr>
          <w:p>
            <w:pPr>
              <w:spacing w:after="0"/>
              <w:rPr>
                <w:sz w:val="16"/>
                <w:szCs w:val="16"/>
                <w:color w:val="auto"/>
              </w:rPr>
            </w:pPr>
          </w:p>
        </w:tc>
        <w:tc>
          <w:tcPr>
            <w:tcW w:w="4720" w:type="dxa"/>
            <w:vAlign w:val="bottom"/>
            <w:tcBorders>
              <w:bottom w:val="single" w:sz="8" w:color="auto"/>
              <w:right w:val="single" w:sz="8" w:color="auto"/>
            </w:tcBorders>
            <w:gridSpan w:val="2"/>
            <w:shd w:val="clear" w:color="auto" w:fill="F0FFFF"/>
          </w:tcPr>
          <w:p>
            <w:pPr>
              <w:ind w:left="180"/>
              <w:spacing w:after="0"/>
              <w:rPr>
                <w:sz w:val="20"/>
                <w:szCs w:val="20"/>
                <w:color w:val="auto"/>
              </w:rPr>
            </w:pPr>
            <w:r>
              <w:rPr>
                <w:rFonts w:ascii="Times New Roman" w:cs="Times New Roman" w:eastAsia="Times New Roman" w:hAnsi="Times New Roman"/>
                <w:sz w:val="13"/>
                <w:szCs w:val="13"/>
                <w:color w:val="auto"/>
              </w:rPr>
              <w:t>Cap Rate</w:t>
            </w:r>
          </w:p>
        </w:tc>
        <w:tc>
          <w:tcPr>
            <w:tcW w:w="13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20" w:type="dxa"/>
            <w:vAlign w:val="bottom"/>
            <w:tcBorders>
              <w:bottom w:val="single" w:sz="8" w:color="auto"/>
            </w:tcBorders>
          </w:tcPr>
          <w:p>
            <w:pPr>
              <w:spacing w:after="0"/>
              <w:rPr>
                <w:sz w:val="16"/>
                <w:szCs w:val="16"/>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472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color w:val="auto"/>
              </w:rPr>
              <w:t>Index Value</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500</w:t>
            </w:r>
          </w:p>
        </w:tc>
        <w:tc>
          <w:tcPr>
            <w:tcW w:w="20" w:type="dxa"/>
            <w:vAlign w:val="bottom"/>
            <w:tcBorders>
              <w:bottom w:val="single" w:sz="8" w:color="auto"/>
            </w:tcBorders>
          </w:tcPr>
          <w:p>
            <w:pPr>
              <w:spacing w:after="0"/>
              <w:rPr>
                <w:sz w:val="16"/>
                <w:szCs w:val="16"/>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4720" w:type="dxa"/>
            <w:vAlign w:val="bottom"/>
            <w:tcBorders>
              <w:bottom w:val="single" w:sz="8" w:color="auto"/>
              <w:right w:val="single" w:sz="8" w:color="F0FFFF"/>
            </w:tcBorders>
            <w:gridSpan w:val="2"/>
            <w:shd w:val="clear" w:color="auto" w:fill="F0FFFF"/>
          </w:tcPr>
          <w:p>
            <w:pPr>
              <w:ind w:left="60"/>
              <w:spacing w:after="0"/>
              <w:rPr>
                <w:sz w:val="20"/>
                <w:szCs w:val="20"/>
                <w:color w:val="auto"/>
              </w:rPr>
            </w:pPr>
            <w:r>
              <w:rPr>
                <w:rFonts w:ascii="Times New Roman" w:cs="Times New Roman" w:eastAsia="Times New Roman" w:hAnsi="Times New Roman"/>
                <w:sz w:val="13"/>
                <w:szCs w:val="13"/>
                <w:b w:val="1"/>
                <w:bCs w:val="1"/>
                <w:color w:val="auto"/>
              </w:rPr>
              <w:t>Interim Value Calculation Halfway Through Term</w:t>
            </w:r>
          </w:p>
        </w:tc>
        <w:tc>
          <w:tcPr>
            <w:tcW w:w="1320" w:type="dxa"/>
            <w:vAlign w:val="bottom"/>
            <w:tcBorders>
              <w:bottom w:val="single" w:sz="8" w:color="auto"/>
            </w:tcBorders>
            <w:shd w:val="clear" w:color="auto" w:fill="F0FFFF"/>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472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color w:val="auto"/>
              </w:rPr>
              <w:t>Index Value</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600</w:t>
            </w:r>
          </w:p>
        </w:tc>
        <w:tc>
          <w:tcPr>
            <w:tcW w:w="20" w:type="dxa"/>
            <w:vAlign w:val="bottom"/>
            <w:tcBorders>
              <w:bottom w:val="single" w:sz="8" w:color="auto"/>
            </w:tcBorders>
          </w:tcPr>
          <w:p>
            <w:pPr>
              <w:spacing w:after="0"/>
              <w:rPr>
                <w:sz w:val="16"/>
                <w:szCs w:val="16"/>
                <w:color w:val="auto"/>
              </w:rPr>
            </w:pPr>
          </w:p>
        </w:tc>
      </w:tr>
      <w:tr>
        <w:trPr>
          <w:trHeight w:val="208"/>
        </w:trPr>
        <w:tc>
          <w:tcPr>
            <w:tcW w:w="20" w:type="dxa"/>
            <w:vAlign w:val="bottom"/>
            <w:tcBorders>
              <w:bottom w:val="single" w:sz="8" w:color="auto"/>
            </w:tcBorders>
          </w:tcPr>
          <w:p>
            <w:pPr>
              <w:spacing w:after="0"/>
              <w:rPr>
                <w:sz w:val="18"/>
                <w:szCs w:val="18"/>
                <w:color w:val="auto"/>
              </w:rPr>
            </w:pPr>
          </w:p>
        </w:tc>
        <w:tc>
          <w:tcPr>
            <w:tcW w:w="4720" w:type="dxa"/>
            <w:vAlign w:val="bottom"/>
            <w:tcBorders>
              <w:bottom w:val="single" w:sz="8" w:color="auto"/>
              <w:right w:val="single" w:sz="8" w:color="auto"/>
            </w:tcBorders>
            <w:gridSpan w:val="2"/>
            <w:shd w:val="clear" w:color="auto" w:fill="F0FFFF"/>
          </w:tcPr>
          <w:p>
            <w:pPr>
              <w:ind w:left="180"/>
              <w:spacing w:after="0"/>
              <w:rPr>
                <w:sz w:val="20"/>
                <w:szCs w:val="20"/>
                <w:color w:val="auto"/>
              </w:rPr>
            </w:pPr>
            <w:r>
              <w:rPr>
                <w:rFonts w:ascii="Times New Roman" w:cs="Times New Roman" w:eastAsia="Times New Roman" w:hAnsi="Times New Roman"/>
                <w:sz w:val="13"/>
                <w:szCs w:val="13"/>
                <w:color w:val="auto"/>
              </w:rPr>
              <w:t>Index Performance</w:t>
            </w:r>
            <w:r>
              <w:rPr>
                <w:rFonts w:ascii="Times New Roman" w:cs="Times New Roman" w:eastAsia="Times New Roman" w:hAnsi="Times New Roman"/>
                <w:sz w:val="17"/>
                <w:szCs w:val="17"/>
                <w:color w:val="auto"/>
                <w:vertAlign w:val="superscript"/>
              </w:rPr>
              <w:t>(1)</w:t>
            </w:r>
          </w:p>
        </w:tc>
        <w:tc>
          <w:tcPr>
            <w:tcW w:w="13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20%</w:t>
            </w:r>
          </w:p>
        </w:tc>
        <w:tc>
          <w:tcPr>
            <w:tcW w:w="20" w:type="dxa"/>
            <w:vAlign w:val="bottom"/>
            <w:tcBorders>
              <w:bottom w:val="single" w:sz="8" w:color="auto"/>
            </w:tcBorders>
          </w:tcPr>
          <w:p>
            <w:pPr>
              <w:spacing w:after="0"/>
              <w:rPr>
                <w:sz w:val="18"/>
                <w:szCs w:val="18"/>
                <w:color w:val="auto"/>
              </w:rPr>
            </w:pPr>
          </w:p>
        </w:tc>
      </w:tr>
      <w:tr>
        <w:trPr>
          <w:trHeight w:val="179"/>
        </w:trPr>
        <w:tc>
          <w:tcPr>
            <w:tcW w:w="20" w:type="dxa"/>
            <w:vAlign w:val="bottom"/>
            <w:tcBorders>
              <w:bottom w:val="single" w:sz="8" w:color="auto"/>
            </w:tcBorders>
          </w:tcPr>
          <w:p>
            <w:pPr>
              <w:spacing w:after="0"/>
              <w:rPr>
                <w:sz w:val="15"/>
                <w:szCs w:val="15"/>
                <w:color w:val="auto"/>
              </w:rPr>
            </w:pPr>
          </w:p>
        </w:tc>
        <w:tc>
          <w:tcPr>
            <w:tcW w:w="472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color w:val="auto"/>
              </w:rPr>
              <w:t>Time Remaining in Shield Option (in months)</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6</w:t>
            </w:r>
          </w:p>
        </w:tc>
        <w:tc>
          <w:tcPr>
            <w:tcW w:w="20" w:type="dxa"/>
            <w:vAlign w:val="bottom"/>
            <w:tcBorders>
              <w:bottom w:val="single" w:sz="8" w:color="auto"/>
            </w:tcBorders>
          </w:tcPr>
          <w:p>
            <w:pPr>
              <w:spacing w:after="0"/>
              <w:rPr>
                <w:sz w:val="15"/>
                <w:szCs w:val="15"/>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4720" w:type="dxa"/>
            <w:vAlign w:val="bottom"/>
            <w:tcBorders>
              <w:bottom w:val="single" w:sz="8" w:color="auto"/>
              <w:right w:val="single" w:sz="8" w:color="auto"/>
            </w:tcBorders>
            <w:gridSpan w:val="2"/>
            <w:shd w:val="clear" w:color="auto" w:fill="F0FFFF"/>
          </w:tcPr>
          <w:p>
            <w:pPr>
              <w:ind w:left="180"/>
              <w:spacing w:after="0"/>
              <w:rPr>
                <w:sz w:val="20"/>
                <w:szCs w:val="20"/>
                <w:color w:val="auto"/>
              </w:rPr>
            </w:pPr>
            <w:r>
              <w:rPr>
                <w:rFonts w:ascii="Times New Roman" w:cs="Times New Roman" w:eastAsia="Times New Roman" w:hAnsi="Times New Roman"/>
                <w:sz w:val="13"/>
                <w:szCs w:val="13"/>
                <w:color w:val="auto"/>
              </w:rPr>
              <w:t>Market Value Rate on calculation date</w:t>
            </w:r>
          </w:p>
        </w:tc>
        <w:tc>
          <w:tcPr>
            <w:tcW w:w="13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tcBorders>
              <w:bottom w:val="single" w:sz="8" w:color="auto"/>
            </w:tcBorders>
          </w:tcPr>
          <w:p>
            <w:pPr>
              <w:spacing w:after="0"/>
              <w:rPr>
                <w:sz w:val="16"/>
                <w:szCs w:val="16"/>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472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color w:val="auto"/>
              </w:rPr>
              <w:t>Market value of Fixed Income Asset Proxy</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$49,452.40</w:t>
            </w:r>
          </w:p>
        </w:tc>
        <w:tc>
          <w:tcPr>
            <w:tcW w:w="20" w:type="dxa"/>
            <w:vAlign w:val="bottom"/>
            <w:tcBorders>
              <w:bottom w:val="single" w:sz="8" w:color="auto"/>
            </w:tcBorders>
          </w:tcPr>
          <w:p>
            <w:pPr>
              <w:spacing w:after="0"/>
              <w:rPr>
                <w:sz w:val="16"/>
                <w:szCs w:val="16"/>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4720" w:type="dxa"/>
            <w:vAlign w:val="bottom"/>
            <w:tcBorders>
              <w:bottom w:val="single" w:sz="8" w:color="auto"/>
              <w:right w:val="single" w:sz="8" w:color="auto"/>
            </w:tcBorders>
            <w:gridSpan w:val="2"/>
            <w:shd w:val="clear" w:color="auto" w:fill="F0FFFF"/>
          </w:tcPr>
          <w:p>
            <w:pPr>
              <w:ind w:left="180"/>
              <w:spacing w:after="0"/>
              <w:rPr>
                <w:sz w:val="20"/>
                <w:szCs w:val="20"/>
                <w:color w:val="auto"/>
              </w:rPr>
            </w:pPr>
            <w:r>
              <w:rPr>
                <w:rFonts w:ascii="Times New Roman" w:cs="Times New Roman" w:eastAsia="Times New Roman" w:hAnsi="Times New Roman"/>
                <w:sz w:val="13"/>
                <w:szCs w:val="13"/>
                <w:color w:val="auto"/>
              </w:rPr>
              <w:t>Market value of Derivative Asset Proxy</w:t>
            </w:r>
          </w:p>
        </w:tc>
        <w:tc>
          <w:tcPr>
            <w:tcW w:w="13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w w:val="99"/>
              </w:rPr>
              <w:t>$4,062.37</w:t>
            </w:r>
          </w:p>
        </w:tc>
        <w:tc>
          <w:tcPr>
            <w:tcW w:w="20" w:type="dxa"/>
            <w:vAlign w:val="bottom"/>
            <w:tcBorders>
              <w:bottom w:val="single" w:sz="8" w:color="auto"/>
            </w:tcBorders>
          </w:tcPr>
          <w:p>
            <w:pPr>
              <w:spacing w:after="0"/>
              <w:rPr>
                <w:sz w:val="16"/>
                <w:szCs w:val="16"/>
                <w:color w:val="auto"/>
              </w:rPr>
            </w:pPr>
          </w:p>
        </w:tc>
      </w:tr>
      <w:tr>
        <w:trPr>
          <w:trHeight w:val="208"/>
        </w:trPr>
        <w:tc>
          <w:tcPr>
            <w:tcW w:w="20" w:type="dxa"/>
            <w:vAlign w:val="bottom"/>
            <w:tcBorders>
              <w:bottom w:val="single" w:sz="8" w:color="auto"/>
            </w:tcBorders>
          </w:tcPr>
          <w:p>
            <w:pPr>
              <w:spacing w:after="0"/>
              <w:rPr>
                <w:sz w:val="18"/>
                <w:szCs w:val="18"/>
                <w:color w:val="auto"/>
              </w:rPr>
            </w:pPr>
          </w:p>
        </w:tc>
        <w:tc>
          <w:tcPr>
            <w:tcW w:w="472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color w:val="auto"/>
              </w:rPr>
              <w:t>Interim Value of Shield Option</w:t>
            </w:r>
            <w:r>
              <w:rPr>
                <w:rFonts w:ascii="Times New Roman" w:cs="Times New Roman" w:eastAsia="Times New Roman" w:hAnsi="Times New Roman"/>
                <w:sz w:val="17"/>
                <w:szCs w:val="17"/>
                <w:color w:val="auto"/>
                <w:vertAlign w:val="superscript"/>
              </w:rPr>
              <w:t>(2)</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$53,514.77</w:t>
            </w:r>
          </w:p>
        </w:tc>
        <w:tc>
          <w:tcPr>
            <w:tcW w:w="20" w:type="dxa"/>
            <w:vAlign w:val="bottom"/>
            <w:tcBorders>
              <w:bottom w:val="single" w:sz="8" w:color="auto"/>
            </w:tcBorders>
          </w:tcPr>
          <w:p>
            <w:pPr>
              <w:spacing w:after="0"/>
              <w:rPr>
                <w:sz w:val="18"/>
                <w:szCs w:val="18"/>
                <w:color w:val="auto"/>
              </w:rPr>
            </w:pPr>
          </w:p>
        </w:tc>
      </w:tr>
      <w:tr>
        <w:trPr>
          <w:trHeight w:val="179"/>
        </w:trPr>
        <w:tc>
          <w:tcPr>
            <w:tcW w:w="20" w:type="dxa"/>
            <w:vAlign w:val="bottom"/>
            <w:tcBorders>
              <w:bottom w:val="single" w:sz="8" w:color="auto"/>
            </w:tcBorders>
          </w:tcPr>
          <w:p>
            <w:pPr>
              <w:spacing w:after="0"/>
              <w:rPr>
                <w:sz w:val="15"/>
                <w:szCs w:val="15"/>
                <w:color w:val="auto"/>
              </w:rPr>
            </w:pPr>
          </w:p>
        </w:tc>
        <w:tc>
          <w:tcPr>
            <w:tcW w:w="4720" w:type="dxa"/>
            <w:vAlign w:val="bottom"/>
            <w:tcBorders>
              <w:bottom w:val="single" w:sz="8" w:color="auto"/>
              <w:right w:val="single" w:sz="8" w:color="auto"/>
            </w:tcBorders>
            <w:gridSpan w:val="2"/>
            <w:shd w:val="clear" w:color="auto" w:fill="F0FFFF"/>
          </w:tcPr>
          <w:p>
            <w:pPr>
              <w:ind w:left="180"/>
              <w:spacing w:after="0"/>
              <w:rPr>
                <w:sz w:val="20"/>
                <w:szCs w:val="20"/>
                <w:color w:val="auto"/>
              </w:rPr>
            </w:pPr>
            <w:r>
              <w:rPr>
                <w:rFonts w:ascii="Times New Roman" w:cs="Times New Roman" w:eastAsia="Times New Roman" w:hAnsi="Times New Roman"/>
                <w:sz w:val="13"/>
                <w:szCs w:val="13"/>
                <w:color w:val="auto"/>
              </w:rPr>
              <w:t>Withdrawal Amount taken</w:t>
            </w:r>
          </w:p>
        </w:tc>
        <w:tc>
          <w:tcPr>
            <w:tcW w:w="13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$20,000</w:t>
            </w:r>
          </w:p>
        </w:tc>
        <w:tc>
          <w:tcPr>
            <w:tcW w:w="20" w:type="dxa"/>
            <w:vAlign w:val="bottom"/>
            <w:tcBorders>
              <w:bottom w:val="single" w:sz="8" w:color="auto"/>
            </w:tcBorders>
          </w:tcPr>
          <w:p>
            <w:pPr>
              <w:spacing w:after="0"/>
              <w:rPr>
                <w:sz w:val="15"/>
                <w:szCs w:val="15"/>
                <w:color w:val="auto"/>
              </w:rPr>
            </w:pPr>
          </w:p>
        </w:tc>
      </w:tr>
      <w:tr>
        <w:trPr>
          <w:trHeight w:val="208"/>
        </w:trPr>
        <w:tc>
          <w:tcPr>
            <w:tcW w:w="20" w:type="dxa"/>
            <w:vAlign w:val="bottom"/>
            <w:tcBorders>
              <w:bottom w:val="single" w:sz="8" w:color="auto"/>
            </w:tcBorders>
          </w:tcPr>
          <w:p>
            <w:pPr>
              <w:spacing w:after="0"/>
              <w:rPr>
                <w:sz w:val="18"/>
                <w:szCs w:val="18"/>
                <w:color w:val="auto"/>
              </w:rPr>
            </w:pPr>
          </w:p>
        </w:tc>
        <w:tc>
          <w:tcPr>
            <w:tcW w:w="472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color w:val="auto"/>
              </w:rPr>
              <w:t>Investment Amount at Term Start Date adjusted for any withdrawals</w:t>
            </w:r>
            <w:r>
              <w:rPr>
                <w:rFonts w:ascii="Times New Roman" w:cs="Times New Roman" w:eastAsia="Times New Roman" w:hAnsi="Times New Roman"/>
                <w:sz w:val="17"/>
                <w:szCs w:val="17"/>
                <w:color w:val="auto"/>
                <w:vertAlign w:val="superscript"/>
              </w:rPr>
              <w:t>(3)</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$31,313.57</w:t>
            </w:r>
          </w:p>
        </w:tc>
        <w:tc>
          <w:tcPr>
            <w:tcW w:w="20" w:type="dxa"/>
            <w:vAlign w:val="bottom"/>
            <w:tcBorders>
              <w:bottom w:val="single" w:sz="8" w:color="auto"/>
            </w:tcBorders>
          </w:tcPr>
          <w:p>
            <w:pPr>
              <w:spacing w:after="0"/>
              <w:rPr>
                <w:sz w:val="18"/>
                <w:szCs w:val="18"/>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4720" w:type="dxa"/>
            <w:vAlign w:val="bottom"/>
            <w:tcBorders>
              <w:bottom w:val="single" w:sz="8" w:color="auto"/>
              <w:right w:val="single" w:sz="8" w:color="auto"/>
            </w:tcBorders>
            <w:gridSpan w:val="2"/>
            <w:shd w:val="clear" w:color="auto" w:fill="F0FFFF"/>
          </w:tcPr>
          <w:p>
            <w:pPr>
              <w:ind w:left="180"/>
              <w:spacing w:after="0"/>
              <w:rPr>
                <w:sz w:val="20"/>
                <w:szCs w:val="20"/>
                <w:color w:val="auto"/>
              </w:rPr>
            </w:pPr>
            <w:r>
              <w:rPr>
                <w:rFonts w:ascii="Times New Roman" w:cs="Times New Roman" w:eastAsia="Times New Roman" w:hAnsi="Times New Roman"/>
                <w:sz w:val="13"/>
                <w:szCs w:val="13"/>
                <w:color w:val="auto"/>
              </w:rPr>
              <w:t>Net Proceeds from withdrawal paid to Contract Owner</w:t>
            </w:r>
            <w:r>
              <w:rPr>
                <w:rFonts w:ascii="Times New Roman" w:cs="Times New Roman" w:eastAsia="Times New Roman" w:hAnsi="Times New Roman"/>
                <w:sz w:val="17"/>
                <w:szCs w:val="17"/>
                <w:color w:val="auto"/>
                <w:vertAlign w:val="superscript"/>
              </w:rPr>
              <w:t>(4)</w:t>
            </w:r>
          </w:p>
        </w:tc>
        <w:tc>
          <w:tcPr>
            <w:tcW w:w="13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$20,000</w:t>
            </w:r>
          </w:p>
        </w:tc>
        <w:tc>
          <w:tcPr>
            <w:tcW w:w="20" w:type="dxa"/>
            <w:vAlign w:val="bottom"/>
            <w:tcBorders>
              <w:bottom w:val="single" w:sz="8" w:color="auto"/>
            </w:tcBorders>
          </w:tcPr>
          <w:p>
            <w:pPr>
              <w:spacing w:after="0"/>
              <w:rPr>
                <w:sz w:val="17"/>
                <w:szCs w:val="17"/>
                <w:color w:val="auto"/>
              </w:rPr>
            </w:pPr>
          </w:p>
        </w:tc>
      </w:tr>
      <w:tr>
        <w:trPr>
          <w:trHeight w:val="179"/>
        </w:trPr>
        <w:tc>
          <w:tcPr>
            <w:tcW w:w="20" w:type="dxa"/>
            <w:vAlign w:val="bottom"/>
            <w:tcBorders>
              <w:bottom w:val="single" w:sz="8" w:color="auto"/>
            </w:tcBorders>
          </w:tcPr>
          <w:p>
            <w:pPr>
              <w:spacing w:after="0"/>
              <w:rPr>
                <w:sz w:val="15"/>
                <w:szCs w:val="15"/>
                <w:color w:val="auto"/>
              </w:rPr>
            </w:pPr>
          </w:p>
        </w:tc>
        <w:tc>
          <w:tcPr>
            <w:tcW w:w="47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Term End Date</w:t>
            </w:r>
          </w:p>
        </w:tc>
        <w:tc>
          <w:tcPr>
            <w:tcW w:w="1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4720" w:type="dxa"/>
            <w:vAlign w:val="bottom"/>
            <w:tcBorders>
              <w:bottom w:val="single" w:sz="8" w:color="auto"/>
              <w:right w:val="single" w:sz="8" w:color="auto"/>
            </w:tcBorders>
            <w:gridSpan w:val="2"/>
            <w:shd w:val="clear" w:color="auto" w:fill="F0FFFF"/>
          </w:tcPr>
          <w:p>
            <w:pPr>
              <w:ind w:left="180"/>
              <w:spacing w:after="0"/>
              <w:rPr>
                <w:sz w:val="20"/>
                <w:szCs w:val="20"/>
                <w:color w:val="auto"/>
              </w:rPr>
            </w:pPr>
            <w:r>
              <w:rPr>
                <w:rFonts w:ascii="Times New Roman" w:cs="Times New Roman" w:eastAsia="Times New Roman" w:hAnsi="Times New Roman"/>
                <w:sz w:val="13"/>
                <w:szCs w:val="13"/>
                <w:color w:val="auto"/>
              </w:rPr>
              <w:t>Index Value</w:t>
            </w:r>
          </w:p>
        </w:tc>
        <w:tc>
          <w:tcPr>
            <w:tcW w:w="13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560</w:t>
            </w:r>
          </w:p>
        </w:tc>
        <w:tc>
          <w:tcPr>
            <w:tcW w:w="20" w:type="dxa"/>
            <w:vAlign w:val="bottom"/>
            <w:tcBorders>
              <w:bottom w:val="single" w:sz="8" w:color="auto"/>
            </w:tcBorders>
          </w:tcPr>
          <w:p>
            <w:pPr>
              <w:spacing w:after="0"/>
              <w:rPr>
                <w:sz w:val="16"/>
                <w:szCs w:val="16"/>
                <w:color w:val="auto"/>
              </w:rPr>
            </w:pPr>
          </w:p>
        </w:tc>
      </w:tr>
      <w:tr>
        <w:trPr>
          <w:trHeight w:val="208"/>
        </w:trPr>
        <w:tc>
          <w:tcPr>
            <w:tcW w:w="20" w:type="dxa"/>
            <w:vAlign w:val="bottom"/>
            <w:tcBorders>
              <w:bottom w:val="single" w:sz="8" w:color="auto"/>
            </w:tcBorders>
          </w:tcPr>
          <w:p>
            <w:pPr>
              <w:spacing w:after="0"/>
              <w:rPr>
                <w:sz w:val="18"/>
                <w:szCs w:val="18"/>
                <w:color w:val="auto"/>
              </w:rPr>
            </w:pPr>
          </w:p>
        </w:tc>
        <w:tc>
          <w:tcPr>
            <w:tcW w:w="472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color w:val="auto"/>
              </w:rPr>
              <w:t>Index Performance</w:t>
            </w:r>
            <w:r>
              <w:rPr>
                <w:rFonts w:ascii="Times New Roman" w:cs="Times New Roman" w:eastAsia="Times New Roman" w:hAnsi="Times New Roman"/>
                <w:sz w:val="17"/>
                <w:szCs w:val="17"/>
                <w:color w:val="auto"/>
                <w:vertAlign w:val="superscript"/>
              </w:rPr>
              <w:t>(5)</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12%</w:t>
            </w:r>
          </w:p>
        </w:tc>
        <w:tc>
          <w:tcPr>
            <w:tcW w:w="20" w:type="dxa"/>
            <w:vAlign w:val="bottom"/>
            <w:tcBorders>
              <w:bottom w:val="single" w:sz="8" w:color="auto"/>
            </w:tcBorders>
          </w:tcPr>
          <w:p>
            <w:pPr>
              <w:spacing w:after="0"/>
              <w:rPr>
                <w:sz w:val="18"/>
                <w:szCs w:val="18"/>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4720" w:type="dxa"/>
            <w:vAlign w:val="bottom"/>
            <w:tcBorders>
              <w:bottom w:val="single" w:sz="8" w:color="auto"/>
              <w:right w:val="single" w:sz="8" w:color="auto"/>
            </w:tcBorders>
            <w:gridSpan w:val="2"/>
            <w:shd w:val="clear" w:color="auto" w:fill="F0FFFF"/>
          </w:tcPr>
          <w:p>
            <w:pPr>
              <w:ind w:left="180"/>
              <w:spacing w:after="0"/>
              <w:rPr>
                <w:sz w:val="20"/>
                <w:szCs w:val="20"/>
                <w:color w:val="auto"/>
              </w:rPr>
            </w:pPr>
            <w:r>
              <w:rPr>
                <w:rFonts w:ascii="Times New Roman" w:cs="Times New Roman" w:eastAsia="Times New Roman" w:hAnsi="Times New Roman"/>
                <w:sz w:val="13"/>
                <w:szCs w:val="13"/>
                <w:color w:val="auto"/>
              </w:rPr>
              <w:t>Performance Rate</w:t>
            </w:r>
            <w:r>
              <w:rPr>
                <w:rFonts w:ascii="Times New Roman" w:cs="Times New Roman" w:eastAsia="Times New Roman" w:hAnsi="Times New Roman"/>
                <w:sz w:val="17"/>
                <w:szCs w:val="17"/>
                <w:color w:val="auto"/>
                <w:vertAlign w:val="superscript"/>
              </w:rPr>
              <w:t>(6)</w:t>
            </w:r>
          </w:p>
        </w:tc>
        <w:tc>
          <w:tcPr>
            <w:tcW w:w="13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20" w:type="dxa"/>
            <w:vAlign w:val="bottom"/>
            <w:tcBorders>
              <w:bottom w:val="single" w:sz="8" w:color="auto"/>
            </w:tcBorders>
          </w:tcPr>
          <w:p>
            <w:pPr>
              <w:spacing w:after="0"/>
              <w:rPr>
                <w:sz w:val="17"/>
                <w:szCs w:val="17"/>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472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color w:val="auto"/>
              </w:rPr>
              <w:t>Performance Rate Adjustment</w:t>
            </w:r>
            <w:r>
              <w:rPr>
                <w:rFonts w:ascii="Times New Roman" w:cs="Times New Roman" w:eastAsia="Times New Roman" w:hAnsi="Times New Roman"/>
                <w:sz w:val="17"/>
                <w:szCs w:val="17"/>
                <w:color w:val="auto"/>
                <w:vertAlign w:val="superscript"/>
              </w:rPr>
              <w:t>(7)</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$3,131.36</w:t>
            </w:r>
          </w:p>
        </w:tc>
        <w:tc>
          <w:tcPr>
            <w:tcW w:w="20" w:type="dxa"/>
            <w:vAlign w:val="bottom"/>
            <w:tcBorders>
              <w:bottom w:val="single" w:sz="8" w:color="auto"/>
            </w:tcBorders>
          </w:tcPr>
          <w:p>
            <w:pPr>
              <w:spacing w:after="0"/>
              <w:rPr>
                <w:sz w:val="17"/>
                <w:szCs w:val="17"/>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4720" w:type="dxa"/>
            <w:vAlign w:val="bottom"/>
            <w:tcBorders>
              <w:bottom w:val="single" w:sz="8" w:color="auto"/>
              <w:right w:val="single" w:sz="8" w:color="auto"/>
            </w:tcBorders>
            <w:gridSpan w:val="2"/>
            <w:shd w:val="clear" w:color="auto" w:fill="F0FFFF"/>
          </w:tcPr>
          <w:p>
            <w:pPr>
              <w:ind w:left="180"/>
              <w:spacing w:after="0" w:line="184" w:lineRule="exact"/>
              <w:rPr>
                <w:sz w:val="20"/>
                <w:szCs w:val="20"/>
                <w:color w:val="auto"/>
              </w:rPr>
            </w:pPr>
            <w:r>
              <w:rPr>
                <w:rFonts w:ascii="Times New Roman" w:cs="Times New Roman" w:eastAsia="Times New Roman" w:hAnsi="Times New Roman"/>
                <w:sz w:val="13"/>
                <w:szCs w:val="13"/>
                <w:color w:val="auto"/>
              </w:rPr>
              <w:t>Investment Amount</w:t>
            </w:r>
            <w:r>
              <w:rPr>
                <w:rFonts w:ascii="Times New Roman" w:cs="Times New Roman" w:eastAsia="Times New Roman" w:hAnsi="Times New Roman"/>
                <w:sz w:val="17"/>
                <w:szCs w:val="17"/>
                <w:color w:val="auto"/>
                <w:vertAlign w:val="superscript"/>
              </w:rPr>
              <w:t>(8)</w:t>
            </w:r>
          </w:p>
        </w:tc>
        <w:tc>
          <w:tcPr>
            <w:tcW w:w="13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$34,444.93</w:t>
            </w:r>
          </w:p>
        </w:tc>
        <w:tc>
          <w:tcPr>
            <w:tcW w:w="20" w:type="dxa"/>
            <w:vAlign w:val="bottom"/>
            <w:tcBorders>
              <w:bottom w:val="single" w:sz="8" w:color="auto"/>
            </w:tcBorders>
          </w:tcPr>
          <w:p>
            <w:pPr>
              <w:spacing w:after="0"/>
              <w:rPr>
                <w:sz w:val="15"/>
                <w:szCs w:val="15"/>
                <w:color w:val="auto"/>
              </w:rPr>
            </w:pPr>
          </w:p>
        </w:tc>
      </w:tr>
      <w:tr>
        <w:trPr>
          <w:trHeight w:val="134"/>
        </w:trPr>
        <w:tc>
          <w:tcPr>
            <w:tcW w:w="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9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-31115</wp:posOffset>
            </wp:positionV>
            <wp:extent cx="31750" cy="44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1750" cy="4445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-31115</wp:posOffset>
            </wp:positionV>
            <wp:extent cx="31750" cy="44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1750" cy="444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b w:val="1"/>
          <w:bCs w:val="1"/>
          <w:color w:val="auto"/>
        </w:rPr>
        <w:t>The following notes to the table above provide important calculations showing how certain values are determined.</w:t>
      </w:r>
    </w:p>
    <w:p>
      <w:pPr>
        <w:spacing w:after="0" w:line="224" w:lineRule="auto"/>
        <w:rPr>
          <w:sz w:val="20"/>
          <w:szCs w:val="20"/>
          <w:color w:val="auto"/>
        </w:rPr>
      </w:pPr>
      <w:r>
        <w:rPr>
          <w:rFonts w:ascii="Times New Roman" w:cs="Times New Roman" w:eastAsia="Times New Roman" w:hAnsi="Times New Roman"/>
          <w:sz w:val="6"/>
          <w:szCs w:val="6"/>
          <w:color w:val="auto"/>
        </w:rPr>
        <w:t>(1)</w:t>
      </w:r>
    </w:p>
    <w:p>
      <w:pPr>
        <w:ind w:left="260" w:right="3259"/>
        <w:spacing w:after="0" w:line="238" w:lineRule="auto"/>
        <w:rPr>
          <w:sz w:val="20"/>
          <w:szCs w:val="20"/>
          <w:color w:val="auto"/>
        </w:rPr>
      </w:pPr>
      <w:r>
        <w:rPr>
          <w:rFonts w:ascii="Times New Roman" w:cs="Times New Roman" w:eastAsia="Times New Roman" w:hAnsi="Times New Roman"/>
          <w:sz w:val="13"/>
          <w:szCs w:val="13"/>
          <w:color w:val="auto"/>
        </w:rPr>
        <w:t>Index Performance is equal to the percentage change in the Index Value measured from the Term Start Date to the date of the Interim Value calculation. Index Performance is calculated as follows:</w:t>
      </w:r>
    </w:p>
    <w:p>
      <w:pPr>
        <w:spacing w:after="0" w:line="37" w:lineRule="exact"/>
        <w:rPr>
          <w:sz w:val="20"/>
          <w:szCs w:val="20"/>
          <w:color w:val="auto"/>
        </w:rPr>
      </w:pPr>
    </w:p>
    <w:p>
      <w:pPr>
        <w:jc w:val="center"/>
        <w:ind w:right="3239"/>
        <w:spacing w:after="0"/>
        <w:rPr>
          <w:sz w:val="20"/>
          <w:szCs w:val="20"/>
          <w:color w:val="auto"/>
        </w:rPr>
      </w:pPr>
      <w:r>
        <w:rPr>
          <w:rFonts w:ascii="Times New Roman" w:cs="Times New Roman" w:eastAsia="Times New Roman" w:hAnsi="Times New Roman"/>
          <w:sz w:val="13"/>
          <w:szCs w:val="13"/>
          <w:color w:val="auto"/>
        </w:rPr>
        <w:t>(600 [Index Value on date of Interim Value calculation] – 500 [Index Value at Term Start Date])</w:t>
      </w:r>
    </w:p>
    <w:p>
      <w:pPr>
        <w:spacing w:after="0" w:line="13" w:lineRule="exact"/>
        <w:rPr>
          <w:sz w:val="20"/>
          <w:szCs w:val="20"/>
          <w:color w:val="auto"/>
        </w:rPr>
      </w:pPr>
    </w:p>
    <w:p>
      <w:pPr>
        <w:jc w:val="center"/>
        <w:ind w:right="3179"/>
        <w:spacing w:after="0"/>
        <w:rPr>
          <w:sz w:val="20"/>
          <w:szCs w:val="20"/>
          <w:color w:val="auto"/>
        </w:rPr>
      </w:pPr>
      <w:r>
        <w:rPr>
          <w:rFonts w:ascii="Times New Roman" w:cs="Times New Roman" w:eastAsia="Times New Roman" w:hAnsi="Times New Roman"/>
          <w:sz w:val="13"/>
          <w:szCs w:val="13"/>
          <w:color w:val="auto"/>
        </w:rPr>
        <w:t>÷ 500 [Index Value at Term Start Date]) = 20%</w:t>
      </w:r>
    </w:p>
    <w:p>
      <w:pPr>
        <w:spacing w:after="0" w:line="204" w:lineRule="auto"/>
        <w:rPr>
          <w:sz w:val="20"/>
          <w:szCs w:val="20"/>
          <w:color w:val="auto"/>
        </w:rPr>
      </w:pPr>
      <w:r>
        <w:rPr>
          <w:rFonts w:ascii="Times New Roman" w:cs="Times New Roman" w:eastAsia="Times New Roman" w:hAnsi="Times New Roman"/>
          <w:sz w:val="5"/>
          <w:szCs w:val="5"/>
          <w:color w:val="auto"/>
        </w:rPr>
        <w:t>(2)</w:t>
      </w:r>
    </w:p>
    <w:p>
      <w:pPr>
        <w:ind w:left="260"/>
        <w:spacing w:after="0"/>
        <w:rPr>
          <w:sz w:val="20"/>
          <w:szCs w:val="20"/>
          <w:color w:val="auto"/>
        </w:rPr>
      </w:pPr>
      <w:r>
        <w:rPr>
          <w:rFonts w:ascii="Times New Roman" w:cs="Times New Roman" w:eastAsia="Times New Roman" w:hAnsi="Times New Roman"/>
          <w:sz w:val="13"/>
          <w:szCs w:val="13"/>
          <w:color w:val="auto"/>
        </w:rPr>
        <w:t>For examples demonstrating the calculation of the Interim Value, see the SAI.</w:t>
      </w:r>
    </w:p>
    <w:p>
      <w:pPr>
        <w:spacing w:after="0" w:line="204" w:lineRule="auto"/>
        <w:rPr>
          <w:sz w:val="20"/>
          <w:szCs w:val="20"/>
          <w:color w:val="auto"/>
        </w:rPr>
      </w:pPr>
      <w:r>
        <w:rPr>
          <w:rFonts w:ascii="Times New Roman" w:cs="Times New Roman" w:eastAsia="Times New Roman" w:hAnsi="Times New Roman"/>
          <w:sz w:val="5"/>
          <w:szCs w:val="5"/>
          <w:color w:val="auto"/>
        </w:rPr>
        <w:t>(3)</w:t>
      </w:r>
    </w:p>
    <w:p>
      <w:pPr>
        <w:ind w:left="260"/>
        <w:spacing w:after="0"/>
        <w:rPr>
          <w:sz w:val="20"/>
          <w:szCs w:val="20"/>
          <w:color w:val="auto"/>
        </w:rPr>
      </w:pPr>
      <w:r>
        <w:rPr>
          <w:rFonts w:ascii="Times New Roman" w:cs="Times New Roman" w:eastAsia="Times New Roman" w:hAnsi="Times New Roman"/>
          <w:sz w:val="13"/>
          <w:szCs w:val="13"/>
          <w:color w:val="auto"/>
        </w:rPr>
        <w:t>The Investment Amount is reduced proportionally by the withdrawal taken based on the reduction in</w:t>
      </w:r>
    </w:p>
    <w:p>
      <w:pPr>
        <w:ind w:left="260"/>
        <w:spacing w:after="0"/>
        <w:rPr>
          <w:sz w:val="20"/>
          <w:szCs w:val="20"/>
          <w:color w:val="auto"/>
        </w:rPr>
      </w:pPr>
      <w:r>
        <w:rPr>
          <w:rFonts w:ascii="Times New Roman" w:cs="Times New Roman" w:eastAsia="Times New Roman" w:hAnsi="Times New Roman"/>
          <w:sz w:val="13"/>
          <w:szCs w:val="13"/>
          <w:color w:val="auto"/>
        </w:rPr>
        <w:t>Interim Value. Therefore, the Investment Amount adjusted for any withdrawals is calculated as follows:</w:t>
      </w:r>
    </w:p>
    <w:p>
      <w:pPr>
        <w:spacing w:after="0" w:line="45" w:lineRule="exact"/>
        <w:rPr>
          <w:sz w:val="20"/>
          <w:szCs w:val="20"/>
          <w:color w:val="auto"/>
        </w:rPr>
      </w:pPr>
    </w:p>
    <w:p>
      <w:pPr>
        <w:jc w:val="center"/>
        <w:ind w:right="3219"/>
        <w:spacing w:after="0"/>
        <w:rPr>
          <w:sz w:val="20"/>
          <w:szCs w:val="20"/>
          <w:color w:val="auto"/>
        </w:rPr>
      </w:pPr>
      <w:r>
        <w:rPr>
          <w:rFonts w:ascii="Times New Roman" w:cs="Times New Roman" w:eastAsia="Times New Roman" w:hAnsi="Times New Roman"/>
          <w:sz w:val="13"/>
          <w:szCs w:val="13"/>
          <w:color w:val="auto"/>
        </w:rPr>
        <w:t>$50,000 [Investment Amount on Term Start Date]</w:t>
      </w:r>
    </w:p>
    <w:p>
      <w:pPr>
        <w:spacing w:after="0" w:line="3" w:lineRule="exact"/>
        <w:rPr>
          <w:sz w:val="20"/>
          <w:szCs w:val="20"/>
          <w:color w:val="auto"/>
        </w:rPr>
      </w:pPr>
    </w:p>
    <w:p>
      <w:pPr>
        <w:jc w:val="center"/>
        <w:ind w:right="3179"/>
        <w:spacing w:after="0"/>
        <w:rPr>
          <w:sz w:val="20"/>
          <w:szCs w:val="20"/>
          <w:color w:val="auto"/>
        </w:rPr>
      </w:pPr>
      <w:r>
        <w:rPr>
          <w:rFonts w:ascii="Times New Roman" w:cs="Times New Roman" w:eastAsia="Times New Roman" w:hAnsi="Times New Roman"/>
          <w:sz w:val="13"/>
          <w:szCs w:val="13"/>
          <w:color w:val="auto"/>
        </w:rPr>
        <w:t>x (1-$20,000 [gross withdrawal amount halfway through the Term] ÷ $53,514.77 [Interim Value on date of</w:t>
      </w:r>
    </w:p>
    <w:p>
      <w:pPr>
        <w:ind w:left="2680"/>
        <w:spacing w:after="0" w:line="237" w:lineRule="auto"/>
        <w:rPr>
          <w:sz w:val="20"/>
          <w:szCs w:val="20"/>
          <w:color w:val="auto"/>
        </w:rPr>
      </w:pPr>
      <w:r>
        <w:rPr>
          <w:rFonts w:ascii="Times New Roman" w:cs="Times New Roman" w:eastAsia="Times New Roman" w:hAnsi="Times New Roman"/>
          <w:sz w:val="13"/>
          <w:szCs w:val="13"/>
          <w:color w:val="auto"/>
        </w:rPr>
        <w:t>withdrawal])</w:t>
      </w:r>
    </w:p>
    <w:p>
      <w:pPr>
        <w:spacing w:after="0" w:line="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3"/>
          <w:szCs w:val="13"/>
          <w:color w:val="auto"/>
        </w:rPr>
        <w:t>= $31,313.57</w:t>
      </w:r>
    </w:p>
    <w:p>
      <w:pPr>
        <w:spacing w:after="0" w:line="35" w:lineRule="exact"/>
        <w:rPr>
          <w:sz w:val="20"/>
          <w:szCs w:val="20"/>
          <w:color w:val="auto"/>
        </w:rPr>
      </w:pPr>
    </w:p>
    <w:p>
      <w:pPr>
        <w:ind w:right="3199"/>
        <w:spacing w:after="0" w:line="251" w:lineRule="auto"/>
        <w:rPr>
          <w:sz w:val="20"/>
          <w:szCs w:val="20"/>
          <w:color w:val="auto"/>
        </w:rPr>
      </w:pPr>
      <w:r>
        <w:rPr>
          <w:rFonts w:ascii="Times New Roman" w:cs="Times New Roman" w:eastAsia="Times New Roman" w:hAnsi="Times New Roman"/>
          <w:sz w:val="13"/>
          <w:szCs w:val="13"/>
          <w:color w:val="auto"/>
        </w:rPr>
        <w:t>The proportionally reduced Investment Amount is used as the new Investment Amount at Term Start Date for the Term until the Term End Date for this Shield Option (assuming no additional withdrawals).</w:t>
      </w:r>
    </w:p>
    <w:p>
      <w:pPr>
        <w:spacing w:after="0" w:line="202" w:lineRule="auto"/>
        <w:rPr>
          <w:sz w:val="20"/>
          <w:szCs w:val="20"/>
          <w:color w:val="auto"/>
        </w:rPr>
      </w:pPr>
      <w:r>
        <w:rPr>
          <w:rFonts w:ascii="Times New Roman" w:cs="Times New Roman" w:eastAsia="Times New Roman" w:hAnsi="Times New Roman"/>
          <w:sz w:val="5"/>
          <w:szCs w:val="5"/>
          <w:color w:val="auto"/>
        </w:rPr>
        <w:t>(4)</w:t>
      </w:r>
    </w:p>
    <w:p>
      <w:pPr>
        <w:ind w:left="260" w:right="3259"/>
        <w:spacing w:after="0" w:line="252" w:lineRule="auto"/>
        <w:rPr>
          <w:sz w:val="20"/>
          <w:szCs w:val="20"/>
          <w:color w:val="auto"/>
        </w:rPr>
      </w:pPr>
      <w:r>
        <w:rPr>
          <w:rFonts w:ascii="Times New Roman" w:cs="Times New Roman" w:eastAsia="Times New Roman" w:hAnsi="Times New Roman"/>
          <w:sz w:val="13"/>
          <w:szCs w:val="13"/>
          <w:color w:val="auto"/>
        </w:rPr>
        <w:t>The net amount payable to the Contract Owner is equal to the amount withdrawn minus the Withdrawal Charge. The net amount payable is calculated as follows:</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$20,000 [amount withdrawn] – $0 [Withdrawal Charge] = $20,000.</w:t>
      </w:r>
    </w:p>
    <w:p>
      <w:pPr>
        <w:spacing w:after="0" w:line="218" w:lineRule="auto"/>
        <w:rPr>
          <w:sz w:val="20"/>
          <w:szCs w:val="20"/>
          <w:color w:val="auto"/>
        </w:rPr>
      </w:pPr>
      <w:r>
        <w:rPr>
          <w:rFonts w:ascii="Times New Roman" w:cs="Times New Roman" w:eastAsia="Times New Roman" w:hAnsi="Times New Roman"/>
          <w:sz w:val="6"/>
          <w:szCs w:val="6"/>
          <w:color w:val="auto"/>
        </w:rPr>
        <w:t>(5)</w:t>
      </w:r>
    </w:p>
    <w:p>
      <w:pPr>
        <w:ind w:left="260" w:right="3259"/>
        <w:spacing w:after="0" w:line="230" w:lineRule="auto"/>
        <w:rPr>
          <w:sz w:val="20"/>
          <w:szCs w:val="20"/>
          <w:color w:val="auto"/>
        </w:rPr>
      </w:pPr>
      <w:r>
        <w:rPr>
          <w:rFonts w:ascii="Times New Roman" w:cs="Times New Roman" w:eastAsia="Times New Roman" w:hAnsi="Times New Roman"/>
          <w:sz w:val="13"/>
          <w:szCs w:val="13"/>
          <w:color w:val="auto"/>
        </w:rPr>
        <w:t>Index Performance at the Term End Date is equal to the percentage change in the Index Value measured from the Term Start Date to the Term End Date. Index Performance at the Term End Date is calculated as</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follows:</w:t>
      </w:r>
    </w:p>
    <w:p>
      <w:pPr>
        <w:spacing w:after="0" w:line="45" w:lineRule="exact"/>
        <w:rPr>
          <w:sz w:val="20"/>
          <w:szCs w:val="20"/>
          <w:color w:val="auto"/>
        </w:rPr>
      </w:pPr>
    </w:p>
    <w:p>
      <w:pPr>
        <w:jc w:val="center"/>
        <w:ind w:right="3219"/>
        <w:spacing w:after="0"/>
        <w:rPr>
          <w:sz w:val="20"/>
          <w:szCs w:val="20"/>
          <w:color w:val="auto"/>
        </w:rPr>
      </w:pPr>
      <w:r>
        <w:rPr>
          <w:rFonts w:ascii="Times New Roman" w:cs="Times New Roman" w:eastAsia="Times New Roman" w:hAnsi="Times New Roman"/>
          <w:sz w:val="13"/>
          <w:szCs w:val="13"/>
          <w:color w:val="auto"/>
        </w:rPr>
        <w:t>(560 [Index Value at Term End Date] – 500 [Index Value at Term Start Date])</w:t>
      </w:r>
    </w:p>
    <w:p>
      <w:pPr>
        <w:spacing w:after="0" w:line="13" w:lineRule="exact"/>
        <w:rPr>
          <w:sz w:val="20"/>
          <w:szCs w:val="20"/>
          <w:color w:val="auto"/>
        </w:rPr>
      </w:pPr>
    </w:p>
    <w:p>
      <w:pPr>
        <w:jc w:val="center"/>
        <w:ind w:right="3179"/>
        <w:spacing w:after="0"/>
        <w:rPr>
          <w:sz w:val="20"/>
          <w:szCs w:val="20"/>
          <w:color w:val="auto"/>
        </w:rPr>
      </w:pPr>
      <w:r>
        <w:rPr>
          <w:rFonts w:ascii="Times New Roman" w:cs="Times New Roman" w:eastAsia="Times New Roman" w:hAnsi="Times New Roman"/>
          <w:sz w:val="13"/>
          <w:szCs w:val="13"/>
          <w:color w:val="auto"/>
        </w:rPr>
        <w:t>÷ 500 [Index Value at Term Start Date] = 12%</w:t>
      </w:r>
    </w:p>
    <w:p>
      <w:pPr>
        <w:spacing w:after="0" w:line="204" w:lineRule="auto"/>
        <w:rPr>
          <w:sz w:val="20"/>
          <w:szCs w:val="20"/>
          <w:color w:val="auto"/>
        </w:rPr>
      </w:pPr>
      <w:r>
        <w:rPr>
          <w:rFonts w:ascii="Times New Roman" w:cs="Times New Roman" w:eastAsia="Times New Roman" w:hAnsi="Times New Roman"/>
          <w:sz w:val="5"/>
          <w:szCs w:val="5"/>
          <w:color w:val="auto"/>
        </w:rPr>
        <w:t>(6)</w:t>
      </w:r>
    </w:p>
    <w:p>
      <w:pPr>
        <w:ind w:left="260" w:right="3259"/>
        <w:spacing w:after="0" w:line="238" w:lineRule="auto"/>
        <w:rPr>
          <w:sz w:val="20"/>
          <w:szCs w:val="20"/>
          <w:color w:val="auto"/>
        </w:rPr>
      </w:pPr>
      <w:r>
        <w:rPr>
          <w:rFonts w:ascii="Times New Roman" w:cs="Times New Roman" w:eastAsia="Times New Roman" w:hAnsi="Times New Roman"/>
          <w:sz w:val="13"/>
          <w:szCs w:val="13"/>
          <w:color w:val="auto"/>
        </w:rPr>
        <w:t>Index Performance at the Term End Date exceeds the Cap Rate and therefore the Performance Rate at the Term End Date is equal to the Cap Rate.</w:t>
      </w:r>
    </w:p>
    <w:p>
      <w:pPr>
        <w:spacing w:after="0" w:line="24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color w:val="auto"/>
        </w:rPr>
        <w:t>44</w:t>
      </w:r>
    </w:p>
    <w:p>
      <w:pPr>
        <w:sectPr>
          <w:pgSz w:w="11900" w:h="16838" w:orient="portrait"/>
          <w:cols w:equalWidth="0" w:num="1">
            <w:col w:w="9259"/>
          </w:cols>
          <w:pgMar w:left="1200" w:top="1049"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9"/>
          <w:szCs w:val="9"/>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93915" cy="38100"/>
                    </a:xfrm>
                    <a:prstGeom prst="rect">
                      <a:avLst/>
                    </a:prstGeom>
                    <a:noFill/>
                  </pic:spPr>
                </pic:pic>
              </a:graphicData>
            </a:graphic>
          </wp:anchor>
        </w:drawing>
        <w:t>(7)</w:t>
      </w:r>
    </w:p>
    <w:p>
      <w:pPr>
        <w:ind w:left="260"/>
        <w:spacing w:after="0"/>
        <w:rPr>
          <w:sz w:val="20"/>
          <w:szCs w:val="20"/>
          <w:color w:val="auto"/>
        </w:rPr>
      </w:pPr>
      <w:r>
        <w:rPr>
          <w:rFonts w:ascii="Times New Roman" w:cs="Times New Roman" w:eastAsia="Times New Roman" w:hAnsi="Times New Roman"/>
          <w:sz w:val="13"/>
          <w:szCs w:val="13"/>
          <w:color w:val="auto"/>
        </w:rPr>
        <w:t>The Performance Rate Adjustment at the Term End Date is equal to the Investment Amount at the Term</w:t>
      </w:r>
    </w:p>
    <w:p>
      <w:pPr>
        <w:ind w:left="260" w:right="3259"/>
        <w:spacing w:after="0" w:line="238" w:lineRule="auto"/>
        <w:rPr>
          <w:sz w:val="20"/>
          <w:szCs w:val="20"/>
          <w:color w:val="auto"/>
        </w:rPr>
      </w:pPr>
      <w:r>
        <w:rPr>
          <w:rFonts w:ascii="Times New Roman" w:cs="Times New Roman" w:eastAsia="Times New Roman" w:hAnsi="Times New Roman"/>
          <w:sz w:val="13"/>
          <w:szCs w:val="13"/>
          <w:color w:val="auto"/>
        </w:rPr>
        <w:t>Start Date adjusted for any withdrawals multiplied by the Performance Rate at the Term End Date. The Performance Rate Adjustment at the Term End Date is calculated as follows:</w:t>
      </w:r>
    </w:p>
    <w:p>
      <w:pPr>
        <w:spacing w:after="0" w:line="27" w:lineRule="exact"/>
        <w:rPr>
          <w:sz w:val="20"/>
          <w:szCs w:val="20"/>
          <w:color w:val="auto"/>
        </w:rPr>
      </w:pPr>
    </w:p>
    <w:p>
      <w:pPr>
        <w:jc w:val="center"/>
        <w:ind w:right="3179"/>
        <w:spacing w:after="0"/>
        <w:rPr>
          <w:sz w:val="20"/>
          <w:szCs w:val="20"/>
          <w:color w:val="auto"/>
        </w:rPr>
      </w:pPr>
      <w:r>
        <w:rPr>
          <w:rFonts w:ascii="Times New Roman" w:cs="Times New Roman" w:eastAsia="Times New Roman" w:hAnsi="Times New Roman"/>
          <w:sz w:val="13"/>
          <w:szCs w:val="13"/>
          <w:color w:val="auto"/>
        </w:rPr>
        <w:t>$31,313.57 [Investment Amount adjusted for withdrawal] x 10% [Performance Rate at Term End Date] =</w:t>
      </w:r>
    </w:p>
    <w:p>
      <w:pPr>
        <w:spacing w:after="0" w:line="13" w:lineRule="exact"/>
        <w:rPr>
          <w:sz w:val="20"/>
          <w:szCs w:val="20"/>
          <w:color w:val="auto"/>
        </w:rPr>
      </w:pPr>
    </w:p>
    <w:p>
      <w:pPr>
        <w:jc w:val="center"/>
        <w:ind w:right="3179"/>
        <w:spacing w:after="0"/>
        <w:rPr>
          <w:sz w:val="20"/>
          <w:szCs w:val="20"/>
          <w:color w:val="auto"/>
        </w:rPr>
      </w:pPr>
      <w:r>
        <w:rPr>
          <w:rFonts w:ascii="Times New Roman" w:cs="Times New Roman" w:eastAsia="Times New Roman" w:hAnsi="Times New Roman"/>
          <w:sz w:val="13"/>
          <w:szCs w:val="13"/>
          <w:color w:val="auto"/>
        </w:rPr>
        <w:t>$3,131.36</w:t>
      </w:r>
    </w:p>
    <w:p>
      <w:pPr>
        <w:spacing w:after="0" w:line="204" w:lineRule="auto"/>
        <w:rPr>
          <w:sz w:val="20"/>
          <w:szCs w:val="20"/>
          <w:color w:val="auto"/>
        </w:rPr>
      </w:pPr>
      <w:r>
        <w:rPr>
          <w:rFonts w:ascii="Times New Roman" w:cs="Times New Roman" w:eastAsia="Times New Roman" w:hAnsi="Times New Roman"/>
          <w:sz w:val="5"/>
          <w:szCs w:val="5"/>
          <w:color w:val="auto"/>
        </w:rPr>
        <w:t>(8)</w:t>
      </w:r>
    </w:p>
    <w:p>
      <w:pPr>
        <w:ind w:left="260"/>
        <w:spacing w:after="0"/>
        <w:rPr>
          <w:sz w:val="20"/>
          <w:szCs w:val="20"/>
          <w:color w:val="auto"/>
        </w:rPr>
      </w:pPr>
      <w:r>
        <w:rPr>
          <w:rFonts w:ascii="Times New Roman" w:cs="Times New Roman" w:eastAsia="Times New Roman" w:hAnsi="Times New Roman"/>
          <w:sz w:val="13"/>
          <w:szCs w:val="13"/>
          <w:color w:val="auto"/>
        </w:rPr>
        <w:t>The Investment Amount at the Term End Date is equal to the Investment Amount one year after the Term</w:t>
      </w:r>
    </w:p>
    <w:p>
      <w:pPr>
        <w:ind w:left="260" w:right="3259"/>
        <w:spacing w:after="0" w:line="238" w:lineRule="auto"/>
        <w:rPr>
          <w:sz w:val="20"/>
          <w:szCs w:val="20"/>
          <w:color w:val="auto"/>
        </w:rPr>
      </w:pPr>
      <w:r>
        <w:rPr>
          <w:rFonts w:ascii="Times New Roman" w:cs="Times New Roman" w:eastAsia="Times New Roman" w:hAnsi="Times New Roman"/>
          <w:sz w:val="13"/>
          <w:szCs w:val="13"/>
          <w:color w:val="auto"/>
        </w:rPr>
        <w:t>Start Date adjusted for any withdrawals plus the Performance Rate Adjustment at Term End Date. The Investment Amount at the Term End Date is calculated as follows:</w:t>
      </w:r>
    </w:p>
    <w:p>
      <w:pPr>
        <w:spacing w:after="0" w:line="3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$31,313.57 [Investment Amount adjusted for withdrawal]</w:t>
      </w:r>
    </w:p>
    <w:p>
      <w:pPr>
        <w:spacing w:after="0" w:line="13" w:lineRule="exact"/>
        <w:rPr>
          <w:sz w:val="20"/>
          <w:szCs w:val="20"/>
          <w:color w:val="auto"/>
        </w:rPr>
      </w:pPr>
    </w:p>
    <w:p>
      <w:pPr>
        <w:ind w:right="4199" w:firstLine="1004"/>
        <w:spacing w:after="0" w:line="433" w:lineRule="auto"/>
        <w:tabs>
          <w:tab w:leader="none" w:pos="1113"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$3,131.36 [Performance Rate Adjustment at Term End Date] = $34,444.93 </w:t>
      </w:r>
      <w:r>
        <w:rPr>
          <w:rFonts w:ascii="Times New Roman" w:cs="Times New Roman" w:eastAsia="Times New Roman" w:hAnsi="Times New Roman"/>
          <w:sz w:val="13"/>
          <w:szCs w:val="13"/>
          <w:u w:val="single" w:color="auto"/>
          <w:color w:val="auto"/>
        </w:rPr>
        <w:t>Example 3B—Interim Value is less than the Investment Amount and Withdrawal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3861435" cy="32505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861435" cy="325056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b w:val="1"/>
          <w:bCs w:val="1"/>
          <w:color w:val="auto"/>
        </w:rPr>
        <w:t>Term Start Date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Borders>
              <w:top w:val="single" w:sz="8" w:color="auto"/>
              <w:bottom w:val="single" w:sz="8" w:color="auto"/>
            </w:tcBorders>
          </w:tcPr>
          <w:p>
            <w:pPr>
              <w:spacing w:after="0"/>
              <w:rPr>
                <w:sz w:val="17"/>
                <w:szCs w:val="17"/>
                <w:color w:val="auto"/>
              </w:rPr>
            </w:pPr>
          </w:p>
        </w:tc>
        <w:tc>
          <w:tcPr>
            <w:tcW w:w="4720" w:type="dxa"/>
            <w:vAlign w:val="bottom"/>
            <w:tcBorders>
              <w:top w:val="single" w:sz="8" w:color="auto"/>
              <w:bottom w:val="single" w:sz="8" w:color="auto"/>
              <w:right w:val="single" w:sz="8" w:color="auto"/>
            </w:tcBorders>
            <w:gridSpan w:val="2"/>
            <w:shd w:val="clear" w:color="auto" w:fill="F0FFFF"/>
          </w:tcPr>
          <w:p>
            <w:pPr>
              <w:ind w:left="180"/>
              <w:spacing w:after="0"/>
              <w:rPr>
                <w:sz w:val="20"/>
                <w:szCs w:val="20"/>
                <w:color w:val="auto"/>
              </w:rPr>
            </w:pPr>
            <w:r>
              <w:rPr>
                <w:rFonts w:ascii="Times New Roman" w:cs="Times New Roman" w:eastAsia="Times New Roman" w:hAnsi="Times New Roman"/>
                <w:sz w:val="13"/>
                <w:szCs w:val="13"/>
                <w:color w:val="auto"/>
              </w:rPr>
              <w:t>Investment Amount</w:t>
            </w:r>
          </w:p>
        </w:tc>
        <w:tc>
          <w:tcPr>
            <w:tcW w:w="1320" w:type="dxa"/>
            <w:vAlign w:val="bottom"/>
            <w:tcBorders>
              <w:top w:val="single" w:sz="8" w:color="auto"/>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$50,000</w:t>
            </w:r>
          </w:p>
        </w:tc>
        <w:tc>
          <w:tcPr>
            <w:tcW w:w="20" w:type="dxa"/>
            <w:vAlign w:val="bottom"/>
            <w:tcBorders>
              <w:top w:val="single" w:sz="8" w:color="auto"/>
              <w:bottom w:val="single" w:sz="8" w:color="auto"/>
            </w:tcBorders>
          </w:tcPr>
          <w:p>
            <w:pPr>
              <w:spacing w:after="0"/>
              <w:rPr>
                <w:sz w:val="17"/>
                <w:szCs w:val="17"/>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472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color w:val="auto"/>
              </w:rPr>
              <w:t>Shield Rate</w:t>
            </w:r>
          </w:p>
        </w:tc>
        <w:tc>
          <w:tcPr>
            <w:tcW w:w="134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3"/>
                <w:szCs w:val="13"/>
                <w:color w:val="auto"/>
              </w:rPr>
              <w:t>Shield 10</w:t>
            </w:r>
          </w:p>
        </w:tc>
      </w:tr>
      <w:tr>
        <w:trPr>
          <w:trHeight w:val="188"/>
        </w:trPr>
        <w:tc>
          <w:tcPr>
            <w:tcW w:w="20" w:type="dxa"/>
            <w:vAlign w:val="bottom"/>
            <w:tcBorders>
              <w:bottom w:val="single" w:sz="8" w:color="auto"/>
            </w:tcBorders>
          </w:tcPr>
          <w:p>
            <w:pPr>
              <w:spacing w:after="0"/>
              <w:rPr>
                <w:sz w:val="16"/>
                <w:szCs w:val="16"/>
                <w:color w:val="auto"/>
              </w:rPr>
            </w:pPr>
          </w:p>
        </w:tc>
        <w:tc>
          <w:tcPr>
            <w:tcW w:w="4720" w:type="dxa"/>
            <w:vAlign w:val="bottom"/>
            <w:tcBorders>
              <w:bottom w:val="single" w:sz="8" w:color="auto"/>
              <w:right w:val="single" w:sz="8" w:color="auto"/>
            </w:tcBorders>
            <w:gridSpan w:val="2"/>
            <w:shd w:val="clear" w:color="auto" w:fill="F0FFFF"/>
          </w:tcPr>
          <w:p>
            <w:pPr>
              <w:ind w:left="180"/>
              <w:spacing w:after="0"/>
              <w:rPr>
                <w:sz w:val="20"/>
                <w:szCs w:val="20"/>
                <w:color w:val="auto"/>
              </w:rPr>
            </w:pPr>
            <w:r>
              <w:rPr>
                <w:rFonts w:ascii="Times New Roman" w:cs="Times New Roman" w:eastAsia="Times New Roman" w:hAnsi="Times New Roman"/>
                <w:sz w:val="13"/>
                <w:szCs w:val="13"/>
                <w:color w:val="auto"/>
              </w:rPr>
              <w:t>Cap Rate</w:t>
            </w:r>
          </w:p>
        </w:tc>
        <w:tc>
          <w:tcPr>
            <w:tcW w:w="13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20" w:type="dxa"/>
            <w:vAlign w:val="bottom"/>
            <w:tcBorders>
              <w:bottom w:val="single" w:sz="8" w:color="auto"/>
            </w:tcBorders>
          </w:tcPr>
          <w:p>
            <w:pPr>
              <w:spacing w:after="0"/>
              <w:rPr>
                <w:sz w:val="16"/>
                <w:szCs w:val="16"/>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472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color w:val="auto"/>
              </w:rPr>
              <w:t>Index Value</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500</w:t>
            </w:r>
          </w:p>
        </w:tc>
        <w:tc>
          <w:tcPr>
            <w:tcW w:w="20" w:type="dxa"/>
            <w:vAlign w:val="bottom"/>
            <w:tcBorders>
              <w:bottom w:val="single" w:sz="8" w:color="auto"/>
            </w:tcBorders>
          </w:tcPr>
          <w:p>
            <w:pPr>
              <w:spacing w:after="0"/>
              <w:rPr>
                <w:sz w:val="16"/>
                <w:szCs w:val="16"/>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4720" w:type="dxa"/>
            <w:vAlign w:val="bottom"/>
            <w:tcBorders>
              <w:bottom w:val="single" w:sz="8" w:color="auto"/>
              <w:right w:val="single" w:sz="8" w:color="F0FFFF"/>
            </w:tcBorders>
            <w:gridSpan w:val="2"/>
            <w:shd w:val="clear" w:color="auto" w:fill="F0FFFF"/>
          </w:tcPr>
          <w:p>
            <w:pPr>
              <w:ind w:left="60"/>
              <w:spacing w:after="0"/>
              <w:rPr>
                <w:sz w:val="20"/>
                <w:szCs w:val="20"/>
                <w:color w:val="auto"/>
              </w:rPr>
            </w:pPr>
            <w:r>
              <w:rPr>
                <w:rFonts w:ascii="Times New Roman" w:cs="Times New Roman" w:eastAsia="Times New Roman" w:hAnsi="Times New Roman"/>
                <w:sz w:val="13"/>
                <w:szCs w:val="13"/>
                <w:b w:val="1"/>
                <w:bCs w:val="1"/>
                <w:color w:val="auto"/>
              </w:rPr>
              <w:t>Interim Value Calculation Halfway Through Term</w:t>
            </w:r>
          </w:p>
        </w:tc>
        <w:tc>
          <w:tcPr>
            <w:tcW w:w="1320" w:type="dxa"/>
            <w:vAlign w:val="bottom"/>
            <w:tcBorders>
              <w:bottom w:val="single" w:sz="8" w:color="auto"/>
            </w:tcBorders>
            <w:shd w:val="clear" w:color="auto" w:fill="F0FFFF"/>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472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color w:val="auto"/>
              </w:rPr>
              <w:t>Index Value</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400</w:t>
            </w:r>
          </w:p>
        </w:tc>
        <w:tc>
          <w:tcPr>
            <w:tcW w:w="20" w:type="dxa"/>
            <w:vAlign w:val="bottom"/>
            <w:tcBorders>
              <w:bottom w:val="single" w:sz="8" w:color="auto"/>
            </w:tcBorders>
          </w:tcPr>
          <w:p>
            <w:pPr>
              <w:spacing w:after="0"/>
              <w:rPr>
                <w:sz w:val="16"/>
                <w:szCs w:val="16"/>
                <w:color w:val="auto"/>
              </w:rPr>
            </w:pPr>
          </w:p>
        </w:tc>
      </w:tr>
      <w:tr>
        <w:trPr>
          <w:trHeight w:val="208"/>
        </w:trPr>
        <w:tc>
          <w:tcPr>
            <w:tcW w:w="20" w:type="dxa"/>
            <w:vAlign w:val="bottom"/>
            <w:tcBorders>
              <w:bottom w:val="single" w:sz="8" w:color="auto"/>
            </w:tcBorders>
          </w:tcPr>
          <w:p>
            <w:pPr>
              <w:spacing w:after="0"/>
              <w:rPr>
                <w:sz w:val="18"/>
                <w:szCs w:val="18"/>
                <w:color w:val="auto"/>
              </w:rPr>
            </w:pPr>
          </w:p>
        </w:tc>
        <w:tc>
          <w:tcPr>
            <w:tcW w:w="4720" w:type="dxa"/>
            <w:vAlign w:val="bottom"/>
            <w:tcBorders>
              <w:bottom w:val="single" w:sz="8" w:color="auto"/>
              <w:right w:val="single" w:sz="8" w:color="auto"/>
            </w:tcBorders>
            <w:gridSpan w:val="2"/>
            <w:shd w:val="clear" w:color="auto" w:fill="F0FFFF"/>
          </w:tcPr>
          <w:p>
            <w:pPr>
              <w:ind w:left="180"/>
              <w:spacing w:after="0"/>
              <w:rPr>
                <w:sz w:val="20"/>
                <w:szCs w:val="20"/>
                <w:color w:val="auto"/>
              </w:rPr>
            </w:pPr>
            <w:r>
              <w:rPr>
                <w:rFonts w:ascii="Times New Roman" w:cs="Times New Roman" w:eastAsia="Times New Roman" w:hAnsi="Times New Roman"/>
                <w:sz w:val="13"/>
                <w:szCs w:val="13"/>
                <w:color w:val="auto"/>
              </w:rPr>
              <w:t>Index Performance</w:t>
            </w:r>
            <w:r>
              <w:rPr>
                <w:rFonts w:ascii="Times New Roman" w:cs="Times New Roman" w:eastAsia="Times New Roman" w:hAnsi="Times New Roman"/>
                <w:sz w:val="17"/>
                <w:szCs w:val="17"/>
                <w:color w:val="auto"/>
                <w:vertAlign w:val="superscript"/>
              </w:rPr>
              <w:t>(1)</w:t>
            </w:r>
          </w:p>
        </w:tc>
        <w:tc>
          <w:tcPr>
            <w:tcW w:w="13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w w:val="98"/>
              </w:rPr>
              <w:t>–20%</w:t>
            </w:r>
          </w:p>
        </w:tc>
        <w:tc>
          <w:tcPr>
            <w:tcW w:w="20" w:type="dxa"/>
            <w:vAlign w:val="bottom"/>
            <w:tcBorders>
              <w:bottom w:val="single" w:sz="8" w:color="auto"/>
            </w:tcBorders>
          </w:tcPr>
          <w:p>
            <w:pPr>
              <w:spacing w:after="0"/>
              <w:rPr>
                <w:sz w:val="18"/>
                <w:szCs w:val="18"/>
                <w:color w:val="auto"/>
              </w:rPr>
            </w:pPr>
          </w:p>
        </w:tc>
      </w:tr>
      <w:tr>
        <w:trPr>
          <w:trHeight w:val="179"/>
        </w:trPr>
        <w:tc>
          <w:tcPr>
            <w:tcW w:w="20" w:type="dxa"/>
            <w:vAlign w:val="bottom"/>
            <w:tcBorders>
              <w:bottom w:val="single" w:sz="8" w:color="auto"/>
            </w:tcBorders>
          </w:tcPr>
          <w:p>
            <w:pPr>
              <w:spacing w:after="0"/>
              <w:rPr>
                <w:sz w:val="15"/>
                <w:szCs w:val="15"/>
                <w:color w:val="auto"/>
              </w:rPr>
            </w:pPr>
          </w:p>
        </w:tc>
        <w:tc>
          <w:tcPr>
            <w:tcW w:w="472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color w:val="auto"/>
              </w:rPr>
              <w:t>Time Remaining in Shield Option (in months)</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6</w:t>
            </w:r>
          </w:p>
        </w:tc>
        <w:tc>
          <w:tcPr>
            <w:tcW w:w="20" w:type="dxa"/>
            <w:vAlign w:val="bottom"/>
            <w:tcBorders>
              <w:bottom w:val="single" w:sz="8" w:color="auto"/>
            </w:tcBorders>
          </w:tcPr>
          <w:p>
            <w:pPr>
              <w:spacing w:after="0"/>
              <w:rPr>
                <w:sz w:val="15"/>
                <w:szCs w:val="15"/>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4720" w:type="dxa"/>
            <w:vAlign w:val="bottom"/>
            <w:tcBorders>
              <w:bottom w:val="single" w:sz="8" w:color="auto"/>
              <w:right w:val="single" w:sz="8" w:color="auto"/>
            </w:tcBorders>
            <w:gridSpan w:val="2"/>
            <w:shd w:val="clear" w:color="auto" w:fill="F0FFFF"/>
          </w:tcPr>
          <w:p>
            <w:pPr>
              <w:ind w:left="180"/>
              <w:spacing w:after="0"/>
              <w:rPr>
                <w:sz w:val="20"/>
                <w:szCs w:val="20"/>
                <w:color w:val="auto"/>
              </w:rPr>
            </w:pPr>
            <w:r>
              <w:rPr>
                <w:rFonts w:ascii="Times New Roman" w:cs="Times New Roman" w:eastAsia="Times New Roman" w:hAnsi="Times New Roman"/>
                <w:sz w:val="13"/>
                <w:szCs w:val="13"/>
                <w:color w:val="auto"/>
              </w:rPr>
              <w:t>Market Value Rate on calculation date</w:t>
            </w:r>
          </w:p>
        </w:tc>
        <w:tc>
          <w:tcPr>
            <w:tcW w:w="13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tcBorders>
              <w:bottom w:val="single" w:sz="8" w:color="auto"/>
            </w:tcBorders>
          </w:tcPr>
          <w:p>
            <w:pPr>
              <w:spacing w:after="0"/>
              <w:rPr>
                <w:sz w:val="16"/>
                <w:szCs w:val="16"/>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472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color w:val="auto"/>
              </w:rPr>
              <w:t>Market value of Fixed Income Asset Proxy</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$49,452.40</w:t>
            </w:r>
          </w:p>
        </w:tc>
        <w:tc>
          <w:tcPr>
            <w:tcW w:w="20" w:type="dxa"/>
            <w:vAlign w:val="bottom"/>
            <w:tcBorders>
              <w:bottom w:val="single" w:sz="8" w:color="auto"/>
            </w:tcBorders>
          </w:tcPr>
          <w:p>
            <w:pPr>
              <w:spacing w:after="0"/>
              <w:rPr>
                <w:sz w:val="16"/>
                <w:szCs w:val="16"/>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4720" w:type="dxa"/>
            <w:vAlign w:val="bottom"/>
            <w:tcBorders>
              <w:bottom w:val="single" w:sz="8" w:color="auto"/>
              <w:right w:val="single" w:sz="8" w:color="auto"/>
            </w:tcBorders>
            <w:gridSpan w:val="2"/>
            <w:shd w:val="clear" w:color="auto" w:fill="F0FFFF"/>
          </w:tcPr>
          <w:p>
            <w:pPr>
              <w:ind w:left="180"/>
              <w:spacing w:after="0"/>
              <w:rPr>
                <w:sz w:val="20"/>
                <w:szCs w:val="20"/>
                <w:color w:val="auto"/>
              </w:rPr>
            </w:pPr>
            <w:r>
              <w:rPr>
                <w:rFonts w:ascii="Times New Roman" w:cs="Times New Roman" w:eastAsia="Times New Roman" w:hAnsi="Times New Roman"/>
                <w:sz w:val="13"/>
                <w:szCs w:val="13"/>
                <w:color w:val="auto"/>
              </w:rPr>
              <w:t>Market value of Derivative Asset Proxy</w:t>
            </w:r>
          </w:p>
        </w:tc>
        <w:tc>
          <w:tcPr>
            <w:tcW w:w="13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–$4,661.31</w:t>
            </w:r>
          </w:p>
        </w:tc>
        <w:tc>
          <w:tcPr>
            <w:tcW w:w="20" w:type="dxa"/>
            <w:vAlign w:val="bottom"/>
            <w:tcBorders>
              <w:bottom w:val="single" w:sz="8" w:color="auto"/>
            </w:tcBorders>
          </w:tcPr>
          <w:p>
            <w:pPr>
              <w:spacing w:after="0"/>
              <w:rPr>
                <w:sz w:val="16"/>
                <w:szCs w:val="16"/>
                <w:color w:val="auto"/>
              </w:rPr>
            </w:pPr>
          </w:p>
        </w:tc>
      </w:tr>
      <w:tr>
        <w:trPr>
          <w:trHeight w:val="208"/>
        </w:trPr>
        <w:tc>
          <w:tcPr>
            <w:tcW w:w="20" w:type="dxa"/>
            <w:vAlign w:val="bottom"/>
            <w:tcBorders>
              <w:bottom w:val="single" w:sz="8" w:color="auto"/>
            </w:tcBorders>
          </w:tcPr>
          <w:p>
            <w:pPr>
              <w:spacing w:after="0"/>
              <w:rPr>
                <w:sz w:val="18"/>
                <w:szCs w:val="18"/>
                <w:color w:val="auto"/>
              </w:rPr>
            </w:pPr>
          </w:p>
        </w:tc>
        <w:tc>
          <w:tcPr>
            <w:tcW w:w="472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color w:val="auto"/>
              </w:rPr>
              <w:t>Interim Value of Shield Option</w:t>
            </w:r>
            <w:r>
              <w:rPr>
                <w:rFonts w:ascii="Times New Roman" w:cs="Times New Roman" w:eastAsia="Times New Roman" w:hAnsi="Times New Roman"/>
                <w:sz w:val="17"/>
                <w:szCs w:val="17"/>
                <w:color w:val="auto"/>
                <w:vertAlign w:val="superscript"/>
              </w:rPr>
              <w:t>(2)</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$44,791.09</w:t>
            </w:r>
          </w:p>
        </w:tc>
        <w:tc>
          <w:tcPr>
            <w:tcW w:w="20" w:type="dxa"/>
            <w:vAlign w:val="bottom"/>
            <w:tcBorders>
              <w:bottom w:val="single" w:sz="8" w:color="auto"/>
            </w:tcBorders>
          </w:tcPr>
          <w:p>
            <w:pPr>
              <w:spacing w:after="0"/>
              <w:rPr>
                <w:sz w:val="18"/>
                <w:szCs w:val="18"/>
                <w:color w:val="auto"/>
              </w:rPr>
            </w:pPr>
          </w:p>
        </w:tc>
      </w:tr>
      <w:tr>
        <w:trPr>
          <w:trHeight w:val="179"/>
        </w:trPr>
        <w:tc>
          <w:tcPr>
            <w:tcW w:w="20" w:type="dxa"/>
            <w:vAlign w:val="bottom"/>
            <w:tcBorders>
              <w:bottom w:val="single" w:sz="8" w:color="auto"/>
            </w:tcBorders>
          </w:tcPr>
          <w:p>
            <w:pPr>
              <w:spacing w:after="0"/>
              <w:rPr>
                <w:sz w:val="15"/>
                <w:szCs w:val="15"/>
                <w:color w:val="auto"/>
              </w:rPr>
            </w:pPr>
          </w:p>
        </w:tc>
        <w:tc>
          <w:tcPr>
            <w:tcW w:w="4720" w:type="dxa"/>
            <w:vAlign w:val="bottom"/>
            <w:tcBorders>
              <w:bottom w:val="single" w:sz="8" w:color="auto"/>
              <w:right w:val="single" w:sz="8" w:color="auto"/>
            </w:tcBorders>
            <w:gridSpan w:val="2"/>
            <w:shd w:val="clear" w:color="auto" w:fill="F0FFFF"/>
          </w:tcPr>
          <w:p>
            <w:pPr>
              <w:ind w:left="180"/>
              <w:spacing w:after="0"/>
              <w:rPr>
                <w:sz w:val="20"/>
                <w:szCs w:val="20"/>
                <w:color w:val="auto"/>
              </w:rPr>
            </w:pPr>
            <w:r>
              <w:rPr>
                <w:rFonts w:ascii="Times New Roman" w:cs="Times New Roman" w:eastAsia="Times New Roman" w:hAnsi="Times New Roman"/>
                <w:sz w:val="13"/>
                <w:szCs w:val="13"/>
                <w:color w:val="auto"/>
              </w:rPr>
              <w:t>Withdrawal Amount taken</w:t>
            </w:r>
          </w:p>
        </w:tc>
        <w:tc>
          <w:tcPr>
            <w:tcW w:w="13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$20,000</w:t>
            </w:r>
          </w:p>
        </w:tc>
        <w:tc>
          <w:tcPr>
            <w:tcW w:w="20" w:type="dxa"/>
            <w:vAlign w:val="bottom"/>
            <w:tcBorders>
              <w:bottom w:val="single" w:sz="8" w:color="auto"/>
            </w:tcBorders>
          </w:tcPr>
          <w:p>
            <w:pPr>
              <w:spacing w:after="0"/>
              <w:rPr>
                <w:sz w:val="15"/>
                <w:szCs w:val="15"/>
                <w:color w:val="auto"/>
              </w:rPr>
            </w:pPr>
          </w:p>
        </w:tc>
      </w:tr>
      <w:tr>
        <w:trPr>
          <w:trHeight w:val="208"/>
        </w:trPr>
        <w:tc>
          <w:tcPr>
            <w:tcW w:w="20" w:type="dxa"/>
            <w:vAlign w:val="bottom"/>
            <w:tcBorders>
              <w:bottom w:val="single" w:sz="8" w:color="auto"/>
            </w:tcBorders>
          </w:tcPr>
          <w:p>
            <w:pPr>
              <w:spacing w:after="0"/>
              <w:rPr>
                <w:sz w:val="18"/>
                <w:szCs w:val="18"/>
                <w:color w:val="auto"/>
              </w:rPr>
            </w:pPr>
          </w:p>
        </w:tc>
        <w:tc>
          <w:tcPr>
            <w:tcW w:w="472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color w:val="auto"/>
              </w:rPr>
              <w:t>Investment Amount adjusted for any withdrawals</w:t>
            </w:r>
            <w:r>
              <w:rPr>
                <w:rFonts w:ascii="Times New Roman" w:cs="Times New Roman" w:eastAsia="Times New Roman" w:hAnsi="Times New Roman"/>
                <w:sz w:val="17"/>
                <w:szCs w:val="17"/>
                <w:color w:val="auto"/>
                <w:vertAlign w:val="superscript"/>
              </w:rPr>
              <w:t>(3)</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$27,674.13</w:t>
            </w:r>
          </w:p>
        </w:tc>
        <w:tc>
          <w:tcPr>
            <w:tcW w:w="20" w:type="dxa"/>
            <w:vAlign w:val="bottom"/>
            <w:tcBorders>
              <w:bottom w:val="single" w:sz="8" w:color="auto"/>
            </w:tcBorders>
          </w:tcPr>
          <w:p>
            <w:pPr>
              <w:spacing w:after="0"/>
              <w:rPr>
                <w:sz w:val="18"/>
                <w:szCs w:val="18"/>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4720" w:type="dxa"/>
            <w:vAlign w:val="bottom"/>
            <w:tcBorders>
              <w:bottom w:val="single" w:sz="8" w:color="auto"/>
              <w:right w:val="single" w:sz="8" w:color="auto"/>
            </w:tcBorders>
            <w:gridSpan w:val="2"/>
            <w:shd w:val="clear" w:color="auto" w:fill="F0FFFF"/>
          </w:tcPr>
          <w:p>
            <w:pPr>
              <w:ind w:left="180"/>
              <w:spacing w:after="0"/>
              <w:rPr>
                <w:sz w:val="20"/>
                <w:szCs w:val="20"/>
                <w:color w:val="auto"/>
              </w:rPr>
            </w:pPr>
            <w:r>
              <w:rPr>
                <w:rFonts w:ascii="Times New Roman" w:cs="Times New Roman" w:eastAsia="Times New Roman" w:hAnsi="Times New Roman"/>
                <w:sz w:val="13"/>
                <w:szCs w:val="13"/>
                <w:color w:val="auto"/>
              </w:rPr>
              <w:t>Free Withdrawal Amount</w:t>
            </w:r>
            <w:r>
              <w:rPr>
                <w:rFonts w:ascii="Times New Roman" w:cs="Times New Roman" w:eastAsia="Times New Roman" w:hAnsi="Times New Roman"/>
                <w:sz w:val="17"/>
                <w:szCs w:val="17"/>
                <w:color w:val="auto"/>
                <w:vertAlign w:val="superscript"/>
              </w:rPr>
              <w:t>(4)</w:t>
            </w:r>
          </w:p>
        </w:tc>
        <w:tc>
          <w:tcPr>
            <w:tcW w:w="13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$5,000</w:t>
            </w:r>
          </w:p>
        </w:tc>
        <w:tc>
          <w:tcPr>
            <w:tcW w:w="20" w:type="dxa"/>
            <w:vAlign w:val="bottom"/>
            <w:tcBorders>
              <w:bottom w:val="single" w:sz="8" w:color="auto"/>
            </w:tcBorders>
          </w:tcPr>
          <w:p>
            <w:pPr>
              <w:spacing w:after="0"/>
              <w:rPr>
                <w:sz w:val="17"/>
                <w:szCs w:val="17"/>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472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color w:val="auto"/>
              </w:rPr>
              <w:t>Withdrawal Charge Amount</w:t>
            </w:r>
            <w:r>
              <w:rPr>
                <w:rFonts w:ascii="Times New Roman" w:cs="Times New Roman" w:eastAsia="Times New Roman" w:hAnsi="Times New Roman"/>
                <w:sz w:val="17"/>
                <w:szCs w:val="17"/>
                <w:color w:val="auto"/>
                <w:vertAlign w:val="superscript"/>
              </w:rPr>
              <w:t>(5)</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$1,050</w:t>
            </w:r>
          </w:p>
        </w:tc>
        <w:tc>
          <w:tcPr>
            <w:tcW w:w="20" w:type="dxa"/>
            <w:vAlign w:val="bottom"/>
            <w:tcBorders>
              <w:bottom w:val="single" w:sz="8" w:color="auto"/>
            </w:tcBorders>
          </w:tcPr>
          <w:p>
            <w:pPr>
              <w:spacing w:after="0"/>
              <w:rPr>
                <w:sz w:val="17"/>
                <w:szCs w:val="17"/>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4720" w:type="dxa"/>
            <w:vAlign w:val="bottom"/>
            <w:tcBorders>
              <w:bottom w:val="single" w:sz="8" w:color="auto"/>
              <w:right w:val="single" w:sz="8" w:color="auto"/>
            </w:tcBorders>
            <w:gridSpan w:val="2"/>
            <w:shd w:val="clear" w:color="auto" w:fill="F0FFFF"/>
          </w:tcPr>
          <w:p>
            <w:pPr>
              <w:ind w:left="180"/>
              <w:spacing w:after="0"/>
              <w:rPr>
                <w:sz w:val="20"/>
                <w:szCs w:val="20"/>
                <w:color w:val="auto"/>
              </w:rPr>
            </w:pPr>
            <w:r>
              <w:rPr>
                <w:rFonts w:ascii="Times New Roman" w:cs="Times New Roman" w:eastAsia="Times New Roman" w:hAnsi="Times New Roman"/>
                <w:sz w:val="13"/>
                <w:szCs w:val="13"/>
                <w:color w:val="auto"/>
              </w:rPr>
              <w:t>Net Proceeds from Withdrawal paid to Contract Owner</w:t>
            </w:r>
            <w:r>
              <w:rPr>
                <w:rFonts w:ascii="Times New Roman" w:cs="Times New Roman" w:eastAsia="Times New Roman" w:hAnsi="Times New Roman"/>
                <w:sz w:val="17"/>
                <w:szCs w:val="17"/>
                <w:color w:val="auto"/>
                <w:vertAlign w:val="superscript"/>
              </w:rPr>
              <w:t>(6)</w:t>
            </w:r>
          </w:p>
        </w:tc>
        <w:tc>
          <w:tcPr>
            <w:tcW w:w="13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$18,950</w:t>
            </w:r>
          </w:p>
        </w:tc>
        <w:tc>
          <w:tcPr>
            <w:tcW w:w="20" w:type="dxa"/>
            <w:vAlign w:val="bottom"/>
            <w:tcBorders>
              <w:bottom w:val="single" w:sz="8" w:color="auto"/>
            </w:tcBorders>
          </w:tcPr>
          <w:p>
            <w:pPr>
              <w:spacing w:after="0"/>
              <w:rPr>
                <w:sz w:val="17"/>
                <w:szCs w:val="17"/>
                <w:color w:val="auto"/>
              </w:rPr>
            </w:pPr>
          </w:p>
        </w:tc>
      </w:tr>
      <w:tr>
        <w:trPr>
          <w:trHeight w:val="179"/>
        </w:trPr>
        <w:tc>
          <w:tcPr>
            <w:tcW w:w="20" w:type="dxa"/>
            <w:vAlign w:val="bottom"/>
            <w:tcBorders>
              <w:bottom w:val="single" w:sz="8" w:color="auto"/>
            </w:tcBorders>
          </w:tcPr>
          <w:p>
            <w:pPr>
              <w:spacing w:after="0"/>
              <w:rPr>
                <w:sz w:val="15"/>
                <w:szCs w:val="15"/>
                <w:color w:val="auto"/>
              </w:rPr>
            </w:pPr>
          </w:p>
        </w:tc>
        <w:tc>
          <w:tcPr>
            <w:tcW w:w="47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Term End Date</w:t>
            </w:r>
          </w:p>
        </w:tc>
        <w:tc>
          <w:tcPr>
            <w:tcW w:w="1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4720" w:type="dxa"/>
            <w:vAlign w:val="bottom"/>
            <w:tcBorders>
              <w:bottom w:val="single" w:sz="8" w:color="auto"/>
              <w:right w:val="single" w:sz="8" w:color="auto"/>
            </w:tcBorders>
            <w:gridSpan w:val="2"/>
            <w:shd w:val="clear" w:color="auto" w:fill="F0FFFF"/>
          </w:tcPr>
          <w:p>
            <w:pPr>
              <w:ind w:left="180"/>
              <w:spacing w:after="0"/>
              <w:rPr>
                <w:sz w:val="20"/>
                <w:szCs w:val="20"/>
                <w:color w:val="auto"/>
              </w:rPr>
            </w:pPr>
            <w:r>
              <w:rPr>
                <w:rFonts w:ascii="Times New Roman" w:cs="Times New Roman" w:eastAsia="Times New Roman" w:hAnsi="Times New Roman"/>
                <w:sz w:val="13"/>
                <w:szCs w:val="13"/>
                <w:color w:val="auto"/>
              </w:rPr>
              <w:t>Index Value</w:t>
            </w:r>
          </w:p>
        </w:tc>
        <w:tc>
          <w:tcPr>
            <w:tcW w:w="13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450</w:t>
            </w:r>
          </w:p>
        </w:tc>
        <w:tc>
          <w:tcPr>
            <w:tcW w:w="20" w:type="dxa"/>
            <w:vAlign w:val="bottom"/>
            <w:tcBorders>
              <w:bottom w:val="single" w:sz="8" w:color="auto"/>
            </w:tcBorders>
          </w:tcPr>
          <w:p>
            <w:pPr>
              <w:spacing w:after="0"/>
              <w:rPr>
                <w:sz w:val="16"/>
                <w:szCs w:val="16"/>
                <w:color w:val="auto"/>
              </w:rPr>
            </w:pPr>
          </w:p>
        </w:tc>
      </w:tr>
      <w:tr>
        <w:trPr>
          <w:trHeight w:val="208"/>
        </w:trPr>
        <w:tc>
          <w:tcPr>
            <w:tcW w:w="20" w:type="dxa"/>
            <w:vAlign w:val="bottom"/>
            <w:tcBorders>
              <w:bottom w:val="single" w:sz="8" w:color="auto"/>
            </w:tcBorders>
          </w:tcPr>
          <w:p>
            <w:pPr>
              <w:spacing w:after="0"/>
              <w:rPr>
                <w:sz w:val="18"/>
                <w:szCs w:val="18"/>
                <w:color w:val="auto"/>
              </w:rPr>
            </w:pPr>
          </w:p>
        </w:tc>
        <w:tc>
          <w:tcPr>
            <w:tcW w:w="472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color w:val="auto"/>
              </w:rPr>
              <w:t>Index Performance</w:t>
            </w:r>
            <w:r>
              <w:rPr>
                <w:rFonts w:ascii="Times New Roman" w:cs="Times New Roman" w:eastAsia="Times New Roman" w:hAnsi="Times New Roman"/>
                <w:sz w:val="17"/>
                <w:szCs w:val="17"/>
                <w:color w:val="auto"/>
                <w:vertAlign w:val="superscript"/>
              </w:rPr>
              <w:t>(7)</w:t>
            </w:r>
          </w:p>
        </w:tc>
        <w:tc>
          <w:tcPr>
            <w:tcW w:w="134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3"/>
                <w:szCs w:val="13"/>
                <w:color w:val="auto"/>
                <w:w w:val="98"/>
              </w:rPr>
              <w:t>–10%</w:t>
            </w:r>
          </w:p>
        </w:tc>
      </w:tr>
      <w:tr>
        <w:trPr>
          <w:trHeight w:val="198"/>
        </w:trPr>
        <w:tc>
          <w:tcPr>
            <w:tcW w:w="20" w:type="dxa"/>
            <w:vAlign w:val="bottom"/>
            <w:tcBorders>
              <w:bottom w:val="single" w:sz="8" w:color="auto"/>
            </w:tcBorders>
          </w:tcPr>
          <w:p>
            <w:pPr>
              <w:spacing w:after="0"/>
              <w:rPr>
                <w:sz w:val="17"/>
                <w:szCs w:val="17"/>
                <w:color w:val="auto"/>
              </w:rPr>
            </w:pPr>
          </w:p>
        </w:tc>
        <w:tc>
          <w:tcPr>
            <w:tcW w:w="4720" w:type="dxa"/>
            <w:vAlign w:val="bottom"/>
            <w:tcBorders>
              <w:bottom w:val="single" w:sz="8" w:color="auto"/>
              <w:right w:val="single" w:sz="8" w:color="auto"/>
            </w:tcBorders>
            <w:gridSpan w:val="2"/>
            <w:shd w:val="clear" w:color="auto" w:fill="F0FFFF"/>
          </w:tcPr>
          <w:p>
            <w:pPr>
              <w:ind w:left="180"/>
              <w:spacing w:after="0"/>
              <w:rPr>
                <w:sz w:val="20"/>
                <w:szCs w:val="20"/>
                <w:color w:val="auto"/>
              </w:rPr>
            </w:pPr>
            <w:r>
              <w:rPr>
                <w:rFonts w:ascii="Times New Roman" w:cs="Times New Roman" w:eastAsia="Times New Roman" w:hAnsi="Times New Roman"/>
                <w:sz w:val="13"/>
                <w:szCs w:val="13"/>
                <w:color w:val="auto"/>
              </w:rPr>
              <w:t>Performance Rate</w:t>
            </w:r>
            <w:r>
              <w:rPr>
                <w:rFonts w:ascii="Times New Roman" w:cs="Times New Roman" w:eastAsia="Times New Roman" w:hAnsi="Times New Roman"/>
                <w:sz w:val="17"/>
                <w:szCs w:val="17"/>
                <w:color w:val="auto"/>
                <w:vertAlign w:val="superscript"/>
              </w:rPr>
              <w:t>(8)</w:t>
            </w:r>
          </w:p>
        </w:tc>
        <w:tc>
          <w:tcPr>
            <w:tcW w:w="13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0%</w:t>
            </w:r>
          </w:p>
        </w:tc>
        <w:tc>
          <w:tcPr>
            <w:tcW w:w="20" w:type="dxa"/>
            <w:vAlign w:val="bottom"/>
            <w:tcBorders>
              <w:bottom w:val="single" w:sz="8" w:color="auto"/>
            </w:tcBorders>
          </w:tcPr>
          <w:p>
            <w:pPr>
              <w:spacing w:after="0"/>
              <w:rPr>
                <w:sz w:val="17"/>
                <w:szCs w:val="17"/>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472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color w:val="auto"/>
              </w:rPr>
              <w:t>Performance Rate Adjustment</w:t>
            </w:r>
            <w:r>
              <w:rPr>
                <w:rFonts w:ascii="Times New Roman" w:cs="Times New Roman" w:eastAsia="Times New Roman" w:hAnsi="Times New Roman"/>
                <w:sz w:val="17"/>
                <w:szCs w:val="17"/>
                <w:color w:val="auto"/>
                <w:vertAlign w:val="superscript"/>
              </w:rPr>
              <w:t>(9)</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$0</w:t>
            </w:r>
          </w:p>
        </w:tc>
        <w:tc>
          <w:tcPr>
            <w:tcW w:w="20" w:type="dxa"/>
            <w:vAlign w:val="bottom"/>
            <w:tcBorders>
              <w:bottom w:val="single" w:sz="8" w:color="auto"/>
            </w:tcBorders>
          </w:tcPr>
          <w:p>
            <w:pPr>
              <w:spacing w:after="0"/>
              <w:rPr>
                <w:sz w:val="17"/>
                <w:szCs w:val="17"/>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4720" w:type="dxa"/>
            <w:vAlign w:val="bottom"/>
            <w:tcBorders>
              <w:bottom w:val="single" w:sz="8" w:color="auto"/>
              <w:right w:val="single" w:sz="8" w:color="auto"/>
            </w:tcBorders>
            <w:gridSpan w:val="2"/>
            <w:shd w:val="clear" w:color="auto" w:fill="F0FFFF"/>
          </w:tcPr>
          <w:p>
            <w:pPr>
              <w:ind w:left="180"/>
              <w:spacing w:after="0" w:line="184" w:lineRule="exact"/>
              <w:rPr>
                <w:sz w:val="20"/>
                <w:szCs w:val="20"/>
                <w:color w:val="auto"/>
              </w:rPr>
            </w:pPr>
            <w:r>
              <w:rPr>
                <w:rFonts w:ascii="Times New Roman" w:cs="Times New Roman" w:eastAsia="Times New Roman" w:hAnsi="Times New Roman"/>
                <w:sz w:val="13"/>
                <w:szCs w:val="13"/>
                <w:color w:val="auto"/>
              </w:rPr>
              <w:t>Investment Amount</w:t>
            </w:r>
            <w:r>
              <w:rPr>
                <w:rFonts w:ascii="Times New Roman" w:cs="Times New Roman" w:eastAsia="Times New Roman" w:hAnsi="Times New Roman"/>
                <w:sz w:val="17"/>
                <w:szCs w:val="17"/>
                <w:color w:val="auto"/>
                <w:vertAlign w:val="superscript"/>
              </w:rPr>
              <w:t>(10)</w:t>
            </w:r>
          </w:p>
        </w:tc>
        <w:tc>
          <w:tcPr>
            <w:tcW w:w="13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$27,674.13</w:t>
            </w:r>
          </w:p>
        </w:tc>
        <w:tc>
          <w:tcPr>
            <w:tcW w:w="20" w:type="dxa"/>
            <w:vAlign w:val="bottom"/>
            <w:tcBorders>
              <w:bottom w:val="single" w:sz="8" w:color="auto"/>
            </w:tcBorders>
          </w:tcPr>
          <w:p>
            <w:pPr>
              <w:spacing w:after="0"/>
              <w:rPr>
                <w:sz w:val="15"/>
                <w:szCs w:val="15"/>
                <w:color w:val="auto"/>
              </w:rPr>
            </w:pPr>
          </w:p>
        </w:tc>
      </w:tr>
      <w:tr>
        <w:trPr>
          <w:trHeight w:val="134"/>
        </w:trPr>
        <w:tc>
          <w:tcPr>
            <w:tcW w:w="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9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-31115</wp:posOffset>
            </wp:positionV>
            <wp:extent cx="31750" cy="44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1750" cy="4445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-31115</wp:posOffset>
            </wp:positionV>
            <wp:extent cx="31750" cy="44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1750" cy="44450"/>
                    </a:xfrm>
                    <a:prstGeom prst="rect">
                      <a:avLst/>
                    </a:prstGeom>
                    <a:noFill/>
                  </pic:spPr>
                </pic:pic>
              </a:graphicData>
            </a:graphic>
          </wp:anchor>
        </w:drawing>
      </w:r>
    </w:p>
    <w:p>
      <w:pPr>
        <w:spacing w:after="0" w:line="45" w:lineRule="exact"/>
        <w:rPr>
          <w:sz w:val="20"/>
          <w:szCs w:val="20"/>
          <w:color w:val="auto"/>
        </w:rPr>
      </w:pPr>
    </w:p>
    <w:p>
      <w:pPr>
        <w:ind w:right="3559"/>
        <w:spacing w:after="0" w:line="260" w:lineRule="auto"/>
        <w:rPr>
          <w:sz w:val="20"/>
          <w:szCs w:val="20"/>
          <w:color w:val="auto"/>
        </w:rPr>
      </w:pPr>
      <w:r>
        <w:rPr>
          <w:rFonts w:ascii="Times New Roman" w:cs="Times New Roman" w:eastAsia="Times New Roman" w:hAnsi="Times New Roman"/>
          <w:sz w:val="13"/>
          <w:szCs w:val="13"/>
          <w:b w:val="1"/>
          <w:bCs w:val="1"/>
          <w:color w:val="auto"/>
        </w:rPr>
        <w:t>The following notes to the table above provide important calculations showing how certain values are determined.</w:t>
      </w:r>
    </w:p>
    <w:p>
      <w:pPr>
        <w:spacing w:after="0" w:line="205" w:lineRule="auto"/>
        <w:rPr>
          <w:sz w:val="20"/>
          <w:szCs w:val="20"/>
          <w:color w:val="auto"/>
        </w:rPr>
      </w:pPr>
      <w:r>
        <w:rPr>
          <w:rFonts w:ascii="Times New Roman" w:cs="Times New Roman" w:eastAsia="Times New Roman" w:hAnsi="Times New Roman"/>
          <w:sz w:val="5"/>
          <w:szCs w:val="5"/>
          <w:color w:val="auto"/>
        </w:rPr>
        <w:t>(1)</w:t>
      </w:r>
    </w:p>
    <w:p>
      <w:pPr>
        <w:ind w:left="260" w:right="3259"/>
        <w:spacing w:after="0" w:line="252" w:lineRule="auto"/>
        <w:rPr>
          <w:sz w:val="20"/>
          <w:szCs w:val="20"/>
          <w:color w:val="auto"/>
        </w:rPr>
      </w:pPr>
      <w:r>
        <w:rPr>
          <w:rFonts w:ascii="Times New Roman" w:cs="Times New Roman" w:eastAsia="Times New Roman" w:hAnsi="Times New Roman"/>
          <w:sz w:val="13"/>
          <w:szCs w:val="13"/>
          <w:color w:val="auto"/>
        </w:rPr>
        <w:t>Index Performance is equal to the percentage change in the Index Value measured from the Term Start Date to the date of the Interim Value calculation. Index Performance is calculated as follows:</w:t>
      </w:r>
    </w:p>
    <w:p>
      <w:pPr>
        <w:spacing w:after="0" w:line="19" w:lineRule="exact"/>
        <w:rPr>
          <w:sz w:val="20"/>
          <w:szCs w:val="20"/>
          <w:color w:val="auto"/>
        </w:rPr>
      </w:pPr>
    </w:p>
    <w:p>
      <w:pPr>
        <w:jc w:val="center"/>
        <w:ind w:right="3219"/>
        <w:spacing w:after="0"/>
        <w:rPr>
          <w:sz w:val="20"/>
          <w:szCs w:val="20"/>
          <w:color w:val="auto"/>
        </w:rPr>
      </w:pPr>
      <w:r>
        <w:rPr>
          <w:rFonts w:ascii="Times New Roman" w:cs="Times New Roman" w:eastAsia="Times New Roman" w:hAnsi="Times New Roman"/>
          <w:sz w:val="13"/>
          <w:szCs w:val="13"/>
          <w:color w:val="auto"/>
        </w:rPr>
        <w:t>(400 [Index Value on date of Interim Value calculation] – 500 [Index Value at Term Start Date])</w:t>
      </w:r>
    </w:p>
    <w:p>
      <w:pPr>
        <w:spacing w:after="0" w:line="13" w:lineRule="exact"/>
        <w:rPr>
          <w:sz w:val="20"/>
          <w:szCs w:val="20"/>
          <w:color w:val="auto"/>
        </w:rPr>
      </w:pPr>
    </w:p>
    <w:p>
      <w:pPr>
        <w:jc w:val="center"/>
        <w:ind w:right="3179"/>
        <w:spacing w:after="0"/>
        <w:rPr>
          <w:sz w:val="20"/>
          <w:szCs w:val="20"/>
          <w:color w:val="auto"/>
        </w:rPr>
      </w:pPr>
      <w:r>
        <w:rPr>
          <w:rFonts w:ascii="Times New Roman" w:cs="Times New Roman" w:eastAsia="Times New Roman" w:hAnsi="Times New Roman"/>
          <w:sz w:val="13"/>
          <w:szCs w:val="13"/>
          <w:color w:val="auto"/>
        </w:rPr>
        <w:t>÷ 500 [Index Value at Term Start Date]) = –20%</w:t>
      </w:r>
    </w:p>
    <w:p>
      <w:pPr>
        <w:spacing w:after="0" w:line="204" w:lineRule="auto"/>
        <w:rPr>
          <w:sz w:val="20"/>
          <w:szCs w:val="20"/>
          <w:color w:val="auto"/>
        </w:rPr>
      </w:pPr>
      <w:r>
        <w:rPr>
          <w:rFonts w:ascii="Times New Roman" w:cs="Times New Roman" w:eastAsia="Times New Roman" w:hAnsi="Times New Roman"/>
          <w:sz w:val="5"/>
          <w:szCs w:val="5"/>
          <w:color w:val="auto"/>
        </w:rPr>
        <w:t>(2)</w:t>
      </w:r>
    </w:p>
    <w:p>
      <w:pPr>
        <w:ind w:left="260"/>
        <w:spacing w:after="0"/>
        <w:rPr>
          <w:sz w:val="20"/>
          <w:szCs w:val="20"/>
          <w:color w:val="auto"/>
        </w:rPr>
      </w:pPr>
      <w:r>
        <w:rPr>
          <w:rFonts w:ascii="Times New Roman" w:cs="Times New Roman" w:eastAsia="Times New Roman" w:hAnsi="Times New Roman"/>
          <w:sz w:val="13"/>
          <w:szCs w:val="13"/>
          <w:color w:val="auto"/>
        </w:rPr>
        <w:t>For examples demonstrating the calculation of the Interim Value, see the SAI.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color w:val="auto"/>
        </w:rPr>
        <w:t>45</w:t>
      </w:r>
    </w:p>
    <w:p>
      <w:pPr>
        <w:sectPr>
          <w:pgSz w:w="11900" w:h="16838" w:orient="portrait"/>
          <w:cols w:equalWidth="0" w:num="1">
            <w:col w:w="9259"/>
          </w:cols>
          <w:pgMar w:left="1200" w:top="950" w:right="1440" w:bottom="1440" w:gutter="0" w:footer="0" w:header="0"/>
        </w:sectPr>
      </w:pPr>
    </w:p>
    <w:bookmarkStart w:id="47" w:name="page48"/>
    <w:bookmarkEnd w:id="47"/>
    <w:p>
      <w:pPr>
        <w:ind w:left="1"/>
        <w:spacing w:after="0"/>
        <w:rPr>
          <w:sz w:val="20"/>
          <w:szCs w:val="20"/>
          <w:color w:val="auto"/>
        </w:rPr>
      </w:pPr>
      <w:r>
        <w:rPr>
          <w:rFonts w:ascii="Times New Roman" w:cs="Times New Roman" w:eastAsia="Times New Roman" w:hAnsi="Times New Roman"/>
          <w:sz w:val="9"/>
          <w:szCs w:val="9"/>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93915" cy="38100"/>
                    </a:xfrm>
                    <a:prstGeom prst="rect">
                      <a:avLst/>
                    </a:prstGeom>
                    <a:noFill/>
                  </pic:spPr>
                </pic:pic>
              </a:graphicData>
            </a:graphic>
          </wp:anchor>
        </w:drawing>
        <w:t>(3)</w:t>
      </w:r>
    </w:p>
    <w:p>
      <w:pPr>
        <w:ind w:left="261"/>
        <w:spacing w:after="0"/>
        <w:rPr>
          <w:sz w:val="20"/>
          <w:szCs w:val="20"/>
          <w:color w:val="auto"/>
        </w:rPr>
      </w:pPr>
      <w:r>
        <w:rPr>
          <w:rFonts w:ascii="Times New Roman" w:cs="Times New Roman" w:eastAsia="Times New Roman" w:hAnsi="Times New Roman"/>
          <w:sz w:val="13"/>
          <w:szCs w:val="13"/>
          <w:color w:val="auto"/>
        </w:rPr>
        <w:t>The Investment Amount is reduced proportionally by the withdrawal taken based on the reduction in</w:t>
      </w:r>
    </w:p>
    <w:p>
      <w:pPr>
        <w:ind w:left="261"/>
        <w:spacing w:after="0"/>
        <w:rPr>
          <w:sz w:val="20"/>
          <w:szCs w:val="20"/>
          <w:color w:val="auto"/>
        </w:rPr>
      </w:pPr>
      <w:r>
        <w:rPr>
          <w:rFonts w:ascii="Times New Roman" w:cs="Times New Roman" w:eastAsia="Times New Roman" w:hAnsi="Times New Roman"/>
          <w:sz w:val="13"/>
          <w:szCs w:val="13"/>
          <w:color w:val="auto"/>
        </w:rPr>
        <w:t>Interim Value. Therefore, the Investment Amount adjusted for any withdrawals is calculated as follows:</w:t>
      </w:r>
    </w:p>
    <w:p>
      <w:pPr>
        <w:spacing w:after="0" w:line="45" w:lineRule="exact"/>
        <w:rPr>
          <w:sz w:val="20"/>
          <w:szCs w:val="20"/>
          <w:color w:val="auto"/>
        </w:rPr>
      </w:pPr>
    </w:p>
    <w:p>
      <w:pPr>
        <w:jc w:val="center"/>
        <w:ind w:right="3218"/>
        <w:spacing w:after="0"/>
        <w:rPr>
          <w:sz w:val="20"/>
          <w:szCs w:val="20"/>
          <w:color w:val="auto"/>
        </w:rPr>
      </w:pPr>
      <w:r>
        <w:rPr>
          <w:rFonts w:ascii="Times New Roman" w:cs="Times New Roman" w:eastAsia="Times New Roman" w:hAnsi="Times New Roman"/>
          <w:sz w:val="13"/>
          <w:szCs w:val="13"/>
          <w:color w:val="auto"/>
        </w:rPr>
        <w:t>$50,000 [Investment Amount on the Term Start Date]</w:t>
      </w:r>
    </w:p>
    <w:p>
      <w:pPr>
        <w:spacing w:after="0" w:line="3" w:lineRule="exact"/>
        <w:rPr>
          <w:sz w:val="20"/>
          <w:szCs w:val="20"/>
          <w:color w:val="auto"/>
        </w:rPr>
      </w:pPr>
    </w:p>
    <w:p>
      <w:pPr>
        <w:jc w:val="center"/>
        <w:ind w:right="3198"/>
        <w:spacing w:after="0"/>
        <w:rPr>
          <w:sz w:val="20"/>
          <w:szCs w:val="20"/>
          <w:color w:val="auto"/>
        </w:rPr>
      </w:pPr>
      <w:r>
        <w:rPr>
          <w:rFonts w:ascii="Times New Roman" w:cs="Times New Roman" w:eastAsia="Times New Roman" w:hAnsi="Times New Roman"/>
          <w:sz w:val="13"/>
          <w:szCs w:val="13"/>
          <w:color w:val="auto"/>
        </w:rPr>
        <w:t>x (1-$20,000 [gross withdrawal amount halfway through the Term]) ÷ $44,791.09 [Interim Value on date of</w:t>
      </w:r>
    </w:p>
    <w:p>
      <w:pPr>
        <w:spacing w:after="0" w:line="8" w:lineRule="exact"/>
        <w:rPr>
          <w:sz w:val="20"/>
          <w:szCs w:val="20"/>
          <w:color w:val="auto"/>
        </w:rPr>
      </w:pPr>
    </w:p>
    <w:p>
      <w:pPr>
        <w:ind w:left="2701"/>
        <w:spacing w:after="0"/>
        <w:rPr>
          <w:sz w:val="20"/>
          <w:szCs w:val="20"/>
          <w:color w:val="auto"/>
        </w:rPr>
      </w:pPr>
      <w:r>
        <w:rPr>
          <w:rFonts w:ascii="Times New Roman" w:cs="Times New Roman" w:eastAsia="Times New Roman" w:hAnsi="Times New Roman"/>
          <w:sz w:val="13"/>
          <w:szCs w:val="13"/>
          <w:color w:val="auto"/>
        </w:rPr>
        <w:t>withdrawal]</w:t>
      </w:r>
    </w:p>
    <w:p>
      <w:pPr>
        <w:ind w:left="2681"/>
        <w:spacing w:after="0"/>
        <w:rPr>
          <w:sz w:val="20"/>
          <w:szCs w:val="20"/>
          <w:color w:val="auto"/>
        </w:rPr>
      </w:pPr>
      <w:r>
        <w:rPr>
          <w:rFonts w:ascii="Times New Roman" w:cs="Times New Roman" w:eastAsia="Times New Roman" w:hAnsi="Times New Roman"/>
          <w:sz w:val="13"/>
          <w:szCs w:val="13"/>
          <w:color w:val="auto"/>
        </w:rPr>
        <w:t>= $27,674.13</w:t>
      </w:r>
    </w:p>
    <w:p>
      <w:pPr>
        <w:spacing w:after="0" w:line="35" w:lineRule="exact"/>
        <w:rPr>
          <w:sz w:val="20"/>
          <w:szCs w:val="20"/>
          <w:color w:val="auto"/>
        </w:rPr>
      </w:pPr>
    </w:p>
    <w:p>
      <w:pPr>
        <w:ind w:left="261" w:right="3199"/>
        <w:spacing w:after="0" w:line="249" w:lineRule="auto"/>
        <w:rPr>
          <w:sz w:val="20"/>
          <w:szCs w:val="20"/>
          <w:color w:val="auto"/>
        </w:rPr>
      </w:pPr>
      <w:r>
        <w:rPr>
          <w:rFonts w:ascii="Times New Roman" w:cs="Times New Roman" w:eastAsia="Times New Roman" w:hAnsi="Times New Roman"/>
          <w:sz w:val="13"/>
          <w:szCs w:val="13"/>
          <w:color w:val="auto"/>
        </w:rPr>
        <w:t>The proportionally reduced Investment Amount is used as the new Investment Amount at Term Start Date for the Term until the Term End Date for this Shield Option (assuming no additional withdrawals).</w:t>
      </w:r>
    </w:p>
    <w:p>
      <w:pPr>
        <w:spacing w:after="0" w:line="27" w:lineRule="exact"/>
        <w:rPr>
          <w:sz w:val="20"/>
          <w:szCs w:val="20"/>
          <w:color w:val="auto"/>
        </w:rPr>
      </w:pPr>
    </w:p>
    <w:p>
      <w:pPr>
        <w:ind w:left="261" w:right="3259" w:hanging="261"/>
        <w:spacing w:after="0" w:line="223" w:lineRule="auto"/>
        <w:tabs>
          <w:tab w:leader="none" w:pos="261" w:val="left"/>
        </w:tabs>
        <w:numPr>
          <w:ilvl w:val="0"/>
          <w:numId w:val="3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Free Withdrawal Amount is the value as of the most recent Contract Anniversary multiplied by the Free Withdrawal Amount Percentage. The Free Withdrawal Amount is calculated as follows:</w:t>
      </w:r>
    </w:p>
    <w:p>
      <w:pPr>
        <w:spacing w:after="0" w:line="27" w:lineRule="exact"/>
        <w:rPr>
          <w:sz w:val="20"/>
          <w:szCs w:val="20"/>
          <w:color w:val="auto"/>
        </w:rPr>
      </w:pPr>
    </w:p>
    <w:p>
      <w:pPr>
        <w:ind w:left="81"/>
        <w:spacing w:after="0"/>
        <w:rPr>
          <w:sz w:val="20"/>
          <w:szCs w:val="20"/>
          <w:color w:val="auto"/>
        </w:rPr>
      </w:pPr>
      <w:r>
        <w:rPr>
          <w:rFonts w:ascii="Times New Roman" w:cs="Times New Roman" w:eastAsia="Times New Roman" w:hAnsi="Times New Roman"/>
          <w:sz w:val="13"/>
          <w:szCs w:val="13"/>
          <w:color w:val="auto"/>
        </w:rPr>
        <w:t>$50,000 [value as of most recent Contract Anniversary] x 10% [Free Withdrawal Amount percentage] = $5,000</w:t>
      </w:r>
    </w:p>
    <w:p>
      <w:pPr>
        <w:ind w:left="1"/>
        <w:spacing w:after="0" w:line="218" w:lineRule="auto"/>
        <w:rPr>
          <w:sz w:val="20"/>
          <w:szCs w:val="20"/>
          <w:color w:val="auto"/>
        </w:rPr>
      </w:pPr>
      <w:r>
        <w:rPr>
          <w:rFonts w:ascii="Times New Roman" w:cs="Times New Roman" w:eastAsia="Times New Roman" w:hAnsi="Times New Roman"/>
          <w:sz w:val="6"/>
          <w:szCs w:val="6"/>
          <w:color w:val="auto"/>
        </w:rPr>
        <w:t>(5)</w:t>
      </w:r>
    </w:p>
    <w:p>
      <w:pPr>
        <w:ind w:left="261" w:right="3259"/>
        <w:spacing w:after="0" w:line="252" w:lineRule="auto"/>
        <w:rPr>
          <w:sz w:val="20"/>
          <w:szCs w:val="20"/>
          <w:color w:val="auto"/>
        </w:rPr>
      </w:pPr>
      <w:r>
        <w:rPr>
          <w:rFonts w:ascii="Times New Roman" w:cs="Times New Roman" w:eastAsia="Times New Roman" w:hAnsi="Times New Roman"/>
          <w:sz w:val="13"/>
          <w:szCs w:val="13"/>
          <w:color w:val="auto"/>
        </w:rPr>
        <w:t>The Withdrawal Charge Amount is the gross withdrawal amount minus the Free Withdrawal Amount multiplied by the Withdrawal Charge.</w:t>
      </w:r>
    </w:p>
    <w:p>
      <w:pPr>
        <w:spacing w:after="0" w:line="9" w:lineRule="exact"/>
        <w:rPr>
          <w:sz w:val="20"/>
          <w:szCs w:val="20"/>
          <w:color w:val="auto"/>
        </w:rPr>
      </w:pPr>
    </w:p>
    <w:p>
      <w:pPr>
        <w:ind w:left="81"/>
        <w:spacing w:after="0"/>
        <w:rPr>
          <w:sz w:val="20"/>
          <w:szCs w:val="20"/>
          <w:color w:val="auto"/>
        </w:rPr>
      </w:pPr>
      <w:r>
        <w:rPr>
          <w:rFonts w:ascii="Times New Roman" w:cs="Times New Roman" w:eastAsia="Times New Roman" w:hAnsi="Times New Roman"/>
          <w:sz w:val="13"/>
          <w:szCs w:val="13"/>
          <w:color w:val="auto"/>
        </w:rPr>
        <w:t>($20,000 [gross withdrawal amount] – $5,000 [Free Withdrawal Amount]) x 7% [Withdrawal Charge] = $1,050</w:t>
      </w:r>
    </w:p>
    <w:p>
      <w:pPr>
        <w:spacing w:after="0" w:line="49" w:lineRule="exact"/>
        <w:rPr>
          <w:sz w:val="20"/>
          <w:szCs w:val="20"/>
          <w:color w:val="auto"/>
        </w:rPr>
      </w:pPr>
    </w:p>
    <w:p>
      <w:pPr>
        <w:ind w:left="261" w:right="3259" w:hanging="261"/>
        <w:spacing w:after="0" w:line="223" w:lineRule="auto"/>
        <w:tabs>
          <w:tab w:leader="none" w:pos="261" w:val="left"/>
        </w:tabs>
        <w:numPr>
          <w:ilvl w:val="0"/>
          <w:numId w:val="3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net amount payable to the Contract Owner is equal to the amount withdrawn minus the Withdrawal Charge. The net amount payable is calculated as follows:</w:t>
      </w:r>
    </w:p>
    <w:p>
      <w:pPr>
        <w:spacing w:after="0" w:line="27" w:lineRule="exact"/>
        <w:rPr>
          <w:sz w:val="20"/>
          <w:szCs w:val="20"/>
          <w:color w:val="auto"/>
        </w:rPr>
      </w:pPr>
    </w:p>
    <w:p>
      <w:pPr>
        <w:ind w:left="1161"/>
        <w:spacing w:after="0"/>
        <w:rPr>
          <w:sz w:val="20"/>
          <w:szCs w:val="20"/>
          <w:color w:val="auto"/>
        </w:rPr>
      </w:pPr>
      <w:r>
        <w:rPr>
          <w:rFonts w:ascii="Times New Roman" w:cs="Times New Roman" w:eastAsia="Times New Roman" w:hAnsi="Times New Roman"/>
          <w:sz w:val="13"/>
          <w:szCs w:val="13"/>
          <w:color w:val="auto"/>
        </w:rPr>
        <w:t>$20,000 [amount withdrawn] – $1,050 [Withdrawal Charge] = $18,950</w:t>
      </w:r>
    </w:p>
    <w:p>
      <w:pPr>
        <w:ind w:left="1"/>
        <w:spacing w:after="0" w:line="218" w:lineRule="auto"/>
        <w:rPr>
          <w:sz w:val="20"/>
          <w:szCs w:val="20"/>
          <w:color w:val="auto"/>
        </w:rPr>
      </w:pPr>
      <w:r>
        <w:rPr>
          <w:rFonts w:ascii="Times New Roman" w:cs="Times New Roman" w:eastAsia="Times New Roman" w:hAnsi="Times New Roman"/>
          <w:sz w:val="6"/>
          <w:szCs w:val="6"/>
          <w:color w:val="auto"/>
        </w:rPr>
        <w:t>(7)</w:t>
      </w:r>
    </w:p>
    <w:p>
      <w:pPr>
        <w:jc w:val="both"/>
        <w:ind w:left="261" w:right="3259"/>
        <w:spacing w:after="0"/>
        <w:rPr>
          <w:sz w:val="20"/>
          <w:szCs w:val="20"/>
          <w:color w:val="auto"/>
        </w:rPr>
      </w:pPr>
      <w:r>
        <w:rPr>
          <w:rFonts w:ascii="Times New Roman" w:cs="Times New Roman" w:eastAsia="Times New Roman" w:hAnsi="Times New Roman"/>
          <w:sz w:val="13"/>
          <w:szCs w:val="13"/>
          <w:color w:val="auto"/>
        </w:rPr>
        <w:t>Index Performance at the Term End Date is equal to the percentage change in the Index Value measured from the Term Start Date to the Term End Date. Index Performance at the Term End Date is calculated as follows:</w:t>
      </w:r>
    </w:p>
    <w:p>
      <w:pPr>
        <w:spacing w:after="0" w:line="183" w:lineRule="exact"/>
        <w:rPr>
          <w:sz w:val="20"/>
          <w:szCs w:val="20"/>
          <w:color w:val="auto"/>
        </w:rPr>
      </w:pPr>
    </w:p>
    <w:p>
      <w:pPr>
        <w:jc w:val="center"/>
        <w:ind w:right="3218"/>
        <w:spacing w:after="0"/>
        <w:rPr>
          <w:sz w:val="20"/>
          <w:szCs w:val="20"/>
          <w:color w:val="auto"/>
        </w:rPr>
      </w:pPr>
      <w:r>
        <w:rPr>
          <w:rFonts w:ascii="Times New Roman" w:cs="Times New Roman" w:eastAsia="Times New Roman" w:hAnsi="Times New Roman"/>
          <w:sz w:val="13"/>
          <w:szCs w:val="13"/>
          <w:color w:val="auto"/>
        </w:rPr>
        <w:t>(450 [Index Value at Term End Date] – 500 [Index Value at Term Start Date])</w:t>
      </w:r>
    </w:p>
    <w:p>
      <w:pPr>
        <w:spacing w:after="0" w:line="13" w:lineRule="exact"/>
        <w:rPr>
          <w:sz w:val="20"/>
          <w:szCs w:val="20"/>
          <w:color w:val="auto"/>
        </w:rPr>
      </w:pPr>
    </w:p>
    <w:p>
      <w:pPr>
        <w:jc w:val="center"/>
        <w:ind w:right="3198"/>
        <w:spacing w:after="0"/>
        <w:rPr>
          <w:sz w:val="20"/>
          <w:szCs w:val="20"/>
          <w:color w:val="auto"/>
        </w:rPr>
      </w:pPr>
      <w:r>
        <w:rPr>
          <w:rFonts w:ascii="Times New Roman" w:cs="Times New Roman" w:eastAsia="Times New Roman" w:hAnsi="Times New Roman"/>
          <w:sz w:val="13"/>
          <w:szCs w:val="13"/>
          <w:color w:val="auto"/>
        </w:rPr>
        <w:t>÷ 500 [Index Value at Term Start Date] = –10%</w:t>
      </w:r>
    </w:p>
    <w:p>
      <w:pPr>
        <w:ind w:left="1"/>
        <w:spacing w:after="0" w:line="204" w:lineRule="auto"/>
        <w:rPr>
          <w:sz w:val="20"/>
          <w:szCs w:val="20"/>
          <w:color w:val="auto"/>
        </w:rPr>
      </w:pPr>
      <w:r>
        <w:rPr>
          <w:rFonts w:ascii="Times New Roman" w:cs="Times New Roman" w:eastAsia="Times New Roman" w:hAnsi="Times New Roman"/>
          <w:sz w:val="5"/>
          <w:szCs w:val="5"/>
          <w:color w:val="auto"/>
        </w:rPr>
        <w:t>(8)</w:t>
      </w:r>
    </w:p>
    <w:p>
      <w:pPr>
        <w:jc w:val="both"/>
        <w:ind w:left="261" w:right="3259"/>
        <w:spacing w:after="0"/>
        <w:rPr>
          <w:sz w:val="20"/>
          <w:szCs w:val="20"/>
          <w:color w:val="auto"/>
        </w:rPr>
      </w:pPr>
      <w:r>
        <w:rPr>
          <w:rFonts w:ascii="Times New Roman" w:cs="Times New Roman" w:eastAsia="Times New Roman" w:hAnsi="Times New Roman"/>
          <w:sz w:val="13"/>
          <w:szCs w:val="13"/>
          <w:color w:val="auto"/>
        </w:rPr>
        <w:t>The Performance rate at the Term End Date is 0% because the Index Performance at the Term End Date is – 10% and the Shield 10 absorbs up to 10% of the negative Index Performance.</w:t>
      </w:r>
    </w:p>
    <w:p>
      <w:pPr>
        <w:ind w:left="1"/>
        <w:spacing w:after="0" w:line="201" w:lineRule="auto"/>
        <w:rPr>
          <w:sz w:val="20"/>
          <w:szCs w:val="20"/>
          <w:color w:val="auto"/>
        </w:rPr>
      </w:pPr>
      <w:r>
        <w:rPr>
          <w:rFonts w:ascii="Times New Roman" w:cs="Times New Roman" w:eastAsia="Times New Roman" w:hAnsi="Times New Roman"/>
          <w:sz w:val="5"/>
          <w:szCs w:val="5"/>
          <w:color w:val="auto"/>
        </w:rPr>
        <w:t>(9)</w:t>
      </w:r>
    </w:p>
    <w:p>
      <w:pPr>
        <w:jc w:val="both"/>
        <w:ind w:left="261" w:right="3259"/>
        <w:spacing w:after="0" w:line="238" w:lineRule="auto"/>
        <w:rPr>
          <w:sz w:val="20"/>
          <w:szCs w:val="20"/>
          <w:color w:val="auto"/>
        </w:rPr>
      </w:pPr>
      <w:r>
        <w:rPr>
          <w:rFonts w:ascii="Times New Roman" w:cs="Times New Roman" w:eastAsia="Times New Roman" w:hAnsi="Times New Roman"/>
          <w:sz w:val="13"/>
          <w:szCs w:val="13"/>
          <w:color w:val="auto"/>
        </w:rPr>
        <w:t>The Performance Rate Adjustment at the Term End Date is equal to the Investment Amount at the Term Start Date adjusted for any withdrawals multiplied by the Performance Rate at the Term End Date. The Performance Rate Adjustment at the Term End Date is calculated as follows:</w:t>
      </w:r>
    </w:p>
    <w:p>
      <w:pPr>
        <w:spacing w:after="0" w:line="27" w:lineRule="exact"/>
        <w:rPr>
          <w:sz w:val="20"/>
          <w:szCs w:val="20"/>
          <w:color w:val="auto"/>
        </w:rPr>
      </w:pPr>
    </w:p>
    <w:p>
      <w:pPr>
        <w:ind w:left="201"/>
        <w:spacing w:after="0"/>
        <w:rPr>
          <w:sz w:val="20"/>
          <w:szCs w:val="20"/>
          <w:color w:val="auto"/>
        </w:rPr>
      </w:pPr>
      <w:r>
        <w:rPr>
          <w:rFonts w:ascii="Times New Roman" w:cs="Times New Roman" w:eastAsia="Times New Roman" w:hAnsi="Times New Roman"/>
          <w:sz w:val="13"/>
          <w:szCs w:val="13"/>
          <w:color w:val="auto"/>
        </w:rPr>
        <w:t>$27,674.13 [Investment Amount adjusted for withdrawal] x 0% [Performance Rate at Term End Date] = $0</w:t>
      </w:r>
    </w:p>
    <w:p>
      <w:pPr>
        <w:spacing w:after="0" w:line="49" w:lineRule="exact"/>
        <w:rPr>
          <w:sz w:val="20"/>
          <w:szCs w:val="20"/>
          <w:color w:val="auto"/>
        </w:rPr>
      </w:pPr>
    </w:p>
    <w:p>
      <w:pPr>
        <w:jc w:val="both"/>
        <w:ind w:left="261" w:right="3259" w:hanging="261"/>
        <w:spacing w:after="0" w:line="223" w:lineRule="auto"/>
        <w:tabs>
          <w:tab w:leader="none" w:pos="261" w:val="left"/>
        </w:tabs>
        <w:numPr>
          <w:ilvl w:val="0"/>
          <w:numId w:val="3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Investment Amount at the Term End Date is equal to the Investment Amount adjusted for any withdrawals plus the Performance Rate Adjustment at Term End Date. The Investment Amount at the Term End Date is calculated as follows:</w:t>
      </w:r>
    </w:p>
    <w:p>
      <w:pPr>
        <w:spacing w:after="0" w:line="37" w:lineRule="exact"/>
        <w:rPr>
          <w:sz w:val="20"/>
          <w:szCs w:val="20"/>
          <w:color w:val="auto"/>
        </w:rPr>
      </w:pPr>
    </w:p>
    <w:p>
      <w:pPr>
        <w:ind w:left="1481"/>
        <w:spacing w:after="0"/>
        <w:rPr>
          <w:sz w:val="20"/>
          <w:szCs w:val="20"/>
          <w:color w:val="auto"/>
        </w:rPr>
      </w:pPr>
      <w:r>
        <w:rPr>
          <w:rFonts w:ascii="Times New Roman" w:cs="Times New Roman" w:eastAsia="Times New Roman" w:hAnsi="Times New Roman"/>
          <w:sz w:val="13"/>
          <w:szCs w:val="13"/>
          <w:color w:val="auto"/>
        </w:rPr>
        <w:t>$27,674.13 [Investment Amount adjusted for withdrawal]</w:t>
      </w:r>
    </w:p>
    <w:p>
      <w:pPr>
        <w:spacing w:after="0" w:line="13" w:lineRule="exact"/>
        <w:rPr>
          <w:sz w:val="20"/>
          <w:szCs w:val="20"/>
          <w:color w:val="auto"/>
        </w:rPr>
      </w:pPr>
    </w:p>
    <w:p>
      <w:pPr>
        <w:ind w:left="1201"/>
        <w:spacing w:after="0"/>
        <w:rPr>
          <w:sz w:val="20"/>
          <w:szCs w:val="20"/>
          <w:color w:val="auto"/>
        </w:rPr>
      </w:pPr>
      <w:r>
        <w:rPr>
          <w:rFonts w:ascii="Times New Roman" w:cs="Times New Roman" w:eastAsia="Times New Roman" w:hAnsi="Times New Roman"/>
          <w:sz w:val="13"/>
          <w:szCs w:val="13"/>
          <w:color w:val="auto"/>
        </w:rPr>
        <w:t>+ $0 [Performance Rate Adjustment at Term End Date] = $27,674.13</w:t>
      </w:r>
    </w:p>
    <w:p>
      <w:pPr>
        <w:spacing w:after="0" w:line="231" w:lineRule="exact"/>
        <w:rPr>
          <w:sz w:val="20"/>
          <w:szCs w:val="20"/>
          <w:color w:val="auto"/>
        </w:rPr>
      </w:pPr>
    </w:p>
    <w:p>
      <w:pPr>
        <w:ind w:left="2641"/>
        <w:spacing w:after="0"/>
        <w:rPr>
          <w:sz w:val="20"/>
          <w:szCs w:val="20"/>
          <w:color w:val="auto"/>
        </w:rPr>
      </w:pPr>
      <w:r>
        <w:rPr>
          <w:rFonts w:ascii="Times New Roman" w:cs="Times New Roman" w:eastAsia="Times New Roman" w:hAnsi="Times New Roman"/>
          <w:sz w:val="13"/>
          <w:szCs w:val="13"/>
          <w:b w:val="1"/>
          <w:bCs w:val="1"/>
          <w:color w:val="auto"/>
        </w:rPr>
        <w:t>TRANSFERS</w:t>
      </w:r>
    </w:p>
    <w:p>
      <w:pPr>
        <w:spacing w:after="0" w:line="8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Transfers without the Performance Lock</w:t>
      </w:r>
    </w:p>
    <w:p>
      <w:pPr>
        <w:spacing w:after="0" w:line="8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i w:val="1"/>
          <w:iCs w:val="1"/>
          <w:color w:val="auto"/>
        </w:rPr>
        <w:t>Transfers or Renewals during Transfer Period following Term End Date</w:t>
      </w:r>
    </w:p>
    <w:p>
      <w:pPr>
        <w:spacing w:after="0" w:line="93" w:lineRule="exact"/>
        <w:rPr>
          <w:sz w:val="20"/>
          <w:szCs w:val="20"/>
          <w:color w:val="auto"/>
        </w:rPr>
      </w:pPr>
    </w:p>
    <w:p>
      <w:pPr>
        <w:jc w:val="both"/>
        <w:ind w:left="1" w:right="3199" w:firstLine="265"/>
        <w:spacing w:after="0" w:line="258" w:lineRule="auto"/>
        <w:rPr>
          <w:sz w:val="20"/>
          <w:szCs w:val="20"/>
          <w:color w:val="auto"/>
        </w:rPr>
      </w:pPr>
      <w:r>
        <w:rPr>
          <w:rFonts w:ascii="Times New Roman" w:cs="Times New Roman" w:eastAsia="Times New Roman" w:hAnsi="Times New Roman"/>
          <w:sz w:val="13"/>
          <w:szCs w:val="13"/>
          <w:color w:val="auto"/>
        </w:rPr>
        <w:t>If you have not exercised the Performance Lock, you may make transfers only during the Transfer Period following the Term End Date. You may transfer all or a portion of the amount in your Shield Option. Subject to the minimum allocation of $500, you may make transfers to or from the Fixed Account, to or from the Shield Option(s), and from the Holding Account. We must receive Notice of your election to transfer, in a form satisfactory to us or by calling us at 1-888-243-1932, no later than five (5) calendar days after the Contract Anniversary on which the transfer will take place. Your financial professional can provide more information or you may contact our Annuity Service Office. You cannot make transfers outside the Transfer Period and transfers may not be made after the Annuity Date. To make a transfer from a Shield Option in which you have an Investment Amount the Shield Option must have reached its Term End Date. The Transfer Period is the five (5) days following the Contract Anniversary coinciding with the Term End Date and Fixed Account Term End Date, as applicable, for the Shield Option(s) and/or the Fixed Account. The effective date of such transfer is the first day of the Fixed Account Term and/or a Term(s) in which the transfer is made.</w:t>
      </w:r>
    </w:p>
    <w:p>
      <w:pPr>
        <w:spacing w:after="0" w:line="56" w:lineRule="exact"/>
        <w:rPr>
          <w:sz w:val="20"/>
          <w:szCs w:val="20"/>
          <w:color w:val="auto"/>
        </w:rPr>
      </w:pPr>
    </w:p>
    <w:p>
      <w:pPr>
        <w:jc w:val="both"/>
        <w:ind w:left="1" w:right="3199" w:firstLine="265"/>
        <w:spacing w:after="0" w:line="263" w:lineRule="auto"/>
        <w:rPr>
          <w:sz w:val="20"/>
          <w:szCs w:val="20"/>
          <w:color w:val="auto"/>
        </w:rPr>
      </w:pPr>
      <w:r>
        <w:rPr>
          <w:rFonts w:ascii="Times New Roman" w:cs="Times New Roman" w:eastAsia="Times New Roman" w:hAnsi="Times New Roman"/>
          <w:sz w:val="13"/>
          <w:szCs w:val="13"/>
          <w:color w:val="auto"/>
        </w:rPr>
        <w:t>If you make a transfer during the Transfer Period, the amount available to transfer is the Interim Value of each Shield Option, which will equal the Investment Amount in that Shield Option at the Term End Date. After the Transfer Period, the Interim Value of that Shield Option is a calculated value (as described in the “Interim Value Calculation” section). Once you exercise the Performance Lock, the Performance Lock Value will be used as value of the Shield Option for the remainder of the Term.</w:t>
      </w:r>
    </w:p>
    <w:p>
      <w:pPr>
        <w:spacing w:after="0" w:line="183" w:lineRule="exact"/>
        <w:rPr>
          <w:sz w:val="20"/>
          <w:szCs w:val="20"/>
          <w:color w:val="auto"/>
        </w:rPr>
      </w:pPr>
    </w:p>
    <w:p>
      <w:pPr>
        <w:ind w:left="2981"/>
        <w:spacing w:after="0"/>
        <w:rPr>
          <w:sz w:val="20"/>
          <w:szCs w:val="20"/>
          <w:color w:val="auto"/>
        </w:rPr>
      </w:pPr>
      <w:r>
        <w:rPr>
          <w:rFonts w:ascii="Times New Roman" w:cs="Times New Roman" w:eastAsia="Times New Roman" w:hAnsi="Times New Roman"/>
          <w:sz w:val="13"/>
          <w:szCs w:val="13"/>
          <w:color w:val="auto"/>
        </w:rPr>
        <w:t>46</w:t>
      </w:r>
    </w:p>
    <w:p>
      <w:pPr>
        <w:sectPr>
          <w:pgSz w:w="11900" w:h="16838" w:orient="portrait"/>
          <w:cols w:equalWidth="0" w:num="1">
            <w:col w:w="9261"/>
          </w:cols>
          <w:pgMar w:left="1199" w:top="950" w:right="1440" w:bottom="1440" w:gutter="0" w:footer="0" w:header="0"/>
        </w:sectPr>
      </w:pPr>
    </w:p>
    <w:bookmarkStart w:id="48" w:name="page49"/>
    <w:bookmarkEnd w:id="48"/>
    <w:p>
      <w:pPr>
        <w:jc w:val="both"/>
        <w:ind w:left="1" w:right="3199" w:firstLine="265"/>
        <w:spacing w:after="0" w:line="27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93915" cy="38100"/>
                    </a:xfrm>
                    <a:prstGeom prst="rect">
                      <a:avLst/>
                    </a:prstGeom>
                    <a:noFill/>
                  </pic:spPr>
                </pic:pic>
              </a:graphicData>
            </a:graphic>
          </wp:anchor>
        </w:drawing>
        <w:t>If you do not make a transfer during the Transfer Period following the Term End Date, the Investment Amount allocated to the Shield Option that has reached its Term End Date will automatically be renewed into the same Shield Option unless you elect to transfer into a different Shield Option or the Fixed Account.</w:t>
      </w:r>
    </w:p>
    <w:p>
      <w:pPr>
        <w:spacing w:after="0" w:line="47" w:lineRule="exact"/>
        <w:rPr>
          <w:sz w:val="20"/>
          <w:szCs w:val="20"/>
          <w:color w:val="auto"/>
        </w:rPr>
      </w:pPr>
    </w:p>
    <w:p>
      <w:pPr>
        <w:jc w:val="both"/>
        <w:ind w:left="1" w:right="3199" w:firstLine="265"/>
        <w:spacing w:after="0" w:line="259" w:lineRule="auto"/>
        <w:rPr>
          <w:sz w:val="20"/>
          <w:szCs w:val="20"/>
          <w:color w:val="auto"/>
        </w:rPr>
      </w:pPr>
      <w:r>
        <w:rPr>
          <w:rFonts w:ascii="Times New Roman" w:cs="Times New Roman" w:eastAsia="Times New Roman" w:hAnsi="Times New Roman"/>
          <w:sz w:val="13"/>
          <w:szCs w:val="13"/>
          <w:color w:val="auto"/>
        </w:rPr>
        <w:t>There are two ways you may find out what the renewal Cap Rates, Step Rates, and Edge Rates will be for a subsequent Term. Thirty (30) days before the current Term expires, we will send you a notification, written or electronic depending on your selected preference, indicating your maturing Shield Options and how you can obtain the new Cap Rates, Step Rates, and Edge Rates. You may also access our website at https://www.brighthousefinancial.com/products/rates/ where at least two months of renewal rates for the Rate Crediting Types and the interest rate for the Fixed Account are posted – i.e., for the current month and the following month. See “RATE CREDITING TYPES.” You have the Transfer Period to notify us if you want to transfer some or all of your Investment Amount to a new Shield Option(s) or the Fixed Account.</w:t>
      </w:r>
    </w:p>
    <w:p>
      <w:pPr>
        <w:spacing w:after="0" w:line="57" w:lineRule="exact"/>
        <w:rPr>
          <w:sz w:val="20"/>
          <w:szCs w:val="20"/>
          <w:color w:val="auto"/>
        </w:rPr>
      </w:pPr>
    </w:p>
    <w:p>
      <w:pPr>
        <w:jc w:val="both"/>
        <w:ind w:left="1" w:right="3199" w:firstLine="265"/>
        <w:spacing w:after="0" w:line="274" w:lineRule="auto"/>
        <w:rPr>
          <w:sz w:val="20"/>
          <w:szCs w:val="20"/>
          <w:color w:val="auto"/>
        </w:rPr>
      </w:pPr>
      <w:r>
        <w:rPr>
          <w:rFonts w:ascii="Times New Roman" w:cs="Times New Roman" w:eastAsia="Times New Roman" w:hAnsi="Times New Roman"/>
          <w:sz w:val="13"/>
          <w:szCs w:val="13"/>
          <w:i w:val="1"/>
          <w:iCs w:val="1"/>
          <w:color w:val="auto"/>
        </w:rPr>
        <w:t xml:space="preserve">Renewals. </w:t>
      </w:r>
      <w:r>
        <w:rPr>
          <w:rFonts w:ascii="Times New Roman" w:cs="Times New Roman" w:eastAsia="Times New Roman" w:hAnsi="Times New Roman"/>
          <w:sz w:val="13"/>
          <w:szCs w:val="13"/>
          <w:color w:val="auto"/>
        </w:rPr>
        <w:t>For renewals into the same Shield Option, a new Cap Rate, Step Rate or Edge Rate, as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applicable, will be declared and will go into effect on the Contract Anniversary that coincides with the beginning of the new Shield Option.</w:t>
      </w:r>
    </w:p>
    <w:p>
      <w:pPr>
        <w:spacing w:after="0" w:line="12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i w:val="1"/>
          <w:iCs w:val="1"/>
          <w:color w:val="auto"/>
        </w:rPr>
        <w:t>Example 4—Transfers</w:t>
      </w:r>
    </w:p>
    <w:p>
      <w:pPr>
        <w:spacing w:after="0" w:line="93" w:lineRule="exact"/>
        <w:rPr>
          <w:sz w:val="20"/>
          <w:szCs w:val="20"/>
          <w:color w:val="auto"/>
        </w:rPr>
      </w:pPr>
    </w:p>
    <w:p>
      <w:pPr>
        <w:jc w:val="both"/>
        <w:ind w:left="1" w:right="3199" w:firstLine="265"/>
        <w:spacing w:after="0" w:line="226" w:lineRule="auto"/>
        <w:rPr>
          <w:sz w:val="20"/>
          <w:szCs w:val="20"/>
          <w:color w:val="auto"/>
        </w:rPr>
      </w:pPr>
      <w:r>
        <w:rPr>
          <w:rFonts w:ascii="Times New Roman" w:cs="Times New Roman" w:eastAsia="Times New Roman" w:hAnsi="Times New Roman"/>
          <w:sz w:val="13"/>
          <w:szCs w:val="13"/>
          <w:color w:val="auto"/>
        </w:rPr>
        <w:t>Example 4 is intended to show how transfers work. Owner 1 allocates her $50,000 Purchase Payment to the 1-Year Term / Shield 10 / S&amp;P 500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Index with a Cap Rate of 10%. At the end of the 1-Year Term, she transfers 50% of her 1-Year Term / Shield 10 / S&amp;P 500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Index with a Cap Rate of 10% into a 1-Year Term / Shield 10 / Russell 2000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Index with a Cap Rate of 12% and opts to let the remaining 50% of her Investment Amount automatically renew.</w:t>
      </w:r>
    </w:p>
    <w:p>
      <w:pPr>
        <w:spacing w:after="0" w:line="69" w:lineRule="exact"/>
        <w:rPr>
          <w:sz w:val="20"/>
          <w:szCs w:val="20"/>
          <w:color w:val="auto"/>
        </w:rPr>
      </w:pPr>
    </w:p>
    <w:p>
      <w:pPr>
        <w:ind w:left="261"/>
        <w:spacing w:after="0"/>
        <w:rPr>
          <w:sz w:val="20"/>
          <w:szCs w:val="20"/>
          <w:color w:val="auto"/>
        </w:rPr>
      </w:pPr>
      <w:r>
        <w:rPr>
          <w:rFonts w:ascii="Times New Roman" w:cs="Times New Roman" w:eastAsia="Times New Roman" w:hAnsi="Times New Roman"/>
          <w:sz w:val="13"/>
          <w:szCs w:val="13"/>
          <w:color w:val="auto"/>
        </w:rPr>
        <w:t>Shield Options prior to Transfer:</w:t>
      </w:r>
    </w:p>
    <w:p>
      <w:pPr>
        <w:spacing w:after="0" w:line="116" w:lineRule="exact"/>
        <w:rPr>
          <w:sz w:val="20"/>
          <w:szCs w:val="20"/>
          <w:color w:val="auto"/>
        </w:rPr>
      </w:pPr>
    </w:p>
    <w:tbl>
      <w:tblPr>
        <w:tblLayout w:type="fixed"/>
        <w:tblInd w:w="11" w:type="dxa"/>
        <w:tblCellMar>
          <w:top w:w="0" w:type="dxa"/>
          <w:left w:w="0" w:type="dxa"/>
          <w:bottom w:w="0" w:type="dxa"/>
          <w:right w:w="0" w:type="dxa"/>
        </w:tblCellMar>
      </w:tblPr>
      <w:tr>
        <w:trPr>
          <w:trHeight w:val="214"/>
        </w:trPr>
        <w:tc>
          <w:tcPr>
            <w:tcW w:w="4740" w:type="dxa"/>
            <w:vAlign w:val="bottom"/>
            <w:tcBorders>
              <w:top w:val="single" w:sz="8" w:color="auto"/>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Contract Year</w:t>
            </w:r>
          </w:p>
        </w:tc>
        <w:tc>
          <w:tcPr>
            <w:tcW w:w="13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1</w:t>
            </w:r>
          </w:p>
        </w:tc>
      </w:tr>
      <w:tr>
        <w:trPr>
          <w:trHeight w:val="187"/>
        </w:trPr>
        <w:tc>
          <w:tcPr>
            <w:tcW w:w="4740" w:type="dxa"/>
            <w:vAlign w:val="bottom"/>
            <w:tcBorders>
              <w:left w:val="single" w:sz="8" w:color="auto"/>
              <w:bottom w:val="single" w:sz="8" w:color="auto"/>
              <w:right w:val="single" w:sz="8" w:color="F0FFFF"/>
            </w:tcBorders>
            <w:gridSpan w:val="2"/>
            <w:shd w:val="clear" w:color="auto" w:fill="F0FFFF"/>
          </w:tcPr>
          <w:p>
            <w:pPr>
              <w:ind w:left="80"/>
              <w:spacing w:after="0"/>
              <w:rPr>
                <w:sz w:val="20"/>
                <w:szCs w:val="20"/>
                <w:color w:val="auto"/>
              </w:rPr>
            </w:pPr>
            <w:r>
              <w:rPr>
                <w:rFonts w:ascii="Times New Roman" w:cs="Times New Roman" w:eastAsia="Times New Roman" w:hAnsi="Times New Roman"/>
                <w:sz w:val="13"/>
                <w:szCs w:val="13"/>
                <w:b w:val="1"/>
                <w:bCs w:val="1"/>
                <w:color w:val="auto"/>
              </w:rPr>
              <w:t>Term Start Date</w:t>
            </w:r>
          </w:p>
        </w:tc>
        <w:tc>
          <w:tcPr>
            <w:tcW w:w="1340" w:type="dxa"/>
            <w:vAlign w:val="bottom"/>
            <w:tcBorders>
              <w:bottom w:val="single" w:sz="8" w:color="auto"/>
              <w:right w:val="single" w:sz="8" w:color="auto"/>
            </w:tcBorders>
            <w:shd w:val="clear" w:color="auto" w:fill="F0FFFF"/>
          </w:tcPr>
          <w:p>
            <w:pPr>
              <w:spacing w:after="0"/>
              <w:rPr>
                <w:sz w:val="16"/>
                <w:szCs w:val="16"/>
                <w:color w:val="auto"/>
              </w:rPr>
            </w:pPr>
          </w:p>
        </w:tc>
      </w:tr>
      <w:tr>
        <w:trPr>
          <w:trHeight w:val="188"/>
        </w:trPr>
        <w:tc>
          <w:tcPr>
            <w:tcW w:w="4740" w:type="dxa"/>
            <w:vAlign w:val="bottom"/>
            <w:tcBorders>
              <w:left w:val="single" w:sz="8" w:color="auto"/>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3"/>
                <w:szCs w:val="13"/>
                <w:color w:val="auto"/>
              </w:rPr>
              <w:t>Investment Amount</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$50,000</w:t>
            </w:r>
          </w:p>
        </w:tc>
      </w:tr>
      <w:tr>
        <w:trPr>
          <w:trHeight w:val="188"/>
        </w:trPr>
        <w:tc>
          <w:tcPr>
            <w:tcW w:w="4740" w:type="dxa"/>
            <w:vAlign w:val="bottom"/>
            <w:tcBorders>
              <w:left w:val="single" w:sz="8" w:color="auto"/>
              <w:bottom w:val="single" w:sz="8" w:color="auto"/>
              <w:right w:val="single" w:sz="8" w:color="auto"/>
            </w:tcBorders>
            <w:gridSpan w:val="2"/>
            <w:shd w:val="clear" w:color="auto" w:fill="F0FFFF"/>
          </w:tcPr>
          <w:p>
            <w:pPr>
              <w:ind w:left="200"/>
              <w:spacing w:after="0"/>
              <w:rPr>
                <w:sz w:val="20"/>
                <w:szCs w:val="20"/>
                <w:color w:val="auto"/>
              </w:rPr>
            </w:pPr>
            <w:r>
              <w:rPr>
                <w:rFonts w:ascii="Times New Roman" w:cs="Times New Roman" w:eastAsia="Times New Roman" w:hAnsi="Times New Roman"/>
                <w:sz w:val="13"/>
                <w:szCs w:val="13"/>
                <w:color w:val="auto"/>
              </w:rPr>
              <w:t>Index Value</w:t>
            </w:r>
          </w:p>
        </w:tc>
        <w:tc>
          <w:tcPr>
            <w:tcW w:w="134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1,000</w:t>
            </w:r>
          </w:p>
        </w:tc>
      </w:tr>
      <w:tr>
        <w:trPr>
          <w:trHeight w:val="188"/>
        </w:trPr>
        <w:tc>
          <w:tcPr>
            <w:tcW w:w="474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Term End Dat</w:t>
            </w:r>
            <w:r>
              <w:rPr>
                <w:rFonts w:ascii="Times New Roman" w:cs="Times New Roman" w:eastAsia="Times New Roman" w:hAnsi="Times New Roman"/>
                <w:sz w:val="13"/>
                <w:szCs w:val="13"/>
                <w:color w:val="auto"/>
              </w:rPr>
              <w:t>e</w:t>
            </w:r>
          </w:p>
        </w:tc>
        <w:tc>
          <w:tcPr>
            <w:tcW w:w="1340" w:type="dxa"/>
            <w:vAlign w:val="bottom"/>
            <w:tcBorders>
              <w:bottom w:val="single" w:sz="8" w:color="auto"/>
              <w:right w:val="single" w:sz="8" w:color="auto"/>
            </w:tcBorders>
          </w:tcPr>
          <w:p>
            <w:pPr>
              <w:spacing w:after="0"/>
              <w:rPr>
                <w:sz w:val="16"/>
                <w:szCs w:val="16"/>
                <w:color w:val="auto"/>
              </w:rPr>
            </w:pPr>
          </w:p>
        </w:tc>
      </w:tr>
      <w:tr>
        <w:trPr>
          <w:trHeight w:val="188"/>
        </w:trPr>
        <w:tc>
          <w:tcPr>
            <w:tcW w:w="4740" w:type="dxa"/>
            <w:vAlign w:val="bottom"/>
            <w:tcBorders>
              <w:left w:val="single" w:sz="8" w:color="auto"/>
              <w:bottom w:val="single" w:sz="8" w:color="auto"/>
              <w:right w:val="single" w:sz="8" w:color="auto"/>
            </w:tcBorders>
            <w:gridSpan w:val="2"/>
            <w:shd w:val="clear" w:color="auto" w:fill="F0FFFF"/>
          </w:tcPr>
          <w:p>
            <w:pPr>
              <w:ind w:left="200"/>
              <w:spacing w:after="0"/>
              <w:rPr>
                <w:sz w:val="20"/>
                <w:szCs w:val="20"/>
                <w:color w:val="auto"/>
              </w:rPr>
            </w:pPr>
            <w:r>
              <w:rPr>
                <w:rFonts w:ascii="Times New Roman" w:cs="Times New Roman" w:eastAsia="Times New Roman" w:hAnsi="Times New Roman"/>
                <w:sz w:val="13"/>
                <w:szCs w:val="13"/>
                <w:color w:val="auto"/>
              </w:rPr>
              <w:t>Index Value</w:t>
            </w:r>
          </w:p>
        </w:tc>
        <w:tc>
          <w:tcPr>
            <w:tcW w:w="134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1,200</w:t>
            </w:r>
          </w:p>
        </w:tc>
      </w:tr>
      <w:tr>
        <w:trPr>
          <w:trHeight w:val="208"/>
        </w:trPr>
        <w:tc>
          <w:tcPr>
            <w:tcW w:w="4740" w:type="dxa"/>
            <w:vAlign w:val="bottom"/>
            <w:tcBorders>
              <w:left w:val="single" w:sz="8" w:color="auto"/>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3"/>
                <w:szCs w:val="13"/>
                <w:color w:val="auto"/>
              </w:rPr>
              <w:t>Index Performance</w:t>
            </w:r>
            <w:r>
              <w:rPr>
                <w:rFonts w:ascii="Times New Roman" w:cs="Times New Roman" w:eastAsia="Times New Roman" w:hAnsi="Times New Roman"/>
                <w:sz w:val="17"/>
                <w:szCs w:val="17"/>
                <w:color w:val="auto"/>
                <w:vertAlign w:val="superscript"/>
              </w:rPr>
              <w:t>(1)</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20%</w:t>
            </w:r>
          </w:p>
        </w:tc>
      </w:tr>
      <w:tr>
        <w:trPr>
          <w:trHeight w:val="179"/>
        </w:trPr>
        <w:tc>
          <w:tcPr>
            <w:tcW w:w="4740" w:type="dxa"/>
            <w:vAlign w:val="bottom"/>
            <w:tcBorders>
              <w:left w:val="single" w:sz="8" w:color="auto"/>
              <w:bottom w:val="single" w:sz="8" w:color="auto"/>
              <w:right w:val="single" w:sz="8" w:color="auto"/>
            </w:tcBorders>
            <w:gridSpan w:val="2"/>
            <w:shd w:val="clear" w:color="auto" w:fill="F0FFFF"/>
          </w:tcPr>
          <w:p>
            <w:pPr>
              <w:ind w:left="200"/>
              <w:spacing w:after="0"/>
              <w:rPr>
                <w:sz w:val="20"/>
                <w:szCs w:val="20"/>
                <w:color w:val="auto"/>
              </w:rPr>
            </w:pPr>
            <w:r>
              <w:rPr>
                <w:rFonts w:ascii="Times New Roman" w:cs="Times New Roman" w:eastAsia="Times New Roman" w:hAnsi="Times New Roman"/>
                <w:sz w:val="13"/>
                <w:szCs w:val="13"/>
                <w:color w:val="auto"/>
              </w:rPr>
              <w:t>Cap Rate</w:t>
            </w:r>
          </w:p>
        </w:tc>
        <w:tc>
          <w:tcPr>
            <w:tcW w:w="134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10%</w:t>
            </w:r>
          </w:p>
        </w:tc>
      </w:tr>
      <w:tr>
        <w:trPr>
          <w:trHeight w:val="188"/>
        </w:trPr>
        <w:tc>
          <w:tcPr>
            <w:tcW w:w="4740" w:type="dxa"/>
            <w:vAlign w:val="bottom"/>
            <w:tcBorders>
              <w:left w:val="single" w:sz="8" w:color="auto"/>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3"/>
                <w:szCs w:val="13"/>
                <w:color w:val="auto"/>
              </w:rPr>
              <w:t>Shield Rate</w:t>
            </w:r>
          </w:p>
        </w:tc>
        <w:tc>
          <w:tcPr>
            <w:tcW w:w="134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3"/>
                <w:szCs w:val="13"/>
                <w:color w:val="auto"/>
              </w:rPr>
              <w:t>Shield 10</w:t>
            </w:r>
          </w:p>
        </w:tc>
      </w:tr>
      <w:tr>
        <w:trPr>
          <w:trHeight w:val="208"/>
        </w:trPr>
        <w:tc>
          <w:tcPr>
            <w:tcW w:w="4740" w:type="dxa"/>
            <w:vAlign w:val="bottom"/>
            <w:tcBorders>
              <w:left w:val="single" w:sz="8" w:color="auto"/>
              <w:bottom w:val="single" w:sz="8" w:color="auto"/>
              <w:right w:val="single" w:sz="8" w:color="auto"/>
            </w:tcBorders>
            <w:gridSpan w:val="2"/>
            <w:shd w:val="clear" w:color="auto" w:fill="F0FFFF"/>
          </w:tcPr>
          <w:p>
            <w:pPr>
              <w:ind w:left="200"/>
              <w:spacing w:after="0"/>
              <w:rPr>
                <w:sz w:val="20"/>
                <w:szCs w:val="20"/>
                <w:color w:val="auto"/>
              </w:rPr>
            </w:pPr>
            <w:r>
              <w:rPr>
                <w:rFonts w:ascii="Times New Roman" w:cs="Times New Roman" w:eastAsia="Times New Roman" w:hAnsi="Times New Roman"/>
                <w:sz w:val="13"/>
                <w:szCs w:val="13"/>
                <w:color w:val="auto"/>
              </w:rPr>
              <w:t>Performance Rate (one year)</w:t>
            </w:r>
            <w:r>
              <w:rPr>
                <w:rFonts w:ascii="Times New Roman" w:cs="Times New Roman" w:eastAsia="Times New Roman" w:hAnsi="Times New Roman"/>
                <w:sz w:val="17"/>
                <w:szCs w:val="17"/>
                <w:color w:val="auto"/>
                <w:vertAlign w:val="superscript"/>
              </w:rPr>
              <w:t>(2)</w:t>
            </w:r>
          </w:p>
        </w:tc>
        <w:tc>
          <w:tcPr>
            <w:tcW w:w="134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10%</w:t>
            </w:r>
          </w:p>
        </w:tc>
      </w:tr>
      <w:tr>
        <w:trPr>
          <w:trHeight w:val="198"/>
        </w:trPr>
        <w:tc>
          <w:tcPr>
            <w:tcW w:w="4740" w:type="dxa"/>
            <w:vAlign w:val="bottom"/>
            <w:tcBorders>
              <w:left w:val="single" w:sz="8" w:color="auto"/>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3"/>
                <w:szCs w:val="13"/>
                <w:color w:val="auto"/>
              </w:rPr>
              <w:t>Performance Rate Adjustment</w:t>
            </w:r>
            <w:r>
              <w:rPr>
                <w:rFonts w:ascii="Times New Roman" w:cs="Times New Roman" w:eastAsia="Times New Roman" w:hAnsi="Times New Roman"/>
                <w:sz w:val="17"/>
                <w:szCs w:val="17"/>
                <w:color w:val="auto"/>
                <w:vertAlign w:val="superscript"/>
              </w:rPr>
              <w:t>(3)</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$5,000</w:t>
            </w:r>
          </w:p>
        </w:tc>
      </w:tr>
      <w:tr>
        <w:trPr>
          <w:trHeight w:val="186"/>
        </w:trPr>
        <w:tc>
          <w:tcPr>
            <w:tcW w:w="4740" w:type="dxa"/>
            <w:vAlign w:val="bottom"/>
            <w:tcBorders>
              <w:left w:val="single" w:sz="8" w:color="auto"/>
              <w:bottom w:val="single" w:sz="8" w:color="auto"/>
              <w:right w:val="single" w:sz="8" w:color="auto"/>
            </w:tcBorders>
            <w:gridSpan w:val="2"/>
            <w:shd w:val="clear" w:color="auto" w:fill="F0FFFF"/>
          </w:tcPr>
          <w:p>
            <w:pPr>
              <w:ind w:left="200"/>
              <w:spacing w:after="0" w:line="186" w:lineRule="exact"/>
              <w:rPr>
                <w:sz w:val="20"/>
                <w:szCs w:val="20"/>
                <w:color w:val="auto"/>
              </w:rPr>
            </w:pPr>
            <w:r>
              <w:rPr>
                <w:rFonts w:ascii="Times New Roman" w:cs="Times New Roman" w:eastAsia="Times New Roman" w:hAnsi="Times New Roman"/>
                <w:sz w:val="13"/>
                <w:szCs w:val="13"/>
                <w:b w:val="1"/>
                <w:bCs w:val="1"/>
                <w:color w:val="auto"/>
              </w:rPr>
              <w:t>Investment Amount</w:t>
            </w:r>
            <w:r>
              <w:rPr>
                <w:rFonts w:ascii="Times New Roman" w:cs="Times New Roman" w:eastAsia="Times New Roman" w:hAnsi="Times New Roman"/>
                <w:sz w:val="17"/>
                <w:szCs w:val="17"/>
                <w:color w:val="auto"/>
                <w:vertAlign w:val="superscript"/>
              </w:rPr>
              <w:t>(4)</w:t>
            </w:r>
          </w:p>
        </w:tc>
        <w:tc>
          <w:tcPr>
            <w:tcW w:w="134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b w:val="1"/>
                <w:bCs w:val="1"/>
                <w:color w:val="auto"/>
              </w:rPr>
              <w:t>$55,000</w:t>
            </w:r>
          </w:p>
        </w:tc>
      </w:tr>
      <w:tr>
        <w:trPr>
          <w:trHeight w:val="131"/>
        </w:trPr>
        <w:tc>
          <w:tcPr>
            <w:tcW w:w="820" w:type="dxa"/>
            <w:vAlign w:val="bottom"/>
            <w:tcBorders>
              <w:bottom w:val="single" w:sz="8" w:color="auto"/>
            </w:tcBorders>
          </w:tcPr>
          <w:p>
            <w:pPr>
              <w:spacing w:after="0"/>
              <w:rPr>
                <w:sz w:val="11"/>
                <w:szCs w:val="11"/>
                <w:color w:val="auto"/>
              </w:rPr>
            </w:pPr>
          </w:p>
        </w:tc>
        <w:tc>
          <w:tcPr>
            <w:tcW w:w="3920" w:type="dxa"/>
            <w:vAlign w:val="bottom"/>
          </w:tcPr>
          <w:p>
            <w:pPr>
              <w:spacing w:after="0"/>
              <w:rPr>
                <w:sz w:val="11"/>
                <w:szCs w:val="11"/>
                <w:color w:val="auto"/>
              </w:rPr>
            </w:pPr>
          </w:p>
        </w:tc>
        <w:tc>
          <w:tcPr>
            <w:tcW w:w="13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-1712595</wp:posOffset>
            </wp:positionV>
            <wp:extent cx="3842385" cy="1384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842385" cy="13843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-1442085</wp:posOffset>
            </wp:positionV>
            <wp:extent cx="3842385" cy="1320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842385" cy="1320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-1177290</wp:posOffset>
            </wp:positionV>
            <wp:extent cx="3842385" cy="1320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842385" cy="1320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-912495</wp:posOffset>
            </wp:positionV>
            <wp:extent cx="3842385" cy="1384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42385" cy="13843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-641985</wp:posOffset>
            </wp:positionV>
            <wp:extent cx="3842385" cy="1320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842385" cy="1320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-370840</wp:posOffset>
            </wp:positionV>
            <wp:extent cx="3842385" cy="1384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842385" cy="138430"/>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-31115</wp:posOffset>
            </wp:positionV>
            <wp:extent cx="31750" cy="44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1750" cy="4445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-31115</wp:posOffset>
            </wp:positionV>
            <wp:extent cx="31750" cy="44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1750" cy="44450"/>
                    </a:xfrm>
                    <a:prstGeom prst="rect">
                      <a:avLst/>
                    </a:prstGeom>
                    <a:noFill/>
                  </pic:spPr>
                </pic:pic>
              </a:graphicData>
            </a:graphic>
          </wp:anchor>
        </w:drawing>
      </w:r>
    </w:p>
    <w:p>
      <w:pPr>
        <w:spacing w:after="0" w:line="45" w:lineRule="exact"/>
        <w:rPr>
          <w:sz w:val="20"/>
          <w:szCs w:val="20"/>
          <w:color w:val="auto"/>
        </w:rPr>
      </w:pPr>
    </w:p>
    <w:p>
      <w:pPr>
        <w:ind w:left="1" w:right="3559"/>
        <w:spacing w:after="0" w:line="266" w:lineRule="auto"/>
        <w:rPr>
          <w:sz w:val="20"/>
          <w:szCs w:val="20"/>
          <w:color w:val="auto"/>
        </w:rPr>
      </w:pPr>
      <w:r>
        <w:rPr>
          <w:rFonts w:ascii="Times New Roman" w:cs="Times New Roman" w:eastAsia="Times New Roman" w:hAnsi="Times New Roman"/>
          <w:sz w:val="13"/>
          <w:szCs w:val="13"/>
          <w:b w:val="1"/>
          <w:bCs w:val="1"/>
          <w:color w:val="auto"/>
        </w:rPr>
        <w:t>The following notes to the table above provide important calculations showing how certain values are determined.</w:t>
      </w:r>
    </w:p>
    <w:p>
      <w:pPr>
        <w:spacing w:after="0" w:line="28" w:lineRule="exact"/>
        <w:rPr>
          <w:sz w:val="20"/>
          <w:szCs w:val="20"/>
          <w:color w:val="auto"/>
        </w:rPr>
      </w:pPr>
    </w:p>
    <w:p>
      <w:pPr>
        <w:ind w:left="261" w:right="3259" w:hanging="261"/>
        <w:spacing w:after="0" w:line="223" w:lineRule="auto"/>
        <w:tabs>
          <w:tab w:leader="none" w:pos="261" w:val="left"/>
        </w:tabs>
        <w:numPr>
          <w:ilvl w:val="0"/>
          <w:numId w:val="3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Index Performance is equal to the percentage change in the Index Value measured from the Term Start Date to the Term End Date. Index Performance is calculated as follows:</w:t>
      </w:r>
    </w:p>
    <w:p>
      <w:pPr>
        <w:spacing w:after="0" w:line="37" w:lineRule="exact"/>
        <w:rPr>
          <w:sz w:val="20"/>
          <w:szCs w:val="20"/>
          <w:color w:val="auto"/>
        </w:rPr>
      </w:pPr>
    </w:p>
    <w:p>
      <w:pPr>
        <w:jc w:val="center"/>
        <w:ind w:right="3218"/>
        <w:spacing w:after="0"/>
        <w:rPr>
          <w:sz w:val="20"/>
          <w:szCs w:val="20"/>
          <w:color w:val="auto"/>
        </w:rPr>
      </w:pPr>
      <w:r>
        <w:rPr>
          <w:rFonts w:ascii="Times New Roman" w:cs="Times New Roman" w:eastAsia="Times New Roman" w:hAnsi="Times New Roman"/>
          <w:sz w:val="13"/>
          <w:szCs w:val="13"/>
          <w:color w:val="auto"/>
        </w:rPr>
        <w:t>(1,200 [Index Value at Term End Date] – 1,000 [Index Value at Term Start Date])</w:t>
      </w:r>
    </w:p>
    <w:p>
      <w:pPr>
        <w:spacing w:after="0" w:line="13" w:lineRule="exact"/>
        <w:rPr>
          <w:sz w:val="20"/>
          <w:szCs w:val="20"/>
          <w:color w:val="auto"/>
        </w:rPr>
      </w:pPr>
    </w:p>
    <w:p>
      <w:pPr>
        <w:jc w:val="center"/>
        <w:ind w:right="3178"/>
        <w:spacing w:after="0"/>
        <w:rPr>
          <w:sz w:val="20"/>
          <w:szCs w:val="20"/>
          <w:color w:val="auto"/>
        </w:rPr>
      </w:pPr>
      <w:r>
        <w:rPr>
          <w:rFonts w:ascii="Times New Roman" w:cs="Times New Roman" w:eastAsia="Times New Roman" w:hAnsi="Times New Roman"/>
          <w:sz w:val="13"/>
          <w:szCs w:val="13"/>
          <w:color w:val="auto"/>
        </w:rPr>
        <w:t>÷ 1,000 [Index Value at Term Start Date]) = 20%</w:t>
      </w:r>
    </w:p>
    <w:p>
      <w:pPr>
        <w:ind w:left="1"/>
        <w:spacing w:after="0" w:line="204" w:lineRule="auto"/>
        <w:rPr>
          <w:sz w:val="20"/>
          <w:szCs w:val="20"/>
          <w:color w:val="auto"/>
        </w:rPr>
      </w:pPr>
      <w:r>
        <w:rPr>
          <w:rFonts w:ascii="Times New Roman" w:cs="Times New Roman" w:eastAsia="Times New Roman" w:hAnsi="Times New Roman"/>
          <w:sz w:val="5"/>
          <w:szCs w:val="5"/>
          <w:color w:val="auto"/>
        </w:rPr>
        <w:t>(2)</w:t>
      </w:r>
    </w:p>
    <w:p>
      <w:pPr>
        <w:ind w:left="261" w:right="3439"/>
        <w:spacing w:after="0" w:line="238" w:lineRule="auto"/>
        <w:rPr>
          <w:sz w:val="20"/>
          <w:szCs w:val="20"/>
          <w:color w:val="auto"/>
        </w:rPr>
      </w:pPr>
      <w:r>
        <w:rPr>
          <w:rFonts w:ascii="Times New Roman" w:cs="Times New Roman" w:eastAsia="Times New Roman" w:hAnsi="Times New Roman"/>
          <w:sz w:val="13"/>
          <w:szCs w:val="13"/>
          <w:color w:val="auto"/>
        </w:rPr>
        <w:t>Since Index Performance is greater than zero and exceeds the Cap Rate, the Performance Rate equals the Cap Rate.</w:t>
      </w:r>
    </w:p>
    <w:p>
      <w:pPr>
        <w:spacing w:after="0" w:line="27" w:lineRule="exact"/>
        <w:rPr>
          <w:sz w:val="20"/>
          <w:szCs w:val="20"/>
          <w:color w:val="auto"/>
        </w:rPr>
      </w:pPr>
    </w:p>
    <w:p>
      <w:pPr>
        <w:jc w:val="both"/>
        <w:ind w:left="261" w:right="3259" w:hanging="261"/>
        <w:spacing w:after="0" w:line="227" w:lineRule="auto"/>
        <w:tabs>
          <w:tab w:leader="none" w:pos="261" w:val="left"/>
        </w:tabs>
        <w:numPr>
          <w:ilvl w:val="0"/>
          <w:numId w:val="3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Performance Rate Adjustment is equal to the product of the Investment Amount at the Term Start Date adjusted for any withdrawals (there are no withdrawals in the example) multiplied by the Performance Rate. The Performance Rate Adjustment is calculated as follows:</w:t>
      </w:r>
    </w:p>
    <w:p>
      <w:pPr>
        <w:spacing w:after="0" w:line="28" w:lineRule="exact"/>
        <w:rPr>
          <w:sz w:val="20"/>
          <w:szCs w:val="20"/>
          <w:color w:val="auto"/>
        </w:rPr>
      </w:pPr>
    </w:p>
    <w:p>
      <w:pPr>
        <w:ind w:left="761"/>
        <w:spacing w:after="0"/>
        <w:rPr>
          <w:sz w:val="20"/>
          <w:szCs w:val="20"/>
          <w:color w:val="auto"/>
        </w:rPr>
      </w:pPr>
      <w:r>
        <w:rPr>
          <w:rFonts w:ascii="Times New Roman" w:cs="Times New Roman" w:eastAsia="Times New Roman" w:hAnsi="Times New Roman"/>
          <w:sz w:val="13"/>
          <w:szCs w:val="13"/>
          <w:color w:val="auto"/>
        </w:rPr>
        <w:t>$50,000 [Investment Amount at Term Start Date] x 10% [Performance Rate] = $5,000</w:t>
      </w:r>
    </w:p>
    <w:p>
      <w:pPr>
        <w:ind w:left="1"/>
        <w:spacing w:after="0" w:line="218" w:lineRule="auto"/>
        <w:rPr>
          <w:sz w:val="20"/>
          <w:szCs w:val="20"/>
          <w:color w:val="auto"/>
        </w:rPr>
      </w:pPr>
      <w:r>
        <w:rPr>
          <w:rFonts w:ascii="Times New Roman" w:cs="Times New Roman" w:eastAsia="Times New Roman" w:hAnsi="Times New Roman"/>
          <w:sz w:val="6"/>
          <w:szCs w:val="6"/>
          <w:color w:val="auto"/>
        </w:rPr>
        <w:t>(4)</w:t>
      </w:r>
    </w:p>
    <w:p>
      <w:pPr>
        <w:jc w:val="both"/>
        <w:ind w:left="261" w:right="3259"/>
        <w:spacing w:after="0" w:line="238" w:lineRule="auto"/>
        <w:rPr>
          <w:sz w:val="20"/>
          <w:szCs w:val="20"/>
          <w:color w:val="auto"/>
        </w:rPr>
      </w:pPr>
      <w:r>
        <w:rPr>
          <w:rFonts w:ascii="Times New Roman" w:cs="Times New Roman" w:eastAsia="Times New Roman" w:hAnsi="Times New Roman"/>
          <w:sz w:val="13"/>
          <w:szCs w:val="13"/>
          <w:color w:val="auto"/>
        </w:rPr>
        <w:t>The Investment Amount at Term End Date is equal to the Investment Amount at Term Start Date adjusted for any withdrawals (there are no withdrawals in the example) plus the Performance Rate Adjustment. The Investment Amount is calculated as follows:</w:t>
      </w:r>
    </w:p>
    <w:p>
      <w:pPr>
        <w:spacing w:after="0" w:line="27" w:lineRule="exact"/>
        <w:rPr>
          <w:sz w:val="20"/>
          <w:szCs w:val="20"/>
          <w:color w:val="auto"/>
        </w:rPr>
      </w:pPr>
    </w:p>
    <w:p>
      <w:pPr>
        <w:ind w:left="341"/>
        <w:spacing w:after="0"/>
        <w:rPr>
          <w:sz w:val="20"/>
          <w:szCs w:val="20"/>
          <w:color w:val="auto"/>
        </w:rPr>
      </w:pPr>
      <w:r>
        <w:rPr>
          <w:rFonts w:ascii="Times New Roman" w:cs="Times New Roman" w:eastAsia="Times New Roman" w:hAnsi="Times New Roman"/>
          <w:sz w:val="13"/>
          <w:szCs w:val="13"/>
          <w:color w:val="auto"/>
        </w:rPr>
        <w:t>$50,000 [Investment Amount at Term Start Date] + $5,000 [Performance Rate Adjustment] = $55,000</w:t>
      </w:r>
    </w:p>
    <w:p>
      <w:pPr>
        <w:spacing w:after="0" w:line="79" w:lineRule="exact"/>
        <w:rPr>
          <w:sz w:val="20"/>
          <w:szCs w:val="20"/>
          <w:color w:val="auto"/>
        </w:rPr>
      </w:pPr>
    </w:p>
    <w:p>
      <w:pPr>
        <w:ind w:left="261"/>
        <w:spacing w:after="0"/>
        <w:rPr>
          <w:sz w:val="20"/>
          <w:szCs w:val="20"/>
          <w:color w:val="auto"/>
        </w:rPr>
      </w:pPr>
      <w:r>
        <w:rPr>
          <w:rFonts w:ascii="Times New Roman" w:cs="Times New Roman" w:eastAsia="Times New Roman" w:hAnsi="Times New Roman"/>
          <w:sz w:val="13"/>
          <w:szCs w:val="13"/>
          <w:color w:val="auto"/>
        </w:rPr>
        <w:t>Shield Options after Transfer:</w:t>
      </w:r>
    </w:p>
    <w:p>
      <w:pPr>
        <w:spacing w:after="0" w:line="267" w:lineRule="exact"/>
        <w:rPr>
          <w:sz w:val="20"/>
          <w:szCs w:val="20"/>
          <w:color w:val="auto"/>
        </w:rPr>
      </w:pPr>
    </w:p>
    <w:p>
      <w:pPr>
        <w:ind w:left="2981"/>
        <w:spacing w:after="0"/>
        <w:rPr>
          <w:sz w:val="20"/>
          <w:szCs w:val="20"/>
          <w:color w:val="auto"/>
        </w:rPr>
      </w:pPr>
      <w:r>
        <w:rPr>
          <w:rFonts w:ascii="Times New Roman" w:cs="Times New Roman" w:eastAsia="Times New Roman" w:hAnsi="Times New Roman"/>
          <w:sz w:val="13"/>
          <w:szCs w:val="13"/>
          <w:color w:val="auto"/>
        </w:rPr>
        <w:t>47</w:t>
      </w:r>
    </w:p>
    <w:p>
      <w:pPr>
        <w:sectPr>
          <w:pgSz w:w="11900" w:h="16838" w:orient="portrait"/>
          <w:cols w:equalWidth="0" w:num="1">
            <w:col w:w="9261"/>
          </w:cols>
          <w:pgMar w:left="1199" w:top="1049" w:right="1440" w:bottom="1440" w:gutter="0" w:footer="0" w:header="0"/>
        </w:sectPr>
      </w:pPr>
    </w:p>
    <w:bookmarkStart w:id="49" w:name="page50"/>
    <w:bookmarkEnd w:id="49"/>
    <w:tbl>
      <w:tblPr>
        <w:tblLayout w:type="fixed"/>
        <w:tblInd w:w="10" w:type="dxa"/>
        <w:tblCellMar>
          <w:top w:w="0" w:type="dxa"/>
          <w:left w:w="0" w:type="dxa"/>
          <w:bottom w:w="0" w:type="dxa"/>
          <w:right w:w="0" w:type="dxa"/>
        </w:tblCellMar>
      </w:tblPr>
      <w:tr>
        <w:trPr>
          <w:trHeight w:val="214"/>
        </w:trPr>
        <w:tc>
          <w:tcPr>
            <w:tcW w:w="2240" w:type="dxa"/>
            <w:vAlign w:val="bottom"/>
            <w:tcBorders>
              <w:top w:val="single" w:sz="8" w:color="auto"/>
              <w:left w:val="single" w:sz="8" w:color="auto"/>
              <w:bottom w:val="single" w:sz="8" w:color="auto"/>
              <w:right w:val="single" w:sz="8" w:color="auto"/>
            </w:tcBorders>
            <w:gridSpan w:val="2"/>
          </w:tcPr>
          <w:p>
            <w:pPr>
              <w:ind w:left="780"/>
              <w:spacing w:after="0"/>
              <w:rPr>
                <w:sz w:val="20"/>
                <w:szCs w:val="20"/>
                <w:color w:val="auto"/>
              </w:rPr>
            </w:pPr>
            <w:r>
              <w:rPr>
                <w:rFonts w:ascii="Times New Roman" w:cs="Times New Roman" w:eastAsia="Times New Roman" w:hAnsi="Times New Roman"/>
                <w:sz w:val="11"/>
                <w:szCs w:val="11"/>
                <w:b w:val="1"/>
                <w:bCs w:val="1"/>
                <w:color w:val="auto"/>
              </w:rPr>
              <w:t>Contract Year</w:t>
            </w:r>
          </w:p>
        </w:tc>
        <w:tc>
          <w:tcPr>
            <w:tcW w:w="2080" w:type="dxa"/>
            <w:vAlign w:val="bottom"/>
            <w:tcBorders>
              <w:top w:val="single" w:sz="8" w:color="auto"/>
              <w:bottom w:val="single" w:sz="8" w:color="auto"/>
            </w:tcBorders>
          </w:tcPr>
          <w:p>
            <w:pPr>
              <w:spacing w:after="0"/>
              <w:rPr>
                <w:sz w:val="18"/>
                <w:szCs w:val="18"/>
                <w:color w:val="auto"/>
              </w:rPr>
            </w:pPr>
          </w:p>
        </w:tc>
        <w:tc>
          <w:tcPr>
            <w:tcW w:w="2120" w:type="dxa"/>
            <w:vAlign w:val="bottom"/>
            <w:tcBorders>
              <w:top w:val="single" w:sz="8" w:color="auto"/>
              <w:bottom w:val="single" w:sz="8" w:color="auto"/>
              <w:right w:val="single" w:sz="8" w:color="auto"/>
            </w:tcBorders>
          </w:tcPr>
          <w:p>
            <w:pPr>
              <w:jc w:val="right"/>
              <w:ind w:right="2024"/>
              <w:spacing w:after="0"/>
              <w:rPr>
                <w:sz w:val="20"/>
                <w:szCs w:val="20"/>
                <w:color w:val="auto"/>
              </w:rPr>
            </w:pPr>
            <w:r>
              <w:rPr>
                <w:rFonts w:ascii="Times New Roman" w:cs="Times New Roman" w:eastAsia="Times New Roman" w:hAnsi="Times New Roman"/>
                <w:sz w:val="5"/>
                <w:szCs w:val="5"/>
                <w:b w:val="1"/>
                <w:bCs w:val="1"/>
                <w:color w:val="auto"/>
                <w:w w:val="78"/>
              </w:rPr>
              <w:t>2</w:t>
            </w:r>
          </w:p>
        </w:tc>
      </w:tr>
      <w:tr>
        <w:trPr>
          <w:trHeight w:val="182"/>
        </w:trPr>
        <w:tc>
          <w:tcPr>
            <w:tcW w:w="820" w:type="dxa"/>
            <w:vAlign w:val="bottom"/>
            <w:tcBorders>
              <w:left w:val="single" w:sz="8" w:color="auto"/>
            </w:tcBorders>
            <w:shd w:val="clear" w:color="auto" w:fill="F0FFFF"/>
          </w:tcPr>
          <w:p>
            <w:pPr>
              <w:spacing w:after="0"/>
              <w:rPr>
                <w:sz w:val="15"/>
                <w:szCs w:val="15"/>
                <w:color w:val="auto"/>
              </w:rPr>
            </w:pPr>
          </w:p>
        </w:tc>
        <w:tc>
          <w:tcPr>
            <w:tcW w:w="1420" w:type="dxa"/>
            <w:vAlign w:val="bottom"/>
            <w:tcBorders>
              <w:right w:val="single" w:sz="8" w:color="auto"/>
            </w:tcBorders>
            <w:shd w:val="clear" w:color="auto" w:fill="F0FFFF"/>
          </w:tcPr>
          <w:p>
            <w:pPr>
              <w:spacing w:after="0"/>
              <w:rPr>
                <w:sz w:val="15"/>
                <w:szCs w:val="15"/>
                <w:color w:val="auto"/>
              </w:rPr>
            </w:pPr>
          </w:p>
        </w:tc>
        <w:tc>
          <w:tcPr>
            <w:tcW w:w="2080" w:type="dxa"/>
            <w:vAlign w:val="bottom"/>
            <w:tcBorders>
              <w:right w:val="single" w:sz="8" w:color="auto"/>
            </w:tcBorders>
            <w:shd w:val="clear" w:color="auto" w:fill="F0FFFF"/>
          </w:tcPr>
          <w:p>
            <w:pPr>
              <w:jc w:val="center"/>
              <w:spacing w:after="0" w:line="182" w:lineRule="exact"/>
              <w:rPr>
                <w:sz w:val="20"/>
                <w:szCs w:val="20"/>
                <w:color w:val="auto"/>
              </w:rPr>
            </w:pPr>
            <w:r>
              <w:rPr>
                <w:rFonts w:ascii="Times New Roman" w:cs="Times New Roman" w:eastAsia="Times New Roman" w:hAnsi="Times New Roman"/>
                <w:sz w:val="13"/>
                <w:szCs w:val="13"/>
                <w:color w:val="auto"/>
                <w:w w:val="99"/>
              </w:rPr>
              <w:t>1-Year Term / Shield 10 / S&amp;P 500</w:t>
            </w:r>
            <w:r>
              <w:rPr>
                <w:rFonts w:ascii="Times New Roman" w:cs="Times New Roman" w:eastAsia="Times New Roman" w:hAnsi="Times New Roman"/>
                <w:sz w:val="17"/>
                <w:szCs w:val="17"/>
                <w:color w:val="auto"/>
                <w:w w:val="99"/>
                <w:vertAlign w:val="superscript"/>
              </w:rPr>
              <w:t>®</w:t>
            </w:r>
          </w:p>
        </w:tc>
        <w:tc>
          <w:tcPr>
            <w:tcW w:w="212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1-Year Term / Shield 10 / Russell</w:t>
            </w:r>
          </w:p>
        </w:tc>
      </w:tr>
      <w:tr>
        <w:trPr>
          <w:trHeight w:val="223"/>
        </w:trPr>
        <w:tc>
          <w:tcPr>
            <w:tcW w:w="820" w:type="dxa"/>
            <w:vAlign w:val="bottom"/>
            <w:tcBorders>
              <w:left w:val="single" w:sz="8" w:color="auto"/>
              <w:bottom w:val="single" w:sz="8" w:color="auto"/>
            </w:tcBorders>
            <w:shd w:val="clear" w:color="auto" w:fill="F0FFFF"/>
          </w:tcPr>
          <w:p>
            <w:pPr>
              <w:spacing w:after="0"/>
              <w:rPr>
                <w:sz w:val="19"/>
                <w:szCs w:val="19"/>
                <w:color w:val="auto"/>
              </w:rPr>
            </w:pPr>
          </w:p>
        </w:tc>
        <w:tc>
          <w:tcPr>
            <w:tcW w:w="1420" w:type="dxa"/>
            <w:vAlign w:val="bottom"/>
            <w:tcBorders>
              <w:bottom w:val="single" w:sz="8" w:color="auto"/>
              <w:right w:val="single" w:sz="8" w:color="auto"/>
            </w:tcBorders>
            <w:shd w:val="clear" w:color="auto" w:fill="F0FFFF"/>
          </w:tcPr>
          <w:p>
            <w:pPr>
              <w:spacing w:after="0"/>
              <w:rPr>
                <w:sz w:val="19"/>
                <w:szCs w:val="19"/>
                <w:color w:val="auto"/>
              </w:rPr>
            </w:pPr>
          </w:p>
        </w:tc>
        <w:tc>
          <w:tcPr>
            <w:tcW w:w="20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Index with a Cap Rate of 10%</w:t>
            </w:r>
          </w:p>
        </w:tc>
        <w:tc>
          <w:tcPr>
            <w:tcW w:w="21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2000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Index with a Cap Rate of 12%</w:t>
            </w:r>
          </w:p>
        </w:tc>
      </w:tr>
      <w:tr>
        <w:trPr>
          <w:trHeight w:val="143"/>
        </w:trPr>
        <w:tc>
          <w:tcPr>
            <w:tcW w:w="2240" w:type="dxa"/>
            <w:vAlign w:val="bottom"/>
            <w:tcBorders>
              <w:left w:val="single" w:sz="8" w:color="auto"/>
              <w:right w:val="single" w:sz="8" w:color="auto"/>
            </w:tcBorders>
            <w:gridSpan w:val="2"/>
          </w:tcPr>
          <w:p>
            <w:pPr>
              <w:ind w:left="80"/>
              <w:spacing w:after="0" w:line="144" w:lineRule="exact"/>
              <w:rPr>
                <w:sz w:val="20"/>
                <w:szCs w:val="20"/>
                <w:color w:val="auto"/>
              </w:rPr>
            </w:pPr>
            <w:r>
              <w:rPr>
                <w:rFonts w:ascii="Times New Roman" w:cs="Times New Roman" w:eastAsia="Times New Roman" w:hAnsi="Times New Roman"/>
                <w:sz w:val="13"/>
                <w:szCs w:val="13"/>
                <w:color w:val="auto"/>
              </w:rPr>
              <w:t>Investment Amount at Term Start Date</w:t>
            </w:r>
          </w:p>
        </w:tc>
        <w:tc>
          <w:tcPr>
            <w:tcW w:w="2080" w:type="dxa"/>
            <w:vAlign w:val="bottom"/>
            <w:tcBorders>
              <w:right w:val="single" w:sz="8" w:color="auto"/>
            </w:tcBorders>
          </w:tcPr>
          <w:p>
            <w:pPr>
              <w:spacing w:after="0"/>
              <w:rPr>
                <w:sz w:val="12"/>
                <w:szCs w:val="12"/>
                <w:color w:val="auto"/>
              </w:rPr>
            </w:pPr>
          </w:p>
        </w:tc>
        <w:tc>
          <w:tcPr>
            <w:tcW w:w="2120" w:type="dxa"/>
            <w:vAlign w:val="bottom"/>
            <w:tcBorders>
              <w:right w:val="single" w:sz="8" w:color="auto"/>
            </w:tcBorders>
          </w:tcPr>
          <w:p>
            <w:pPr>
              <w:spacing w:after="0"/>
              <w:rPr>
                <w:sz w:val="12"/>
                <w:szCs w:val="12"/>
                <w:color w:val="auto"/>
              </w:rPr>
            </w:pPr>
          </w:p>
        </w:tc>
      </w:tr>
      <w:tr>
        <w:trPr>
          <w:trHeight w:val="218"/>
        </w:trPr>
        <w:tc>
          <w:tcPr>
            <w:tcW w:w="224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(second term)</w:t>
            </w:r>
            <w:r>
              <w:rPr>
                <w:rFonts w:ascii="Times New Roman" w:cs="Times New Roman" w:eastAsia="Times New Roman" w:hAnsi="Times New Roman"/>
                <w:sz w:val="17"/>
                <w:szCs w:val="17"/>
                <w:color w:val="auto"/>
                <w:vertAlign w:val="superscript"/>
              </w:rPr>
              <w:t>(1)</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$27,500</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$27,500</w:t>
            </w:r>
          </w:p>
        </w:tc>
      </w:tr>
      <w:tr>
        <w:trPr>
          <w:trHeight w:val="144"/>
        </w:trPr>
        <w:tc>
          <w:tcPr>
            <w:tcW w:w="820" w:type="dxa"/>
            <w:vAlign w:val="bottom"/>
            <w:tcBorders>
              <w:bottom w:val="single" w:sz="8" w:color="auto"/>
            </w:tcBorders>
          </w:tcPr>
          <w:p>
            <w:pPr>
              <w:spacing w:after="0"/>
              <w:rPr>
                <w:sz w:val="12"/>
                <w:szCs w:val="12"/>
                <w:color w:val="auto"/>
              </w:rPr>
            </w:pPr>
          </w:p>
        </w:tc>
        <w:tc>
          <w:tcPr>
            <w:tcW w:w="14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1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93915" cy="381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-755015</wp:posOffset>
            </wp:positionV>
            <wp:extent cx="4069080" cy="1384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069080" cy="1384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-352425</wp:posOffset>
            </wp:positionV>
            <wp:extent cx="4069080" cy="2393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069080" cy="23939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-31115</wp:posOffset>
            </wp:positionV>
            <wp:extent cx="31750" cy="44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1750" cy="4445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-31115</wp:posOffset>
            </wp:positionV>
            <wp:extent cx="31750" cy="44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1750" cy="44450"/>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Notes to the table above.</w:t>
      </w:r>
    </w:p>
    <w:p>
      <w:pPr>
        <w:spacing w:after="0" w:line="225" w:lineRule="auto"/>
        <w:rPr>
          <w:sz w:val="20"/>
          <w:szCs w:val="20"/>
          <w:color w:val="auto"/>
        </w:rPr>
      </w:pPr>
      <w:r>
        <w:rPr>
          <w:rFonts w:ascii="Times New Roman" w:cs="Times New Roman" w:eastAsia="Times New Roman" w:hAnsi="Times New Roman"/>
          <w:sz w:val="6"/>
          <w:szCs w:val="6"/>
          <w:color w:val="auto"/>
        </w:rPr>
        <w:t>(1)</w:t>
      </w:r>
    </w:p>
    <w:p>
      <w:pPr>
        <w:ind w:left="260" w:right="3259"/>
        <w:spacing w:after="0" w:line="252" w:lineRule="auto"/>
        <w:rPr>
          <w:sz w:val="20"/>
          <w:szCs w:val="20"/>
          <w:color w:val="auto"/>
        </w:rPr>
      </w:pPr>
      <w:r>
        <w:rPr>
          <w:rFonts w:ascii="Times New Roman" w:cs="Times New Roman" w:eastAsia="Times New Roman" w:hAnsi="Times New Roman"/>
          <w:sz w:val="13"/>
          <w:szCs w:val="13"/>
          <w:color w:val="auto"/>
        </w:rPr>
        <w:t>The Investment Amount at Term End Date is reallocated so that 50% is renewed in the same Shield Option and 50% is allocated to a new Shield Option.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Transfers with the Performance Lock</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Transfers or Renewals at Term End Date</w:t>
      </w:r>
    </w:p>
    <w:p>
      <w:pPr>
        <w:spacing w:after="0" w:line="93" w:lineRule="exact"/>
        <w:rPr>
          <w:sz w:val="20"/>
          <w:szCs w:val="20"/>
          <w:color w:val="auto"/>
        </w:rPr>
      </w:pPr>
    </w:p>
    <w:p>
      <w:pPr>
        <w:jc w:val="both"/>
        <w:ind w:right="3179" w:firstLine="265"/>
        <w:spacing w:after="0" w:line="258" w:lineRule="auto"/>
        <w:rPr>
          <w:sz w:val="20"/>
          <w:szCs w:val="20"/>
          <w:color w:val="auto"/>
        </w:rPr>
      </w:pPr>
      <w:r>
        <w:rPr>
          <w:rFonts w:ascii="Times New Roman" w:cs="Times New Roman" w:eastAsia="Times New Roman" w:hAnsi="Times New Roman"/>
          <w:sz w:val="13"/>
          <w:szCs w:val="13"/>
          <w:color w:val="auto"/>
        </w:rPr>
        <w:t>You may remain in your current Shield Option until the Term End Date and, during the Transfer Period, either (i) transfer all or a portion of the Performance Lock Value to a new Shield Option or to the Fixed Account (if available) or (ii) renew into the same Shield Option (if available) for a new Term. We must receive Notice of your election to transfer in a form satisfactory to us or by calling the Annuity Service Office at (888) 243-1932 no later than five (5) calendar days after the Contract Anniversary on which the transfer will take place. Your financial professional can provide more information, or you may contact our Annuity Service Office. If you decide to transfer the Performance Lock Value to a new Shield Option, the Index Value on the Term Start Date of your new Shield Option will be the then-current Index Value for that option. For renewals into the same Shield Option, a new Cap Rate, Step Rate, or Edge Rate will be declared and will go into effect on the Contract Anniversary that coincides with the beginning of the new Term in the Shield Option that just ended.</w:t>
      </w:r>
    </w:p>
    <w:p>
      <w:pPr>
        <w:spacing w:after="0" w:line="60" w:lineRule="exact"/>
        <w:rPr>
          <w:sz w:val="20"/>
          <w:szCs w:val="20"/>
          <w:color w:val="auto"/>
        </w:rPr>
      </w:pPr>
    </w:p>
    <w:p>
      <w:pPr>
        <w:jc w:val="both"/>
        <w:ind w:right="3199" w:firstLine="265"/>
        <w:spacing w:after="0" w:line="272" w:lineRule="auto"/>
        <w:rPr>
          <w:sz w:val="20"/>
          <w:szCs w:val="20"/>
          <w:color w:val="auto"/>
        </w:rPr>
      </w:pPr>
      <w:r>
        <w:rPr>
          <w:rFonts w:ascii="Times New Roman" w:cs="Times New Roman" w:eastAsia="Times New Roman" w:hAnsi="Times New Roman"/>
          <w:sz w:val="13"/>
          <w:szCs w:val="13"/>
          <w:color w:val="auto"/>
        </w:rPr>
        <w:t>If you do not notify us to transfer to a new Shield Option or to the Fixed Account, the Performance Lock Value will automatically be renewed into the same Shield Option, subject to the new Cap Rate, Step Rate, or Edge Rate in effect.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Transfers on a Contract Anniversary before the Term End Date</w:t>
      </w:r>
    </w:p>
    <w:p>
      <w:pPr>
        <w:spacing w:after="0" w:line="93" w:lineRule="exact"/>
        <w:rPr>
          <w:sz w:val="20"/>
          <w:szCs w:val="20"/>
          <w:color w:val="auto"/>
        </w:rPr>
      </w:pPr>
    </w:p>
    <w:p>
      <w:pPr>
        <w:jc w:val="both"/>
        <w:ind w:right="3199" w:firstLine="265"/>
        <w:spacing w:after="0" w:line="259" w:lineRule="auto"/>
        <w:rPr>
          <w:sz w:val="20"/>
          <w:szCs w:val="20"/>
          <w:color w:val="auto"/>
        </w:rPr>
      </w:pPr>
      <w:r>
        <w:rPr>
          <w:rFonts w:ascii="Times New Roman" w:cs="Times New Roman" w:eastAsia="Times New Roman" w:hAnsi="Times New Roman"/>
          <w:sz w:val="13"/>
          <w:szCs w:val="13"/>
          <w:color w:val="auto"/>
        </w:rPr>
        <w:t>After exercising the Performance Lock, you may elect to transfer the Performance Lock Value to a new Shield Option or to the Fixed Account (if available) on any Contract Anniversary that is not a Term End Date. We must receive Notice of your election to transfer prior to or on any Contract Anniversary prior to the Term End Date. Notice of election to transfer under such circumstances must be received at our Annuity Service Office using one of the methods of communication identified in “REQUESTS AND ELECTIONS.” A transfer of the Performance Lock Value will only occur on a Contract Anniversary and you may only transfer the entire amount of the Performance Lock Value to a new Shield Option or to the Fixed Account (if available). On the Term End Date, you have the Transfer Period to transfer all or a portion of the Performance Lock Value.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Availability of Performance Lock with a New Shield Option</w:t>
      </w:r>
    </w:p>
    <w:p>
      <w:pPr>
        <w:spacing w:after="0" w:line="91" w:lineRule="exact"/>
        <w:rPr>
          <w:sz w:val="20"/>
          <w:szCs w:val="20"/>
          <w:color w:val="auto"/>
        </w:rPr>
      </w:pPr>
    </w:p>
    <w:p>
      <w:pPr>
        <w:jc w:val="both"/>
        <w:ind w:right="3199" w:firstLine="265"/>
        <w:spacing w:after="0" w:line="266" w:lineRule="auto"/>
        <w:rPr>
          <w:sz w:val="20"/>
          <w:szCs w:val="20"/>
          <w:color w:val="auto"/>
        </w:rPr>
      </w:pPr>
      <w:r>
        <w:rPr>
          <w:rFonts w:ascii="Times New Roman" w:cs="Times New Roman" w:eastAsia="Times New Roman" w:hAnsi="Times New Roman"/>
          <w:sz w:val="13"/>
          <w:szCs w:val="13"/>
          <w:color w:val="auto"/>
        </w:rPr>
        <w:t>Whether you choose to transfer or renew the Performance Lock Value to a new Shield Option at the Term End Date or transfer the Performance Lock Value to a new Shield Option prior to the Term End Date (or if the Performance Lock Value is automatically renewed or transferred), you will have the ability to elect the Performance Lock on that new Shield Option.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Transfer Requirements for the Fixed Account</w:t>
      </w:r>
    </w:p>
    <w:p>
      <w:pPr>
        <w:spacing w:after="0" w:line="91" w:lineRule="exact"/>
        <w:rPr>
          <w:sz w:val="20"/>
          <w:szCs w:val="20"/>
          <w:color w:val="auto"/>
        </w:rPr>
      </w:pPr>
    </w:p>
    <w:p>
      <w:pPr>
        <w:jc w:val="both"/>
        <w:ind w:right="3199" w:firstLine="265"/>
        <w:spacing w:after="0" w:line="270" w:lineRule="auto"/>
        <w:rPr>
          <w:sz w:val="20"/>
          <w:szCs w:val="20"/>
          <w:color w:val="auto"/>
        </w:rPr>
      </w:pPr>
      <w:r>
        <w:rPr>
          <w:rFonts w:ascii="Times New Roman" w:cs="Times New Roman" w:eastAsia="Times New Roman" w:hAnsi="Times New Roman"/>
          <w:sz w:val="13"/>
          <w:szCs w:val="13"/>
          <w:color w:val="auto"/>
        </w:rPr>
        <w:t>The amounts transferred to the Fixed Account must remain in the Fixed Account until the Fixed Account Term End Date (which, currently, will not be less than one (1) year). If the Fixed Account is not available, these amounts will automatically transfer into the Holding Account unless otherwise instructed by you during the Transfer Period.</w:t>
      </w:r>
    </w:p>
    <w:p>
      <w:pPr>
        <w:spacing w:after="0" w:line="36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3"/>
          <w:szCs w:val="13"/>
          <w:b w:val="1"/>
          <w:bCs w:val="1"/>
          <w:color w:val="auto"/>
        </w:rPr>
        <w:t>PERFORMANCE LOCK</w:t>
      </w:r>
    </w:p>
    <w:p>
      <w:pPr>
        <w:spacing w:after="0" w:line="91" w:lineRule="exact"/>
        <w:rPr>
          <w:sz w:val="20"/>
          <w:szCs w:val="20"/>
          <w:color w:val="auto"/>
        </w:rPr>
      </w:pPr>
    </w:p>
    <w:p>
      <w:pPr>
        <w:jc w:val="both"/>
        <w:ind w:right="3199" w:firstLine="265"/>
        <w:spacing w:after="0" w:line="262" w:lineRule="auto"/>
        <w:rPr>
          <w:sz w:val="20"/>
          <w:szCs w:val="20"/>
          <w:color w:val="auto"/>
        </w:rPr>
      </w:pPr>
      <w:r>
        <w:rPr>
          <w:rFonts w:ascii="Times New Roman" w:cs="Times New Roman" w:eastAsia="Times New Roman" w:hAnsi="Times New Roman"/>
          <w:sz w:val="13"/>
          <w:szCs w:val="13"/>
          <w:color w:val="auto"/>
        </w:rPr>
        <w:t>With the Performance Lock, once during each Term you may elect to lock the Interim Value by providing Notice of election to the Annuity Service Office, using one of the methods identified in “REQUESTS AND ELECTIONS.” You may want to consult with your financial professional before exercising the Performance Lock. If you lock the Interim Value of a Shield Option (the “Performance Lock Value”), this means that under no circumstances will the Performance Lock Value increase or decrease during the remainder of the Term unless a withdrawal is taken.</w:t>
      </w:r>
    </w:p>
    <w:p>
      <w:pPr>
        <w:spacing w:after="0" w:line="53" w:lineRule="exact"/>
        <w:rPr>
          <w:sz w:val="20"/>
          <w:szCs w:val="20"/>
          <w:color w:val="auto"/>
        </w:rPr>
      </w:pPr>
    </w:p>
    <w:p>
      <w:pPr>
        <w:jc w:val="both"/>
        <w:ind w:right="3199" w:firstLine="265"/>
        <w:spacing w:after="0" w:line="266" w:lineRule="auto"/>
        <w:rPr>
          <w:sz w:val="20"/>
          <w:szCs w:val="20"/>
          <w:color w:val="auto"/>
        </w:rPr>
      </w:pPr>
      <w:r>
        <w:rPr>
          <w:rFonts w:ascii="Times New Roman" w:cs="Times New Roman" w:eastAsia="Times New Roman" w:hAnsi="Times New Roman"/>
          <w:sz w:val="13"/>
          <w:szCs w:val="13"/>
          <w:color w:val="auto"/>
        </w:rPr>
        <w:t>The Performance Lock may be requested on any Business Day prior to the Term End Date. We use the Interim Value calculated at the end of the current Business Day on which you exercise the Performance Lock to determine the Performance Lock Value. This means you will not be able to determine in advance the Performance Lock Value, and it may be higher or</w:t>
      </w:r>
    </w:p>
    <w:p>
      <w:pPr>
        <w:spacing w:after="0" w:line="19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color w:val="auto"/>
        </w:rPr>
        <w:t>48</w:t>
      </w:r>
    </w:p>
    <w:p>
      <w:pPr>
        <w:sectPr>
          <w:pgSz w:w="11900" w:h="16838" w:orient="portrait"/>
          <w:cols w:equalWidth="0" w:num="1">
            <w:col w:w="9259"/>
          </w:cols>
          <w:pgMar w:left="1200" w:top="1037" w:right="1440" w:bottom="1440" w:gutter="0" w:footer="0" w:header="0"/>
        </w:sectPr>
      </w:pPr>
    </w:p>
    <w:bookmarkStart w:id="50" w:name="page51"/>
    <w:bookmarkEnd w:id="50"/>
    <w:p>
      <w:pPr>
        <w:jc w:val="both"/>
        <w:ind w:right="3199"/>
        <w:spacing w:after="0" w:line="263"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93915" cy="38100"/>
                    </a:xfrm>
                    <a:prstGeom prst="rect">
                      <a:avLst/>
                    </a:prstGeom>
                    <a:noFill/>
                  </pic:spPr>
                </pic:pic>
              </a:graphicData>
            </a:graphic>
          </wp:anchor>
        </w:drawing>
        <w:t>lower than it was at the point in time you requested the Performance Lock. If the Performance Lock is exercised when the Interim Value is less than the Investment Amount, you will lock in any loss, which could be below the Shield Rate. You may obtain your Interim Value on any Business Day by calling us at (888) 243-1932 or by accessing our website at www.brighthousefinancial.com. However, Interim Values fluctuate daily, and the current value(s) quoted may differ from the actual value(s) calculated at the time the Performance Lock is exercised.</w:t>
      </w:r>
    </w:p>
    <w:p>
      <w:pPr>
        <w:spacing w:after="0" w:line="54" w:lineRule="exact"/>
        <w:rPr>
          <w:sz w:val="20"/>
          <w:szCs w:val="20"/>
          <w:color w:val="auto"/>
        </w:rPr>
      </w:pPr>
    </w:p>
    <w:p>
      <w:pPr>
        <w:jc w:val="both"/>
        <w:ind w:right="3199" w:firstLine="265"/>
        <w:spacing w:after="0" w:line="263" w:lineRule="auto"/>
        <w:rPr>
          <w:sz w:val="20"/>
          <w:szCs w:val="20"/>
          <w:color w:val="auto"/>
        </w:rPr>
      </w:pPr>
      <w:r>
        <w:rPr>
          <w:rFonts w:ascii="Times New Roman" w:cs="Times New Roman" w:eastAsia="Times New Roman" w:hAnsi="Times New Roman"/>
          <w:sz w:val="13"/>
          <w:szCs w:val="13"/>
          <w:color w:val="auto"/>
        </w:rPr>
        <w:t>If we receive your Notice of election on a day that is not a Business Day, or after 4 PM Eastern Standard Time on a Business Day, the Notice of election will be deemed to have been received on the next Business Day. If multiple Notices of election are submitted during a Business Day, the last Notice received prior to 4 PM Eastern Standard Time or the close of the NYSE, whichever is earlier will be utilized. If the Performance Lock takes effect, subsequent Notices of election will be disregarded.</w:t>
      </w:r>
    </w:p>
    <w:p>
      <w:pPr>
        <w:spacing w:after="0" w:line="54" w:lineRule="exact"/>
        <w:rPr>
          <w:sz w:val="20"/>
          <w:szCs w:val="20"/>
          <w:color w:val="auto"/>
        </w:rPr>
      </w:pPr>
    </w:p>
    <w:p>
      <w:pPr>
        <w:jc w:val="both"/>
        <w:ind w:right="3199" w:firstLine="265"/>
        <w:spacing w:after="0" w:line="260" w:lineRule="auto"/>
        <w:rPr>
          <w:sz w:val="20"/>
          <w:szCs w:val="20"/>
          <w:color w:val="auto"/>
        </w:rPr>
      </w:pPr>
      <w:r>
        <w:rPr>
          <w:rFonts w:ascii="Times New Roman" w:cs="Times New Roman" w:eastAsia="Times New Roman" w:hAnsi="Times New Roman"/>
          <w:sz w:val="13"/>
          <w:szCs w:val="13"/>
          <w:color w:val="auto"/>
        </w:rPr>
        <w:t>Once the Performance Lock is exercised for a Shield Option, it is irrevocable for the remainder of that Term. The Performance Lock Value will be used as the value of that Shield Option for the remainder of the Term. This means, you will no longer participate in the Index Performance for the current Term and you may receive less than the full Cap Rate, Step Rate, or Edge Rate, or less than the full protection of the Shield Rate, than you would have received if you waited for us to apply the Performance Rate Adjustment on the Term End Date. It is possible that you would have realized less of a loss or more of a gain if the Performance Lock occurred at a later time, or if the Shield Option was not locked.</w:t>
      </w:r>
    </w:p>
    <w:p>
      <w:pPr>
        <w:spacing w:after="0" w:line="57" w:lineRule="exact"/>
        <w:rPr>
          <w:sz w:val="20"/>
          <w:szCs w:val="20"/>
          <w:color w:val="auto"/>
        </w:rPr>
      </w:pPr>
    </w:p>
    <w:p>
      <w:pPr>
        <w:jc w:val="both"/>
        <w:ind w:right="3199" w:firstLine="265"/>
        <w:spacing w:after="0" w:line="266" w:lineRule="auto"/>
        <w:rPr>
          <w:sz w:val="20"/>
          <w:szCs w:val="20"/>
          <w:color w:val="auto"/>
        </w:rPr>
      </w:pPr>
      <w:r>
        <w:rPr>
          <w:rFonts w:ascii="Times New Roman" w:cs="Times New Roman" w:eastAsia="Times New Roman" w:hAnsi="Times New Roman"/>
          <w:sz w:val="13"/>
          <w:szCs w:val="13"/>
          <w:color w:val="auto"/>
        </w:rPr>
        <w:t>Only one Performance Lock can occur for any given Shield Option during a Term. The Performance Lock cannot be applied retroactively and must be for the full amount of the Interim Value at the end of the Business Day that we receive your request. Performance Lock requests for any amount other than the Interim Value are not permitted.</w:t>
      </w:r>
    </w:p>
    <w:p>
      <w:pPr>
        <w:spacing w:after="0" w:line="52" w:lineRule="exact"/>
        <w:rPr>
          <w:sz w:val="20"/>
          <w:szCs w:val="20"/>
          <w:color w:val="auto"/>
        </w:rPr>
      </w:pPr>
    </w:p>
    <w:p>
      <w:pPr>
        <w:jc w:val="both"/>
        <w:ind w:right="3199" w:firstLine="265"/>
        <w:spacing w:after="0" w:line="262" w:lineRule="auto"/>
        <w:rPr>
          <w:sz w:val="20"/>
          <w:szCs w:val="20"/>
          <w:color w:val="auto"/>
        </w:rPr>
      </w:pPr>
      <w:r>
        <w:rPr>
          <w:rFonts w:ascii="Times New Roman" w:cs="Times New Roman" w:eastAsia="Times New Roman" w:hAnsi="Times New Roman"/>
          <w:sz w:val="13"/>
          <w:szCs w:val="13"/>
          <w:color w:val="auto"/>
        </w:rPr>
        <w:t>Once a Shield Option is locked, the Performance Lock Value will not change for the rest of the Term, except that the Performance Lock Value will reflect any subsequent withdrawals that occur during the remainder of the Term. Withdrawals will reduce the Performance Lock Value by the dollar amount of the withdrawal. The amount in the Shield Option that is available before the Term End Date for annuitization, death benefits, withdrawals, and Surrenders will be the Performance Lock Value. The Performance Lock Value (reduced for any withdrawals from the locked value) is also the amount that is available for reallocation or transfer for a new Term.</w:t>
      </w:r>
    </w:p>
    <w:p>
      <w:pPr>
        <w:spacing w:after="0" w:line="53" w:lineRule="exact"/>
        <w:rPr>
          <w:sz w:val="20"/>
          <w:szCs w:val="20"/>
          <w:color w:val="auto"/>
        </w:rPr>
      </w:pPr>
    </w:p>
    <w:p>
      <w:pPr>
        <w:jc w:val="both"/>
        <w:ind w:right="3199" w:firstLine="265"/>
        <w:spacing w:after="0" w:line="262" w:lineRule="auto"/>
        <w:rPr>
          <w:sz w:val="20"/>
          <w:szCs w:val="20"/>
          <w:color w:val="auto"/>
        </w:rPr>
      </w:pPr>
      <w:r>
        <w:rPr>
          <w:rFonts w:ascii="Times New Roman" w:cs="Times New Roman" w:eastAsia="Times New Roman" w:hAnsi="Times New Roman"/>
          <w:sz w:val="13"/>
          <w:szCs w:val="13"/>
          <w:color w:val="auto"/>
        </w:rPr>
        <w:t>Upon executing the Performance Lock, the Performance Lock Value will remain in the Shield Option and you have the option of (1) transferring the entire Performance Lock Value to any available Shield Option or to the Fixed Account on any Contract Anniversary occurring prior to the Term End Date or (2) remaining in your current Shield Option until the Term End Date and either (i) transferring all or a portion of the Performance Lock Value to a new Shield Option or to the Fixed Account (if available) or (ii) renewing all or a portion into the same Shield Option (if available) for a new Term. See “Transfers” above for additional information.</w:t>
      </w:r>
    </w:p>
    <w:p>
      <w:pPr>
        <w:spacing w:after="0" w:line="53" w:lineRule="exact"/>
        <w:rPr>
          <w:sz w:val="20"/>
          <w:szCs w:val="20"/>
          <w:color w:val="auto"/>
        </w:rPr>
      </w:pPr>
    </w:p>
    <w:p>
      <w:pPr>
        <w:jc w:val="both"/>
        <w:ind w:right="3199" w:firstLine="265"/>
        <w:spacing w:after="0" w:line="290" w:lineRule="auto"/>
        <w:rPr>
          <w:sz w:val="20"/>
          <w:szCs w:val="20"/>
          <w:color w:val="auto"/>
        </w:rPr>
      </w:pPr>
      <w:r>
        <w:rPr>
          <w:rFonts w:ascii="Times New Roman" w:cs="Times New Roman" w:eastAsia="Times New Roman" w:hAnsi="Times New Roman"/>
          <w:sz w:val="13"/>
          <w:szCs w:val="13"/>
          <w:color w:val="auto"/>
        </w:rPr>
        <w:t>There may not be an optimal time to exercise the Performance Lock on a Shield Option. We will not advise you as to whether you should or should not exercise the Performance Lock, or the optimal time for doing so.</w:t>
      </w:r>
    </w:p>
    <w:p>
      <w:pPr>
        <w:spacing w:after="0" w:line="36" w:lineRule="exact"/>
        <w:rPr>
          <w:sz w:val="20"/>
          <w:szCs w:val="20"/>
          <w:color w:val="auto"/>
        </w:rPr>
      </w:pPr>
    </w:p>
    <w:p>
      <w:pPr>
        <w:jc w:val="both"/>
        <w:ind w:right="3199" w:firstLine="265"/>
        <w:spacing w:after="0" w:line="290" w:lineRule="auto"/>
        <w:rPr>
          <w:sz w:val="20"/>
          <w:szCs w:val="20"/>
          <w:color w:val="auto"/>
        </w:rPr>
      </w:pPr>
      <w:r>
        <w:rPr>
          <w:rFonts w:ascii="Times New Roman" w:cs="Times New Roman" w:eastAsia="Times New Roman" w:hAnsi="Times New Roman"/>
          <w:sz w:val="13"/>
          <w:szCs w:val="13"/>
          <w:color w:val="auto"/>
        </w:rPr>
        <w:t>We reserve the right to limit the use of the Performance Lock feature for certain Shield Options. Additionally, we may discontinue the use of this feature for future Performance Lock requests at any time.</w:t>
      </w:r>
    </w:p>
    <w:p>
      <w:pPr>
        <w:spacing w:after="0" w:line="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We currently offer the Performance Lock with all Shield Options.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Example 5—Calculating the Performance Lock Value</w:t>
      </w:r>
    </w:p>
    <w:p>
      <w:pPr>
        <w:spacing w:after="0" w:line="93" w:lineRule="exact"/>
        <w:rPr>
          <w:sz w:val="20"/>
          <w:szCs w:val="20"/>
          <w:color w:val="auto"/>
        </w:rPr>
      </w:pPr>
    </w:p>
    <w:p>
      <w:pPr>
        <w:jc w:val="both"/>
        <w:ind w:right="3199" w:firstLine="265"/>
        <w:spacing w:after="0" w:line="249" w:lineRule="auto"/>
        <w:rPr>
          <w:sz w:val="20"/>
          <w:szCs w:val="20"/>
          <w:color w:val="auto"/>
        </w:rPr>
      </w:pPr>
      <w:r>
        <w:rPr>
          <w:rFonts w:ascii="Times New Roman" w:cs="Times New Roman" w:eastAsia="Times New Roman" w:hAnsi="Times New Roman"/>
          <w:sz w:val="13"/>
          <w:szCs w:val="13"/>
          <w:color w:val="auto"/>
        </w:rPr>
        <w:t>Examples 5A and 5B are intended to show how the Performance Lock works. The examples assume a $100,000 Purchase Payment allocation to a 1-Year Term / Shield 10 / S&amp;P 500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Index with a Cap Rate of 10%. Example 5A illustrates the Performance Lock by locking in the Interim Value on the Business Day you request to exercise the Performance Lock, which in this example occurs halfway in the 1-Year Term. Example 5B illustrates the Performance Lock by calculating the remaining Performance Lock Value after a subsequent $50,000 withdrawal (including Withdrawal Charges) is taken halfway through the 1-Year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color w:val="auto"/>
        </w:rPr>
        <w:t>49</w:t>
      </w:r>
    </w:p>
    <w:p>
      <w:pPr>
        <w:sectPr>
          <w:pgSz w:w="11900" w:h="16838" w:orient="portrait"/>
          <w:cols w:equalWidth="0" w:num="1">
            <w:col w:w="9259"/>
          </w:cols>
          <w:pgMar w:left="1200" w:top="1049"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93915" cy="38100"/>
                    </a:xfrm>
                    <a:prstGeom prst="rect">
                      <a:avLst/>
                    </a:prstGeom>
                    <a:noFill/>
                  </pic:spPr>
                </pic:pic>
              </a:graphicData>
            </a:graphic>
          </wp:anchor>
        </w:drawing>
        <w:t>Example 5A—Locking in an Interim Value (no withdrawals):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36195</wp:posOffset>
            </wp:positionV>
            <wp:extent cx="3861435" cy="18834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861435" cy="1883410"/>
                    </a:xfrm>
                    <a:prstGeom prst="rect">
                      <a:avLst/>
                    </a:prstGeom>
                    <a:noFill/>
                  </pic:spPr>
                </pic:pic>
              </a:graphicData>
            </a:graphic>
          </wp:anchor>
        </w:drawing>
      </w:r>
    </w:p>
    <w:p>
      <w:pPr>
        <w:spacing w:after="0" w:line="6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Term Start Date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Borders>
              <w:top w:val="single" w:sz="8" w:color="auto"/>
              <w:bottom w:val="single" w:sz="8" w:color="auto"/>
            </w:tcBorders>
          </w:tcPr>
          <w:p>
            <w:pPr>
              <w:spacing w:after="0"/>
              <w:rPr>
                <w:sz w:val="17"/>
                <w:szCs w:val="17"/>
                <w:color w:val="auto"/>
              </w:rPr>
            </w:pPr>
          </w:p>
        </w:tc>
        <w:tc>
          <w:tcPr>
            <w:tcW w:w="4720" w:type="dxa"/>
            <w:vAlign w:val="bottom"/>
            <w:tcBorders>
              <w:top w:val="single" w:sz="8" w:color="auto"/>
              <w:bottom w:val="single" w:sz="8" w:color="auto"/>
              <w:right w:val="single" w:sz="8" w:color="auto"/>
            </w:tcBorders>
            <w:gridSpan w:val="2"/>
            <w:shd w:val="clear" w:color="auto" w:fill="F0FFFF"/>
          </w:tcPr>
          <w:p>
            <w:pPr>
              <w:ind w:left="180"/>
              <w:spacing w:after="0"/>
              <w:rPr>
                <w:sz w:val="20"/>
                <w:szCs w:val="20"/>
                <w:color w:val="auto"/>
              </w:rPr>
            </w:pPr>
            <w:r>
              <w:rPr>
                <w:rFonts w:ascii="Times New Roman" w:cs="Times New Roman" w:eastAsia="Times New Roman" w:hAnsi="Times New Roman"/>
                <w:sz w:val="13"/>
                <w:szCs w:val="13"/>
                <w:color w:val="auto"/>
              </w:rPr>
              <w:t>Investment Amount</w:t>
            </w:r>
          </w:p>
        </w:tc>
        <w:tc>
          <w:tcPr>
            <w:tcW w:w="1320" w:type="dxa"/>
            <w:vAlign w:val="bottom"/>
            <w:tcBorders>
              <w:top w:val="single" w:sz="8" w:color="auto"/>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$100,000</w:t>
            </w:r>
          </w:p>
        </w:tc>
        <w:tc>
          <w:tcPr>
            <w:tcW w:w="20" w:type="dxa"/>
            <w:vAlign w:val="bottom"/>
            <w:tcBorders>
              <w:top w:val="single" w:sz="8" w:color="auto"/>
              <w:bottom w:val="single" w:sz="8" w:color="auto"/>
            </w:tcBorders>
          </w:tcPr>
          <w:p>
            <w:pPr>
              <w:spacing w:after="0"/>
              <w:rPr>
                <w:sz w:val="17"/>
                <w:szCs w:val="17"/>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472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color w:val="auto"/>
              </w:rPr>
              <w:t>Shield Rate</w:t>
            </w:r>
          </w:p>
        </w:tc>
        <w:tc>
          <w:tcPr>
            <w:tcW w:w="134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3"/>
                <w:szCs w:val="13"/>
                <w:color w:val="auto"/>
              </w:rPr>
              <w:t>Shield 10</w:t>
            </w:r>
          </w:p>
        </w:tc>
      </w:tr>
      <w:tr>
        <w:trPr>
          <w:trHeight w:val="188"/>
        </w:trPr>
        <w:tc>
          <w:tcPr>
            <w:tcW w:w="20" w:type="dxa"/>
            <w:vAlign w:val="bottom"/>
            <w:tcBorders>
              <w:bottom w:val="single" w:sz="8" w:color="auto"/>
            </w:tcBorders>
          </w:tcPr>
          <w:p>
            <w:pPr>
              <w:spacing w:after="0"/>
              <w:rPr>
                <w:sz w:val="16"/>
                <w:szCs w:val="16"/>
                <w:color w:val="auto"/>
              </w:rPr>
            </w:pPr>
          </w:p>
        </w:tc>
        <w:tc>
          <w:tcPr>
            <w:tcW w:w="4720" w:type="dxa"/>
            <w:vAlign w:val="bottom"/>
            <w:tcBorders>
              <w:bottom w:val="single" w:sz="8" w:color="auto"/>
              <w:right w:val="single" w:sz="8" w:color="auto"/>
            </w:tcBorders>
            <w:gridSpan w:val="2"/>
            <w:shd w:val="clear" w:color="auto" w:fill="F0FFFF"/>
          </w:tcPr>
          <w:p>
            <w:pPr>
              <w:ind w:left="180"/>
              <w:spacing w:after="0"/>
              <w:rPr>
                <w:sz w:val="20"/>
                <w:szCs w:val="20"/>
                <w:color w:val="auto"/>
              </w:rPr>
            </w:pPr>
            <w:r>
              <w:rPr>
                <w:rFonts w:ascii="Times New Roman" w:cs="Times New Roman" w:eastAsia="Times New Roman" w:hAnsi="Times New Roman"/>
                <w:sz w:val="13"/>
                <w:szCs w:val="13"/>
                <w:color w:val="auto"/>
              </w:rPr>
              <w:t>Cap Rate</w:t>
            </w:r>
          </w:p>
        </w:tc>
        <w:tc>
          <w:tcPr>
            <w:tcW w:w="13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20" w:type="dxa"/>
            <w:vAlign w:val="bottom"/>
            <w:tcBorders>
              <w:bottom w:val="single" w:sz="8" w:color="auto"/>
            </w:tcBorders>
          </w:tcPr>
          <w:p>
            <w:pPr>
              <w:spacing w:after="0"/>
              <w:rPr>
                <w:sz w:val="16"/>
                <w:szCs w:val="16"/>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472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color w:val="auto"/>
              </w:rPr>
              <w:t>Index Value</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1,000</w:t>
            </w:r>
          </w:p>
        </w:tc>
        <w:tc>
          <w:tcPr>
            <w:tcW w:w="20" w:type="dxa"/>
            <w:vAlign w:val="bottom"/>
            <w:tcBorders>
              <w:bottom w:val="single" w:sz="8" w:color="auto"/>
            </w:tcBorders>
          </w:tcPr>
          <w:p>
            <w:pPr>
              <w:spacing w:after="0"/>
              <w:rPr>
                <w:sz w:val="16"/>
                <w:szCs w:val="16"/>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4720" w:type="dxa"/>
            <w:vAlign w:val="bottom"/>
            <w:tcBorders>
              <w:bottom w:val="single" w:sz="8" w:color="auto"/>
              <w:right w:val="single" w:sz="8" w:color="F0FFFF"/>
            </w:tcBorders>
            <w:gridSpan w:val="2"/>
            <w:shd w:val="clear" w:color="auto" w:fill="F0FFFF"/>
          </w:tcPr>
          <w:p>
            <w:pPr>
              <w:ind w:left="60"/>
              <w:spacing w:after="0"/>
              <w:rPr>
                <w:sz w:val="20"/>
                <w:szCs w:val="20"/>
                <w:color w:val="auto"/>
              </w:rPr>
            </w:pPr>
            <w:r>
              <w:rPr>
                <w:rFonts w:ascii="Times New Roman" w:cs="Times New Roman" w:eastAsia="Times New Roman" w:hAnsi="Times New Roman"/>
                <w:sz w:val="13"/>
                <w:szCs w:val="13"/>
                <w:b w:val="1"/>
                <w:bCs w:val="1"/>
                <w:color w:val="auto"/>
              </w:rPr>
              <w:t>Interim Value Calculation Halfway Through Term</w:t>
            </w:r>
          </w:p>
        </w:tc>
        <w:tc>
          <w:tcPr>
            <w:tcW w:w="1320" w:type="dxa"/>
            <w:vAlign w:val="bottom"/>
            <w:tcBorders>
              <w:bottom w:val="single" w:sz="8" w:color="auto"/>
            </w:tcBorders>
            <w:shd w:val="clear" w:color="auto" w:fill="F0FFFF"/>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472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color w:val="auto"/>
              </w:rPr>
              <w:t>Index Value</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1,200</w:t>
            </w:r>
          </w:p>
        </w:tc>
        <w:tc>
          <w:tcPr>
            <w:tcW w:w="20" w:type="dxa"/>
            <w:vAlign w:val="bottom"/>
            <w:tcBorders>
              <w:bottom w:val="single" w:sz="8" w:color="auto"/>
            </w:tcBorders>
          </w:tcPr>
          <w:p>
            <w:pPr>
              <w:spacing w:after="0"/>
              <w:rPr>
                <w:sz w:val="16"/>
                <w:szCs w:val="16"/>
                <w:color w:val="auto"/>
              </w:rPr>
            </w:pPr>
          </w:p>
        </w:tc>
      </w:tr>
      <w:tr>
        <w:trPr>
          <w:trHeight w:val="208"/>
        </w:trPr>
        <w:tc>
          <w:tcPr>
            <w:tcW w:w="20" w:type="dxa"/>
            <w:vAlign w:val="bottom"/>
            <w:tcBorders>
              <w:bottom w:val="single" w:sz="8" w:color="auto"/>
            </w:tcBorders>
          </w:tcPr>
          <w:p>
            <w:pPr>
              <w:spacing w:after="0"/>
              <w:rPr>
                <w:sz w:val="18"/>
                <w:szCs w:val="18"/>
                <w:color w:val="auto"/>
              </w:rPr>
            </w:pPr>
          </w:p>
        </w:tc>
        <w:tc>
          <w:tcPr>
            <w:tcW w:w="4720" w:type="dxa"/>
            <w:vAlign w:val="bottom"/>
            <w:tcBorders>
              <w:bottom w:val="single" w:sz="8" w:color="auto"/>
              <w:right w:val="single" w:sz="8" w:color="auto"/>
            </w:tcBorders>
            <w:gridSpan w:val="2"/>
            <w:shd w:val="clear" w:color="auto" w:fill="F0FFFF"/>
          </w:tcPr>
          <w:p>
            <w:pPr>
              <w:ind w:left="180"/>
              <w:spacing w:after="0"/>
              <w:rPr>
                <w:sz w:val="20"/>
                <w:szCs w:val="20"/>
                <w:color w:val="auto"/>
              </w:rPr>
            </w:pPr>
            <w:r>
              <w:rPr>
                <w:rFonts w:ascii="Times New Roman" w:cs="Times New Roman" w:eastAsia="Times New Roman" w:hAnsi="Times New Roman"/>
                <w:sz w:val="13"/>
                <w:szCs w:val="13"/>
                <w:color w:val="auto"/>
              </w:rPr>
              <w:t>Index Performance</w:t>
            </w:r>
            <w:r>
              <w:rPr>
                <w:rFonts w:ascii="Times New Roman" w:cs="Times New Roman" w:eastAsia="Times New Roman" w:hAnsi="Times New Roman"/>
                <w:sz w:val="17"/>
                <w:szCs w:val="17"/>
                <w:color w:val="auto"/>
                <w:vertAlign w:val="superscript"/>
              </w:rPr>
              <w:t>(1)</w:t>
            </w:r>
          </w:p>
        </w:tc>
        <w:tc>
          <w:tcPr>
            <w:tcW w:w="13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20%</w:t>
            </w:r>
          </w:p>
        </w:tc>
        <w:tc>
          <w:tcPr>
            <w:tcW w:w="20" w:type="dxa"/>
            <w:vAlign w:val="bottom"/>
            <w:tcBorders>
              <w:bottom w:val="single" w:sz="8" w:color="auto"/>
            </w:tcBorders>
          </w:tcPr>
          <w:p>
            <w:pPr>
              <w:spacing w:after="0"/>
              <w:rPr>
                <w:sz w:val="18"/>
                <w:szCs w:val="18"/>
                <w:color w:val="auto"/>
              </w:rPr>
            </w:pPr>
          </w:p>
        </w:tc>
      </w:tr>
      <w:tr>
        <w:trPr>
          <w:trHeight w:val="179"/>
        </w:trPr>
        <w:tc>
          <w:tcPr>
            <w:tcW w:w="20" w:type="dxa"/>
            <w:vAlign w:val="bottom"/>
            <w:tcBorders>
              <w:bottom w:val="single" w:sz="8" w:color="auto"/>
            </w:tcBorders>
          </w:tcPr>
          <w:p>
            <w:pPr>
              <w:spacing w:after="0"/>
              <w:rPr>
                <w:sz w:val="15"/>
                <w:szCs w:val="15"/>
                <w:color w:val="auto"/>
              </w:rPr>
            </w:pPr>
          </w:p>
        </w:tc>
        <w:tc>
          <w:tcPr>
            <w:tcW w:w="472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color w:val="auto"/>
              </w:rPr>
              <w:t>Time Remaining in Shield Option (in months)</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6</w:t>
            </w:r>
          </w:p>
        </w:tc>
        <w:tc>
          <w:tcPr>
            <w:tcW w:w="20" w:type="dxa"/>
            <w:vAlign w:val="bottom"/>
            <w:tcBorders>
              <w:bottom w:val="single" w:sz="8" w:color="auto"/>
            </w:tcBorders>
          </w:tcPr>
          <w:p>
            <w:pPr>
              <w:spacing w:after="0"/>
              <w:rPr>
                <w:sz w:val="15"/>
                <w:szCs w:val="15"/>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4720" w:type="dxa"/>
            <w:vAlign w:val="bottom"/>
            <w:tcBorders>
              <w:bottom w:val="single" w:sz="8" w:color="auto"/>
              <w:right w:val="single" w:sz="8" w:color="auto"/>
            </w:tcBorders>
            <w:gridSpan w:val="2"/>
            <w:shd w:val="clear" w:color="auto" w:fill="F0FFFF"/>
          </w:tcPr>
          <w:p>
            <w:pPr>
              <w:ind w:left="180"/>
              <w:spacing w:after="0"/>
              <w:rPr>
                <w:sz w:val="20"/>
                <w:szCs w:val="20"/>
                <w:color w:val="auto"/>
              </w:rPr>
            </w:pPr>
            <w:r>
              <w:rPr>
                <w:rFonts w:ascii="Times New Roman" w:cs="Times New Roman" w:eastAsia="Times New Roman" w:hAnsi="Times New Roman"/>
                <w:sz w:val="13"/>
                <w:szCs w:val="13"/>
                <w:color w:val="auto"/>
              </w:rPr>
              <w:t>Market Value Rate on calculation date</w:t>
            </w:r>
          </w:p>
        </w:tc>
        <w:tc>
          <w:tcPr>
            <w:tcW w:w="13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tcBorders>
              <w:bottom w:val="single" w:sz="8" w:color="auto"/>
            </w:tcBorders>
          </w:tcPr>
          <w:p>
            <w:pPr>
              <w:spacing w:after="0"/>
              <w:rPr>
                <w:sz w:val="16"/>
                <w:szCs w:val="16"/>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472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color w:val="auto"/>
              </w:rPr>
              <w:t>Market value of Fixed Income Asset Proxy</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$98,904.80</w:t>
            </w:r>
          </w:p>
        </w:tc>
        <w:tc>
          <w:tcPr>
            <w:tcW w:w="20" w:type="dxa"/>
            <w:vAlign w:val="bottom"/>
            <w:tcBorders>
              <w:bottom w:val="single" w:sz="8" w:color="auto"/>
            </w:tcBorders>
          </w:tcPr>
          <w:p>
            <w:pPr>
              <w:spacing w:after="0"/>
              <w:rPr>
                <w:sz w:val="16"/>
                <w:szCs w:val="16"/>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4720" w:type="dxa"/>
            <w:vAlign w:val="bottom"/>
            <w:tcBorders>
              <w:bottom w:val="single" w:sz="8" w:color="auto"/>
              <w:right w:val="single" w:sz="8" w:color="auto"/>
            </w:tcBorders>
            <w:gridSpan w:val="2"/>
            <w:shd w:val="clear" w:color="auto" w:fill="F0FFFF"/>
          </w:tcPr>
          <w:p>
            <w:pPr>
              <w:ind w:left="180"/>
              <w:spacing w:after="0"/>
              <w:rPr>
                <w:sz w:val="20"/>
                <w:szCs w:val="20"/>
                <w:color w:val="auto"/>
              </w:rPr>
            </w:pPr>
            <w:r>
              <w:rPr>
                <w:rFonts w:ascii="Times New Roman" w:cs="Times New Roman" w:eastAsia="Times New Roman" w:hAnsi="Times New Roman"/>
                <w:sz w:val="13"/>
                <w:szCs w:val="13"/>
                <w:color w:val="auto"/>
              </w:rPr>
              <w:t>Market value of Derivative Asset Proxy</w:t>
            </w:r>
          </w:p>
        </w:tc>
        <w:tc>
          <w:tcPr>
            <w:tcW w:w="13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w w:val="99"/>
              </w:rPr>
              <w:t>$8,124.74</w:t>
            </w:r>
          </w:p>
        </w:tc>
        <w:tc>
          <w:tcPr>
            <w:tcW w:w="20" w:type="dxa"/>
            <w:vAlign w:val="bottom"/>
            <w:tcBorders>
              <w:bottom w:val="single" w:sz="8" w:color="auto"/>
            </w:tcBorders>
          </w:tcPr>
          <w:p>
            <w:pPr>
              <w:spacing w:after="0"/>
              <w:rPr>
                <w:sz w:val="16"/>
                <w:szCs w:val="16"/>
                <w:color w:val="auto"/>
              </w:rPr>
            </w:pPr>
          </w:p>
        </w:tc>
      </w:tr>
      <w:tr>
        <w:trPr>
          <w:trHeight w:val="208"/>
        </w:trPr>
        <w:tc>
          <w:tcPr>
            <w:tcW w:w="20" w:type="dxa"/>
            <w:vAlign w:val="bottom"/>
            <w:tcBorders>
              <w:bottom w:val="single" w:sz="8" w:color="auto"/>
            </w:tcBorders>
          </w:tcPr>
          <w:p>
            <w:pPr>
              <w:spacing w:after="0"/>
              <w:rPr>
                <w:sz w:val="18"/>
                <w:szCs w:val="18"/>
                <w:color w:val="auto"/>
              </w:rPr>
            </w:pPr>
          </w:p>
        </w:tc>
        <w:tc>
          <w:tcPr>
            <w:tcW w:w="472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color w:val="auto"/>
              </w:rPr>
              <w:t>Interim Value of Shield Option</w:t>
            </w:r>
            <w:r>
              <w:rPr>
                <w:rFonts w:ascii="Times New Roman" w:cs="Times New Roman" w:eastAsia="Times New Roman" w:hAnsi="Times New Roman"/>
                <w:sz w:val="17"/>
                <w:szCs w:val="17"/>
                <w:color w:val="auto"/>
                <w:vertAlign w:val="superscript"/>
              </w:rPr>
              <w:t>(2)</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$107,029.53</w:t>
            </w:r>
          </w:p>
        </w:tc>
        <w:tc>
          <w:tcPr>
            <w:tcW w:w="20" w:type="dxa"/>
            <w:vAlign w:val="bottom"/>
            <w:tcBorders>
              <w:bottom w:val="single" w:sz="8" w:color="auto"/>
            </w:tcBorders>
          </w:tcPr>
          <w:p>
            <w:pPr>
              <w:spacing w:after="0"/>
              <w:rPr>
                <w:sz w:val="18"/>
                <w:szCs w:val="18"/>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4720" w:type="dxa"/>
            <w:vAlign w:val="bottom"/>
            <w:tcBorders>
              <w:bottom w:val="single" w:sz="8" w:color="auto"/>
              <w:right w:val="single" w:sz="8" w:color="auto"/>
            </w:tcBorders>
            <w:gridSpan w:val="2"/>
            <w:shd w:val="clear" w:color="auto" w:fill="F0FFFF"/>
          </w:tcPr>
          <w:p>
            <w:pPr>
              <w:ind w:left="180"/>
              <w:spacing w:after="0" w:line="184" w:lineRule="exact"/>
              <w:rPr>
                <w:sz w:val="20"/>
                <w:szCs w:val="20"/>
                <w:color w:val="auto"/>
              </w:rPr>
            </w:pPr>
            <w:r>
              <w:rPr>
                <w:rFonts w:ascii="Times New Roman" w:cs="Times New Roman" w:eastAsia="Times New Roman" w:hAnsi="Times New Roman"/>
                <w:sz w:val="13"/>
                <w:szCs w:val="13"/>
                <w:b w:val="1"/>
                <w:bCs w:val="1"/>
                <w:color w:val="auto"/>
              </w:rPr>
              <w:t>Performance Lock Value</w:t>
            </w:r>
            <w:r>
              <w:rPr>
                <w:rFonts w:ascii="Times New Roman" w:cs="Times New Roman" w:eastAsia="Times New Roman" w:hAnsi="Times New Roman"/>
                <w:sz w:val="17"/>
                <w:szCs w:val="17"/>
                <w:color w:val="auto"/>
                <w:vertAlign w:val="superscript"/>
              </w:rPr>
              <w:t>(3)</w:t>
            </w:r>
          </w:p>
        </w:tc>
        <w:tc>
          <w:tcPr>
            <w:tcW w:w="13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b w:val="1"/>
                <w:bCs w:val="1"/>
                <w:color w:val="auto"/>
              </w:rPr>
              <w:t>$107,029.53</w:t>
            </w:r>
          </w:p>
        </w:tc>
        <w:tc>
          <w:tcPr>
            <w:tcW w:w="20" w:type="dxa"/>
            <w:vAlign w:val="bottom"/>
            <w:tcBorders>
              <w:bottom w:val="single" w:sz="8" w:color="auto"/>
            </w:tcBorders>
          </w:tcPr>
          <w:p>
            <w:pPr>
              <w:spacing w:after="0"/>
              <w:rPr>
                <w:sz w:val="15"/>
                <w:szCs w:val="15"/>
                <w:color w:val="auto"/>
              </w:rPr>
            </w:pPr>
          </w:p>
        </w:tc>
      </w:tr>
      <w:tr>
        <w:trPr>
          <w:trHeight w:val="134"/>
        </w:trPr>
        <w:tc>
          <w:tcPr>
            <w:tcW w:w="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9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-31115</wp:posOffset>
            </wp:positionV>
            <wp:extent cx="31750" cy="44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1750" cy="4445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-31115</wp:posOffset>
            </wp:positionV>
            <wp:extent cx="31750" cy="44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1750" cy="4445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The following notes to the table above provide important calculations showing how certain values are determined.</w:t>
      </w:r>
    </w:p>
    <w:p>
      <w:pPr>
        <w:spacing w:after="0" w:line="216" w:lineRule="auto"/>
        <w:rPr>
          <w:sz w:val="20"/>
          <w:szCs w:val="20"/>
          <w:color w:val="auto"/>
        </w:rPr>
      </w:pPr>
      <w:r>
        <w:rPr>
          <w:rFonts w:ascii="Times New Roman" w:cs="Times New Roman" w:eastAsia="Times New Roman" w:hAnsi="Times New Roman"/>
          <w:sz w:val="6"/>
          <w:szCs w:val="6"/>
          <w:color w:val="auto"/>
        </w:rPr>
        <w:t>(1)</w:t>
      </w:r>
    </w:p>
    <w:p>
      <w:pPr>
        <w:jc w:val="both"/>
        <w:ind w:left="260" w:right="3259"/>
        <w:spacing w:after="0" w:line="238" w:lineRule="auto"/>
        <w:rPr>
          <w:sz w:val="20"/>
          <w:szCs w:val="20"/>
          <w:color w:val="auto"/>
        </w:rPr>
      </w:pPr>
      <w:r>
        <w:rPr>
          <w:rFonts w:ascii="Times New Roman" w:cs="Times New Roman" w:eastAsia="Times New Roman" w:hAnsi="Times New Roman"/>
          <w:sz w:val="13"/>
          <w:szCs w:val="13"/>
          <w:color w:val="auto"/>
        </w:rPr>
        <w:t>Index Performance is equal to the percentage change in the Index Value measured from the Term Start Date to the date of the Interim Value calculation. Index Performance is calculated as follows:</w:t>
      </w:r>
    </w:p>
    <w:p>
      <w:pPr>
        <w:spacing w:after="0" w:line="37" w:lineRule="exact"/>
        <w:rPr>
          <w:sz w:val="20"/>
          <w:szCs w:val="20"/>
          <w:color w:val="auto"/>
        </w:rPr>
      </w:pPr>
    </w:p>
    <w:p>
      <w:pPr>
        <w:jc w:val="center"/>
        <w:ind w:right="3219"/>
        <w:spacing w:after="0"/>
        <w:rPr>
          <w:sz w:val="20"/>
          <w:szCs w:val="20"/>
          <w:color w:val="auto"/>
        </w:rPr>
      </w:pPr>
      <w:r>
        <w:rPr>
          <w:rFonts w:ascii="Times New Roman" w:cs="Times New Roman" w:eastAsia="Times New Roman" w:hAnsi="Times New Roman"/>
          <w:sz w:val="13"/>
          <w:szCs w:val="13"/>
          <w:color w:val="auto"/>
        </w:rPr>
        <w:t>(1,200 [Index Value on date of the Interim Value calculation] – 1,000 [Index Value at Term Start Date])</w:t>
      </w:r>
    </w:p>
    <w:p>
      <w:pPr>
        <w:spacing w:after="0" w:line="13" w:lineRule="exact"/>
        <w:rPr>
          <w:sz w:val="20"/>
          <w:szCs w:val="20"/>
          <w:color w:val="auto"/>
        </w:rPr>
      </w:pPr>
    </w:p>
    <w:p>
      <w:pPr>
        <w:jc w:val="center"/>
        <w:ind w:right="3179"/>
        <w:spacing w:after="0"/>
        <w:rPr>
          <w:sz w:val="20"/>
          <w:szCs w:val="20"/>
          <w:color w:val="auto"/>
        </w:rPr>
      </w:pPr>
      <w:r>
        <w:rPr>
          <w:rFonts w:ascii="Times New Roman" w:cs="Times New Roman" w:eastAsia="Times New Roman" w:hAnsi="Times New Roman"/>
          <w:sz w:val="13"/>
          <w:szCs w:val="13"/>
          <w:color w:val="auto"/>
        </w:rPr>
        <w:t>÷ 1,000 [Index Value at Term Start Date] = 20%</w:t>
      </w:r>
    </w:p>
    <w:p>
      <w:pPr>
        <w:spacing w:after="0" w:line="204" w:lineRule="auto"/>
        <w:rPr>
          <w:sz w:val="20"/>
          <w:szCs w:val="20"/>
          <w:color w:val="auto"/>
        </w:rPr>
      </w:pPr>
      <w:r>
        <w:rPr>
          <w:rFonts w:ascii="Times New Roman" w:cs="Times New Roman" w:eastAsia="Times New Roman" w:hAnsi="Times New Roman"/>
          <w:sz w:val="5"/>
          <w:szCs w:val="5"/>
          <w:color w:val="auto"/>
        </w:rPr>
        <w:t>(2)</w:t>
      </w:r>
    </w:p>
    <w:p>
      <w:pPr>
        <w:ind w:left="260"/>
        <w:spacing w:after="0"/>
        <w:rPr>
          <w:sz w:val="20"/>
          <w:szCs w:val="20"/>
          <w:color w:val="auto"/>
        </w:rPr>
      </w:pPr>
      <w:r>
        <w:rPr>
          <w:rFonts w:ascii="Times New Roman" w:cs="Times New Roman" w:eastAsia="Times New Roman" w:hAnsi="Times New Roman"/>
          <w:sz w:val="13"/>
          <w:szCs w:val="13"/>
          <w:color w:val="auto"/>
        </w:rPr>
        <w:t>The Interim Value is equal to the sum of the market value of the Fixed Income Asset Proxy and the</w:t>
      </w:r>
    </w:p>
    <w:p>
      <w:pPr>
        <w:jc w:val="both"/>
        <w:ind w:left="260" w:right="3259"/>
        <w:spacing w:after="0" w:line="238" w:lineRule="auto"/>
        <w:rPr>
          <w:sz w:val="20"/>
          <w:szCs w:val="20"/>
          <w:color w:val="auto"/>
        </w:rPr>
      </w:pPr>
      <w:r>
        <w:rPr>
          <w:rFonts w:ascii="Times New Roman" w:cs="Times New Roman" w:eastAsia="Times New Roman" w:hAnsi="Times New Roman"/>
          <w:sz w:val="13"/>
          <w:szCs w:val="13"/>
          <w:color w:val="auto"/>
        </w:rPr>
        <w:t>Derivative Asset Proxy. This is the amount in the Shield Option selected that would be available if you annuitize, die, make a withdrawal or Surrender your Contract on that date. The Interim Value is calculated as follows:</w:t>
      </w:r>
    </w:p>
    <w:p>
      <w:pPr>
        <w:spacing w:after="0" w:line="37" w:lineRule="exact"/>
        <w:rPr>
          <w:sz w:val="20"/>
          <w:szCs w:val="20"/>
          <w:color w:val="auto"/>
        </w:rPr>
      </w:pPr>
    </w:p>
    <w:p>
      <w:pPr>
        <w:jc w:val="center"/>
        <w:ind w:right="3219"/>
        <w:spacing w:after="0"/>
        <w:rPr>
          <w:sz w:val="20"/>
          <w:szCs w:val="20"/>
          <w:color w:val="auto"/>
        </w:rPr>
      </w:pPr>
      <w:r>
        <w:rPr>
          <w:rFonts w:ascii="Times New Roman" w:cs="Times New Roman" w:eastAsia="Times New Roman" w:hAnsi="Times New Roman"/>
          <w:sz w:val="13"/>
          <w:szCs w:val="13"/>
          <w:color w:val="auto"/>
        </w:rPr>
        <w:t>$98,904.80 [Market value of Fixed Income Asset Proxy] + $8,124.74 [Market value of Derivative Asset Proxy]</w:t>
      </w:r>
    </w:p>
    <w:p>
      <w:pPr>
        <w:spacing w:after="0" w:line="13" w:lineRule="exact"/>
        <w:rPr>
          <w:sz w:val="20"/>
          <w:szCs w:val="20"/>
          <w:color w:val="auto"/>
        </w:rPr>
      </w:pPr>
    </w:p>
    <w:p>
      <w:pPr>
        <w:jc w:val="center"/>
        <w:ind w:right="3199"/>
        <w:spacing w:after="0"/>
        <w:rPr>
          <w:sz w:val="20"/>
          <w:szCs w:val="20"/>
          <w:color w:val="auto"/>
        </w:rPr>
      </w:pPr>
      <w:r>
        <w:rPr>
          <w:rFonts w:ascii="Times New Roman" w:cs="Times New Roman" w:eastAsia="Times New Roman" w:hAnsi="Times New Roman"/>
          <w:sz w:val="13"/>
          <w:szCs w:val="13"/>
          <w:color w:val="auto"/>
        </w:rPr>
        <w:t>= $107,029.53</w:t>
      </w:r>
    </w:p>
    <w:p>
      <w:pPr>
        <w:spacing w:after="0" w:line="204" w:lineRule="auto"/>
        <w:rPr>
          <w:sz w:val="20"/>
          <w:szCs w:val="20"/>
          <w:color w:val="auto"/>
        </w:rPr>
      </w:pPr>
      <w:r>
        <w:rPr>
          <w:rFonts w:ascii="Times New Roman" w:cs="Times New Roman" w:eastAsia="Times New Roman" w:hAnsi="Times New Roman"/>
          <w:sz w:val="5"/>
          <w:szCs w:val="5"/>
          <w:color w:val="auto"/>
        </w:rPr>
        <w:t>(3)</w:t>
      </w:r>
    </w:p>
    <w:p>
      <w:pPr>
        <w:jc w:val="both"/>
        <w:ind w:left="260" w:right="3259"/>
        <w:spacing w:after="0" w:line="230" w:lineRule="auto"/>
        <w:rPr>
          <w:sz w:val="20"/>
          <w:szCs w:val="20"/>
          <w:color w:val="auto"/>
        </w:rPr>
      </w:pPr>
      <w:r>
        <w:rPr>
          <w:rFonts w:ascii="Times New Roman" w:cs="Times New Roman" w:eastAsia="Times New Roman" w:hAnsi="Times New Roman"/>
          <w:sz w:val="13"/>
          <w:szCs w:val="13"/>
          <w:color w:val="auto"/>
        </w:rPr>
        <w:t>The Performance Lock Value is equal to the Interim Value of the Shield Option(s) at the end of the Business Day that you exercise Performance Lock, reduced by the dollar amount of any subsequent withdrawals</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(including any applicable Withdrawal Charge).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color w:val="auto"/>
        </w:rPr>
        <w:t>50</w:t>
      </w:r>
    </w:p>
    <w:p>
      <w:pPr>
        <w:sectPr>
          <w:pgSz w:w="11900" w:h="16838" w:orient="portrait"/>
          <w:cols w:equalWidth="0" w:num="1">
            <w:col w:w="9259"/>
          </w:cols>
          <w:pgMar w:left="1200" w:top="1049" w:right="1440" w:bottom="1440" w:gutter="0" w:footer="0" w:header="0"/>
        </w:sectPr>
      </w:pPr>
    </w:p>
    <w:bookmarkStart w:id="52" w:name="page53"/>
    <w:bookmarkEnd w:id="52"/>
    <w:p>
      <w:pPr>
        <w:ind w:left="1"/>
        <w:spacing w:after="0"/>
        <w:rPr>
          <w:sz w:val="20"/>
          <w:szCs w:val="20"/>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93915" cy="38100"/>
                    </a:xfrm>
                    <a:prstGeom prst="rect">
                      <a:avLst/>
                    </a:prstGeom>
                    <a:noFill/>
                  </pic:spPr>
                </pic:pic>
              </a:graphicData>
            </a:graphic>
          </wp:anchor>
        </w:drawing>
        <w:t>Example 5B—The Performance Lock Value After Withdrawal (including Withdrawal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36195</wp:posOffset>
            </wp:positionV>
            <wp:extent cx="3861435" cy="25641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861435" cy="2564130"/>
                    </a:xfrm>
                    <a:prstGeom prst="rect">
                      <a:avLst/>
                    </a:prstGeom>
                    <a:noFill/>
                  </pic:spPr>
                </pic:pic>
              </a:graphicData>
            </a:graphic>
          </wp:anchor>
        </w:drawing>
      </w:r>
    </w:p>
    <w:p>
      <w:pPr>
        <w:spacing w:after="0" w:line="67" w:lineRule="exact"/>
        <w:rPr>
          <w:sz w:val="20"/>
          <w:szCs w:val="20"/>
          <w:color w:val="auto"/>
        </w:rPr>
      </w:pPr>
    </w:p>
    <w:p>
      <w:pPr>
        <w:ind w:left="81"/>
        <w:spacing w:after="0"/>
        <w:rPr>
          <w:sz w:val="20"/>
          <w:szCs w:val="20"/>
          <w:color w:val="auto"/>
        </w:rPr>
      </w:pPr>
      <w:r>
        <w:rPr>
          <w:rFonts w:ascii="Times New Roman" w:cs="Times New Roman" w:eastAsia="Times New Roman" w:hAnsi="Times New Roman"/>
          <w:sz w:val="13"/>
          <w:szCs w:val="13"/>
          <w:b w:val="1"/>
          <w:bCs w:val="1"/>
          <w:color w:val="auto"/>
        </w:rPr>
        <w:t>Term Start Date</w:t>
      </w:r>
    </w:p>
    <w:p>
      <w:pPr>
        <w:spacing w:after="0" w:line="24" w:lineRule="exact"/>
        <w:rPr>
          <w:sz w:val="20"/>
          <w:szCs w:val="20"/>
          <w:color w:val="auto"/>
        </w:rPr>
      </w:pPr>
    </w:p>
    <w:tbl>
      <w:tblPr>
        <w:tblLayout w:type="fixed"/>
        <w:tblInd w:w="1" w:type="dxa"/>
        <w:tblCellMar>
          <w:top w:w="0" w:type="dxa"/>
          <w:left w:w="0" w:type="dxa"/>
          <w:bottom w:w="0" w:type="dxa"/>
          <w:right w:w="0" w:type="dxa"/>
        </w:tblCellMar>
      </w:tblPr>
      <w:tr>
        <w:trPr>
          <w:trHeight w:val="198"/>
        </w:trPr>
        <w:tc>
          <w:tcPr>
            <w:tcW w:w="20" w:type="dxa"/>
            <w:vAlign w:val="bottom"/>
            <w:tcBorders>
              <w:top w:val="single" w:sz="8" w:color="auto"/>
              <w:bottom w:val="single" w:sz="8" w:color="auto"/>
            </w:tcBorders>
          </w:tcPr>
          <w:p>
            <w:pPr>
              <w:spacing w:after="0"/>
              <w:rPr>
                <w:sz w:val="17"/>
                <w:szCs w:val="17"/>
                <w:color w:val="auto"/>
              </w:rPr>
            </w:pPr>
          </w:p>
        </w:tc>
        <w:tc>
          <w:tcPr>
            <w:tcW w:w="4720" w:type="dxa"/>
            <w:vAlign w:val="bottom"/>
            <w:tcBorders>
              <w:top w:val="single" w:sz="8" w:color="auto"/>
              <w:bottom w:val="single" w:sz="8" w:color="auto"/>
              <w:right w:val="single" w:sz="8" w:color="auto"/>
            </w:tcBorders>
            <w:gridSpan w:val="2"/>
            <w:shd w:val="clear" w:color="auto" w:fill="F0FFFF"/>
          </w:tcPr>
          <w:p>
            <w:pPr>
              <w:ind w:left="180"/>
              <w:spacing w:after="0"/>
              <w:rPr>
                <w:sz w:val="20"/>
                <w:szCs w:val="20"/>
                <w:color w:val="auto"/>
              </w:rPr>
            </w:pPr>
            <w:r>
              <w:rPr>
                <w:rFonts w:ascii="Times New Roman" w:cs="Times New Roman" w:eastAsia="Times New Roman" w:hAnsi="Times New Roman"/>
                <w:sz w:val="13"/>
                <w:szCs w:val="13"/>
                <w:color w:val="auto"/>
              </w:rPr>
              <w:t>Investment Amount</w:t>
            </w:r>
          </w:p>
        </w:tc>
        <w:tc>
          <w:tcPr>
            <w:tcW w:w="1320" w:type="dxa"/>
            <w:vAlign w:val="bottom"/>
            <w:tcBorders>
              <w:top w:val="single" w:sz="8" w:color="auto"/>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$100,000</w:t>
            </w:r>
          </w:p>
        </w:tc>
        <w:tc>
          <w:tcPr>
            <w:tcW w:w="20" w:type="dxa"/>
            <w:vAlign w:val="bottom"/>
            <w:tcBorders>
              <w:top w:val="single" w:sz="8" w:color="auto"/>
              <w:bottom w:val="single" w:sz="8" w:color="auto"/>
            </w:tcBorders>
          </w:tcPr>
          <w:p>
            <w:pPr>
              <w:spacing w:after="0"/>
              <w:rPr>
                <w:sz w:val="17"/>
                <w:szCs w:val="17"/>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472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color w:val="auto"/>
              </w:rPr>
              <w:t>Shield Rate</w:t>
            </w:r>
          </w:p>
        </w:tc>
        <w:tc>
          <w:tcPr>
            <w:tcW w:w="134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3"/>
                <w:szCs w:val="13"/>
                <w:color w:val="auto"/>
              </w:rPr>
              <w:t>Shield 10</w:t>
            </w:r>
          </w:p>
        </w:tc>
      </w:tr>
      <w:tr>
        <w:trPr>
          <w:trHeight w:val="188"/>
        </w:trPr>
        <w:tc>
          <w:tcPr>
            <w:tcW w:w="20" w:type="dxa"/>
            <w:vAlign w:val="bottom"/>
            <w:tcBorders>
              <w:bottom w:val="single" w:sz="8" w:color="auto"/>
            </w:tcBorders>
          </w:tcPr>
          <w:p>
            <w:pPr>
              <w:spacing w:after="0"/>
              <w:rPr>
                <w:sz w:val="16"/>
                <w:szCs w:val="16"/>
                <w:color w:val="auto"/>
              </w:rPr>
            </w:pPr>
          </w:p>
        </w:tc>
        <w:tc>
          <w:tcPr>
            <w:tcW w:w="4720" w:type="dxa"/>
            <w:vAlign w:val="bottom"/>
            <w:tcBorders>
              <w:bottom w:val="single" w:sz="8" w:color="auto"/>
              <w:right w:val="single" w:sz="8" w:color="auto"/>
            </w:tcBorders>
            <w:gridSpan w:val="2"/>
            <w:shd w:val="clear" w:color="auto" w:fill="F0FFFF"/>
          </w:tcPr>
          <w:p>
            <w:pPr>
              <w:ind w:left="180"/>
              <w:spacing w:after="0"/>
              <w:rPr>
                <w:sz w:val="20"/>
                <w:szCs w:val="20"/>
                <w:color w:val="auto"/>
              </w:rPr>
            </w:pPr>
            <w:r>
              <w:rPr>
                <w:rFonts w:ascii="Times New Roman" w:cs="Times New Roman" w:eastAsia="Times New Roman" w:hAnsi="Times New Roman"/>
                <w:sz w:val="13"/>
                <w:szCs w:val="13"/>
                <w:color w:val="auto"/>
              </w:rPr>
              <w:t>Cap Rate</w:t>
            </w:r>
          </w:p>
        </w:tc>
        <w:tc>
          <w:tcPr>
            <w:tcW w:w="13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20" w:type="dxa"/>
            <w:vAlign w:val="bottom"/>
            <w:tcBorders>
              <w:bottom w:val="single" w:sz="8" w:color="auto"/>
            </w:tcBorders>
          </w:tcPr>
          <w:p>
            <w:pPr>
              <w:spacing w:after="0"/>
              <w:rPr>
                <w:sz w:val="16"/>
                <w:szCs w:val="16"/>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472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color w:val="auto"/>
              </w:rPr>
              <w:t>Index Value</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1,000</w:t>
            </w:r>
          </w:p>
        </w:tc>
        <w:tc>
          <w:tcPr>
            <w:tcW w:w="20" w:type="dxa"/>
            <w:vAlign w:val="bottom"/>
            <w:tcBorders>
              <w:bottom w:val="single" w:sz="8" w:color="auto"/>
            </w:tcBorders>
          </w:tcPr>
          <w:p>
            <w:pPr>
              <w:spacing w:after="0"/>
              <w:rPr>
                <w:sz w:val="16"/>
                <w:szCs w:val="16"/>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4720" w:type="dxa"/>
            <w:vAlign w:val="bottom"/>
            <w:tcBorders>
              <w:bottom w:val="single" w:sz="8" w:color="auto"/>
              <w:right w:val="single" w:sz="8" w:color="F0FFFF"/>
            </w:tcBorders>
            <w:gridSpan w:val="2"/>
            <w:shd w:val="clear" w:color="auto" w:fill="F0FFFF"/>
          </w:tcPr>
          <w:p>
            <w:pPr>
              <w:ind w:left="60"/>
              <w:spacing w:after="0"/>
              <w:rPr>
                <w:sz w:val="20"/>
                <w:szCs w:val="20"/>
                <w:color w:val="auto"/>
              </w:rPr>
            </w:pPr>
            <w:r>
              <w:rPr>
                <w:rFonts w:ascii="Times New Roman" w:cs="Times New Roman" w:eastAsia="Times New Roman" w:hAnsi="Times New Roman"/>
                <w:sz w:val="13"/>
                <w:szCs w:val="13"/>
                <w:b w:val="1"/>
                <w:bCs w:val="1"/>
                <w:color w:val="auto"/>
              </w:rPr>
              <w:t>Interim Value Calculation Halfway Through Term</w:t>
            </w:r>
          </w:p>
        </w:tc>
        <w:tc>
          <w:tcPr>
            <w:tcW w:w="1320" w:type="dxa"/>
            <w:vAlign w:val="bottom"/>
            <w:tcBorders>
              <w:bottom w:val="single" w:sz="8" w:color="auto"/>
            </w:tcBorders>
            <w:shd w:val="clear" w:color="auto" w:fill="F0FFFF"/>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472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color w:val="auto"/>
              </w:rPr>
              <w:t>Index Value</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1,200</w:t>
            </w:r>
          </w:p>
        </w:tc>
        <w:tc>
          <w:tcPr>
            <w:tcW w:w="20" w:type="dxa"/>
            <w:vAlign w:val="bottom"/>
            <w:tcBorders>
              <w:bottom w:val="single" w:sz="8" w:color="auto"/>
            </w:tcBorders>
          </w:tcPr>
          <w:p>
            <w:pPr>
              <w:spacing w:after="0"/>
              <w:rPr>
                <w:sz w:val="16"/>
                <w:szCs w:val="16"/>
                <w:color w:val="auto"/>
              </w:rPr>
            </w:pPr>
          </w:p>
        </w:tc>
      </w:tr>
      <w:tr>
        <w:trPr>
          <w:trHeight w:val="208"/>
        </w:trPr>
        <w:tc>
          <w:tcPr>
            <w:tcW w:w="20" w:type="dxa"/>
            <w:vAlign w:val="bottom"/>
            <w:tcBorders>
              <w:bottom w:val="single" w:sz="8" w:color="auto"/>
            </w:tcBorders>
          </w:tcPr>
          <w:p>
            <w:pPr>
              <w:spacing w:after="0"/>
              <w:rPr>
                <w:sz w:val="18"/>
                <w:szCs w:val="18"/>
                <w:color w:val="auto"/>
              </w:rPr>
            </w:pPr>
          </w:p>
        </w:tc>
        <w:tc>
          <w:tcPr>
            <w:tcW w:w="4720" w:type="dxa"/>
            <w:vAlign w:val="bottom"/>
            <w:tcBorders>
              <w:bottom w:val="single" w:sz="8" w:color="auto"/>
              <w:right w:val="single" w:sz="8" w:color="auto"/>
            </w:tcBorders>
            <w:gridSpan w:val="2"/>
            <w:shd w:val="clear" w:color="auto" w:fill="F0FFFF"/>
          </w:tcPr>
          <w:p>
            <w:pPr>
              <w:ind w:left="180"/>
              <w:spacing w:after="0"/>
              <w:rPr>
                <w:sz w:val="20"/>
                <w:szCs w:val="20"/>
                <w:color w:val="auto"/>
              </w:rPr>
            </w:pPr>
            <w:r>
              <w:rPr>
                <w:rFonts w:ascii="Times New Roman" w:cs="Times New Roman" w:eastAsia="Times New Roman" w:hAnsi="Times New Roman"/>
                <w:sz w:val="13"/>
                <w:szCs w:val="13"/>
                <w:color w:val="auto"/>
              </w:rPr>
              <w:t>Index Performance</w:t>
            </w:r>
            <w:r>
              <w:rPr>
                <w:rFonts w:ascii="Times New Roman" w:cs="Times New Roman" w:eastAsia="Times New Roman" w:hAnsi="Times New Roman"/>
                <w:sz w:val="17"/>
                <w:szCs w:val="17"/>
                <w:color w:val="auto"/>
                <w:vertAlign w:val="superscript"/>
              </w:rPr>
              <w:t>(1)</w:t>
            </w:r>
          </w:p>
        </w:tc>
        <w:tc>
          <w:tcPr>
            <w:tcW w:w="13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20%</w:t>
            </w:r>
          </w:p>
        </w:tc>
        <w:tc>
          <w:tcPr>
            <w:tcW w:w="20" w:type="dxa"/>
            <w:vAlign w:val="bottom"/>
            <w:tcBorders>
              <w:bottom w:val="single" w:sz="8" w:color="auto"/>
            </w:tcBorders>
          </w:tcPr>
          <w:p>
            <w:pPr>
              <w:spacing w:after="0"/>
              <w:rPr>
                <w:sz w:val="18"/>
                <w:szCs w:val="18"/>
                <w:color w:val="auto"/>
              </w:rPr>
            </w:pPr>
          </w:p>
        </w:tc>
      </w:tr>
      <w:tr>
        <w:trPr>
          <w:trHeight w:val="179"/>
        </w:trPr>
        <w:tc>
          <w:tcPr>
            <w:tcW w:w="20" w:type="dxa"/>
            <w:vAlign w:val="bottom"/>
            <w:tcBorders>
              <w:bottom w:val="single" w:sz="8" w:color="auto"/>
            </w:tcBorders>
          </w:tcPr>
          <w:p>
            <w:pPr>
              <w:spacing w:after="0"/>
              <w:rPr>
                <w:sz w:val="15"/>
                <w:szCs w:val="15"/>
                <w:color w:val="auto"/>
              </w:rPr>
            </w:pPr>
          </w:p>
        </w:tc>
        <w:tc>
          <w:tcPr>
            <w:tcW w:w="472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color w:val="auto"/>
              </w:rPr>
              <w:t>Time Remaining in Shield Option (in months)</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6</w:t>
            </w:r>
          </w:p>
        </w:tc>
        <w:tc>
          <w:tcPr>
            <w:tcW w:w="20" w:type="dxa"/>
            <w:vAlign w:val="bottom"/>
            <w:tcBorders>
              <w:bottom w:val="single" w:sz="8" w:color="auto"/>
            </w:tcBorders>
          </w:tcPr>
          <w:p>
            <w:pPr>
              <w:spacing w:after="0"/>
              <w:rPr>
                <w:sz w:val="15"/>
                <w:szCs w:val="15"/>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4720" w:type="dxa"/>
            <w:vAlign w:val="bottom"/>
            <w:tcBorders>
              <w:bottom w:val="single" w:sz="8" w:color="auto"/>
              <w:right w:val="single" w:sz="8" w:color="auto"/>
            </w:tcBorders>
            <w:gridSpan w:val="2"/>
            <w:shd w:val="clear" w:color="auto" w:fill="F0FFFF"/>
          </w:tcPr>
          <w:p>
            <w:pPr>
              <w:ind w:left="180"/>
              <w:spacing w:after="0"/>
              <w:rPr>
                <w:sz w:val="20"/>
                <w:szCs w:val="20"/>
                <w:color w:val="auto"/>
              </w:rPr>
            </w:pPr>
            <w:r>
              <w:rPr>
                <w:rFonts w:ascii="Times New Roman" w:cs="Times New Roman" w:eastAsia="Times New Roman" w:hAnsi="Times New Roman"/>
                <w:sz w:val="13"/>
                <w:szCs w:val="13"/>
                <w:color w:val="auto"/>
              </w:rPr>
              <w:t>Market Value Rate on calculation date</w:t>
            </w:r>
          </w:p>
        </w:tc>
        <w:tc>
          <w:tcPr>
            <w:tcW w:w="13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tcBorders>
              <w:bottom w:val="single" w:sz="8" w:color="auto"/>
            </w:tcBorders>
          </w:tcPr>
          <w:p>
            <w:pPr>
              <w:spacing w:after="0"/>
              <w:rPr>
                <w:sz w:val="16"/>
                <w:szCs w:val="16"/>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472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color w:val="auto"/>
              </w:rPr>
              <w:t>Market value of Fixed Income Asset Proxy</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$98,904.80</w:t>
            </w:r>
          </w:p>
        </w:tc>
        <w:tc>
          <w:tcPr>
            <w:tcW w:w="20" w:type="dxa"/>
            <w:vAlign w:val="bottom"/>
            <w:tcBorders>
              <w:bottom w:val="single" w:sz="8" w:color="auto"/>
            </w:tcBorders>
          </w:tcPr>
          <w:p>
            <w:pPr>
              <w:spacing w:after="0"/>
              <w:rPr>
                <w:sz w:val="16"/>
                <w:szCs w:val="16"/>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4720" w:type="dxa"/>
            <w:vAlign w:val="bottom"/>
            <w:tcBorders>
              <w:bottom w:val="single" w:sz="8" w:color="auto"/>
              <w:right w:val="single" w:sz="8" w:color="auto"/>
            </w:tcBorders>
            <w:gridSpan w:val="2"/>
            <w:shd w:val="clear" w:color="auto" w:fill="F0FFFF"/>
          </w:tcPr>
          <w:p>
            <w:pPr>
              <w:ind w:left="180"/>
              <w:spacing w:after="0"/>
              <w:rPr>
                <w:sz w:val="20"/>
                <w:szCs w:val="20"/>
                <w:color w:val="auto"/>
              </w:rPr>
            </w:pPr>
            <w:r>
              <w:rPr>
                <w:rFonts w:ascii="Times New Roman" w:cs="Times New Roman" w:eastAsia="Times New Roman" w:hAnsi="Times New Roman"/>
                <w:sz w:val="13"/>
                <w:szCs w:val="13"/>
                <w:color w:val="auto"/>
              </w:rPr>
              <w:t>Market value of Derivative Asset Proxy</w:t>
            </w:r>
          </w:p>
        </w:tc>
        <w:tc>
          <w:tcPr>
            <w:tcW w:w="13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w w:val="99"/>
              </w:rPr>
              <w:t>$8,124.74</w:t>
            </w:r>
          </w:p>
        </w:tc>
        <w:tc>
          <w:tcPr>
            <w:tcW w:w="20" w:type="dxa"/>
            <w:vAlign w:val="bottom"/>
            <w:tcBorders>
              <w:bottom w:val="single" w:sz="8" w:color="auto"/>
            </w:tcBorders>
          </w:tcPr>
          <w:p>
            <w:pPr>
              <w:spacing w:after="0"/>
              <w:rPr>
                <w:sz w:val="16"/>
                <w:szCs w:val="16"/>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472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color w:val="auto"/>
              </w:rPr>
              <w:t>Time Remaining in Shield Option (in months)</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6</w:t>
            </w:r>
          </w:p>
        </w:tc>
        <w:tc>
          <w:tcPr>
            <w:tcW w:w="20" w:type="dxa"/>
            <w:vAlign w:val="bottom"/>
            <w:tcBorders>
              <w:bottom w:val="single" w:sz="8" w:color="auto"/>
            </w:tcBorders>
          </w:tcPr>
          <w:p>
            <w:pPr>
              <w:spacing w:after="0"/>
              <w:rPr>
                <w:sz w:val="16"/>
                <w:szCs w:val="16"/>
                <w:color w:val="auto"/>
              </w:rPr>
            </w:pPr>
          </w:p>
        </w:tc>
      </w:tr>
      <w:tr>
        <w:trPr>
          <w:trHeight w:val="208"/>
        </w:trPr>
        <w:tc>
          <w:tcPr>
            <w:tcW w:w="20" w:type="dxa"/>
            <w:vAlign w:val="bottom"/>
            <w:tcBorders>
              <w:bottom w:val="single" w:sz="8" w:color="auto"/>
            </w:tcBorders>
          </w:tcPr>
          <w:p>
            <w:pPr>
              <w:spacing w:after="0"/>
              <w:rPr>
                <w:sz w:val="18"/>
                <w:szCs w:val="18"/>
                <w:color w:val="auto"/>
              </w:rPr>
            </w:pPr>
          </w:p>
        </w:tc>
        <w:tc>
          <w:tcPr>
            <w:tcW w:w="4720" w:type="dxa"/>
            <w:vAlign w:val="bottom"/>
            <w:tcBorders>
              <w:bottom w:val="single" w:sz="8" w:color="auto"/>
              <w:right w:val="single" w:sz="8" w:color="auto"/>
            </w:tcBorders>
            <w:gridSpan w:val="2"/>
            <w:shd w:val="clear" w:color="auto" w:fill="F0FFFF"/>
          </w:tcPr>
          <w:p>
            <w:pPr>
              <w:ind w:left="180"/>
              <w:spacing w:after="0"/>
              <w:rPr>
                <w:sz w:val="20"/>
                <w:szCs w:val="20"/>
                <w:color w:val="auto"/>
              </w:rPr>
            </w:pPr>
            <w:r>
              <w:rPr>
                <w:rFonts w:ascii="Times New Roman" w:cs="Times New Roman" w:eastAsia="Times New Roman" w:hAnsi="Times New Roman"/>
                <w:sz w:val="13"/>
                <w:szCs w:val="13"/>
                <w:color w:val="auto"/>
              </w:rPr>
              <w:t>Interim Value of Shield Option on day you exercise Performance Lock</w:t>
            </w:r>
            <w:r>
              <w:rPr>
                <w:rFonts w:ascii="Times New Roman" w:cs="Times New Roman" w:eastAsia="Times New Roman" w:hAnsi="Times New Roman"/>
                <w:sz w:val="17"/>
                <w:szCs w:val="17"/>
                <w:color w:val="auto"/>
                <w:vertAlign w:val="superscript"/>
              </w:rPr>
              <w:t>(2)</w:t>
            </w:r>
          </w:p>
        </w:tc>
        <w:tc>
          <w:tcPr>
            <w:tcW w:w="13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$107,029.53</w:t>
            </w:r>
          </w:p>
        </w:tc>
        <w:tc>
          <w:tcPr>
            <w:tcW w:w="20" w:type="dxa"/>
            <w:vAlign w:val="bottom"/>
            <w:tcBorders>
              <w:bottom w:val="single" w:sz="8" w:color="auto"/>
            </w:tcBorders>
          </w:tcPr>
          <w:p>
            <w:pPr>
              <w:spacing w:after="0"/>
              <w:rPr>
                <w:sz w:val="18"/>
                <w:szCs w:val="18"/>
                <w:color w:val="auto"/>
              </w:rPr>
            </w:pPr>
          </w:p>
        </w:tc>
      </w:tr>
      <w:tr>
        <w:trPr>
          <w:trHeight w:val="179"/>
        </w:trPr>
        <w:tc>
          <w:tcPr>
            <w:tcW w:w="20" w:type="dxa"/>
            <w:vAlign w:val="bottom"/>
            <w:tcBorders>
              <w:bottom w:val="single" w:sz="8" w:color="auto"/>
            </w:tcBorders>
          </w:tcPr>
          <w:p>
            <w:pPr>
              <w:spacing w:after="0"/>
              <w:rPr>
                <w:sz w:val="15"/>
                <w:szCs w:val="15"/>
                <w:color w:val="auto"/>
              </w:rPr>
            </w:pPr>
          </w:p>
        </w:tc>
        <w:tc>
          <w:tcPr>
            <w:tcW w:w="472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color w:val="auto"/>
              </w:rPr>
              <w:t>Gross Withdrawal Amount</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$50,000</w:t>
            </w:r>
          </w:p>
        </w:tc>
        <w:tc>
          <w:tcPr>
            <w:tcW w:w="20" w:type="dxa"/>
            <w:vAlign w:val="bottom"/>
            <w:tcBorders>
              <w:bottom w:val="single" w:sz="8" w:color="auto"/>
            </w:tcBorders>
          </w:tcPr>
          <w:p>
            <w:pPr>
              <w:spacing w:after="0"/>
              <w:rPr>
                <w:sz w:val="15"/>
                <w:szCs w:val="15"/>
                <w:color w:val="auto"/>
              </w:rPr>
            </w:pPr>
          </w:p>
        </w:tc>
      </w:tr>
      <w:tr>
        <w:trPr>
          <w:trHeight w:val="208"/>
        </w:trPr>
        <w:tc>
          <w:tcPr>
            <w:tcW w:w="20" w:type="dxa"/>
            <w:vAlign w:val="bottom"/>
            <w:tcBorders>
              <w:bottom w:val="single" w:sz="8" w:color="auto"/>
            </w:tcBorders>
          </w:tcPr>
          <w:p>
            <w:pPr>
              <w:spacing w:after="0"/>
              <w:rPr>
                <w:sz w:val="18"/>
                <w:szCs w:val="18"/>
                <w:color w:val="auto"/>
              </w:rPr>
            </w:pPr>
          </w:p>
        </w:tc>
        <w:tc>
          <w:tcPr>
            <w:tcW w:w="4720" w:type="dxa"/>
            <w:vAlign w:val="bottom"/>
            <w:tcBorders>
              <w:bottom w:val="single" w:sz="8" w:color="auto"/>
              <w:right w:val="single" w:sz="8" w:color="auto"/>
            </w:tcBorders>
            <w:gridSpan w:val="2"/>
            <w:shd w:val="clear" w:color="auto" w:fill="F0FFFF"/>
          </w:tcPr>
          <w:p>
            <w:pPr>
              <w:ind w:left="180"/>
              <w:spacing w:after="0"/>
              <w:rPr>
                <w:sz w:val="20"/>
                <w:szCs w:val="20"/>
                <w:color w:val="auto"/>
              </w:rPr>
            </w:pPr>
            <w:r>
              <w:rPr>
                <w:rFonts w:ascii="Times New Roman" w:cs="Times New Roman" w:eastAsia="Times New Roman" w:hAnsi="Times New Roman"/>
                <w:sz w:val="13"/>
                <w:szCs w:val="13"/>
                <w:color w:val="auto"/>
              </w:rPr>
              <w:t>Free Withdrawal Amount</w:t>
            </w:r>
            <w:r>
              <w:rPr>
                <w:rFonts w:ascii="Times New Roman" w:cs="Times New Roman" w:eastAsia="Times New Roman" w:hAnsi="Times New Roman"/>
                <w:sz w:val="17"/>
                <w:szCs w:val="17"/>
                <w:color w:val="auto"/>
                <w:vertAlign w:val="superscript"/>
              </w:rPr>
              <w:t>(3)</w:t>
            </w:r>
          </w:p>
        </w:tc>
        <w:tc>
          <w:tcPr>
            <w:tcW w:w="13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$10,000</w:t>
            </w:r>
          </w:p>
        </w:tc>
        <w:tc>
          <w:tcPr>
            <w:tcW w:w="20" w:type="dxa"/>
            <w:vAlign w:val="bottom"/>
            <w:tcBorders>
              <w:bottom w:val="single" w:sz="8" w:color="auto"/>
            </w:tcBorders>
          </w:tcPr>
          <w:p>
            <w:pPr>
              <w:spacing w:after="0"/>
              <w:rPr>
                <w:sz w:val="18"/>
                <w:szCs w:val="18"/>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472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color w:val="auto"/>
              </w:rPr>
              <w:t>Withdrawal Charge Amount</w:t>
            </w:r>
            <w:r>
              <w:rPr>
                <w:rFonts w:ascii="Times New Roman" w:cs="Times New Roman" w:eastAsia="Times New Roman" w:hAnsi="Times New Roman"/>
                <w:sz w:val="17"/>
                <w:szCs w:val="17"/>
                <w:color w:val="auto"/>
                <w:vertAlign w:val="superscript"/>
              </w:rPr>
              <w:t>(4)</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$2,800</w:t>
            </w:r>
          </w:p>
        </w:tc>
        <w:tc>
          <w:tcPr>
            <w:tcW w:w="20" w:type="dxa"/>
            <w:vAlign w:val="bottom"/>
            <w:tcBorders>
              <w:bottom w:val="single" w:sz="8" w:color="auto"/>
            </w:tcBorders>
          </w:tcPr>
          <w:p>
            <w:pPr>
              <w:spacing w:after="0"/>
              <w:rPr>
                <w:sz w:val="17"/>
                <w:szCs w:val="17"/>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4720" w:type="dxa"/>
            <w:vAlign w:val="bottom"/>
            <w:tcBorders>
              <w:bottom w:val="single" w:sz="8" w:color="auto"/>
              <w:right w:val="single" w:sz="8" w:color="auto"/>
            </w:tcBorders>
            <w:gridSpan w:val="2"/>
            <w:shd w:val="clear" w:color="auto" w:fill="F0FFFF"/>
          </w:tcPr>
          <w:p>
            <w:pPr>
              <w:ind w:left="180"/>
              <w:spacing w:after="0"/>
              <w:rPr>
                <w:sz w:val="20"/>
                <w:szCs w:val="20"/>
                <w:color w:val="auto"/>
              </w:rPr>
            </w:pPr>
            <w:r>
              <w:rPr>
                <w:rFonts w:ascii="Times New Roman" w:cs="Times New Roman" w:eastAsia="Times New Roman" w:hAnsi="Times New Roman"/>
                <w:sz w:val="13"/>
                <w:szCs w:val="13"/>
                <w:color w:val="auto"/>
              </w:rPr>
              <w:t>Net Proceeds from Withdrawal paid to Contract Owner</w:t>
            </w:r>
            <w:r>
              <w:rPr>
                <w:rFonts w:ascii="Times New Roman" w:cs="Times New Roman" w:eastAsia="Times New Roman" w:hAnsi="Times New Roman"/>
                <w:sz w:val="17"/>
                <w:szCs w:val="17"/>
                <w:color w:val="auto"/>
                <w:vertAlign w:val="superscript"/>
              </w:rPr>
              <w:t>(5)</w:t>
            </w:r>
          </w:p>
        </w:tc>
        <w:tc>
          <w:tcPr>
            <w:tcW w:w="13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$47,200</w:t>
            </w:r>
          </w:p>
        </w:tc>
        <w:tc>
          <w:tcPr>
            <w:tcW w:w="20" w:type="dxa"/>
            <w:vAlign w:val="bottom"/>
            <w:tcBorders>
              <w:bottom w:val="single" w:sz="8" w:color="auto"/>
            </w:tcBorders>
          </w:tcPr>
          <w:p>
            <w:pPr>
              <w:spacing w:after="0"/>
              <w:rPr>
                <w:sz w:val="17"/>
                <w:szCs w:val="17"/>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4720" w:type="dxa"/>
            <w:vAlign w:val="bottom"/>
            <w:tcBorders>
              <w:bottom w:val="single" w:sz="8" w:color="auto"/>
              <w:right w:val="single" w:sz="8" w:color="auto"/>
            </w:tcBorders>
            <w:gridSpan w:val="2"/>
          </w:tcPr>
          <w:p>
            <w:pPr>
              <w:ind w:left="180"/>
              <w:spacing w:after="0" w:line="184" w:lineRule="exact"/>
              <w:rPr>
                <w:sz w:val="20"/>
                <w:szCs w:val="20"/>
                <w:color w:val="auto"/>
              </w:rPr>
            </w:pPr>
            <w:r>
              <w:rPr>
                <w:rFonts w:ascii="Times New Roman" w:cs="Times New Roman" w:eastAsia="Times New Roman" w:hAnsi="Times New Roman"/>
                <w:sz w:val="13"/>
                <w:szCs w:val="13"/>
                <w:b w:val="1"/>
                <w:bCs w:val="1"/>
                <w:color w:val="auto"/>
              </w:rPr>
              <w:t>Performance Lock Value after Withdrawal</w:t>
            </w:r>
            <w:r>
              <w:rPr>
                <w:rFonts w:ascii="Times New Roman" w:cs="Times New Roman" w:eastAsia="Times New Roman" w:hAnsi="Times New Roman"/>
                <w:sz w:val="17"/>
                <w:szCs w:val="17"/>
                <w:color w:val="auto"/>
                <w:vertAlign w:val="superscript"/>
              </w:rPr>
              <w:t>(6)</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$57,029.53</w:t>
            </w:r>
          </w:p>
        </w:tc>
        <w:tc>
          <w:tcPr>
            <w:tcW w:w="20" w:type="dxa"/>
            <w:vAlign w:val="bottom"/>
            <w:tcBorders>
              <w:bottom w:val="single" w:sz="8" w:color="auto"/>
            </w:tcBorders>
          </w:tcPr>
          <w:p>
            <w:pPr>
              <w:spacing w:after="0"/>
              <w:rPr>
                <w:sz w:val="15"/>
                <w:szCs w:val="15"/>
                <w:color w:val="auto"/>
              </w:rPr>
            </w:pPr>
          </w:p>
        </w:tc>
      </w:tr>
      <w:tr>
        <w:trPr>
          <w:trHeight w:val="134"/>
        </w:trPr>
        <w:tc>
          <w:tcPr>
            <w:tcW w:w="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9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-31115</wp:posOffset>
            </wp:positionV>
            <wp:extent cx="31750" cy="44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1750" cy="4445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-31115</wp:posOffset>
            </wp:positionV>
            <wp:extent cx="31750" cy="44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1750" cy="44450"/>
                    </a:xfrm>
                    <a:prstGeom prst="rect">
                      <a:avLst/>
                    </a:prstGeom>
                    <a:noFill/>
                  </pic:spPr>
                </pic:pic>
              </a:graphicData>
            </a:graphic>
          </wp:anchor>
        </w:drawing>
      </w:r>
    </w:p>
    <w:p>
      <w:pPr>
        <w:spacing w:after="0" w:line="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2"/>
          <w:szCs w:val="12"/>
          <w:b w:val="1"/>
          <w:bCs w:val="1"/>
          <w:color w:val="auto"/>
        </w:rPr>
        <w:t>The following notes to the table above provide important calculations showing how certain values are determined.</w:t>
      </w:r>
    </w:p>
    <w:p>
      <w:pPr>
        <w:ind w:left="1"/>
        <w:spacing w:after="0" w:line="224" w:lineRule="auto"/>
        <w:rPr>
          <w:sz w:val="20"/>
          <w:szCs w:val="20"/>
          <w:color w:val="auto"/>
        </w:rPr>
      </w:pPr>
      <w:r>
        <w:rPr>
          <w:rFonts w:ascii="Times New Roman" w:cs="Times New Roman" w:eastAsia="Times New Roman" w:hAnsi="Times New Roman"/>
          <w:sz w:val="6"/>
          <w:szCs w:val="6"/>
          <w:color w:val="auto"/>
        </w:rPr>
        <w:t>(1)</w:t>
      </w:r>
    </w:p>
    <w:p>
      <w:pPr>
        <w:ind w:left="261" w:right="3259"/>
        <w:spacing w:after="0" w:line="252" w:lineRule="auto"/>
        <w:rPr>
          <w:sz w:val="20"/>
          <w:szCs w:val="20"/>
          <w:color w:val="auto"/>
        </w:rPr>
      </w:pPr>
      <w:r>
        <w:rPr>
          <w:rFonts w:ascii="Times New Roman" w:cs="Times New Roman" w:eastAsia="Times New Roman" w:hAnsi="Times New Roman"/>
          <w:sz w:val="13"/>
          <w:szCs w:val="13"/>
          <w:color w:val="auto"/>
        </w:rPr>
        <w:t>Index Performance is equal to the percentage change in the Index Value measured from the Term Start Date to the date of the Interim Value calculation. Index Performance is calculated as follows:</w:t>
      </w:r>
    </w:p>
    <w:p>
      <w:pPr>
        <w:spacing w:after="0" w:line="29" w:lineRule="exact"/>
        <w:rPr>
          <w:sz w:val="20"/>
          <w:szCs w:val="20"/>
          <w:color w:val="auto"/>
        </w:rPr>
      </w:pPr>
    </w:p>
    <w:p>
      <w:pPr>
        <w:ind w:left="181"/>
        <w:spacing w:after="0"/>
        <w:rPr>
          <w:sz w:val="20"/>
          <w:szCs w:val="20"/>
          <w:color w:val="auto"/>
        </w:rPr>
      </w:pPr>
      <w:r>
        <w:rPr>
          <w:rFonts w:ascii="Times New Roman" w:cs="Times New Roman" w:eastAsia="Times New Roman" w:hAnsi="Times New Roman"/>
          <w:sz w:val="13"/>
          <w:szCs w:val="13"/>
          <w:color w:val="auto"/>
        </w:rPr>
        <w:t>(1,200 [Index Value on the date of the Interim Value calculation] – 1,000 [Index Value at Term Start Date])</w:t>
      </w:r>
    </w:p>
    <w:p>
      <w:pPr>
        <w:spacing w:after="0" w:line="3" w:lineRule="exact"/>
        <w:rPr>
          <w:sz w:val="20"/>
          <w:szCs w:val="20"/>
          <w:color w:val="auto"/>
        </w:rPr>
      </w:pPr>
    </w:p>
    <w:p>
      <w:pPr>
        <w:ind w:left="1861" w:hanging="99"/>
        <w:spacing w:after="0"/>
        <w:tabs>
          <w:tab w:leader="none" w:pos="1861" w:val="left"/>
        </w:tabs>
        <w:numPr>
          <w:ilvl w:val="1"/>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1,000 [Index Value at Term Start Date] = 20%</w:t>
      </w:r>
    </w:p>
    <w:p>
      <w:pPr>
        <w:spacing w:after="0" w:line="34" w:lineRule="exact"/>
        <w:rPr>
          <w:rFonts w:ascii="Times New Roman" w:cs="Times New Roman" w:eastAsia="Times New Roman" w:hAnsi="Times New Roman"/>
          <w:sz w:val="13"/>
          <w:szCs w:val="13"/>
          <w:color w:val="auto"/>
        </w:rPr>
      </w:pPr>
    </w:p>
    <w:p>
      <w:pPr>
        <w:jc w:val="both"/>
        <w:ind w:left="261" w:right="3259" w:hanging="261"/>
        <w:spacing w:after="0" w:line="226" w:lineRule="auto"/>
        <w:tabs>
          <w:tab w:leader="none" w:pos="261" w:val="left"/>
        </w:tabs>
        <w:numPr>
          <w:ilvl w:val="0"/>
          <w:numId w:val="3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Interim Value is equal to the sum of the market value of the Fixed Income Asset Proxy and the Derivative Asset Proxy. This is the amount in the Shield Option selected that would be available if you annuitize, die, make a withdrawal or Surrender your Contract on that date. The Interim Value is calculated as follows:</w:t>
      </w:r>
    </w:p>
    <w:p>
      <w:pPr>
        <w:spacing w:after="0" w:line="38" w:lineRule="exact"/>
        <w:rPr>
          <w:sz w:val="20"/>
          <w:szCs w:val="20"/>
          <w:color w:val="auto"/>
        </w:rPr>
      </w:pPr>
    </w:p>
    <w:p>
      <w:pPr>
        <w:jc w:val="center"/>
        <w:ind w:right="3218"/>
        <w:spacing w:after="0"/>
        <w:rPr>
          <w:sz w:val="20"/>
          <w:szCs w:val="20"/>
          <w:color w:val="auto"/>
        </w:rPr>
      </w:pPr>
      <w:r>
        <w:rPr>
          <w:rFonts w:ascii="Times New Roman" w:cs="Times New Roman" w:eastAsia="Times New Roman" w:hAnsi="Times New Roman"/>
          <w:sz w:val="13"/>
          <w:szCs w:val="13"/>
          <w:color w:val="auto"/>
        </w:rPr>
        <w:t>$98,904.80 [Market value of Fixed Income Asset Proxy] + $8,124.74 [Market value of Derivative Asset Proxy]</w:t>
      </w:r>
    </w:p>
    <w:p>
      <w:pPr>
        <w:spacing w:after="0" w:line="13" w:lineRule="exact"/>
        <w:rPr>
          <w:sz w:val="20"/>
          <w:szCs w:val="20"/>
          <w:color w:val="auto"/>
        </w:rPr>
      </w:pPr>
    </w:p>
    <w:p>
      <w:pPr>
        <w:jc w:val="center"/>
        <w:ind w:right="3198"/>
        <w:spacing w:after="0"/>
        <w:rPr>
          <w:sz w:val="20"/>
          <w:szCs w:val="20"/>
          <w:color w:val="auto"/>
        </w:rPr>
      </w:pPr>
      <w:r>
        <w:rPr>
          <w:rFonts w:ascii="Times New Roman" w:cs="Times New Roman" w:eastAsia="Times New Roman" w:hAnsi="Times New Roman"/>
          <w:sz w:val="13"/>
          <w:szCs w:val="13"/>
          <w:color w:val="auto"/>
        </w:rPr>
        <w:t>= $107,029.53</w:t>
      </w:r>
    </w:p>
    <w:p>
      <w:pPr>
        <w:ind w:left="1"/>
        <w:spacing w:after="0" w:line="204" w:lineRule="auto"/>
        <w:rPr>
          <w:sz w:val="20"/>
          <w:szCs w:val="20"/>
          <w:color w:val="auto"/>
        </w:rPr>
      </w:pPr>
      <w:r>
        <w:rPr>
          <w:rFonts w:ascii="Times New Roman" w:cs="Times New Roman" w:eastAsia="Times New Roman" w:hAnsi="Times New Roman"/>
          <w:sz w:val="5"/>
          <w:szCs w:val="5"/>
          <w:color w:val="auto"/>
        </w:rPr>
        <w:t>(3)</w:t>
      </w:r>
    </w:p>
    <w:p>
      <w:pPr>
        <w:ind w:left="261" w:right="3259"/>
        <w:spacing w:after="0" w:line="238" w:lineRule="auto"/>
        <w:rPr>
          <w:sz w:val="20"/>
          <w:szCs w:val="20"/>
          <w:color w:val="auto"/>
        </w:rPr>
      </w:pPr>
      <w:r>
        <w:rPr>
          <w:rFonts w:ascii="Times New Roman" w:cs="Times New Roman" w:eastAsia="Times New Roman" w:hAnsi="Times New Roman"/>
          <w:sz w:val="13"/>
          <w:szCs w:val="13"/>
          <w:color w:val="auto"/>
        </w:rPr>
        <w:t>The Free Withdrawal Amount is the value as of the most recent Contract Anniversary multiplied by the Free Withdrawal Amount Percentage. The Free Withdrawal Amount is amount is calculated as follows:</w:t>
      </w:r>
    </w:p>
    <w:p>
      <w:pPr>
        <w:spacing w:after="0" w:line="27" w:lineRule="exact"/>
        <w:rPr>
          <w:sz w:val="20"/>
          <w:szCs w:val="20"/>
          <w:color w:val="auto"/>
        </w:rPr>
      </w:pPr>
    </w:p>
    <w:p>
      <w:pPr>
        <w:ind w:left="21"/>
        <w:spacing w:after="0"/>
        <w:rPr>
          <w:sz w:val="20"/>
          <w:szCs w:val="20"/>
          <w:color w:val="auto"/>
        </w:rPr>
      </w:pPr>
      <w:r>
        <w:rPr>
          <w:rFonts w:ascii="Times New Roman" w:cs="Times New Roman" w:eastAsia="Times New Roman" w:hAnsi="Times New Roman"/>
          <w:sz w:val="13"/>
          <w:szCs w:val="13"/>
          <w:color w:val="auto"/>
        </w:rPr>
        <w:t>$100,000 [value as of most recent Contract Anniversary] x 10% [Free Withdrawal Amount Percentage] = $10,000</w:t>
      </w:r>
    </w:p>
    <w:p>
      <w:pPr>
        <w:spacing w:after="0" w:line="49" w:lineRule="exact"/>
        <w:rPr>
          <w:sz w:val="20"/>
          <w:szCs w:val="20"/>
          <w:color w:val="auto"/>
        </w:rPr>
      </w:pPr>
    </w:p>
    <w:p>
      <w:pPr>
        <w:ind w:left="261" w:right="3259" w:hanging="261"/>
        <w:spacing w:after="0" w:line="223" w:lineRule="auto"/>
        <w:tabs>
          <w:tab w:leader="none" w:pos="261" w:val="left"/>
        </w:tabs>
        <w:numPr>
          <w:ilvl w:val="0"/>
          <w:numId w:val="3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Withdrawal Charge Amount is the gross withdrawal amount minus the Free Withdrawal Amount multiplied by the Withdrawal Charge.</w:t>
      </w:r>
    </w:p>
    <w:p>
      <w:pPr>
        <w:spacing w:after="0" w:line="27" w:lineRule="exact"/>
        <w:rPr>
          <w:sz w:val="20"/>
          <w:szCs w:val="20"/>
          <w:color w:val="auto"/>
        </w:rPr>
      </w:pPr>
    </w:p>
    <w:p>
      <w:pPr>
        <w:ind w:left="41"/>
        <w:spacing w:after="0"/>
        <w:rPr>
          <w:sz w:val="20"/>
          <w:szCs w:val="20"/>
          <w:color w:val="auto"/>
        </w:rPr>
      </w:pPr>
      <w:r>
        <w:rPr>
          <w:rFonts w:ascii="Times New Roman" w:cs="Times New Roman" w:eastAsia="Times New Roman" w:hAnsi="Times New Roman"/>
          <w:sz w:val="13"/>
          <w:szCs w:val="13"/>
          <w:color w:val="auto"/>
        </w:rPr>
        <w:t>($50,000 [gross withdrawal amount] – $10,000 [Free Withdrawal Amount]) x 7% [Withdrawal Charge] = $2,800</w:t>
      </w:r>
    </w:p>
    <w:p>
      <w:pPr>
        <w:ind w:left="1"/>
        <w:spacing w:after="0" w:line="218" w:lineRule="auto"/>
        <w:rPr>
          <w:sz w:val="20"/>
          <w:szCs w:val="20"/>
          <w:color w:val="auto"/>
        </w:rPr>
      </w:pPr>
      <w:r>
        <w:rPr>
          <w:rFonts w:ascii="Times New Roman" w:cs="Times New Roman" w:eastAsia="Times New Roman" w:hAnsi="Times New Roman"/>
          <w:sz w:val="6"/>
          <w:szCs w:val="6"/>
          <w:color w:val="auto"/>
        </w:rPr>
        <w:t>(5)</w:t>
      </w:r>
    </w:p>
    <w:p>
      <w:pPr>
        <w:ind w:left="261"/>
        <w:spacing w:after="0"/>
        <w:rPr>
          <w:sz w:val="20"/>
          <w:szCs w:val="20"/>
          <w:color w:val="auto"/>
        </w:rPr>
      </w:pPr>
      <w:r>
        <w:rPr>
          <w:rFonts w:ascii="Times New Roman" w:cs="Times New Roman" w:eastAsia="Times New Roman" w:hAnsi="Times New Roman"/>
          <w:sz w:val="13"/>
          <w:szCs w:val="13"/>
          <w:color w:val="auto"/>
        </w:rPr>
        <w:t>The net amount payable to the Contract Owner is equal to:</w:t>
      </w:r>
    </w:p>
    <w:p>
      <w:pPr>
        <w:spacing w:after="0" w:line="35" w:lineRule="exact"/>
        <w:rPr>
          <w:sz w:val="20"/>
          <w:szCs w:val="20"/>
          <w:color w:val="auto"/>
        </w:rPr>
      </w:pPr>
    </w:p>
    <w:p>
      <w:pPr>
        <w:ind w:left="1021"/>
        <w:spacing w:after="0"/>
        <w:rPr>
          <w:sz w:val="20"/>
          <w:szCs w:val="20"/>
          <w:color w:val="auto"/>
        </w:rPr>
      </w:pPr>
      <w:r>
        <w:rPr>
          <w:rFonts w:ascii="Times New Roman" w:cs="Times New Roman" w:eastAsia="Times New Roman" w:hAnsi="Times New Roman"/>
          <w:sz w:val="13"/>
          <w:szCs w:val="13"/>
          <w:color w:val="auto"/>
        </w:rPr>
        <w:t>$50,000 [the amount withdrawn] – $2,800 [Withdrawal Charges] = $47,200</w:t>
      </w:r>
    </w:p>
    <w:p>
      <w:pPr>
        <w:ind w:left="1"/>
        <w:spacing w:after="0" w:line="218" w:lineRule="auto"/>
        <w:rPr>
          <w:sz w:val="20"/>
          <w:szCs w:val="20"/>
          <w:color w:val="auto"/>
        </w:rPr>
      </w:pPr>
      <w:r>
        <w:rPr>
          <w:rFonts w:ascii="Times New Roman" w:cs="Times New Roman" w:eastAsia="Times New Roman" w:hAnsi="Times New Roman"/>
          <w:sz w:val="6"/>
          <w:szCs w:val="6"/>
          <w:color w:val="auto"/>
        </w:rPr>
        <w:t>(6)</w:t>
      </w:r>
    </w:p>
    <w:p>
      <w:pPr>
        <w:ind w:left="261" w:right="3259"/>
        <w:spacing w:after="0" w:line="252" w:lineRule="auto"/>
        <w:rPr>
          <w:sz w:val="20"/>
          <w:szCs w:val="20"/>
          <w:color w:val="auto"/>
        </w:rPr>
      </w:pPr>
      <w:r>
        <w:rPr>
          <w:rFonts w:ascii="Times New Roman" w:cs="Times New Roman" w:eastAsia="Times New Roman" w:hAnsi="Times New Roman"/>
          <w:sz w:val="13"/>
          <w:szCs w:val="13"/>
          <w:color w:val="auto"/>
        </w:rPr>
        <w:t>The Performance Lock Value is equal to the Interim Value of the Shield Option(s) at the end of the Business Day that you exercise Performance Lock, reduced by the dollar amount of the withdrawal.</w:t>
      </w:r>
    </w:p>
    <w:p>
      <w:pPr>
        <w:spacing w:after="0" w:line="29" w:lineRule="exact"/>
        <w:rPr>
          <w:sz w:val="20"/>
          <w:szCs w:val="20"/>
          <w:color w:val="auto"/>
        </w:rPr>
      </w:pPr>
    </w:p>
    <w:p>
      <w:pPr>
        <w:ind w:left="401"/>
        <w:spacing w:after="0"/>
        <w:rPr>
          <w:sz w:val="20"/>
          <w:szCs w:val="20"/>
          <w:color w:val="auto"/>
        </w:rPr>
      </w:pPr>
      <w:r>
        <w:rPr>
          <w:rFonts w:ascii="Times New Roman" w:cs="Times New Roman" w:eastAsia="Times New Roman" w:hAnsi="Times New Roman"/>
          <w:sz w:val="13"/>
          <w:szCs w:val="13"/>
          <w:color w:val="auto"/>
        </w:rPr>
        <w:t>$107,029.53 [Performance Lock Value before Withdrawal] – $50,000 [Gross Withdrawal Amount]</w:t>
      </w:r>
    </w:p>
    <w:p>
      <w:pPr>
        <w:spacing w:after="0" w:line="3" w:lineRule="exact"/>
        <w:rPr>
          <w:sz w:val="20"/>
          <w:szCs w:val="20"/>
          <w:color w:val="auto"/>
        </w:rPr>
      </w:pPr>
    </w:p>
    <w:p>
      <w:pPr>
        <w:ind w:left="1601" w:hanging="98"/>
        <w:spacing w:after="0"/>
        <w:tabs>
          <w:tab w:leader="none" w:pos="1601"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$57,029.53 [Performance Lock Value after Withdrawal]</w:t>
      </w:r>
    </w:p>
    <w:p>
      <w:pPr>
        <w:spacing w:after="0" w:line="200" w:lineRule="exact"/>
        <w:rPr>
          <w:rFonts w:ascii="Times New Roman" w:cs="Times New Roman" w:eastAsia="Times New Roman" w:hAnsi="Times New Roman"/>
          <w:sz w:val="13"/>
          <w:szCs w:val="13"/>
          <w:color w:val="auto"/>
        </w:rPr>
      </w:pPr>
    </w:p>
    <w:p>
      <w:pPr>
        <w:spacing w:after="0" w:line="200" w:lineRule="exact"/>
        <w:rPr>
          <w:rFonts w:ascii="Times New Roman" w:cs="Times New Roman" w:eastAsia="Times New Roman" w:hAnsi="Times New Roman"/>
          <w:sz w:val="13"/>
          <w:szCs w:val="13"/>
          <w:color w:val="auto"/>
        </w:rPr>
      </w:pPr>
    </w:p>
    <w:p>
      <w:pPr>
        <w:spacing w:after="0" w:line="200" w:lineRule="exact"/>
        <w:rPr>
          <w:rFonts w:ascii="Times New Roman" w:cs="Times New Roman" w:eastAsia="Times New Roman" w:hAnsi="Times New Roman"/>
          <w:sz w:val="13"/>
          <w:szCs w:val="13"/>
          <w:color w:val="auto"/>
        </w:rPr>
      </w:pPr>
    </w:p>
    <w:p>
      <w:pPr>
        <w:spacing w:after="0" w:line="387" w:lineRule="exact"/>
        <w:rPr>
          <w:rFonts w:ascii="Times New Roman" w:cs="Times New Roman" w:eastAsia="Times New Roman" w:hAnsi="Times New Roman"/>
          <w:sz w:val="13"/>
          <w:szCs w:val="13"/>
          <w:color w:val="auto"/>
        </w:rPr>
      </w:pPr>
    </w:p>
    <w:p>
      <w:pPr>
        <w:ind w:left="29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51</w:t>
      </w:r>
    </w:p>
    <w:p>
      <w:pPr>
        <w:sectPr>
          <w:pgSz w:w="11900" w:h="16838" w:orient="portrait"/>
          <w:cols w:equalWidth="0" w:num="1">
            <w:col w:w="9261"/>
          </w:cols>
          <w:pgMar w:left="1199" w:top="1049" w:right="1440" w:bottom="1440" w:gutter="0" w:footer="0" w:header="0"/>
        </w:sectPr>
      </w:pPr>
    </w:p>
    <w:bookmarkStart w:id="53" w:name="page54"/>
    <w:bookmarkEnd w:id="53"/>
    <w:p>
      <w:pPr>
        <w:ind w:left="152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93915" cy="38100"/>
                    </a:xfrm>
                    <a:prstGeom prst="rect">
                      <a:avLst/>
                    </a:prstGeom>
                    <a:noFill/>
                  </pic:spPr>
                </pic:pic>
              </a:graphicData>
            </a:graphic>
          </wp:anchor>
        </w:drawing>
        <w:t>BENEFITS AVAILABLE UNDER THE CONTRACT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The following table summarizes information about the standard benefits available under the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w:t>
      </w:r>
    </w:p>
    <w:p>
      <w:pPr>
        <w:spacing w:after="0" w:line="116" w:lineRule="exact"/>
        <w:rPr>
          <w:sz w:val="20"/>
          <w:szCs w:val="20"/>
          <w:color w:val="auto"/>
        </w:rPr>
      </w:pPr>
    </w:p>
    <w:tbl>
      <w:tblPr>
        <w:tblLayout w:type="fixed"/>
        <w:tblInd w:w="10" w:type="dxa"/>
        <w:tblCellMar>
          <w:top w:w="0" w:type="dxa"/>
          <w:left w:w="0" w:type="dxa"/>
          <w:bottom w:w="0" w:type="dxa"/>
          <w:right w:w="0" w:type="dxa"/>
        </w:tblCellMar>
      </w:tblPr>
      <w:tr>
        <w:trPr>
          <w:trHeight w:val="179"/>
        </w:trPr>
        <w:tc>
          <w:tcPr>
            <w:tcW w:w="40" w:type="dxa"/>
            <w:vAlign w:val="bottom"/>
            <w:tcBorders>
              <w:top w:val="single" w:sz="8" w:color="auto"/>
              <w:left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20" w:type="dxa"/>
            <w:vAlign w:val="bottom"/>
            <w:tcBorders>
              <w:top w:val="single" w:sz="8" w:color="auto"/>
              <w:right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20" w:type="dxa"/>
            <w:vAlign w:val="bottom"/>
            <w:tcBorders>
              <w:top w:val="single" w:sz="8" w:color="auto"/>
              <w:right w:val="single" w:sz="8" w:color="auto"/>
            </w:tcBorders>
          </w:tcPr>
          <w:p>
            <w:pPr>
              <w:spacing w:after="0"/>
              <w:rPr>
                <w:sz w:val="15"/>
                <w:szCs w:val="15"/>
                <w:color w:val="auto"/>
              </w:rPr>
            </w:pPr>
          </w:p>
        </w:tc>
        <w:tc>
          <w:tcPr>
            <w:tcW w:w="1280" w:type="dxa"/>
            <w:vAlign w:val="bottom"/>
            <w:tcBorders>
              <w:top w:val="single" w:sz="8" w:color="auto"/>
              <w:right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320" w:type="dxa"/>
            <w:vAlign w:val="bottom"/>
            <w:tcBorders>
              <w:top w:val="single" w:sz="8" w:color="auto"/>
              <w:right w:val="single" w:sz="8" w:color="auto"/>
            </w:tcBorders>
            <w:gridSpan w:val="11"/>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83"/>
              </w:rPr>
              <w:t>Brief Description of</w:t>
            </w:r>
          </w:p>
        </w:tc>
        <w:tc>
          <w:tcPr>
            <w:tcW w:w="0" w:type="dxa"/>
            <w:vAlign w:val="bottom"/>
          </w:tcPr>
          <w:p>
            <w:pPr>
              <w:spacing w:after="0"/>
              <w:rPr>
                <w:sz w:val="1"/>
                <w:szCs w:val="1"/>
                <w:color w:val="auto"/>
              </w:rPr>
            </w:pPr>
          </w:p>
        </w:tc>
      </w:tr>
      <w:tr>
        <w:trPr>
          <w:trHeight w:val="184"/>
        </w:trPr>
        <w:tc>
          <w:tcPr>
            <w:tcW w:w="40" w:type="dxa"/>
            <w:vAlign w:val="bottom"/>
            <w:tcBorders>
              <w:left w:val="single" w:sz="8" w:color="auto"/>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Name of Benefit</w:t>
            </w: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right w:val="single" w:sz="8" w:color="auto"/>
            </w:tcBorders>
            <w:gridSpan w:val="4"/>
          </w:tcPr>
          <w:p>
            <w:pPr>
              <w:ind w:left="200"/>
              <w:spacing w:after="0"/>
              <w:rPr>
                <w:sz w:val="20"/>
                <w:szCs w:val="20"/>
                <w:color w:val="auto"/>
              </w:rPr>
            </w:pPr>
            <w:r>
              <w:rPr>
                <w:rFonts w:ascii="Times New Roman" w:cs="Times New Roman" w:eastAsia="Times New Roman" w:hAnsi="Times New Roman"/>
                <w:sz w:val="13"/>
                <w:szCs w:val="13"/>
                <w:b w:val="1"/>
                <w:bCs w:val="1"/>
                <w:color w:val="auto"/>
              </w:rPr>
              <w:t>Purpose</w:t>
            </w:r>
          </w:p>
        </w:tc>
        <w:tc>
          <w:tcPr>
            <w:tcW w:w="128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3"/>
                <w:szCs w:val="13"/>
                <w:b w:val="1"/>
                <w:bCs w:val="1"/>
                <w:color w:val="auto"/>
              </w:rPr>
              <w:t>Maximum Fee</w:t>
            </w:r>
          </w:p>
        </w:tc>
        <w:tc>
          <w:tcPr>
            <w:tcW w:w="160" w:type="dxa"/>
            <w:vAlign w:val="bottom"/>
            <w:tcBorders>
              <w:bottom w:val="single" w:sz="8" w:color="auto"/>
            </w:tcBorders>
          </w:tcPr>
          <w:p>
            <w:pPr>
              <w:spacing w:after="0"/>
              <w:rPr>
                <w:sz w:val="15"/>
                <w:szCs w:val="15"/>
                <w:color w:val="auto"/>
              </w:rPr>
            </w:pPr>
          </w:p>
        </w:tc>
        <w:tc>
          <w:tcPr>
            <w:tcW w:w="1740" w:type="dxa"/>
            <w:vAlign w:val="bottom"/>
            <w:tcBorders>
              <w:bottom w:val="single" w:sz="8" w:color="auto"/>
              <w:right w:val="single" w:sz="8" w:color="auto"/>
            </w:tcBorders>
            <w:gridSpan w:val="1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Restrictions/Limitations</w:t>
            </w:r>
          </w:p>
        </w:tc>
        <w:tc>
          <w:tcPr>
            <w:tcW w:w="0" w:type="dxa"/>
            <w:vAlign w:val="bottom"/>
          </w:tcPr>
          <w:p>
            <w:pPr>
              <w:spacing w:after="0"/>
              <w:rPr>
                <w:sz w:val="1"/>
                <w:szCs w:val="1"/>
                <w:color w:val="auto"/>
              </w:rPr>
            </w:pPr>
          </w:p>
        </w:tc>
      </w:tr>
      <w:tr>
        <w:trPr>
          <w:trHeight w:val="148"/>
        </w:trPr>
        <w:tc>
          <w:tcPr>
            <w:tcW w:w="40" w:type="dxa"/>
            <w:vAlign w:val="bottom"/>
            <w:tcBorders>
              <w:left w:val="single" w:sz="8" w:color="auto"/>
            </w:tcBorders>
            <w:shd w:val="clear" w:color="auto" w:fill="F0FFFF"/>
          </w:tcPr>
          <w:p>
            <w:pPr>
              <w:spacing w:after="0"/>
              <w:rPr>
                <w:sz w:val="12"/>
                <w:szCs w:val="12"/>
                <w:color w:val="auto"/>
              </w:rPr>
            </w:pPr>
          </w:p>
        </w:tc>
        <w:tc>
          <w:tcPr>
            <w:tcW w:w="1040" w:type="dxa"/>
            <w:vAlign w:val="bottom"/>
            <w:tcBorders>
              <w:right w:val="single" w:sz="8" w:color="auto"/>
            </w:tcBorders>
            <w:gridSpan w:val="2"/>
            <w:shd w:val="clear" w:color="auto" w:fill="F0FFFF"/>
          </w:tcPr>
          <w:p>
            <w:pPr>
              <w:spacing w:after="0" w:line="149" w:lineRule="exact"/>
              <w:rPr>
                <w:sz w:val="20"/>
                <w:szCs w:val="20"/>
                <w:color w:val="auto"/>
              </w:rPr>
            </w:pPr>
            <w:r>
              <w:rPr>
                <w:rFonts w:ascii="Times New Roman" w:cs="Times New Roman" w:eastAsia="Times New Roman" w:hAnsi="Times New Roman"/>
                <w:sz w:val="13"/>
                <w:szCs w:val="13"/>
                <w:b w:val="1"/>
                <w:bCs w:val="1"/>
                <w:color w:val="auto"/>
              </w:rPr>
              <w:t>Account Value</w:t>
            </w:r>
          </w:p>
        </w:tc>
        <w:tc>
          <w:tcPr>
            <w:tcW w:w="1820" w:type="dxa"/>
            <w:vAlign w:val="bottom"/>
            <w:tcBorders>
              <w:right w:val="single" w:sz="8" w:color="auto"/>
            </w:tcBorders>
            <w:gridSpan w:val="6"/>
            <w:shd w:val="clear" w:color="auto" w:fill="F0FFFF"/>
          </w:tcPr>
          <w:p>
            <w:pPr>
              <w:spacing w:after="0" w:line="149" w:lineRule="exact"/>
              <w:rPr>
                <w:sz w:val="20"/>
                <w:szCs w:val="20"/>
                <w:color w:val="auto"/>
              </w:rPr>
            </w:pPr>
            <w:r>
              <w:rPr>
                <w:rFonts w:ascii="Times New Roman" w:cs="Times New Roman" w:eastAsia="Times New Roman" w:hAnsi="Times New Roman"/>
                <w:sz w:val="13"/>
                <w:szCs w:val="13"/>
                <w:color w:val="auto"/>
              </w:rPr>
              <w:t>Pays a death benefit equal to the</w:t>
            </w:r>
          </w:p>
        </w:tc>
        <w:tc>
          <w:tcPr>
            <w:tcW w:w="1280" w:type="dxa"/>
            <w:vAlign w:val="bottom"/>
            <w:tcBorders>
              <w:right w:val="single" w:sz="8" w:color="auto"/>
            </w:tcBorders>
            <w:shd w:val="clear" w:color="auto" w:fill="F0FFFF"/>
          </w:tcPr>
          <w:p>
            <w:pPr>
              <w:ind w:left="20"/>
              <w:spacing w:after="0" w:line="149" w:lineRule="exact"/>
              <w:rPr>
                <w:sz w:val="20"/>
                <w:szCs w:val="20"/>
                <w:color w:val="auto"/>
              </w:rPr>
            </w:pPr>
            <w:r>
              <w:rPr>
                <w:rFonts w:ascii="Times New Roman" w:cs="Times New Roman" w:eastAsia="Times New Roman" w:hAnsi="Times New Roman"/>
                <w:sz w:val="13"/>
                <w:szCs w:val="13"/>
                <w:color w:val="auto"/>
              </w:rPr>
              <w:t>N/A</w:t>
            </w:r>
          </w:p>
        </w:tc>
        <w:tc>
          <w:tcPr>
            <w:tcW w:w="1900" w:type="dxa"/>
            <w:vAlign w:val="bottom"/>
            <w:tcBorders>
              <w:right w:val="single" w:sz="8" w:color="auto"/>
            </w:tcBorders>
            <w:gridSpan w:val="13"/>
            <w:shd w:val="clear" w:color="auto" w:fill="F0FFFF"/>
          </w:tcPr>
          <w:p>
            <w:pPr>
              <w:ind w:left="20"/>
              <w:spacing w:after="0" w:line="149" w:lineRule="exact"/>
              <w:rPr>
                <w:sz w:val="20"/>
                <w:szCs w:val="20"/>
                <w:color w:val="auto"/>
              </w:rPr>
            </w:pPr>
            <w:r>
              <w:rPr>
                <w:rFonts w:ascii="Times New Roman" w:cs="Times New Roman" w:eastAsia="Times New Roman" w:hAnsi="Times New Roman"/>
                <w:sz w:val="13"/>
                <w:szCs w:val="13"/>
                <w:color w:val="auto"/>
              </w:rPr>
              <w:t>● Only available during the</w:t>
            </w:r>
          </w:p>
        </w:tc>
        <w:tc>
          <w:tcPr>
            <w:tcW w:w="0" w:type="dxa"/>
            <w:vAlign w:val="bottom"/>
          </w:tcPr>
          <w:p>
            <w:pPr>
              <w:spacing w:after="0"/>
              <w:rPr>
                <w:sz w:val="1"/>
                <w:szCs w:val="1"/>
                <w:color w:val="auto"/>
              </w:rPr>
            </w:pPr>
          </w:p>
        </w:tc>
      </w:tr>
      <w:tr>
        <w:trPr>
          <w:trHeight w:val="139"/>
        </w:trPr>
        <w:tc>
          <w:tcPr>
            <w:tcW w:w="40" w:type="dxa"/>
            <w:vAlign w:val="bottom"/>
            <w:tcBorders>
              <w:top w:val="single" w:sz="8" w:color="F0FFFF"/>
              <w:left w:val="single" w:sz="8" w:color="auto"/>
            </w:tcBorders>
            <w:shd w:val="clear" w:color="auto" w:fill="F0FFFF"/>
          </w:tcPr>
          <w:p>
            <w:pPr>
              <w:spacing w:after="0"/>
              <w:rPr>
                <w:sz w:val="12"/>
                <w:szCs w:val="12"/>
                <w:color w:val="auto"/>
              </w:rPr>
            </w:pPr>
          </w:p>
        </w:tc>
        <w:tc>
          <w:tcPr>
            <w:tcW w:w="820" w:type="dxa"/>
            <w:vAlign w:val="bottom"/>
            <w:tcBorders>
              <w:top w:val="single" w:sz="8" w:color="auto"/>
            </w:tcBorders>
            <w:shd w:val="clear" w:color="auto" w:fill="F0FFFF"/>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Death Benefit</w:t>
            </w:r>
          </w:p>
        </w:tc>
        <w:tc>
          <w:tcPr>
            <w:tcW w:w="220" w:type="dxa"/>
            <w:vAlign w:val="bottom"/>
            <w:tcBorders>
              <w:top w:val="single" w:sz="8" w:color="F0FFFF"/>
              <w:right w:val="single" w:sz="8" w:color="auto"/>
            </w:tcBorders>
            <w:shd w:val="clear" w:color="auto" w:fill="F0FFFF"/>
          </w:tcPr>
          <w:p>
            <w:pPr>
              <w:spacing w:after="0"/>
              <w:rPr>
                <w:sz w:val="12"/>
                <w:szCs w:val="12"/>
                <w:color w:val="auto"/>
              </w:rPr>
            </w:pPr>
          </w:p>
        </w:tc>
        <w:tc>
          <w:tcPr>
            <w:tcW w:w="1820" w:type="dxa"/>
            <w:vAlign w:val="bottom"/>
            <w:tcBorders>
              <w:top w:val="single" w:sz="8" w:color="F0FFFF"/>
              <w:right w:val="single" w:sz="8" w:color="auto"/>
            </w:tcBorders>
            <w:gridSpan w:val="6"/>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Account Value</w:t>
            </w:r>
          </w:p>
        </w:tc>
        <w:tc>
          <w:tcPr>
            <w:tcW w:w="1280" w:type="dxa"/>
            <w:vAlign w:val="bottom"/>
            <w:tcBorders>
              <w:top w:val="single" w:sz="8" w:color="F0FFFF"/>
              <w:right w:val="single" w:sz="8" w:color="auto"/>
            </w:tcBorders>
            <w:shd w:val="clear" w:color="auto" w:fill="F0FFFF"/>
          </w:tcPr>
          <w:p>
            <w:pPr>
              <w:spacing w:after="0"/>
              <w:rPr>
                <w:sz w:val="12"/>
                <w:szCs w:val="12"/>
                <w:color w:val="auto"/>
              </w:rPr>
            </w:pPr>
          </w:p>
        </w:tc>
        <w:tc>
          <w:tcPr>
            <w:tcW w:w="160" w:type="dxa"/>
            <w:vAlign w:val="bottom"/>
            <w:tcBorders>
              <w:top w:val="single" w:sz="8" w:color="F0FFFF"/>
              <w:right w:val="single" w:sz="8" w:color="F0FFFF"/>
            </w:tcBorders>
            <w:shd w:val="clear" w:color="auto" w:fill="F0FFFF"/>
          </w:tcPr>
          <w:p>
            <w:pPr>
              <w:spacing w:after="0"/>
              <w:rPr>
                <w:sz w:val="12"/>
                <w:szCs w:val="12"/>
                <w:color w:val="auto"/>
              </w:rPr>
            </w:pPr>
          </w:p>
        </w:tc>
        <w:tc>
          <w:tcPr>
            <w:tcW w:w="1740" w:type="dxa"/>
            <w:vAlign w:val="bottom"/>
            <w:tcBorders>
              <w:top w:val="single" w:sz="8" w:color="F0FFFF"/>
              <w:right w:val="single" w:sz="8" w:color="auto"/>
            </w:tcBorders>
            <w:gridSpan w:val="12"/>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Accumulation Period.</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shd w:val="clear" w:color="auto" w:fill="F0FFFF"/>
          </w:tcPr>
          <w:p>
            <w:pPr>
              <w:spacing w:after="0" w:line="20" w:lineRule="exact"/>
              <w:rPr>
                <w:sz w:val="1"/>
                <w:szCs w:val="1"/>
                <w:color w:val="auto"/>
              </w:rPr>
            </w:pPr>
          </w:p>
        </w:tc>
        <w:tc>
          <w:tcPr>
            <w:tcW w:w="1040" w:type="dxa"/>
            <w:vAlign w:val="bottom"/>
            <w:tcBorders>
              <w:right w:val="single" w:sz="8" w:color="auto"/>
            </w:tcBorders>
            <w:gridSpan w:val="2"/>
            <w:vMerge w:val="restart"/>
            <w:shd w:val="clear" w:color="auto" w:fill="F0FFFF"/>
          </w:tcPr>
          <w:p>
            <w:pPr>
              <w:spacing w:after="0"/>
              <w:rPr>
                <w:sz w:val="20"/>
                <w:szCs w:val="20"/>
                <w:color w:val="auto"/>
              </w:rPr>
            </w:pPr>
            <w:r>
              <w:rPr>
                <w:rFonts w:ascii="Times New Roman" w:cs="Times New Roman" w:eastAsia="Times New Roman" w:hAnsi="Times New Roman"/>
                <w:sz w:val="13"/>
                <w:szCs w:val="13"/>
                <w:b w:val="1"/>
                <w:bCs w:val="1"/>
                <w:color w:val="auto"/>
              </w:rPr>
              <w:t>(Standard Death</w:t>
            </w: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tcBorders>
              <w:right w:val="single" w:sz="8" w:color="F0FFFF"/>
            </w:tcBorders>
            <w:shd w:val="clear" w:color="auto" w:fill="000000"/>
          </w:tcPr>
          <w:p>
            <w:pPr>
              <w:spacing w:after="0" w:line="20" w:lineRule="exact"/>
              <w:rPr>
                <w:sz w:val="1"/>
                <w:szCs w:val="1"/>
                <w:color w:val="auto"/>
              </w:rPr>
            </w:pPr>
          </w:p>
        </w:tc>
        <w:tc>
          <w:tcPr>
            <w:tcW w:w="440" w:type="dxa"/>
            <w:vAlign w:val="bottom"/>
            <w:shd w:val="clear" w:color="auto" w:fill="F0FFFF"/>
          </w:tcPr>
          <w:p>
            <w:pPr>
              <w:spacing w:after="0" w:line="20" w:lineRule="exact"/>
              <w:rPr>
                <w:sz w:val="1"/>
                <w:szCs w:val="1"/>
                <w:color w:val="auto"/>
              </w:rPr>
            </w:pPr>
          </w:p>
        </w:tc>
        <w:tc>
          <w:tcPr>
            <w:tcW w:w="36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1280" w:type="dxa"/>
            <w:vAlign w:val="bottom"/>
            <w:tcBorders>
              <w:right w:val="single" w:sz="8" w:color="auto"/>
            </w:tcBorders>
            <w:shd w:val="clear" w:color="auto" w:fill="F0FFFF"/>
          </w:tcPr>
          <w:p>
            <w:pPr>
              <w:spacing w:after="0" w:line="20" w:lineRule="exact"/>
              <w:rPr>
                <w:sz w:val="1"/>
                <w:szCs w:val="1"/>
                <w:color w:val="auto"/>
              </w:rPr>
            </w:pPr>
          </w:p>
        </w:tc>
        <w:tc>
          <w:tcPr>
            <w:tcW w:w="160" w:type="dxa"/>
            <w:vAlign w:val="bottom"/>
            <w:tcBorders>
              <w:right w:val="single" w:sz="8" w:color="auto"/>
            </w:tcBorders>
            <w:shd w:val="clear" w:color="auto" w:fill="F0FFFF"/>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left w:val="single" w:sz="8" w:color="F0FFFF"/>
            </w:tcBorders>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0" w:type="dxa"/>
            <w:vAlign w:val="bottom"/>
            <w:tcBorders>
              <w:left w:val="single" w:sz="8" w:color="auto"/>
            </w:tcBorders>
            <w:shd w:val="clear" w:color="auto" w:fill="F0FFFF"/>
          </w:tcPr>
          <w:p>
            <w:pPr>
              <w:spacing w:after="0"/>
              <w:rPr>
                <w:sz w:val="12"/>
                <w:szCs w:val="12"/>
                <w:color w:val="auto"/>
              </w:rPr>
            </w:pPr>
          </w:p>
        </w:tc>
        <w:tc>
          <w:tcPr>
            <w:tcW w:w="1040" w:type="dxa"/>
            <w:vAlign w:val="bottom"/>
            <w:tcBorders>
              <w:right w:val="single" w:sz="8" w:color="auto"/>
            </w:tcBorders>
            <w:gridSpan w:val="2"/>
            <w:vMerge w:val="continue"/>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360" w:type="dxa"/>
            <w:vAlign w:val="bottom"/>
            <w:tcBorders>
              <w:right w:val="single" w:sz="8" w:color="F0FFFF"/>
            </w:tcBorders>
            <w:shd w:val="clear" w:color="auto" w:fill="F0FFFF"/>
          </w:tcPr>
          <w:p>
            <w:pPr>
              <w:spacing w:after="0"/>
              <w:rPr>
                <w:sz w:val="12"/>
                <w:szCs w:val="12"/>
                <w:color w:val="auto"/>
              </w:rPr>
            </w:pPr>
          </w:p>
        </w:tc>
        <w:tc>
          <w:tcPr>
            <w:tcW w:w="440" w:type="dxa"/>
            <w:vAlign w:val="bottom"/>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220" w:type="dxa"/>
            <w:vAlign w:val="bottom"/>
            <w:tcBorders>
              <w:right w:val="single" w:sz="8" w:color="auto"/>
            </w:tcBorders>
            <w:shd w:val="clear" w:color="auto" w:fill="F0FFFF"/>
          </w:tcPr>
          <w:p>
            <w:pPr>
              <w:spacing w:after="0"/>
              <w:rPr>
                <w:sz w:val="12"/>
                <w:szCs w:val="12"/>
                <w:color w:val="auto"/>
              </w:rPr>
            </w:pPr>
          </w:p>
        </w:tc>
        <w:tc>
          <w:tcPr>
            <w:tcW w:w="1280" w:type="dxa"/>
            <w:vAlign w:val="bottom"/>
            <w:tcBorders>
              <w:right w:val="single" w:sz="8" w:color="auto"/>
            </w:tcBorders>
            <w:shd w:val="clear" w:color="auto" w:fill="F0FFFF"/>
          </w:tcPr>
          <w:p>
            <w:pPr>
              <w:spacing w:after="0"/>
              <w:rPr>
                <w:sz w:val="12"/>
                <w:szCs w:val="12"/>
                <w:color w:val="auto"/>
              </w:rPr>
            </w:pPr>
          </w:p>
        </w:tc>
        <w:tc>
          <w:tcPr>
            <w:tcW w:w="1900" w:type="dxa"/>
            <w:vAlign w:val="bottom"/>
            <w:tcBorders>
              <w:right w:val="single" w:sz="8" w:color="auto"/>
            </w:tcBorders>
            <w:gridSpan w:val="13"/>
            <w:shd w:val="clear" w:color="auto" w:fill="F0FFFF"/>
          </w:tcPr>
          <w:p>
            <w:pPr>
              <w:ind w:left="20"/>
              <w:spacing w:after="0" w:line="139" w:lineRule="exact"/>
              <w:rPr>
                <w:sz w:val="20"/>
                <w:szCs w:val="20"/>
                <w:color w:val="auto"/>
              </w:rPr>
            </w:pPr>
            <w:r>
              <w:rPr>
                <w:rFonts w:ascii="Times New Roman" w:cs="Times New Roman" w:eastAsia="Times New Roman" w:hAnsi="Times New Roman"/>
                <w:sz w:val="13"/>
                <w:szCs w:val="13"/>
                <w:color w:val="auto"/>
              </w:rPr>
              <w:t>● For Owners aged 81 or older</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shd w:val="clear" w:color="auto" w:fill="F0FFFF"/>
          </w:tcPr>
          <w:p>
            <w:pPr>
              <w:spacing w:after="0" w:line="20" w:lineRule="exact"/>
              <w:rPr>
                <w:sz w:val="1"/>
                <w:szCs w:val="1"/>
                <w:color w:val="auto"/>
              </w:rPr>
            </w:pPr>
          </w:p>
        </w:tc>
        <w:tc>
          <w:tcPr>
            <w:tcW w:w="1040" w:type="dxa"/>
            <w:vAlign w:val="bottom"/>
            <w:tcBorders>
              <w:right w:val="single" w:sz="8" w:color="auto"/>
            </w:tcBorders>
            <w:gridSpan w:val="2"/>
            <w:vMerge w:val="restart"/>
            <w:shd w:val="clear" w:color="auto" w:fill="F0FFFF"/>
          </w:tcPr>
          <w:p>
            <w:pPr>
              <w:spacing w:after="0"/>
              <w:rPr>
                <w:sz w:val="20"/>
                <w:szCs w:val="20"/>
                <w:color w:val="auto"/>
              </w:rPr>
            </w:pPr>
            <w:r>
              <w:rPr>
                <w:rFonts w:ascii="Times New Roman" w:cs="Times New Roman" w:eastAsia="Times New Roman" w:hAnsi="Times New Roman"/>
                <w:sz w:val="13"/>
                <w:szCs w:val="13"/>
                <w:b w:val="1"/>
                <w:bCs w:val="1"/>
                <w:color w:val="auto"/>
              </w:rPr>
              <w:t>Benefit)</w:t>
            </w:r>
          </w:p>
        </w:tc>
        <w:tc>
          <w:tcPr>
            <w:tcW w:w="260" w:type="dxa"/>
            <w:vAlign w:val="bottom"/>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60" w:type="dxa"/>
            <w:vAlign w:val="bottom"/>
            <w:tcBorders>
              <w:right w:val="single" w:sz="8" w:color="F0FFFF"/>
            </w:tcBorders>
            <w:shd w:val="clear" w:color="auto" w:fill="F0FFFF"/>
          </w:tcPr>
          <w:p>
            <w:pPr>
              <w:spacing w:after="0" w:line="20" w:lineRule="exact"/>
              <w:rPr>
                <w:sz w:val="1"/>
                <w:szCs w:val="1"/>
                <w:color w:val="auto"/>
              </w:rPr>
            </w:pPr>
          </w:p>
        </w:tc>
        <w:tc>
          <w:tcPr>
            <w:tcW w:w="440" w:type="dxa"/>
            <w:vAlign w:val="bottom"/>
            <w:shd w:val="clear" w:color="auto" w:fill="F0FFFF"/>
          </w:tcPr>
          <w:p>
            <w:pPr>
              <w:spacing w:after="0" w:line="20" w:lineRule="exact"/>
              <w:rPr>
                <w:sz w:val="1"/>
                <w:szCs w:val="1"/>
                <w:color w:val="auto"/>
              </w:rPr>
            </w:pPr>
          </w:p>
        </w:tc>
        <w:tc>
          <w:tcPr>
            <w:tcW w:w="36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1280" w:type="dxa"/>
            <w:vAlign w:val="bottom"/>
            <w:tcBorders>
              <w:right w:val="single" w:sz="8" w:color="auto"/>
            </w:tcBorders>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420" w:type="dxa"/>
            <w:vAlign w:val="bottom"/>
            <w:tcBorders>
              <w:right w:val="single" w:sz="8" w:color="auto"/>
            </w:tcBorders>
            <w:shd w:val="clear" w:color="auto" w:fill="F0FFFF"/>
          </w:tcPr>
          <w:p>
            <w:pPr>
              <w:spacing w:after="0" w:line="20" w:lineRule="exact"/>
              <w:rPr>
                <w:sz w:val="1"/>
                <w:szCs w:val="1"/>
                <w:color w:val="auto"/>
              </w:rPr>
            </w:pPr>
          </w:p>
        </w:tc>
        <w:tc>
          <w:tcPr>
            <w:tcW w:w="3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F0FFFF"/>
            </w:tcBorders>
            <w:shd w:val="clear" w:color="auto" w:fill="F0FFFF"/>
          </w:tcPr>
          <w:p>
            <w:pPr>
              <w:spacing w:after="0" w:line="20" w:lineRule="exact"/>
              <w:rPr>
                <w:sz w:val="1"/>
                <w:szCs w:val="1"/>
                <w:color w:val="auto"/>
              </w:rPr>
            </w:pPr>
          </w:p>
        </w:tc>
        <w:tc>
          <w:tcPr>
            <w:tcW w:w="16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240" w:type="dxa"/>
            <w:vAlign w:val="bottom"/>
            <w:tcBorders>
              <w:left w:val="single" w:sz="8" w:color="F0FFFF"/>
            </w:tcBorders>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0" w:type="dxa"/>
            <w:vAlign w:val="bottom"/>
            <w:tcBorders>
              <w:left w:val="single" w:sz="8" w:color="auto"/>
            </w:tcBorders>
            <w:shd w:val="clear" w:color="auto" w:fill="F0FFFF"/>
          </w:tcPr>
          <w:p>
            <w:pPr>
              <w:spacing w:after="0"/>
              <w:rPr>
                <w:sz w:val="12"/>
                <w:szCs w:val="12"/>
                <w:color w:val="auto"/>
              </w:rPr>
            </w:pPr>
          </w:p>
        </w:tc>
        <w:tc>
          <w:tcPr>
            <w:tcW w:w="1040" w:type="dxa"/>
            <w:vAlign w:val="bottom"/>
            <w:tcBorders>
              <w:right w:val="single" w:sz="8" w:color="auto"/>
            </w:tcBorders>
            <w:gridSpan w:val="2"/>
            <w:vMerge w:val="continue"/>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360" w:type="dxa"/>
            <w:vAlign w:val="bottom"/>
            <w:tcBorders>
              <w:right w:val="single" w:sz="8" w:color="F0FFFF"/>
            </w:tcBorders>
            <w:shd w:val="clear" w:color="auto" w:fill="F0FFFF"/>
          </w:tcPr>
          <w:p>
            <w:pPr>
              <w:spacing w:after="0"/>
              <w:rPr>
                <w:sz w:val="12"/>
                <w:szCs w:val="12"/>
                <w:color w:val="auto"/>
              </w:rPr>
            </w:pPr>
          </w:p>
        </w:tc>
        <w:tc>
          <w:tcPr>
            <w:tcW w:w="440" w:type="dxa"/>
            <w:vAlign w:val="bottom"/>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220" w:type="dxa"/>
            <w:vAlign w:val="bottom"/>
            <w:tcBorders>
              <w:right w:val="single" w:sz="8" w:color="auto"/>
            </w:tcBorders>
            <w:shd w:val="clear" w:color="auto" w:fill="F0FFFF"/>
          </w:tcPr>
          <w:p>
            <w:pPr>
              <w:spacing w:after="0"/>
              <w:rPr>
                <w:sz w:val="12"/>
                <w:szCs w:val="12"/>
                <w:color w:val="auto"/>
              </w:rPr>
            </w:pPr>
          </w:p>
        </w:tc>
        <w:tc>
          <w:tcPr>
            <w:tcW w:w="1280" w:type="dxa"/>
            <w:vAlign w:val="bottom"/>
            <w:tcBorders>
              <w:right w:val="single" w:sz="8" w:color="auto"/>
            </w:tcBorders>
            <w:shd w:val="clear" w:color="auto" w:fill="F0FFFF"/>
          </w:tcPr>
          <w:p>
            <w:pPr>
              <w:spacing w:after="0"/>
              <w:rPr>
                <w:sz w:val="12"/>
                <w:szCs w:val="12"/>
                <w:color w:val="auto"/>
              </w:rPr>
            </w:pPr>
          </w:p>
        </w:tc>
        <w:tc>
          <w:tcPr>
            <w:tcW w:w="160" w:type="dxa"/>
            <w:vAlign w:val="bottom"/>
            <w:tcBorders>
              <w:right w:val="single" w:sz="8" w:color="F0FFFF"/>
            </w:tcBorders>
            <w:shd w:val="clear" w:color="auto" w:fill="F0FFFF"/>
          </w:tcPr>
          <w:p>
            <w:pPr>
              <w:spacing w:after="0"/>
              <w:rPr>
                <w:sz w:val="12"/>
                <w:szCs w:val="12"/>
                <w:color w:val="auto"/>
              </w:rPr>
            </w:pPr>
          </w:p>
        </w:tc>
        <w:tc>
          <w:tcPr>
            <w:tcW w:w="1740" w:type="dxa"/>
            <w:vAlign w:val="bottom"/>
            <w:tcBorders>
              <w:right w:val="single" w:sz="8" w:color="auto"/>
            </w:tcBorders>
            <w:gridSpan w:val="12"/>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on the Issue Date of your</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shd w:val="clear" w:color="auto" w:fill="F0FFFF"/>
          </w:tcPr>
          <w:p>
            <w:pPr>
              <w:spacing w:after="0" w:line="20" w:lineRule="exact"/>
              <w:rPr>
                <w:sz w:val="1"/>
                <w:szCs w:val="1"/>
                <w:color w:val="auto"/>
              </w:rPr>
            </w:pPr>
          </w:p>
        </w:tc>
        <w:tc>
          <w:tcPr>
            <w:tcW w:w="82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60" w:type="dxa"/>
            <w:vAlign w:val="bottom"/>
            <w:tcBorders>
              <w:right w:val="single" w:sz="8" w:color="F0FFFF"/>
            </w:tcBorders>
            <w:shd w:val="clear" w:color="auto" w:fill="F0FFFF"/>
          </w:tcPr>
          <w:p>
            <w:pPr>
              <w:spacing w:after="0" w:line="20" w:lineRule="exact"/>
              <w:rPr>
                <w:sz w:val="1"/>
                <w:szCs w:val="1"/>
                <w:color w:val="auto"/>
              </w:rPr>
            </w:pPr>
          </w:p>
        </w:tc>
        <w:tc>
          <w:tcPr>
            <w:tcW w:w="440" w:type="dxa"/>
            <w:vAlign w:val="bottom"/>
            <w:shd w:val="clear" w:color="auto" w:fill="F0FFFF"/>
          </w:tcPr>
          <w:p>
            <w:pPr>
              <w:spacing w:after="0" w:line="20" w:lineRule="exact"/>
              <w:rPr>
                <w:sz w:val="1"/>
                <w:szCs w:val="1"/>
                <w:color w:val="auto"/>
              </w:rPr>
            </w:pPr>
          </w:p>
        </w:tc>
        <w:tc>
          <w:tcPr>
            <w:tcW w:w="36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1280" w:type="dxa"/>
            <w:vAlign w:val="bottom"/>
            <w:tcBorders>
              <w:right w:val="single" w:sz="8" w:color="auto"/>
            </w:tcBorders>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420" w:type="dxa"/>
            <w:vAlign w:val="bottom"/>
            <w:tcBorders>
              <w:right w:val="single" w:sz="8" w:color="auto"/>
            </w:tcBorders>
            <w:shd w:val="clear" w:color="auto" w:fill="F0FFFF"/>
          </w:tcPr>
          <w:p>
            <w:pPr>
              <w:spacing w:after="0" w:line="20" w:lineRule="exact"/>
              <w:rPr>
                <w:sz w:val="1"/>
                <w:szCs w:val="1"/>
                <w:color w:val="auto"/>
              </w:rPr>
            </w:pPr>
          </w:p>
        </w:tc>
        <w:tc>
          <w:tcPr>
            <w:tcW w:w="3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240" w:type="dxa"/>
            <w:vAlign w:val="bottom"/>
            <w:tcBorders>
              <w:left w:val="single" w:sz="8" w:color="F0FFFF"/>
            </w:tcBorders>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0" w:type="dxa"/>
            <w:vAlign w:val="bottom"/>
            <w:tcBorders>
              <w:left w:val="single" w:sz="8" w:color="auto"/>
            </w:tcBorders>
            <w:shd w:val="clear" w:color="auto" w:fill="F0FFFF"/>
          </w:tcPr>
          <w:p>
            <w:pPr>
              <w:spacing w:after="0"/>
              <w:rPr>
                <w:sz w:val="12"/>
                <w:szCs w:val="12"/>
                <w:color w:val="auto"/>
              </w:rPr>
            </w:pPr>
          </w:p>
        </w:tc>
        <w:tc>
          <w:tcPr>
            <w:tcW w:w="820" w:type="dxa"/>
            <w:vAlign w:val="bottom"/>
            <w:shd w:val="clear" w:color="auto" w:fill="F0FFFF"/>
          </w:tcPr>
          <w:p>
            <w:pPr>
              <w:spacing w:after="0"/>
              <w:rPr>
                <w:sz w:val="12"/>
                <w:szCs w:val="12"/>
                <w:color w:val="auto"/>
              </w:rPr>
            </w:pPr>
          </w:p>
        </w:tc>
        <w:tc>
          <w:tcPr>
            <w:tcW w:w="220" w:type="dxa"/>
            <w:vAlign w:val="bottom"/>
            <w:tcBorders>
              <w:right w:val="single" w:sz="8" w:color="auto"/>
            </w:tcBorders>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360" w:type="dxa"/>
            <w:vAlign w:val="bottom"/>
            <w:tcBorders>
              <w:right w:val="single" w:sz="8" w:color="F0FFFF"/>
            </w:tcBorders>
            <w:shd w:val="clear" w:color="auto" w:fill="F0FFFF"/>
          </w:tcPr>
          <w:p>
            <w:pPr>
              <w:spacing w:after="0"/>
              <w:rPr>
                <w:sz w:val="12"/>
                <w:szCs w:val="12"/>
                <w:color w:val="auto"/>
              </w:rPr>
            </w:pPr>
          </w:p>
        </w:tc>
        <w:tc>
          <w:tcPr>
            <w:tcW w:w="440" w:type="dxa"/>
            <w:vAlign w:val="bottom"/>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220" w:type="dxa"/>
            <w:vAlign w:val="bottom"/>
            <w:tcBorders>
              <w:right w:val="single" w:sz="8" w:color="auto"/>
            </w:tcBorders>
            <w:shd w:val="clear" w:color="auto" w:fill="F0FFFF"/>
          </w:tcPr>
          <w:p>
            <w:pPr>
              <w:spacing w:after="0"/>
              <w:rPr>
                <w:sz w:val="12"/>
                <w:szCs w:val="12"/>
                <w:color w:val="auto"/>
              </w:rPr>
            </w:pPr>
          </w:p>
        </w:tc>
        <w:tc>
          <w:tcPr>
            <w:tcW w:w="1280" w:type="dxa"/>
            <w:vAlign w:val="bottom"/>
            <w:tcBorders>
              <w:right w:val="single" w:sz="8" w:color="auto"/>
            </w:tcBorders>
            <w:shd w:val="clear" w:color="auto" w:fill="F0FFFF"/>
          </w:tcPr>
          <w:p>
            <w:pPr>
              <w:spacing w:after="0"/>
              <w:rPr>
                <w:sz w:val="12"/>
                <w:szCs w:val="12"/>
                <w:color w:val="auto"/>
              </w:rPr>
            </w:pPr>
          </w:p>
        </w:tc>
        <w:tc>
          <w:tcPr>
            <w:tcW w:w="160" w:type="dxa"/>
            <w:vAlign w:val="bottom"/>
            <w:tcBorders>
              <w:right w:val="single" w:sz="8" w:color="F0FFFF"/>
            </w:tcBorders>
            <w:shd w:val="clear" w:color="auto" w:fill="F0FFFF"/>
          </w:tcPr>
          <w:p>
            <w:pPr>
              <w:spacing w:after="0"/>
              <w:rPr>
                <w:sz w:val="12"/>
                <w:szCs w:val="12"/>
                <w:color w:val="auto"/>
              </w:rPr>
            </w:pPr>
          </w:p>
        </w:tc>
        <w:tc>
          <w:tcPr>
            <w:tcW w:w="1740" w:type="dxa"/>
            <w:vAlign w:val="bottom"/>
            <w:tcBorders>
              <w:right w:val="single" w:sz="8" w:color="auto"/>
            </w:tcBorders>
            <w:gridSpan w:val="12"/>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Contract.</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shd w:val="clear" w:color="auto" w:fill="F0FFFF"/>
          </w:tcPr>
          <w:p>
            <w:pPr>
              <w:spacing w:after="0" w:line="20" w:lineRule="exact"/>
              <w:rPr>
                <w:sz w:val="1"/>
                <w:szCs w:val="1"/>
                <w:color w:val="auto"/>
              </w:rPr>
            </w:pPr>
          </w:p>
        </w:tc>
        <w:tc>
          <w:tcPr>
            <w:tcW w:w="82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60" w:type="dxa"/>
            <w:vAlign w:val="bottom"/>
            <w:tcBorders>
              <w:right w:val="single" w:sz="8" w:color="F0FFFF"/>
            </w:tcBorders>
            <w:shd w:val="clear" w:color="auto" w:fill="F0FFFF"/>
          </w:tcPr>
          <w:p>
            <w:pPr>
              <w:spacing w:after="0" w:line="20" w:lineRule="exact"/>
              <w:rPr>
                <w:sz w:val="1"/>
                <w:szCs w:val="1"/>
                <w:color w:val="auto"/>
              </w:rPr>
            </w:pPr>
          </w:p>
        </w:tc>
        <w:tc>
          <w:tcPr>
            <w:tcW w:w="440" w:type="dxa"/>
            <w:vAlign w:val="bottom"/>
            <w:shd w:val="clear" w:color="auto" w:fill="F0FFFF"/>
          </w:tcPr>
          <w:p>
            <w:pPr>
              <w:spacing w:after="0" w:line="20" w:lineRule="exact"/>
              <w:rPr>
                <w:sz w:val="1"/>
                <w:szCs w:val="1"/>
                <w:color w:val="auto"/>
              </w:rPr>
            </w:pPr>
          </w:p>
        </w:tc>
        <w:tc>
          <w:tcPr>
            <w:tcW w:w="36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1280" w:type="dxa"/>
            <w:vAlign w:val="bottom"/>
            <w:tcBorders>
              <w:right w:val="single" w:sz="8" w:color="auto"/>
            </w:tcBorders>
            <w:shd w:val="clear" w:color="auto" w:fill="F0FFFF"/>
          </w:tcPr>
          <w:p>
            <w:pPr>
              <w:spacing w:after="0" w:line="20" w:lineRule="exact"/>
              <w:rPr>
                <w:sz w:val="1"/>
                <w:szCs w:val="1"/>
                <w:color w:val="auto"/>
              </w:rPr>
            </w:pPr>
          </w:p>
        </w:tc>
        <w:tc>
          <w:tcPr>
            <w:tcW w:w="160" w:type="dxa"/>
            <w:vAlign w:val="bottom"/>
            <w:tcBorders>
              <w:right w:val="single" w:sz="8" w:color="auto"/>
            </w:tcBorders>
            <w:shd w:val="clear" w:color="auto" w:fill="F0FFFF"/>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Borders>
              <w:left w:val="single" w:sz="8" w:color="auto"/>
              <w:right w:val="single" w:sz="8" w:color="F0FFFF"/>
            </w:tcBorders>
            <w:shd w:val="clear" w:color="auto" w:fill="F0FFFF"/>
          </w:tcPr>
          <w:p>
            <w:pPr>
              <w:spacing w:after="0" w:line="20" w:lineRule="exact"/>
              <w:rPr>
                <w:sz w:val="1"/>
                <w:szCs w:val="1"/>
                <w:color w:val="auto"/>
              </w:rPr>
            </w:pPr>
          </w:p>
        </w:tc>
        <w:tc>
          <w:tcPr>
            <w:tcW w:w="80" w:type="dxa"/>
            <w:vAlign w:val="bottom"/>
            <w:tcBorders>
              <w:left w:val="single" w:sz="8" w:color="F0FFFF"/>
            </w:tcBorders>
            <w:shd w:val="clear" w:color="auto" w:fill="F0FFFF"/>
          </w:tcPr>
          <w:p>
            <w:pPr>
              <w:spacing w:after="0" w:line="20" w:lineRule="exact"/>
              <w:rPr>
                <w:sz w:val="1"/>
                <w:szCs w:val="1"/>
                <w:color w:val="auto"/>
              </w:rPr>
            </w:pPr>
          </w:p>
        </w:tc>
        <w:tc>
          <w:tcPr>
            <w:tcW w:w="16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240" w:type="dxa"/>
            <w:vAlign w:val="bottom"/>
            <w:tcBorders>
              <w:left w:val="single" w:sz="8" w:color="F0FFFF"/>
            </w:tcBorders>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tcBorders>
              <w:left w:val="single" w:sz="8" w:color="auto"/>
            </w:tcBorders>
            <w:shd w:val="clear" w:color="auto" w:fill="F0FFFF"/>
          </w:tcPr>
          <w:p>
            <w:pPr>
              <w:spacing w:after="0"/>
              <w:rPr>
                <w:sz w:val="12"/>
                <w:szCs w:val="12"/>
                <w:color w:val="auto"/>
              </w:rPr>
            </w:pPr>
          </w:p>
        </w:tc>
        <w:tc>
          <w:tcPr>
            <w:tcW w:w="820" w:type="dxa"/>
            <w:vAlign w:val="bottom"/>
            <w:shd w:val="clear" w:color="auto" w:fill="F0FFFF"/>
          </w:tcPr>
          <w:p>
            <w:pPr>
              <w:spacing w:after="0"/>
              <w:rPr>
                <w:sz w:val="12"/>
                <w:szCs w:val="12"/>
                <w:color w:val="auto"/>
              </w:rPr>
            </w:pPr>
          </w:p>
        </w:tc>
        <w:tc>
          <w:tcPr>
            <w:tcW w:w="220" w:type="dxa"/>
            <w:vAlign w:val="bottom"/>
            <w:tcBorders>
              <w:right w:val="single" w:sz="8" w:color="auto"/>
            </w:tcBorders>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360" w:type="dxa"/>
            <w:vAlign w:val="bottom"/>
            <w:tcBorders>
              <w:right w:val="single" w:sz="8" w:color="F0FFFF"/>
            </w:tcBorders>
            <w:shd w:val="clear" w:color="auto" w:fill="F0FFFF"/>
          </w:tcPr>
          <w:p>
            <w:pPr>
              <w:spacing w:after="0"/>
              <w:rPr>
                <w:sz w:val="12"/>
                <w:szCs w:val="12"/>
                <w:color w:val="auto"/>
              </w:rPr>
            </w:pPr>
          </w:p>
        </w:tc>
        <w:tc>
          <w:tcPr>
            <w:tcW w:w="440" w:type="dxa"/>
            <w:vAlign w:val="bottom"/>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220" w:type="dxa"/>
            <w:vAlign w:val="bottom"/>
            <w:tcBorders>
              <w:right w:val="single" w:sz="8" w:color="auto"/>
            </w:tcBorders>
            <w:shd w:val="clear" w:color="auto" w:fill="F0FFFF"/>
          </w:tcPr>
          <w:p>
            <w:pPr>
              <w:spacing w:after="0"/>
              <w:rPr>
                <w:sz w:val="12"/>
                <w:szCs w:val="12"/>
                <w:color w:val="auto"/>
              </w:rPr>
            </w:pPr>
          </w:p>
        </w:tc>
        <w:tc>
          <w:tcPr>
            <w:tcW w:w="1280" w:type="dxa"/>
            <w:vAlign w:val="bottom"/>
            <w:tcBorders>
              <w:right w:val="single" w:sz="8" w:color="auto"/>
            </w:tcBorders>
            <w:shd w:val="clear" w:color="auto" w:fill="F0FFFF"/>
          </w:tcPr>
          <w:p>
            <w:pPr>
              <w:spacing w:after="0"/>
              <w:rPr>
                <w:sz w:val="12"/>
                <w:szCs w:val="12"/>
                <w:color w:val="auto"/>
              </w:rPr>
            </w:pPr>
          </w:p>
        </w:tc>
        <w:tc>
          <w:tcPr>
            <w:tcW w:w="1900" w:type="dxa"/>
            <w:vAlign w:val="bottom"/>
            <w:tcBorders>
              <w:right w:val="single" w:sz="8" w:color="auto"/>
            </w:tcBorders>
            <w:gridSpan w:val="13"/>
            <w:shd w:val="clear" w:color="auto" w:fill="F0FFFF"/>
          </w:tcPr>
          <w:p>
            <w:pPr>
              <w:ind w:left="20"/>
              <w:spacing w:after="0"/>
              <w:rPr>
                <w:sz w:val="20"/>
                <w:szCs w:val="20"/>
                <w:color w:val="auto"/>
              </w:rPr>
            </w:pPr>
            <w:r>
              <w:rPr>
                <w:rFonts w:ascii="Times New Roman" w:cs="Times New Roman" w:eastAsia="Times New Roman" w:hAnsi="Times New Roman"/>
                <w:sz w:val="13"/>
                <w:szCs w:val="13"/>
                <w:color w:val="auto"/>
              </w:rPr>
              <w:t>● Account Value may reflect an</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shd w:val="clear" w:color="auto" w:fill="F0FFFF"/>
          </w:tcPr>
          <w:p>
            <w:pPr>
              <w:spacing w:after="0" w:line="20" w:lineRule="exact"/>
              <w:rPr>
                <w:sz w:val="1"/>
                <w:szCs w:val="1"/>
                <w:color w:val="auto"/>
              </w:rPr>
            </w:pPr>
          </w:p>
        </w:tc>
        <w:tc>
          <w:tcPr>
            <w:tcW w:w="82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60" w:type="dxa"/>
            <w:vAlign w:val="bottom"/>
            <w:tcBorders>
              <w:right w:val="single" w:sz="8" w:color="F0FFFF"/>
            </w:tcBorders>
            <w:shd w:val="clear" w:color="auto" w:fill="F0FFFF"/>
          </w:tcPr>
          <w:p>
            <w:pPr>
              <w:spacing w:after="0" w:line="20" w:lineRule="exact"/>
              <w:rPr>
                <w:sz w:val="1"/>
                <w:szCs w:val="1"/>
                <w:color w:val="auto"/>
              </w:rPr>
            </w:pPr>
          </w:p>
        </w:tc>
        <w:tc>
          <w:tcPr>
            <w:tcW w:w="440" w:type="dxa"/>
            <w:vAlign w:val="bottom"/>
            <w:shd w:val="clear" w:color="auto" w:fill="F0FFFF"/>
          </w:tcPr>
          <w:p>
            <w:pPr>
              <w:spacing w:after="0" w:line="20" w:lineRule="exact"/>
              <w:rPr>
                <w:sz w:val="1"/>
                <w:szCs w:val="1"/>
                <w:color w:val="auto"/>
              </w:rPr>
            </w:pPr>
          </w:p>
        </w:tc>
        <w:tc>
          <w:tcPr>
            <w:tcW w:w="36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1280" w:type="dxa"/>
            <w:vAlign w:val="bottom"/>
            <w:tcBorders>
              <w:right w:val="single" w:sz="8" w:color="auto"/>
            </w:tcBorders>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240" w:type="dxa"/>
            <w:vAlign w:val="bottom"/>
            <w:tcBorders>
              <w:left w:val="single" w:sz="8" w:color="F0FFFF"/>
            </w:tcBorders>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0" w:type="dxa"/>
            <w:vAlign w:val="bottom"/>
            <w:tcBorders>
              <w:left w:val="single" w:sz="8" w:color="auto"/>
            </w:tcBorders>
            <w:shd w:val="clear" w:color="auto" w:fill="F0FFFF"/>
          </w:tcPr>
          <w:p>
            <w:pPr>
              <w:spacing w:after="0"/>
              <w:rPr>
                <w:sz w:val="12"/>
                <w:szCs w:val="12"/>
                <w:color w:val="auto"/>
              </w:rPr>
            </w:pPr>
          </w:p>
        </w:tc>
        <w:tc>
          <w:tcPr>
            <w:tcW w:w="820" w:type="dxa"/>
            <w:vAlign w:val="bottom"/>
            <w:shd w:val="clear" w:color="auto" w:fill="F0FFFF"/>
          </w:tcPr>
          <w:p>
            <w:pPr>
              <w:spacing w:after="0"/>
              <w:rPr>
                <w:sz w:val="12"/>
                <w:szCs w:val="12"/>
                <w:color w:val="auto"/>
              </w:rPr>
            </w:pPr>
          </w:p>
        </w:tc>
        <w:tc>
          <w:tcPr>
            <w:tcW w:w="220" w:type="dxa"/>
            <w:vAlign w:val="bottom"/>
            <w:tcBorders>
              <w:right w:val="single" w:sz="8" w:color="auto"/>
            </w:tcBorders>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360" w:type="dxa"/>
            <w:vAlign w:val="bottom"/>
            <w:tcBorders>
              <w:right w:val="single" w:sz="8" w:color="F0FFFF"/>
            </w:tcBorders>
            <w:shd w:val="clear" w:color="auto" w:fill="F0FFFF"/>
          </w:tcPr>
          <w:p>
            <w:pPr>
              <w:spacing w:after="0"/>
              <w:rPr>
                <w:sz w:val="12"/>
                <w:szCs w:val="12"/>
                <w:color w:val="auto"/>
              </w:rPr>
            </w:pPr>
          </w:p>
        </w:tc>
        <w:tc>
          <w:tcPr>
            <w:tcW w:w="440" w:type="dxa"/>
            <w:vAlign w:val="bottom"/>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220" w:type="dxa"/>
            <w:vAlign w:val="bottom"/>
            <w:tcBorders>
              <w:right w:val="single" w:sz="8" w:color="auto"/>
            </w:tcBorders>
            <w:shd w:val="clear" w:color="auto" w:fill="F0FFFF"/>
          </w:tcPr>
          <w:p>
            <w:pPr>
              <w:spacing w:after="0"/>
              <w:rPr>
                <w:sz w:val="12"/>
                <w:szCs w:val="12"/>
                <w:color w:val="auto"/>
              </w:rPr>
            </w:pPr>
          </w:p>
        </w:tc>
        <w:tc>
          <w:tcPr>
            <w:tcW w:w="1280" w:type="dxa"/>
            <w:vAlign w:val="bottom"/>
            <w:tcBorders>
              <w:right w:val="single" w:sz="8" w:color="auto"/>
            </w:tcBorders>
            <w:shd w:val="clear" w:color="auto" w:fill="F0FFFF"/>
          </w:tcPr>
          <w:p>
            <w:pPr>
              <w:spacing w:after="0"/>
              <w:rPr>
                <w:sz w:val="12"/>
                <w:szCs w:val="12"/>
                <w:color w:val="auto"/>
              </w:rPr>
            </w:pPr>
          </w:p>
        </w:tc>
        <w:tc>
          <w:tcPr>
            <w:tcW w:w="160" w:type="dxa"/>
            <w:vAlign w:val="bottom"/>
            <w:tcBorders>
              <w:right w:val="single" w:sz="8" w:color="F0FFFF"/>
            </w:tcBorders>
            <w:shd w:val="clear" w:color="auto" w:fill="F0FFFF"/>
          </w:tcPr>
          <w:p>
            <w:pPr>
              <w:spacing w:after="0"/>
              <w:rPr>
                <w:sz w:val="12"/>
                <w:szCs w:val="12"/>
                <w:color w:val="auto"/>
              </w:rPr>
            </w:pPr>
          </w:p>
        </w:tc>
        <w:tc>
          <w:tcPr>
            <w:tcW w:w="1740" w:type="dxa"/>
            <w:vAlign w:val="bottom"/>
            <w:tcBorders>
              <w:right w:val="single" w:sz="8" w:color="auto"/>
            </w:tcBorders>
            <w:gridSpan w:val="12"/>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Interim Value calculation for</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shd w:val="clear" w:color="auto" w:fill="F0FFFF"/>
          </w:tcPr>
          <w:p>
            <w:pPr>
              <w:spacing w:after="0" w:line="20" w:lineRule="exact"/>
              <w:rPr>
                <w:sz w:val="1"/>
                <w:szCs w:val="1"/>
                <w:color w:val="auto"/>
              </w:rPr>
            </w:pPr>
          </w:p>
        </w:tc>
        <w:tc>
          <w:tcPr>
            <w:tcW w:w="82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60" w:type="dxa"/>
            <w:vAlign w:val="bottom"/>
            <w:tcBorders>
              <w:right w:val="single" w:sz="8" w:color="F0FFFF"/>
            </w:tcBorders>
            <w:shd w:val="clear" w:color="auto" w:fill="F0FFFF"/>
          </w:tcPr>
          <w:p>
            <w:pPr>
              <w:spacing w:after="0" w:line="20" w:lineRule="exact"/>
              <w:rPr>
                <w:sz w:val="1"/>
                <w:szCs w:val="1"/>
                <w:color w:val="auto"/>
              </w:rPr>
            </w:pPr>
          </w:p>
        </w:tc>
        <w:tc>
          <w:tcPr>
            <w:tcW w:w="440" w:type="dxa"/>
            <w:vAlign w:val="bottom"/>
            <w:shd w:val="clear" w:color="auto" w:fill="F0FFFF"/>
          </w:tcPr>
          <w:p>
            <w:pPr>
              <w:spacing w:after="0" w:line="20" w:lineRule="exact"/>
              <w:rPr>
                <w:sz w:val="1"/>
                <w:szCs w:val="1"/>
                <w:color w:val="auto"/>
              </w:rPr>
            </w:pPr>
          </w:p>
        </w:tc>
        <w:tc>
          <w:tcPr>
            <w:tcW w:w="36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1280" w:type="dxa"/>
            <w:vAlign w:val="bottom"/>
            <w:tcBorders>
              <w:right w:val="single" w:sz="8" w:color="auto"/>
            </w:tcBorders>
            <w:shd w:val="clear" w:color="auto" w:fill="F0FFFF"/>
          </w:tcPr>
          <w:p>
            <w:pPr>
              <w:spacing w:after="0" w:line="20" w:lineRule="exact"/>
              <w:rPr>
                <w:sz w:val="1"/>
                <w:szCs w:val="1"/>
                <w:color w:val="auto"/>
              </w:rPr>
            </w:pPr>
          </w:p>
        </w:tc>
        <w:tc>
          <w:tcPr>
            <w:tcW w:w="160" w:type="dxa"/>
            <w:vAlign w:val="bottom"/>
            <w:tcBorders>
              <w:right w:val="single" w:sz="8" w:color="auto"/>
            </w:tcBorders>
            <w:shd w:val="clear" w:color="auto" w:fill="F0FFFF"/>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F0FFFF"/>
          </w:tcPr>
          <w:p>
            <w:pPr>
              <w:spacing w:after="0" w:line="20" w:lineRule="exact"/>
              <w:rPr>
                <w:sz w:val="1"/>
                <w:szCs w:val="1"/>
                <w:color w:val="auto"/>
              </w:rPr>
            </w:pPr>
          </w:p>
        </w:tc>
        <w:tc>
          <w:tcPr>
            <w:tcW w:w="16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240" w:type="dxa"/>
            <w:vAlign w:val="bottom"/>
            <w:tcBorders>
              <w:left w:val="single" w:sz="8" w:color="F0FFFF"/>
            </w:tcBorders>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0" w:type="dxa"/>
            <w:vAlign w:val="bottom"/>
            <w:tcBorders>
              <w:left w:val="single" w:sz="8" w:color="auto"/>
            </w:tcBorders>
            <w:shd w:val="clear" w:color="auto" w:fill="F0FFFF"/>
          </w:tcPr>
          <w:p>
            <w:pPr>
              <w:spacing w:after="0"/>
              <w:rPr>
                <w:sz w:val="12"/>
                <w:szCs w:val="12"/>
                <w:color w:val="auto"/>
              </w:rPr>
            </w:pPr>
          </w:p>
        </w:tc>
        <w:tc>
          <w:tcPr>
            <w:tcW w:w="820" w:type="dxa"/>
            <w:vAlign w:val="bottom"/>
            <w:shd w:val="clear" w:color="auto" w:fill="F0FFFF"/>
          </w:tcPr>
          <w:p>
            <w:pPr>
              <w:spacing w:after="0"/>
              <w:rPr>
                <w:sz w:val="12"/>
                <w:szCs w:val="12"/>
                <w:color w:val="auto"/>
              </w:rPr>
            </w:pPr>
          </w:p>
        </w:tc>
        <w:tc>
          <w:tcPr>
            <w:tcW w:w="220" w:type="dxa"/>
            <w:vAlign w:val="bottom"/>
            <w:tcBorders>
              <w:right w:val="single" w:sz="8" w:color="auto"/>
            </w:tcBorders>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360" w:type="dxa"/>
            <w:vAlign w:val="bottom"/>
            <w:tcBorders>
              <w:right w:val="single" w:sz="8" w:color="F0FFFF"/>
            </w:tcBorders>
            <w:shd w:val="clear" w:color="auto" w:fill="F0FFFF"/>
          </w:tcPr>
          <w:p>
            <w:pPr>
              <w:spacing w:after="0"/>
              <w:rPr>
                <w:sz w:val="12"/>
                <w:szCs w:val="12"/>
                <w:color w:val="auto"/>
              </w:rPr>
            </w:pPr>
          </w:p>
        </w:tc>
        <w:tc>
          <w:tcPr>
            <w:tcW w:w="440" w:type="dxa"/>
            <w:vAlign w:val="bottom"/>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220" w:type="dxa"/>
            <w:vAlign w:val="bottom"/>
            <w:tcBorders>
              <w:right w:val="single" w:sz="8" w:color="auto"/>
            </w:tcBorders>
            <w:shd w:val="clear" w:color="auto" w:fill="F0FFFF"/>
          </w:tcPr>
          <w:p>
            <w:pPr>
              <w:spacing w:after="0"/>
              <w:rPr>
                <w:sz w:val="12"/>
                <w:szCs w:val="12"/>
                <w:color w:val="auto"/>
              </w:rPr>
            </w:pPr>
          </w:p>
        </w:tc>
        <w:tc>
          <w:tcPr>
            <w:tcW w:w="1280" w:type="dxa"/>
            <w:vAlign w:val="bottom"/>
            <w:tcBorders>
              <w:right w:val="single" w:sz="8" w:color="auto"/>
            </w:tcBorders>
            <w:shd w:val="clear" w:color="auto" w:fill="F0FFFF"/>
          </w:tcPr>
          <w:p>
            <w:pPr>
              <w:spacing w:after="0"/>
              <w:rPr>
                <w:sz w:val="12"/>
                <w:szCs w:val="12"/>
                <w:color w:val="auto"/>
              </w:rPr>
            </w:pPr>
          </w:p>
        </w:tc>
        <w:tc>
          <w:tcPr>
            <w:tcW w:w="160" w:type="dxa"/>
            <w:vAlign w:val="bottom"/>
            <w:tcBorders>
              <w:right w:val="single" w:sz="8" w:color="F0FFFF"/>
            </w:tcBorders>
            <w:shd w:val="clear" w:color="auto" w:fill="F0FFFF"/>
          </w:tcPr>
          <w:p>
            <w:pPr>
              <w:spacing w:after="0"/>
              <w:rPr>
                <w:sz w:val="12"/>
                <w:szCs w:val="12"/>
                <w:color w:val="auto"/>
              </w:rPr>
            </w:pPr>
          </w:p>
        </w:tc>
        <w:tc>
          <w:tcPr>
            <w:tcW w:w="1740" w:type="dxa"/>
            <w:vAlign w:val="bottom"/>
            <w:tcBorders>
              <w:right w:val="single" w:sz="8" w:color="auto"/>
            </w:tcBorders>
            <w:gridSpan w:val="12"/>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the Shield Options, which may</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shd w:val="clear" w:color="auto" w:fill="F0FFFF"/>
          </w:tcPr>
          <w:p>
            <w:pPr>
              <w:spacing w:after="0" w:line="20" w:lineRule="exact"/>
              <w:rPr>
                <w:sz w:val="1"/>
                <w:szCs w:val="1"/>
                <w:color w:val="auto"/>
              </w:rPr>
            </w:pPr>
          </w:p>
        </w:tc>
        <w:tc>
          <w:tcPr>
            <w:tcW w:w="82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60" w:type="dxa"/>
            <w:vAlign w:val="bottom"/>
            <w:tcBorders>
              <w:right w:val="single" w:sz="8" w:color="F0FFFF"/>
            </w:tcBorders>
            <w:shd w:val="clear" w:color="auto" w:fill="F0FFFF"/>
          </w:tcPr>
          <w:p>
            <w:pPr>
              <w:spacing w:after="0" w:line="20" w:lineRule="exact"/>
              <w:rPr>
                <w:sz w:val="1"/>
                <w:szCs w:val="1"/>
                <w:color w:val="auto"/>
              </w:rPr>
            </w:pPr>
          </w:p>
        </w:tc>
        <w:tc>
          <w:tcPr>
            <w:tcW w:w="440" w:type="dxa"/>
            <w:vAlign w:val="bottom"/>
            <w:shd w:val="clear" w:color="auto" w:fill="F0FFFF"/>
          </w:tcPr>
          <w:p>
            <w:pPr>
              <w:spacing w:after="0" w:line="20" w:lineRule="exact"/>
              <w:rPr>
                <w:sz w:val="1"/>
                <w:szCs w:val="1"/>
                <w:color w:val="auto"/>
              </w:rPr>
            </w:pPr>
          </w:p>
        </w:tc>
        <w:tc>
          <w:tcPr>
            <w:tcW w:w="36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1280" w:type="dxa"/>
            <w:vAlign w:val="bottom"/>
            <w:tcBorders>
              <w:right w:val="single" w:sz="8" w:color="auto"/>
            </w:tcBorders>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420" w:type="dxa"/>
            <w:vAlign w:val="bottom"/>
            <w:tcBorders>
              <w:right w:val="single" w:sz="8" w:color="auto"/>
            </w:tcBorders>
            <w:shd w:val="clear" w:color="auto" w:fill="F0FFFF"/>
          </w:tcPr>
          <w:p>
            <w:pPr>
              <w:spacing w:after="0" w:line="20" w:lineRule="exact"/>
              <w:rPr>
                <w:sz w:val="1"/>
                <w:szCs w:val="1"/>
                <w:color w:val="auto"/>
              </w:rPr>
            </w:pPr>
          </w:p>
        </w:tc>
        <w:tc>
          <w:tcPr>
            <w:tcW w:w="3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240" w:type="dxa"/>
            <w:vAlign w:val="bottom"/>
            <w:tcBorders>
              <w:left w:val="single" w:sz="8" w:color="F0FFFF"/>
            </w:tcBorders>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0" w:type="dxa"/>
            <w:vAlign w:val="bottom"/>
            <w:tcBorders>
              <w:left w:val="single" w:sz="8" w:color="auto"/>
            </w:tcBorders>
            <w:shd w:val="clear" w:color="auto" w:fill="F0FFFF"/>
          </w:tcPr>
          <w:p>
            <w:pPr>
              <w:spacing w:after="0"/>
              <w:rPr>
                <w:sz w:val="12"/>
                <w:szCs w:val="12"/>
                <w:color w:val="auto"/>
              </w:rPr>
            </w:pPr>
          </w:p>
        </w:tc>
        <w:tc>
          <w:tcPr>
            <w:tcW w:w="820" w:type="dxa"/>
            <w:vAlign w:val="bottom"/>
            <w:shd w:val="clear" w:color="auto" w:fill="F0FFFF"/>
          </w:tcPr>
          <w:p>
            <w:pPr>
              <w:spacing w:after="0"/>
              <w:rPr>
                <w:sz w:val="12"/>
                <w:szCs w:val="12"/>
                <w:color w:val="auto"/>
              </w:rPr>
            </w:pPr>
          </w:p>
        </w:tc>
        <w:tc>
          <w:tcPr>
            <w:tcW w:w="220" w:type="dxa"/>
            <w:vAlign w:val="bottom"/>
            <w:tcBorders>
              <w:right w:val="single" w:sz="8" w:color="auto"/>
            </w:tcBorders>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360" w:type="dxa"/>
            <w:vAlign w:val="bottom"/>
            <w:tcBorders>
              <w:right w:val="single" w:sz="8" w:color="F0FFFF"/>
            </w:tcBorders>
            <w:shd w:val="clear" w:color="auto" w:fill="F0FFFF"/>
          </w:tcPr>
          <w:p>
            <w:pPr>
              <w:spacing w:after="0"/>
              <w:rPr>
                <w:sz w:val="12"/>
                <w:szCs w:val="12"/>
                <w:color w:val="auto"/>
              </w:rPr>
            </w:pPr>
          </w:p>
        </w:tc>
        <w:tc>
          <w:tcPr>
            <w:tcW w:w="440" w:type="dxa"/>
            <w:vAlign w:val="bottom"/>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220" w:type="dxa"/>
            <w:vAlign w:val="bottom"/>
            <w:tcBorders>
              <w:right w:val="single" w:sz="8" w:color="auto"/>
            </w:tcBorders>
            <w:shd w:val="clear" w:color="auto" w:fill="F0FFFF"/>
          </w:tcPr>
          <w:p>
            <w:pPr>
              <w:spacing w:after="0"/>
              <w:rPr>
                <w:sz w:val="12"/>
                <w:szCs w:val="12"/>
                <w:color w:val="auto"/>
              </w:rPr>
            </w:pPr>
          </w:p>
        </w:tc>
        <w:tc>
          <w:tcPr>
            <w:tcW w:w="1280" w:type="dxa"/>
            <w:vAlign w:val="bottom"/>
            <w:tcBorders>
              <w:right w:val="single" w:sz="8" w:color="auto"/>
            </w:tcBorders>
            <w:shd w:val="clear" w:color="auto" w:fill="F0FFFF"/>
          </w:tcPr>
          <w:p>
            <w:pPr>
              <w:spacing w:after="0"/>
              <w:rPr>
                <w:sz w:val="12"/>
                <w:szCs w:val="12"/>
                <w:color w:val="auto"/>
              </w:rPr>
            </w:pPr>
          </w:p>
        </w:tc>
        <w:tc>
          <w:tcPr>
            <w:tcW w:w="160" w:type="dxa"/>
            <w:vAlign w:val="bottom"/>
            <w:tcBorders>
              <w:right w:val="single" w:sz="8" w:color="F0FFFF"/>
            </w:tcBorders>
            <w:shd w:val="clear" w:color="auto" w:fill="F0FFFF"/>
          </w:tcPr>
          <w:p>
            <w:pPr>
              <w:spacing w:after="0"/>
              <w:rPr>
                <w:sz w:val="12"/>
                <w:szCs w:val="12"/>
                <w:color w:val="auto"/>
              </w:rPr>
            </w:pPr>
          </w:p>
        </w:tc>
        <w:tc>
          <w:tcPr>
            <w:tcW w:w="1740" w:type="dxa"/>
            <w:vAlign w:val="bottom"/>
            <w:tcBorders>
              <w:right w:val="single" w:sz="8" w:color="auto"/>
            </w:tcBorders>
            <w:gridSpan w:val="12"/>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be less than the Investment</w:t>
            </w:r>
          </w:p>
        </w:tc>
        <w:tc>
          <w:tcPr>
            <w:tcW w:w="0" w:type="dxa"/>
            <w:vAlign w:val="bottom"/>
          </w:tcPr>
          <w:p>
            <w:pPr>
              <w:spacing w:after="0"/>
              <w:rPr>
                <w:sz w:val="1"/>
                <w:szCs w:val="1"/>
                <w:color w:val="auto"/>
              </w:rPr>
            </w:pPr>
          </w:p>
        </w:tc>
      </w:tr>
      <w:tr>
        <w:trPr>
          <w:trHeight w:val="139"/>
        </w:trPr>
        <w:tc>
          <w:tcPr>
            <w:tcW w:w="40" w:type="dxa"/>
            <w:vAlign w:val="bottom"/>
            <w:tcBorders>
              <w:top w:val="single" w:sz="8" w:color="F0FFFF"/>
              <w:left w:val="single" w:sz="8" w:color="auto"/>
            </w:tcBorders>
            <w:shd w:val="clear" w:color="auto" w:fill="F0FFFF"/>
          </w:tcPr>
          <w:p>
            <w:pPr>
              <w:spacing w:after="0"/>
              <w:rPr>
                <w:sz w:val="12"/>
                <w:szCs w:val="12"/>
                <w:color w:val="auto"/>
              </w:rPr>
            </w:pPr>
          </w:p>
        </w:tc>
        <w:tc>
          <w:tcPr>
            <w:tcW w:w="820" w:type="dxa"/>
            <w:vAlign w:val="bottom"/>
            <w:tcBorders>
              <w:top w:val="single" w:sz="8" w:color="F0FFFF"/>
            </w:tcBorders>
            <w:shd w:val="clear" w:color="auto" w:fill="F0FFFF"/>
          </w:tcPr>
          <w:p>
            <w:pPr>
              <w:spacing w:after="0"/>
              <w:rPr>
                <w:sz w:val="12"/>
                <w:szCs w:val="12"/>
                <w:color w:val="auto"/>
              </w:rPr>
            </w:pPr>
          </w:p>
        </w:tc>
        <w:tc>
          <w:tcPr>
            <w:tcW w:w="220" w:type="dxa"/>
            <w:vAlign w:val="bottom"/>
            <w:tcBorders>
              <w:top w:val="single" w:sz="8" w:color="F0FFFF"/>
              <w:right w:val="single" w:sz="8" w:color="auto"/>
            </w:tcBorders>
            <w:shd w:val="clear" w:color="auto" w:fill="F0FFFF"/>
          </w:tcPr>
          <w:p>
            <w:pPr>
              <w:spacing w:after="0"/>
              <w:rPr>
                <w:sz w:val="12"/>
                <w:szCs w:val="12"/>
                <w:color w:val="auto"/>
              </w:rPr>
            </w:pPr>
          </w:p>
        </w:tc>
        <w:tc>
          <w:tcPr>
            <w:tcW w:w="260" w:type="dxa"/>
            <w:vAlign w:val="bottom"/>
            <w:tcBorders>
              <w:top w:val="single" w:sz="8" w:color="F0FFFF"/>
            </w:tcBorders>
            <w:shd w:val="clear" w:color="auto" w:fill="F0FFFF"/>
          </w:tcPr>
          <w:p>
            <w:pPr>
              <w:spacing w:after="0"/>
              <w:rPr>
                <w:sz w:val="12"/>
                <w:szCs w:val="12"/>
                <w:color w:val="auto"/>
              </w:rPr>
            </w:pPr>
          </w:p>
        </w:tc>
        <w:tc>
          <w:tcPr>
            <w:tcW w:w="180" w:type="dxa"/>
            <w:vAlign w:val="bottom"/>
            <w:tcBorders>
              <w:top w:val="single" w:sz="8" w:color="F0FFFF"/>
            </w:tcBorders>
            <w:shd w:val="clear" w:color="auto" w:fill="F0FFFF"/>
          </w:tcPr>
          <w:p>
            <w:pPr>
              <w:spacing w:after="0"/>
              <w:rPr>
                <w:sz w:val="12"/>
                <w:szCs w:val="12"/>
                <w:color w:val="auto"/>
              </w:rPr>
            </w:pPr>
          </w:p>
        </w:tc>
        <w:tc>
          <w:tcPr>
            <w:tcW w:w="360" w:type="dxa"/>
            <w:vAlign w:val="bottom"/>
            <w:tcBorders>
              <w:top w:val="single" w:sz="8" w:color="F0FFFF"/>
              <w:right w:val="single" w:sz="8" w:color="F0FFFF"/>
            </w:tcBorders>
            <w:shd w:val="clear" w:color="auto" w:fill="F0FFFF"/>
          </w:tcPr>
          <w:p>
            <w:pPr>
              <w:spacing w:after="0"/>
              <w:rPr>
                <w:sz w:val="12"/>
                <w:szCs w:val="12"/>
                <w:color w:val="auto"/>
              </w:rPr>
            </w:pPr>
          </w:p>
        </w:tc>
        <w:tc>
          <w:tcPr>
            <w:tcW w:w="440" w:type="dxa"/>
            <w:vAlign w:val="bottom"/>
            <w:tcBorders>
              <w:top w:val="single" w:sz="8" w:color="F0FFFF"/>
            </w:tcBorders>
            <w:shd w:val="clear" w:color="auto" w:fill="F0FFFF"/>
          </w:tcPr>
          <w:p>
            <w:pPr>
              <w:spacing w:after="0"/>
              <w:rPr>
                <w:sz w:val="12"/>
                <w:szCs w:val="12"/>
                <w:color w:val="auto"/>
              </w:rPr>
            </w:pPr>
          </w:p>
        </w:tc>
        <w:tc>
          <w:tcPr>
            <w:tcW w:w="360" w:type="dxa"/>
            <w:vAlign w:val="bottom"/>
            <w:tcBorders>
              <w:top w:val="single" w:sz="8" w:color="F0FFFF"/>
            </w:tcBorders>
            <w:shd w:val="clear" w:color="auto" w:fill="F0FFFF"/>
          </w:tcPr>
          <w:p>
            <w:pPr>
              <w:spacing w:after="0"/>
              <w:rPr>
                <w:sz w:val="12"/>
                <w:szCs w:val="12"/>
                <w:color w:val="auto"/>
              </w:rPr>
            </w:pPr>
          </w:p>
        </w:tc>
        <w:tc>
          <w:tcPr>
            <w:tcW w:w="220" w:type="dxa"/>
            <w:vAlign w:val="bottom"/>
            <w:tcBorders>
              <w:top w:val="single" w:sz="8" w:color="F0FFFF"/>
              <w:right w:val="single" w:sz="8" w:color="auto"/>
            </w:tcBorders>
            <w:shd w:val="clear" w:color="auto" w:fill="F0FFFF"/>
          </w:tcPr>
          <w:p>
            <w:pPr>
              <w:spacing w:after="0"/>
              <w:rPr>
                <w:sz w:val="12"/>
                <w:szCs w:val="12"/>
                <w:color w:val="auto"/>
              </w:rPr>
            </w:pPr>
          </w:p>
        </w:tc>
        <w:tc>
          <w:tcPr>
            <w:tcW w:w="1280" w:type="dxa"/>
            <w:vAlign w:val="bottom"/>
            <w:tcBorders>
              <w:top w:val="single" w:sz="8" w:color="F0FFFF"/>
              <w:right w:val="single" w:sz="8" w:color="auto"/>
            </w:tcBorders>
            <w:shd w:val="clear" w:color="auto" w:fill="F0FFFF"/>
          </w:tcPr>
          <w:p>
            <w:pPr>
              <w:spacing w:after="0"/>
              <w:rPr>
                <w:sz w:val="12"/>
                <w:szCs w:val="12"/>
                <w:color w:val="auto"/>
              </w:rPr>
            </w:pPr>
          </w:p>
        </w:tc>
        <w:tc>
          <w:tcPr>
            <w:tcW w:w="160" w:type="dxa"/>
            <w:vAlign w:val="bottom"/>
            <w:tcBorders>
              <w:top w:val="single" w:sz="8" w:color="F0FFFF"/>
              <w:right w:val="single" w:sz="8" w:color="F0FFFF"/>
            </w:tcBorders>
            <w:shd w:val="clear" w:color="auto" w:fill="F0FFFF"/>
          </w:tcPr>
          <w:p>
            <w:pPr>
              <w:spacing w:after="0"/>
              <w:rPr>
                <w:sz w:val="12"/>
                <w:szCs w:val="12"/>
                <w:color w:val="auto"/>
              </w:rPr>
            </w:pPr>
          </w:p>
        </w:tc>
        <w:tc>
          <w:tcPr>
            <w:tcW w:w="800" w:type="dxa"/>
            <w:vAlign w:val="bottom"/>
            <w:tcBorders>
              <w:top w:val="single" w:sz="8" w:color="F0FFFF"/>
            </w:tcBorders>
            <w:gridSpan w:val="3"/>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Amount.</w:t>
            </w:r>
          </w:p>
        </w:tc>
        <w:tc>
          <w:tcPr>
            <w:tcW w:w="640" w:type="dxa"/>
            <w:vAlign w:val="bottom"/>
            <w:tcBorders>
              <w:top w:val="single" w:sz="8" w:color="auto"/>
              <w:left w:val="single" w:sz="8" w:color="F0FFFF"/>
            </w:tcBorders>
            <w:gridSpan w:val="6"/>
            <w:shd w:val="clear" w:color="auto" w:fill="F0FFFF"/>
          </w:tcPr>
          <w:p>
            <w:pPr>
              <w:spacing w:after="0"/>
              <w:rPr>
                <w:sz w:val="12"/>
                <w:szCs w:val="12"/>
                <w:color w:val="auto"/>
              </w:rPr>
            </w:pPr>
          </w:p>
        </w:tc>
        <w:tc>
          <w:tcPr>
            <w:tcW w:w="300" w:type="dxa"/>
            <w:vAlign w:val="bottom"/>
            <w:tcBorders>
              <w:top w:val="single" w:sz="8" w:color="F0FFFF"/>
              <w:right w:val="single" w:sz="8" w:color="auto"/>
            </w:tcBorders>
            <w:gridSpan w:val="3"/>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shd w:val="clear" w:color="auto" w:fill="F0FFFF"/>
          </w:tcPr>
          <w:p>
            <w:pPr>
              <w:spacing w:after="0" w:line="20" w:lineRule="exact"/>
              <w:rPr>
                <w:sz w:val="1"/>
                <w:szCs w:val="1"/>
                <w:color w:val="auto"/>
              </w:rPr>
            </w:pPr>
          </w:p>
        </w:tc>
        <w:tc>
          <w:tcPr>
            <w:tcW w:w="82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60" w:type="dxa"/>
            <w:vAlign w:val="bottom"/>
            <w:tcBorders>
              <w:right w:val="single" w:sz="8" w:color="F0FFFF"/>
            </w:tcBorders>
            <w:shd w:val="clear" w:color="auto" w:fill="F0FFFF"/>
          </w:tcPr>
          <w:p>
            <w:pPr>
              <w:spacing w:after="0" w:line="20" w:lineRule="exact"/>
              <w:rPr>
                <w:sz w:val="1"/>
                <w:szCs w:val="1"/>
                <w:color w:val="auto"/>
              </w:rPr>
            </w:pPr>
          </w:p>
        </w:tc>
        <w:tc>
          <w:tcPr>
            <w:tcW w:w="440" w:type="dxa"/>
            <w:vAlign w:val="bottom"/>
            <w:shd w:val="clear" w:color="auto" w:fill="F0FFFF"/>
          </w:tcPr>
          <w:p>
            <w:pPr>
              <w:spacing w:after="0" w:line="20" w:lineRule="exact"/>
              <w:rPr>
                <w:sz w:val="1"/>
                <w:szCs w:val="1"/>
                <w:color w:val="auto"/>
              </w:rPr>
            </w:pPr>
          </w:p>
        </w:tc>
        <w:tc>
          <w:tcPr>
            <w:tcW w:w="36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1280" w:type="dxa"/>
            <w:vAlign w:val="bottom"/>
            <w:tcBorders>
              <w:right w:val="single" w:sz="8" w:color="auto"/>
            </w:tcBorders>
            <w:shd w:val="clear" w:color="auto" w:fill="F0FFFF"/>
          </w:tcPr>
          <w:p>
            <w:pPr>
              <w:spacing w:after="0" w:line="20" w:lineRule="exact"/>
              <w:rPr>
                <w:sz w:val="1"/>
                <w:szCs w:val="1"/>
                <w:color w:val="auto"/>
              </w:rPr>
            </w:pPr>
          </w:p>
        </w:tc>
        <w:tc>
          <w:tcPr>
            <w:tcW w:w="160" w:type="dxa"/>
            <w:vAlign w:val="bottom"/>
            <w:tcBorders>
              <w:right w:val="single" w:sz="8" w:color="auto"/>
            </w:tcBorders>
            <w:shd w:val="clear" w:color="auto" w:fill="F0FFFF"/>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80" w:type="dxa"/>
            <w:vAlign w:val="bottom"/>
            <w:tcBorders>
              <w:left w:val="single" w:sz="8" w:color="F0FFFF"/>
            </w:tcBorders>
            <w:shd w:val="clear" w:color="auto" w:fill="F0FFFF"/>
          </w:tcPr>
          <w:p>
            <w:pPr>
              <w:spacing w:after="0" w:line="20" w:lineRule="exact"/>
              <w:rPr>
                <w:sz w:val="1"/>
                <w:szCs w:val="1"/>
                <w:color w:val="auto"/>
              </w:rPr>
            </w:pPr>
          </w:p>
        </w:tc>
        <w:tc>
          <w:tcPr>
            <w:tcW w:w="16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240" w:type="dxa"/>
            <w:vAlign w:val="bottom"/>
            <w:tcBorders>
              <w:left w:val="single" w:sz="8" w:color="F0FFFF"/>
            </w:tcBorders>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160" w:type="dxa"/>
            <w:vAlign w:val="bottom"/>
            <w:gridSpan w:val="2"/>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 w:type="dxa"/>
            <w:vAlign w:val="bottom"/>
            <w:tcBorders>
              <w:left w:val="single" w:sz="8" w:color="auto"/>
            </w:tcBorders>
            <w:shd w:val="clear" w:color="auto" w:fill="F0FFFF"/>
          </w:tcPr>
          <w:p>
            <w:pPr>
              <w:spacing w:after="0"/>
              <w:rPr>
                <w:sz w:val="13"/>
                <w:szCs w:val="13"/>
                <w:color w:val="auto"/>
              </w:rPr>
            </w:pPr>
          </w:p>
        </w:tc>
        <w:tc>
          <w:tcPr>
            <w:tcW w:w="820" w:type="dxa"/>
            <w:vAlign w:val="bottom"/>
            <w:shd w:val="clear" w:color="auto" w:fill="F0FFFF"/>
          </w:tcPr>
          <w:p>
            <w:pPr>
              <w:spacing w:after="0"/>
              <w:rPr>
                <w:sz w:val="13"/>
                <w:szCs w:val="13"/>
                <w:color w:val="auto"/>
              </w:rPr>
            </w:pPr>
          </w:p>
        </w:tc>
        <w:tc>
          <w:tcPr>
            <w:tcW w:w="220" w:type="dxa"/>
            <w:vAlign w:val="bottom"/>
            <w:tcBorders>
              <w:right w:val="single" w:sz="8" w:color="auto"/>
            </w:tcBorders>
            <w:shd w:val="clear" w:color="auto" w:fill="F0FFFF"/>
          </w:tcPr>
          <w:p>
            <w:pPr>
              <w:spacing w:after="0"/>
              <w:rPr>
                <w:sz w:val="13"/>
                <w:szCs w:val="13"/>
                <w:color w:val="auto"/>
              </w:rPr>
            </w:pPr>
          </w:p>
        </w:tc>
        <w:tc>
          <w:tcPr>
            <w:tcW w:w="260" w:type="dxa"/>
            <w:vAlign w:val="bottom"/>
            <w:shd w:val="clear" w:color="auto" w:fill="F0FFFF"/>
          </w:tcPr>
          <w:p>
            <w:pPr>
              <w:spacing w:after="0"/>
              <w:rPr>
                <w:sz w:val="13"/>
                <w:szCs w:val="13"/>
                <w:color w:val="auto"/>
              </w:rPr>
            </w:pPr>
          </w:p>
        </w:tc>
        <w:tc>
          <w:tcPr>
            <w:tcW w:w="180" w:type="dxa"/>
            <w:vAlign w:val="bottom"/>
            <w:shd w:val="clear" w:color="auto" w:fill="F0FFFF"/>
          </w:tcPr>
          <w:p>
            <w:pPr>
              <w:spacing w:after="0"/>
              <w:rPr>
                <w:sz w:val="13"/>
                <w:szCs w:val="13"/>
                <w:color w:val="auto"/>
              </w:rPr>
            </w:pPr>
          </w:p>
        </w:tc>
        <w:tc>
          <w:tcPr>
            <w:tcW w:w="360" w:type="dxa"/>
            <w:vAlign w:val="bottom"/>
            <w:tcBorders>
              <w:right w:val="single" w:sz="8" w:color="F0FFFF"/>
            </w:tcBorders>
            <w:shd w:val="clear" w:color="auto" w:fill="F0FFFF"/>
          </w:tcPr>
          <w:p>
            <w:pPr>
              <w:spacing w:after="0"/>
              <w:rPr>
                <w:sz w:val="13"/>
                <w:szCs w:val="13"/>
                <w:color w:val="auto"/>
              </w:rPr>
            </w:pPr>
          </w:p>
        </w:tc>
        <w:tc>
          <w:tcPr>
            <w:tcW w:w="440" w:type="dxa"/>
            <w:vAlign w:val="bottom"/>
            <w:shd w:val="clear" w:color="auto" w:fill="F0FFFF"/>
          </w:tcPr>
          <w:p>
            <w:pPr>
              <w:spacing w:after="0"/>
              <w:rPr>
                <w:sz w:val="13"/>
                <w:szCs w:val="13"/>
                <w:color w:val="auto"/>
              </w:rPr>
            </w:pPr>
          </w:p>
        </w:tc>
        <w:tc>
          <w:tcPr>
            <w:tcW w:w="360" w:type="dxa"/>
            <w:vAlign w:val="bottom"/>
            <w:shd w:val="clear" w:color="auto" w:fill="F0FFFF"/>
          </w:tcPr>
          <w:p>
            <w:pPr>
              <w:spacing w:after="0"/>
              <w:rPr>
                <w:sz w:val="13"/>
                <w:szCs w:val="13"/>
                <w:color w:val="auto"/>
              </w:rPr>
            </w:pPr>
          </w:p>
        </w:tc>
        <w:tc>
          <w:tcPr>
            <w:tcW w:w="220" w:type="dxa"/>
            <w:vAlign w:val="bottom"/>
            <w:tcBorders>
              <w:right w:val="single" w:sz="8" w:color="auto"/>
            </w:tcBorders>
            <w:shd w:val="clear" w:color="auto" w:fill="F0FFFF"/>
          </w:tcPr>
          <w:p>
            <w:pPr>
              <w:spacing w:after="0"/>
              <w:rPr>
                <w:sz w:val="13"/>
                <w:szCs w:val="13"/>
                <w:color w:val="auto"/>
              </w:rPr>
            </w:pPr>
          </w:p>
        </w:tc>
        <w:tc>
          <w:tcPr>
            <w:tcW w:w="1280" w:type="dxa"/>
            <w:vAlign w:val="bottom"/>
            <w:tcBorders>
              <w:right w:val="single" w:sz="8" w:color="auto"/>
            </w:tcBorders>
            <w:shd w:val="clear" w:color="auto" w:fill="F0FFFF"/>
          </w:tcPr>
          <w:p>
            <w:pPr>
              <w:spacing w:after="0"/>
              <w:rPr>
                <w:sz w:val="13"/>
                <w:szCs w:val="13"/>
                <w:color w:val="auto"/>
              </w:rPr>
            </w:pPr>
          </w:p>
        </w:tc>
        <w:tc>
          <w:tcPr>
            <w:tcW w:w="1900" w:type="dxa"/>
            <w:vAlign w:val="bottom"/>
            <w:tcBorders>
              <w:right w:val="single" w:sz="8" w:color="auto"/>
            </w:tcBorders>
            <w:gridSpan w:val="13"/>
            <w:shd w:val="clear" w:color="auto" w:fill="F0FFFF"/>
          </w:tcPr>
          <w:p>
            <w:pPr>
              <w:ind w:left="20"/>
              <w:spacing w:after="0"/>
              <w:rPr>
                <w:sz w:val="20"/>
                <w:szCs w:val="20"/>
                <w:color w:val="auto"/>
              </w:rPr>
            </w:pPr>
            <w:r>
              <w:rPr>
                <w:rFonts w:ascii="Times New Roman" w:cs="Times New Roman" w:eastAsia="Times New Roman" w:hAnsi="Times New Roman"/>
                <w:sz w:val="13"/>
                <w:szCs w:val="13"/>
                <w:color w:val="auto"/>
              </w:rPr>
              <w:t>● Withdrawals will reduce the</w:t>
            </w:r>
          </w:p>
        </w:tc>
        <w:tc>
          <w:tcPr>
            <w:tcW w:w="0" w:type="dxa"/>
            <w:vAlign w:val="bottom"/>
          </w:tcPr>
          <w:p>
            <w:pPr>
              <w:spacing w:after="0"/>
              <w:rPr>
                <w:sz w:val="1"/>
                <w:szCs w:val="1"/>
                <w:color w:val="auto"/>
              </w:rPr>
            </w:pPr>
          </w:p>
        </w:tc>
      </w:tr>
      <w:tr>
        <w:trPr>
          <w:trHeight w:val="159"/>
        </w:trPr>
        <w:tc>
          <w:tcPr>
            <w:tcW w:w="40" w:type="dxa"/>
            <w:vAlign w:val="bottom"/>
            <w:tcBorders>
              <w:left w:val="single" w:sz="8" w:color="auto"/>
            </w:tcBorders>
            <w:shd w:val="clear" w:color="auto" w:fill="F0FFFF"/>
          </w:tcPr>
          <w:p>
            <w:pPr>
              <w:spacing w:after="0"/>
              <w:rPr>
                <w:sz w:val="13"/>
                <w:szCs w:val="13"/>
                <w:color w:val="auto"/>
              </w:rPr>
            </w:pPr>
          </w:p>
        </w:tc>
        <w:tc>
          <w:tcPr>
            <w:tcW w:w="820" w:type="dxa"/>
            <w:vAlign w:val="bottom"/>
            <w:shd w:val="clear" w:color="auto" w:fill="F0FFFF"/>
          </w:tcPr>
          <w:p>
            <w:pPr>
              <w:spacing w:after="0"/>
              <w:rPr>
                <w:sz w:val="13"/>
                <w:szCs w:val="13"/>
                <w:color w:val="auto"/>
              </w:rPr>
            </w:pPr>
          </w:p>
        </w:tc>
        <w:tc>
          <w:tcPr>
            <w:tcW w:w="220" w:type="dxa"/>
            <w:vAlign w:val="bottom"/>
            <w:tcBorders>
              <w:right w:val="single" w:sz="8" w:color="auto"/>
            </w:tcBorders>
            <w:shd w:val="clear" w:color="auto" w:fill="F0FFFF"/>
          </w:tcPr>
          <w:p>
            <w:pPr>
              <w:spacing w:after="0"/>
              <w:rPr>
                <w:sz w:val="13"/>
                <w:szCs w:val="13"/>
                <w:color w:val="auto"/>
              </w:rPr>
            </w:pPr>
          </w:p>
        </w:tc>
        <w:tc>
          <w:tcPr>
            <w:tcW w:w="260" w:type="dxa"/>
            <w:vAlign w:val="bottom"/>
            <w:shd w:val="clear" w:color="auto" w:fill="F0FFFF"/>
          </w:tcPr>
          <w:p>
            <w:pPr>
              <w:spacing w:after="0"/>
              <w:rPr>
                <w:sz w:val="13"/>
                <w:szCs w:val="13"/>
                <w:color w:val="auto"/>
              </w:rPr>
            </w:pPr>
          </w:p>
        </w:tc>
        <w:tc>
          <w:tcPr>
            <w:tcW w:w="180" w:type="dxa"/>
            <w:vAlign w:val="bottom"/>
            <w:shd w:val="clear" w:color="auto" w:fill="F0FFFF"/>
          </w:tcPr>
          <w:p>
            <w:pPr>
              <w:spacing w:after="0"/>
              <w:rPr>
                <w:sz w:val="13"/>
                <w:szCs w:val="13"/>
                <w:color w:val="auto"/>
              </w:rPr>
            </w:pPr>
          </w:p>
        </w:tc>
        <w:tc>
          <w:tcPr>
            <w:tcW w:w="360" w:type="dxa"/>
            <w:vAlign w:val="bottom"/>
            <w:tcBorders>
              <w:right w:val="single" w:sz="8" w:color="F0FFFF"/>
            </w:tcBorders>
            <w:shd w:val="clear" w:color="auto" w:fill="F0FFFF"/>
          </w:tcPr>
          <w:p>
            <w:pPr>
              <w:spacing w:after="0"/>
              <w:rPr>
                <w:sz w:val="13"/>
                <w:szCs w:val="13"/>
                <w:color w:val="auto"/>
              </w:rPr>
            </w:pPr>
          </w:p>
        </w:tc>
        <w:tc>
          <w:tcPr>
            <w:tcW w:w="440" w:type="dxa"/>
            <w:vAlign w:val="bottom"/>
            <w:shd w:val="clear" w:color="auto" w:fill="F0FFFF"/>
          </w:tcPr>
          <w:p>
            <w:pPr>
              <w:spacing w:after="0"/>
              <w:rPr>
                <w:sz w:val="13"/>
                <w:szCs w:val="13"/>
                <w:color w:val="auto"/>
              </w:rPr>
            </w:pPr>
          </w:p>
        </w:tc>
        <w:tc>
          <w:tcPr>
            <w:tcW w:w="360" w:type="dxa"/>
            <w:vAlign w:val="bottom"/>
            <w:shd w:val="clear" w:color="auto" w:fill="F0FFFF"/>
          </w:tcPr>
          <w:p>
            <w:pPr>
              <w:spacing w:after="0"/>
              <w:rPr>
                <w:sz w:val="13"/>
                <w:szCs w:val="13"/>
                <w:color w:val="auto"/>
              </w:rPr>
            </w:pPr>
          </w:p>
        </w:tc>
        <w:tc>
          <w:tcPr>
            <w:tcW w:w="220" w:type="dxa"/>
            <w:vAlign w:val="bottom"/>
            <w:tcBorders>
              <w:right w:val="single" w:sz="8" w:color="auto"/>
            </w:tcBorders>
            <w:shd w:val="clear" w:color="auto" w:fill="F0FFFF"/>
          </w:tcPr>
          <w:p>
            <w:pPr>
              <w:spacing w:after="0"/>
              <w:rPr>
                <w:sz w:val="13"/>
                <w:szCs w:val="13"/>
                <w:color w:val="auto"/>
              </w:rPr>
            </w:pPr>
          </w:p>
        </w:tc>
        <w:tc>
          <w:tcPr>
            <w:tcW w:w="1280" w:type="dxa"/>
            <w:vAlign w:val="bottom"/>
            <w:tcBorders>
              <w:right w:val="single" w:sz="8" w:color="auto"/>
            </w:tcBorders>
            <w:shd w:val="clear" w:color="auto" w:fill="F0FFFF"/>
          </w:tcPr>
          <w:p>
            <w:pPr>
              <w:spacing w:after="0"/>
              <w:rPr>
                <w:sz w:val="13"/>
                <w:szCs w:val="13"/>
                <w:color w:val="auto"/>
              </w:rPr>
            </w:pPr>
          </w:p>
        </w:tc>
        <w:tc>
          <w:tcPr>
            <w:tcW w:w="160" w:type="dxa"/>
            <w:vAlign w:val="bottom"/>
            <w:tcBorders>
              <w:right w:val="single" w:sz="8" w:color="F0FFFF"/>
            </w:tcBorders>
            <w:shd w:val="clear" w:color="auto" w:fill="F0FFFF"/>
          </w:tcPr>
          <w:p>
            <w:pPr>
              <w:spacing w:after="0"/>
              <w:rPr>
                <w:sz w:val="13"/>
                <w:szCs w:val="13"/>
                <w:color w:val="auto"/>
              </w:rPr>
            </w:pPr>
          </w:p>
        </w:tc>
        <w:tc>
          <w:tcPr>
            <w:tcW w:w="1740" w:type="dxa"/>
            <w:vAlign w:val="bottom"/>
            <w:tcBorders>
              <w:right w:val="single" w:sz="8" w:color="auto"/>
            </w:tcBorders>
            <w:gridSpan w:val="12"/>
            <w:shd w:val="clear" w:color="auto" w:fill="F0FFFF"/>
          </w:tcPr>
          <w:p>
            <w:pPr>
              <w:spacing w:after="0"/>
              <w:rPr>
                <w:sz w:val="20"/>
                <w:szCs w:val="20"/>
                <w:color w:val="auto"/>
              </w:rPr>
            </w:pPr>
            <w:r>
              <w:rPr>
                <w:rFonts w:ascii="Times New Roman" w:cs="Times New Roman" w:eastAsia="Times New Roman" w:hAnsi="Times New Roman"/>
                <w:sz w:val="13"/>
                <w:szCs w:val="13"/>
                <w:color w:val="auto"/>
              </w:rPr>
              <w:t>death benefit, perhaps</w:t>
            </w:r>
          </w:p>
        </w:tc>
        <w:tc>
          <w:tcPr>
            <w:tcW w:w="0" w:type="dxa"/>
            <w:vAlign w:val="bottom"/>
          </w:tcPr>
          <w:p>
            <w:pPr>
              <w:spacing w:after="0"/>
              <w:rPr>
                <w:sz w:val="1"/>
                <w:szCs w:val="1"/>
                <w:color w:val="auto"/>
              </w:rPr>
            </w:pPr>
          </w:p>
        </w:tc>
      </w:tr>
      <w:tr>
        <w:trPr>
          <w:trHeight w:val="159"/>
        </w:trPr>
        <w:tc>
          <w:tcPr>
            <w:tcW w:w="40" w:type="dxa"/>
            <w:vAlign w:val="bottom"/>
            <w:tcBorders>
              <w:left w:val="single" w:sz="8" w:color="auto"/>
            </w:tcBorders>
            <w:shd w:val="clear" w:color="auto" w:fill="F0FFFF"/>
          </w:tcPr>
          <w:p>
            <w:pPr>
              <w:spacing w:after="0"/>
              <w:rPr>
                <w:sz w:val="13"/>
                <w:szCs w:val="13"/>
                <w:color w:val="auto"/>
              </w:rPr>
            </w:pPr>
          </w:p>
        </w:tc>
        <w:tc>
          <w:tcPr>
            <w:tcW w:w="820" w:type="dxa"/>
            <w:vAlign w:val="bottom"/>
            <w:shd w:val="clear" w:color="auto" w:fill="F0FFFF"/>
          </w:tcPr>
          <w:p>
            <w:pPr>
              <w:spacing w:after="0"/>
              <w:rPr>
                <w:sz w:val="13"/>
                <w:szCs w:val="13"/>
                <w:color w:val="auto"/>
              </w:rPr>
            </w:pPr>
          </w:p>
        </w:tc>
        <w:tc>
          <w:tcPr>
            <w:tcW w:w="220" w:type="dxa"/>
            <w:vAlign w:val="bottom"/>
            <w:tcBorders>
              <w:right w:val="single" w:sz="8" w:color="auto"/>
            </w:tcBorders>
            <w:shd w:val="clear" w:color="auto" w:fill="F0FFFF"/>
          </w:tcPr>
          <w:p>
            <w:pPr>
              <w:spacing w:after="0"/>
              <w:rPr>
                <w:sz w:val="13"/>
                <w:szCs w:val="13"/>
                <w:color w:val="auto"/>
              </w:rPr>
            </w:pPr>
          </w:p>
        </w:tc>
        <w:tc>
          <w:tcPr>
            <w:tcW w:w="260" w:type="dxa"/>
            <w:vAlign w:val="bottom"/>
            <w:shd w:val="clear" w:color="auto" w:fill="F0FFFF"/>
          </w:tcPr>
          <w:p>
            <w:pPr>
              <w:spacing w:after="0"/>
              <w:rPr>
                <w:sz w:val="13"/>
                <w:szCs w:val="13"/>
                <w:color w:val="auto"/>
              </w:rPr>
            </w:pPr>
          </w:p>
        </w:tc>
        <w:tc>
          <w:tcPr>
            <w:tcW w:w="180" w:type="dxa"/>
            <w:vAlign w:val="bottom"/>
            <w:shd w:val="clear" w:color="auto" w:fill="F0FFFF"/>
          </w:tcPr>
          <w:p>
            <w:pPr>
              <w:spacing w:after="0"/>
              <w:rPr>
                <w:sz w:val="13"/>
                <w:szCs w:val="13"/>
                <w:color w:val="auto"/>
              </w:rPr>
            </w:pPr>
          </w:p>
        </w:tc>
        <w:tc>
          <w:tcPr>
            <w:tcW w:w="360" w:type="dxa"/>
            <w:vAlign w:val="bottom"/>
            <w:tcBorders>
              <w:right w:val="single" w:sz="8" w:color="F0FFFF"/>
            </w:tcBorders>
            <w:shd w:val="clear" w:color="auto" w:fill="F0FFFF"/>
          </w:tcPr>
          <w:p>
            <w:pPr>
              <w:spacing w:after="0"/>
              <w:rPr>
                <w:sz w:val="13"/>
                <w:szCs w:val="13"/>
                <w:color w:val="auto"/>
              </w:rPr>
            </w:pPr>
          </w:p>
        </w:tc>
        <w:tc>
          <w:tcPr>
            <w:tcW w:w="440" w:type="dxa"/>
            <w:vAlign w:val="bottom"/>
            <w:shd w:val="clear" w:color="auto" w:fill="F0FFFF"/>
          </w:tcPr>
          <w:p>
            <w:pPr>
              <w:spacing w:after="0"/>
              <w:rPr>
                <w:sz w:val="13"/>
                <w:szCs w:val="13"/>
                <w:color w:val="auto"/>
              </w:rPr>
            </w:pPr>
          </w:p>
        </w:tc>
        <w:tc>
          <w:tcPr>
            <w:tcW w:w="360" w:type="dxa"/>
            <w:vAlign w:val="bottom"/>
            <w:shd w:val="clear" w:color="auto" w:fill="F0FFFF"/>
          </w:tcPr>
          <w:p>
            <w:pPr>
              <w:spacing w:after="0"/>
              <w:rPr>
                <w:sz w:val="13"/>
                <w:szCs w:val="13"/>
                <w:color w:val="auto"/>
              </w:rPr>
            </w:pPr>
          </w:p>
        </w:tc>
        <w:tc>
          <w:tcPr>
            <w:tcW w:w="220" w:type="dxa"/>
            <w:vAlign w:val="bottom"/>
            <w:tcBorders>
              <w:right w:val="single" w:sz="8" w:color="auto"/>
            </w:tcBorders>
            <w:shd w:val="clear" w:color="auto" w:fill="F0FFFF"/>
          </w:tcPr>
          <w:p>
            <w:pPr>
              <w:spacing w:after="0"/>
              <w:rPr>
                <w:sz w:val="13"/>
                <w:szCs w:val="13"/>
                <w:color w:val="auto"/>
              </w:rPr>
            </w:pPr>
          </w:p>
        </w:tc>
        <w:tc>
          <w:tcPr>
            <w:tcW w:w="1280" w:type="dxa"/>
            <w:vAlign w:val="bottom"/>
            <w:tcBorders>
              <w:right w:val="single" w:sz="8" w:color="auto"/>
            </w:tcBorders>
            <w:shd w:val="clear" w:color="auto" w:fill="F0FFFF"/>
          </w:tcPr>
          <w:p>
            <w:pPr>
              <w:spacing w:after="0"/>
              <w:rPr>
                <w:sz w:val="13"/>
                <w:szCs w:val="13"/>
                <w:color w:val="auto"/>
              </w:rPr>
            </w:pPr>
          </w:p>
        </w:tc>
        <w:tc>
          <w:tcPr>
            <w:tcW w:w="160" w:type="dxa"/>
            <w:vAlign w:val="bottom"/>
            <w:tcBorders>
              <w:right w:val="single" w:sz="8" w:color="F0FFFF"/>
            </w:tcBorders>
            <w:shd w:val="clear" w:color="auto" w:fill="F0FFFF"/>
          </w:tcPr>
          <w:p>
            <w:pPr>
              <w:spacing w:after="0"/>
              <w:rPr>
                <w:sz w:val="13"/>
                <w:szCs w:val="13"/>
                <w:color w:val="auto"/>
              </w:rPr>
            </w:pPr>
          </w:p>
        </w:tc>
        <w:tc>
          <w:tcPr>
            <w:tcW w:w="1740" w:type="dxa"/>
            <w:vAlign w:val="bottom"/>
            <w:tcBorders>
              <w:right w:val="single" w:sz="8" w:color="auto"/>
            </w:tcBorders>
            <w:gridSpan w:val="12"/>
            <w:shd w:val="clear" w:color="auto" w:fill="F0FFFF"/>
          </w:tcPr>
          <w:p>
            <w:pPr>
              <w:spacing w:after="0"/>
              <w:rPr>
                <w:sz w:val="20"/>
                <w:szCs w:val="20"/>
                <w:color w:val="auto"/>
              </w:rPr>
            </w:pPr>
            <w:r>
              <w:rPr>
                <w:rFonts w:ascii="Times New Roman" w:cs="Times New Roman" w:eastAsia="Times New Roman" w:hAnsi="Times New Roman"/>
                <w:sz w:val="13"/>
                <w:szCs w:val="13"/>
                <w:color w:val="auto"/>
              </w:rPr>
              <w:t>significantly, and such</w:t>
            </w:r>
          </w:p>
        </w:tc>
        <w:tc>
          <w:tcPr>
            <w:tcW w:w="0" w:type="dxa"/>
            <w:vAlign w:val="bottom"/>
          </w:tcPr>
          <w:p>
            <w:pPr>
              <w:spacing w:after="0"/>
              <w:rPr>
                <w:sz w:val="1"/>
                <w:szCs w:val="1"/>
                <w:color w:val="auto"/>
              </w:rPr>
            </w:pPr>
          </w:p>
        </w:tc>
      </w:tr>
      <w:tr>
        <w:trPr>
          <w:trHeight w:val="159"/>
        </w:trPr>
        <w:tc>
          <w:tcPr>
            <w:tcW w:w="40" w:type="dxa"/>
            <w:vAlign w:val="bottom"/>
            <w:tcBorders>
              <w:left w:val="single" w:sz="8" w:color="auto"/>
            </w:tcBorders>
            <w:shd w:val="clear" w:color="auto" w:fill="F0FFFF"/>
          </w:tcPr>
          <w:p>
            <w:pPr>
              <w:spacing w:after="0"/>
              <w:rPr>
                <w:sz w:val="13"/>
                <w:szCs w:val="13"/>
                <w:color w:val="auto"/>
              </w:rPr>
            </w:pPr>
          </w:p>
        </w:tc>
        <w:tc>
          <w:tcPr>
            <w:tcW w:w="820" w:type="dxa"/>
            <w:vAlign w:val="bottom"/>
            <w:shd w:val="clear" w:color="auto" w:fill="F0FFFF"/>
          </w:tcPr>
          <w:p>
            <w:pPr>
              <w:spacing w:after="0"/>
              <w:rPr>
                <w:sz w:val="13"/>
                <w:szCs w:val="13"/>
                <w:color w:val="auto"/>
              </w:rPr>
            </w:pPr>
          </w:p>
        </w:tc>
        <w:tc>
          <w:tcPr>
            <w:tcW w:w="220" w:type="dxa"/>
            <w:vAlign w:val="bottom"/>
            <w:tcBorders>
              <w:right w:val="single" w:sz="8" w:color="auto"/>
            </w:tcBorders>
            <w:shd w:val="clear" w:color="auto" w:fill="F0FFFF"/>
          </w:tcPr>
          <w:p>
            <w:pPr>
              <w:spacing w:after="0"/>
              <w:rPr>
                <w:sz w:val="13"/>
                <w:szCs w:val="13"/>
                <w:color w:val="auto"/>
              </w:rPr>
            </w:pPr>
          </w:p>
        </w:tc>
        <w:tc>
          <w:tcPr>
            <w:tcW w:w="260" w:type="dxa"/>
            <w:vAlign w:val="bottom"/>
            <w:shd w:val="clear" w:color="auto" w:fill="F0FFFF"/>
          </w:tcPr>
          <w:p>
            <w:pPr>
              <w:spacing w:after="0"/>
              <w:rPr>
                <w:sz w:val="13"/>
                <w:szCs w:val="13"/>
                <w:color w:val="auto"/>
              </w:rPr>
            </w:pPr>
          </w:p>
        </w:tc>
        <w:tc>
          <w:tcPr>
            <w:tcW w:w="180" w:type="dxa"/>
            <w:vAlign w:val="bottom"/>
            <w:shd w:val="clear" w:color="auto" w:fill="F0FFFF"/>
          </w:tcPr>
          <w:p>
            <w:pPr>
              <w:spacing w:after="0"/>
              <w:rPr>
                <w:sz w:val="13"/>
                <w:szCs w:val="13"/>
                <w:color w:val="auto"/>
              </w:rPr>
            </w:pPr>
          </w:p>
        </w:tc>
        <w:tc>
          <w:tcPr>
            <w:tcW w:w="360" w:type="dxa"/>
            <w:vAlign w:val="bottom"/>
            <w:tcBorders>
              <w:right w:val="single" w:sz="8" w:color="F0FFFF"/>
            </w:tcBorders>
            <w:shd w:val="clear" w:color="auto" w:fill="F0FFFF"/>
          </w:tcPr>
          <w:p>
            <w:pPr>
              <w:spacing w:after="0"/>
              <w:rPr>
                <w:sz w:val="13"/>
                <w:szCs w:val="13"/>
                <w:color w:val="auto"/>
              </w:rPr>
            </w:pPr>
          </w:p>
        </w:tc>
        <w:tc>
          <w:tcPr>
            <w:tcW w:w="440" w:type="dxa"/>
            <w:vAlign w:val="bottom"/>
            <w:shd w:val="clear" w:color="auto" w:fill="F0FFFF"/>
          </w:tcPr>
          <w:p>
            <w:pPr>
              <w:spacing w:after="0"/>
              <w:rPr>
                <w:sz w:val="13"/>
                <w:szCs w:val="13"/>
                <w:color w:val="auto"/>
              </w:rPr>
            </w:pPr>
          </w:p>
        </w:tc>
        <w:tc>
          <w:tcPr>
            <w:tcW w:w="360" w:type="dxa"/>
            <w:vAlign w:val="bottom"/>
            <w:shd w:val="clear" w:color="auto" w:fill="F0FFFF"/>
          </w:tcPr>
          <w:p>
            <w:pPr>
              <w:spacing w:after="0"/>
              <w:rPr>
                <w:sz w:val="13"/>
                <w:szCs w:val="13"/>
                <w:color w:val="auto"/>
              </w:rPr>
            </w:pPr>
          </w:p>
        </w:tc>
        <w:tc>
          <w:tcPr>
            <w:tcW w:w="220" w:type="dxa"/>
            <w:vAlign w:val="bottom"/>
            <w:tcBorders>
              <w:right w:val="single" w:sz="8" w:color="auto"/>
            </w:tcBorders>
            <w:shd w:val="clear" w:color="auto" w:fill="F0FFFF"/>
          </w:tcPr>
          <w:p>
            <w:pPr>
              <w:spacing w:after="0"/>
              <w:rPr>
                <w:sz w:val="13"/>
                <w:szCs w:val="13"/>
                <w:color w:val="auto"/>
              </w:rPr>
            </w:pPr>
          </w:p>
        </w:tc>
        <w:tc>
          <w:tcPr>
            <w:tcW w:w="1280" w:type="dxa"/>
            <w:vAlign w:val="bottom"/>
            <w:tcBorders>
              <w:right w:val="single" w:sz="8" w:color="auto"/>
            </w:tcBorders>
            <w:shd w:val="clear" w:color="auto" w:fill="F0FFFF"/>
          </w:tcPr>
          <w:p>
            <w:pPr>
              <w:spacing w:after="0"/>
              <w:rPr>
                <w:sz w:val="13"/>
                <w:szCs w:val="13"/>
                <w:color w:val="auto"/>
              </w:rPr>
            </w:pPr>
          </w:p>
        </w:tc>
        <w:tc>
          <w:tcPr>
            <w:tcW w:w="160" w:type="dxa"/>
            <w:vAlign w:val="bottom"/>
            <w:tcBorders>
              <w:right w:val="single" w:sz="8" w:color="F0FFFF"/>
            </w:tcBorders>
            <w:shd w:val="clear" w:color="auto" w:fill="F0FFFF"/>
          </w:tcPr>
          <w:p>
            <w:pPr>
              <w:spacing w:after="0"/>
              <w:rPr>
                <w:sz w:val="13"/>
                <w:szCs w:val="13"/>
                <w:color w:val="auto"/>
              </w:rPr>
            </w:pPr>
          </w:p>
        </w:tc>
        <w:tc>
          <w:tcPr>
            <w:tcW w:w="1740" w:type="dxa"/>
            <w:vAlign w:val="bottom"/>
            <w:tcBorders>
              <w:right w:val="single" w:sz="8" w:color="auto"/>
            </w:tcBorders>
            <w:gridSpan w:val="12"/>
            <w:shd w:val="clear" w:color="auto" w:fill="F0FFFF"/>
          </w:tcPr>
          <w:p>
            <w:pPr>
              <w:spacing w:after="0"/>
              <w:rPr>
                <w:sz w:val="20"/>
                <w:szCs w:val="20"/>
                <w:color w:val="auto"/>
              </w:rPr>
            </w:pPr>
            <w:r>
              <w:rPr>
                <w:rFonts w:ascii="Times New Roman" w:cs="Times New Roman" w:eastAsia="Times New Roman" w:hAnsi="Times New Roman"/>
                <w:sz w:val="13"/>
                <w:szCs w:val="13"/>
                <w:color w:val="auto"/>
              </w:rPr>
              <w:t>reductions could be greater</w:t>
            </w:r>
          </w:p>
        </w:tc>
        <w:tc>
          <w:tcPr>
            <w:tcW w:w="0" w:type="dxa"/>
            <w:vAlign w:val="bottom"/>
          </w:tcPr>
          <w:p>
            <w:pPr>
              <w:spacing w:after="0"/>
              <w:rPr>
                <w:sz w:val="1"/>
                <w:szCs w:val="1"/>
                <w:color w:val="auto"/>
              </w:rPr>
            </w:pPr>
          </w:p>
        </w:tc>
      </w:tr>
      <w:tr>
        <w:trPr>
          <w:trHeight w:val="182"/>
        </w:trPr>
        <w:tc>
          <w:tcPr>
            <w:tcW w:w="40" w:type="dxa"/>
            <w:vAlign w:val="bottom"/>
            <w:tcBorders>
              <w:left w:val="single" w:sz="8" w:color="auto"/>
              <w:bottom w:val="single" w:sz="8" w:color="auto"/>
            </w:tcBorders>
            <w:shd w:val="clear" w:color="auto" w:fill="F0FFFF"/>
          </w:tcPr>
          <w:p>
            <w:pPr>
              <w:spacing w:after="0"/>
              <w:rPr>
                <w:sz w:val="15"/>
                <w:szCs w:val="15"/>
                <w:color w:val="auto"/>
              </w:rPr>
            </w:pPr>
          </w:p>
        </w:tc>
        <w:tc>
          <w:tcPr>
            <w:tcW w:w="820" w:type="dxa"/>
            <w:vAlign w:val="bottom"/>
            <w:tcBorders>
              <w:bottom w:val="single" w:sz="8" w:color="auto"/>
            </w:tcBorders>
            <w:shd w:val="clear" w:color="auto" w:fill="F0FFFF"/>
          </w:tcPr>
          <w:p>
            <w:pPr>
              <w:spacing w:after="0"/>
              <w:rPr>
                <w:sz w:val="15"/>
                <w:szCs w:val="15"/>
                <w:color w:val="auto"/>
              </w:rPr>
            </w:pPr>
          </w:p>
        </w:tc>
        <w:tc>
          <w:tcPr>
            <w:tcW w:w="220" w:type="dxa"/>
            <w:vAlign w:val="bottom"/>
            <w:tcBorders>
              <w:bottom w:val="single" w:sz="8" w:color="auto"/>
              <w:right w:val="single" w:sz="8" w:color="auto"/>
            </w:tcBorders>
            <w:shd w:val="clear" w:color="auto" w:fill="F0FFFF"/>
          </w:tcPr>
          <w:p>
            <w:pPr>
              <w:spacing w:after="0"/>
              <w:rPr>
                <w:sz w:val="15"/>
                <w:szCs w:val="15"/>
                <w:color w:val="auto"/>
              </w:rPr>
            </w:pPr>
          </w:p>
        </w:tc>
        <w:tc>
          <w:tcPr>
            <w:tcW w:w="260" w:type="dxa"/>
            <w:vAlign w:val="bottom"/>
            <w:tcBorders>
              <w:bottom w:val="single" w:sz="8" w:color="auto"/>
            </w:tcBorders>
            <w:shd w:val="clear" w:color="auto" w:fill="F0FFFF"/>
          </w:tcPr>
          <w:p>
            <w:pPr>
              <w:spacing w:after="0"/>
              <w:rPr>
                <w:sz w:val="15"/>
                <w:szCs w:val="15"/>
                <w:color w:val="auto"/>
              </w:rPr>
            </w:pPr>
          </w:p>
        </w:tc>
        <w:tc>
          <w:tcPr>
            <w:tcW w:w="180" w:type="dxa"/>
            <w:vAlign w:val="bottom"/>
            <w:tcBorders>
              <w:bottom w:val="single" w:sz="8" w:color="auto"/>
            </w:tcBorders>
            <w:shd w:val="clear" w:color="auto" w:fill="F0FFFF"/>
          </w:tcPr>
          <w:p>
            <w:pPr>
              <w:spacing w:after="0"/>
              <w:rPr>
                <w:sz w:val="15"/>
                <w:szCs w:val="15"/>
                <w:color w:val="auto"/>
              </w:rPr>
            </w:pPr>
          </w:p>
        </w:tc>
        <w:tc>
          <w:tcPr>
            <w:tcW w:w="360" w:type="dxa"/>
            <w:vAlign w:val="bottom"/>
            <w:tcBorders>
              <w:bottom w:val="single" w:sz="8" w:color="auto"/>
              <w:right w:val="single" w:sz="8" w:color="F0FFFF"/>
            </w:tcBorders>
            <w:shd w:val="clear" w:color="auto" w:fill="F0FFFF"/>
          </w:tcPr>
          <w:p>
            <w:pPr>
              <w:spacing w:after="0"/>
              <w:rPr>
                <w:sz w:val="15"/>
                <w:szCs w:val="15"/>
                <w:color w:val="auto"/>
              </w:rPr>
            </w:pPr>
          </w:p>
        </w:tc>
        <w:tc>
          <w:tcPr>
            <w:tcW w:w="440" w:type="dxa"/>
            <w:vAlign w:val="bottom"/>
            <w:tcBorders>
              <w:bottom w:val="single" w:sz="8" w:color="auto"/>
            </w:tcBorders>
            <w:shd w:val="clear" w:color="auto" w:fill="F0FFFF"/>
          </w:tcPr>
          <w:p>
            <w:pPr>
              <w:spacing w:after="0"/>
              <w:rPr>
                <w:sz w:val="15"/>
                <w:szCs w:val="15"/>
                <w:color w:val="auto"/>
              </w:rPr>
            </w:pPr>
          </w:p>
        </w:tc>
        <w:tc>
          <w:tcPr>
            <w:tcW w:w="360" w:type="dxa"/>
            <w:vAlign w:val="bottom"/>
            <w:tcBorders>
              <w:bottom w:val="single" w:sz="8" w:color="auto"/>
            </w:tcBorders>
            <w:shd w:val="clear" w:color="auto" w:fill="F0FFFF"/>
          </w:tcPr>
          <w:p>
            <w:pPr>
              <w:spacing w:after="0"/>
              <w:rPr>
                <w:sz w:val="15"/>
                <w:szCs w:val="15"/>
                <w:color w:val="auto"/>
              </w:rPr>
            </w:pPr>
          </w:p>
        </w:tc>
        <w:tc>
          <w:tcPr>
            <w:tcW w:w="220" w:type="dxa"/>
            <w:vAlign w:val="bottom"/>
            <w:tcBorders>
              <w:bottom w:val="single" w:sz="8" w:color="auto"/>
              <w:right w:val="single" w:sz="8" w:color="auto"/>
            </w:tcBorders>
            <w:shd w:val="clear" w:color="auto" w:fill="F0FFFF"/>
          </w:tcPr>
          <w:p>
            <w:pPr>
              <w:spacing w:after="0"/>
              <w:rPr>
                <w:sz w:val="15"/>
                <w:szCs w:val="15"/>
                <w:color w:val="auto"/>
              </w:rPr>
            </w:pPr>
          </w:p>
        </w:tc>
        <w:tc>
          <w:tcPr>
            <w:tcW w:w="1280" w:type="dxa"/>
            <w:vAlign w:val="bottom"/>
            <w:tcBorders>
              <w:bottom w:val="single" w:sz="8" w:color="auto"/>
              <w:right w:val="single" w:sz="8" w:color="auto"/>
            </w:tcBorders>
            <w:shd w:val="clear" w:color="auto" w:fill="F0FFFF"/>
          </w:tcPr>
          <w:p>
            <w:pPr>
              <w:spacing w:after="0"/>
              <w:rPr>
                <w:sz w:val="15"/>
                <w:szCs w:val="15"/>
                <w:color w:val="auto"/>
              </w:rPr>
            </w:pPr>
          </w:p>
        </w:tc>
        <w:tc>
          <w:tcPr>
            <w:tcW w:w="160" w:type="dxa"/>
            <w:vAlign w:val="bottom"/>
            <w:tcBorders>
              <w:bottom w:val="single" w:sz="8" w:color="auto"/>
              <w:right w:val="single" w:sz="8" w:color="F0FFFF"/>
            </w:tcBorders>
            <w:shd w:val="clear" w:color="auto" w:fill="F0FFFF"/>
          </w:tcPr>
          <w:p>
            <w:pPr>
              <w:spacing w:after="0"/>
              <w:rPr>
                <w:sz w:val="15"/>
                <w:szCs w:val="15"/>
                <w:color w:val="auto"/>
              </w:rPr>
            </w:pPr>
          </w:p>
        </w:tc>
        <w:tc>
          <w:tcPr>
            <w:tcW w:w="1740" w:type="dxa"/>
            <w:vAlign w:val="bottom"/>
            <w:tcBorders>
              <w:bottom w:val="single" w:sz="8" w:color="auto"/>
              <w:right w:val="single" w:sz="8" w:color="auto"/>
            </w:tcBorders>
            <w:gridSpan w:val="12"/>
            <w:shd w:val="clear" w:color="auto" w:fill="F0FFFF"/>
          </w:tcPr>
          <w:p>
            <w:pPr>
              <w:spacing w:after="0"/>
              <w:rPr>
                <w:sz w:val="20"/>
                <w:szCs w:val="20"/>
                <w:color w:val="auto"/>
              </w:rPr>
            </w:pPr>
            <w:r>
              <w:rPr>
                <w:rFonts w:ascii="Times New Roman" w:cs="Times New Roman" w:eastAsia="Times New Roman" w:hAnsi="Times New Roman"/>
                <w:sz w:val="13"/>
                <w:szCs w:val="13"/>
                <w:color w:val="auto"/>
              </w:rPr>
              <w:t>than the amount withdrawn.</w:t>
            </w:r>
          </w:p>
        </w:tc>
        <w:tc>
          <w:tcPr>
            <w:tcW w:w="0" w:type="dxa"/>
            <w:vAlign w:val="bottom"/>
          </w:tcPr>
          <w:p>
            <w:pPr>
              <w:spacing w:after="0"/>
              <w:rPr>
                <w:sz w:val="1"/>
                <w:szCs w:val="1"/>
                <w:color w:val="auto"/>
              </w:rPr>
            </w:pPr>
          </w:p>
        </w:tc>
      </w:tr>
      <w:tr>
        <w:trPr>
          <w:trHeight w:val="163"/>
        </w:trPr>
        <w:tc>
          <w:tcPr>
            <w:tcW w:w="40" w:type="dxa"/>
            <w:vAlign w:val="bottom"/>
            <w:tcBorders>
              <w:left w:val="single" w:sz="8" w:color="auto"/>
            </w:tcBorders>
          </w:tcPr>
          <w:p>
            <w:pPr>
              <w:spacing w:after="0"/>
              <w:rPr>
                <w:sz w:val="14"/>
                <w:szCs w:val="14"/>
                <w:color w:val="auto"/>
              </w:rPr>
            </w:pPr>
          </w:p>
        </w:tc>
        <w:tc>
          <w:tcPr>
            <w:tcW w:w="10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Return of</w:t>
            </w:r>
          </w:p>
        </w:tc>
        <w:tc>
          <w:tcPr>
            <w:tcW w:w="182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3"/>
                <w:szCs w:val="13"/>
                <w:color w:val="auto"/>
              </w:rPr>
              <w:t>Pays a death benefit equal to the</w:t>
            </w:r>
          </w:p>
        </w:tc>
        <w:tc>
          <w:tcPr>
            <w:tcW w:w="1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N/A</w:t>
            </w:r>
          </w:p>
        </w:tc>
        <w:tc>
          <w:tcPr>
            <w:tcW w:w="1900" w:type="dxa"/>
            <w:vAlign w:val="bottom"/>
            <w:tcBorders>
              <w:right w:val="single" w:sz="8" w:color="auto"/>
            </w:tcBorders>
            <w:gridSpan w:val="13"/>
          </w:tcPr>
          <w:p>
            <w:pPr>
              <w:ind w:left="20"/>
              <w:spacing w:after="0"/>
              <w:rPr>
                <w:sz w:val="20"/>
                <w:szCs w:val="20"/>
                <w:color w:val="auto"/>
              </w:rPr>
            </w:pPr>
            <w:r>
              <w:rPr>
                <w:rFonts w:ascii="Times New Roman" w:cs="Times New Roman" w:eastAsia="Times New Roman" w:hAnsi="Times New Roman"/>
                <w:sz w:val="13"/>
                <w:szCs w:val="13"/>
                <w:color w:val="auto"/>
              </w:rPr>
              <w:t>● Only available during the</w:t>
            </w:r>
          </w:p>
        </w:tc>
        <w:tc>
          <w:tcPr>
            <w:tcW w:w="0" w:type="dxa"/>
            <w:vAlign w:val="bottom"/>
          </w:tcPr>
          <w:p>
            <w:pPr>
              <w:spacing w:after="0"/>
              <w:rPr>
                <w:sz w:val="1"/>
                <w:szCs w:val="1"/>
                <w:color w:val="auto"/>
              </w:rPr>
            </w:pPr>
          </w:p>
        </w:tc>
      </w:tr>
      <w:tr>
        <w:trPr>
          <w:trHeight w:val="144"/>
        </w:trPr>
        <w:tc>
          <w:tcPr>
            <w:tcW w:w="40" w:type="dxa"/>
            <w:vAlign w:val="bottom"/>
            <w:tcBorders>
              <w:left w:val="single" w:sz="8" w:color="auto"/>
            </w:tcBorders>
          </w:tcPr>
          <w:p>
            <w:pPr>
              <w:spacing w:after="0"/>
              <w:rPr>
                <w:sz w:val="12"/>
                <w:szCs w:val="12"/>
                <w:color w:val="auto"/>
              </w:rPr>
            </w:pPr>
          </w:p>
        </w:tc>
        <w:tc>
          <w:tcPr>
            <w:tcW w:w="1040" w:type="dxa"/>
            <w:vAlign w:val="bottom"/>
            <w:tcBorders>
              <w:right w:val="single" w:sz="8" w:color="auto"/>
            </w:tcBorders>
            <w:gridSpan w:val="2"/>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Premium Death</w:t>
            </w:r>
          </w:p>
        </w:tc>
        <w:tc>
          <w:tcPr>
            <w:tcW w:w="1820" w:type="dxa"/>
            <w:vAlign w:val="bottom"/>
            <w:tcBorders>
              <w:right w:val="single" w:sz="8" w:color="auto"/>
            </w:tcBorders>
            <w:gridSpan w:val="6"/>
          </w:tcPr>
          <w:p>
            <w:pPr>
              <w:spacing w:after="0" w:line="144" w:lineRule="exact"/>
              <w:rPr>
                <w:sz w:val="20"/>
                <w:szCs w:val="20"/>
                <w:color w:val="auto"/>
              </w:rPr>
            </w:pPr>
            <w:r>
              <w:rPr>
                <w:rFonts w:ascii="Times New Roman" w:cs="Times New Roman" w:eastAsia="Times New Roman" w:hAnsi="Times New Roman"/>
                <w:sz w:val="13"/>
                <w:szCs w:val="13"/>
                <w:color w:val="auto"/>
              </w:rPr>
              <w:t>greater of your Account Value or</w:t>
            </w:r>
          </w:p>
        </w:tc>
        <w:tc>
          <w:tcPr>
            <w:tcW w:w="12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tcBorders>
              <w:right w:val="single" w:sz="8" w:color="auto"/>
            </w:tcBorders>
            <w:gridSpan w:val="12"/>
          </w:tcPr>
          <w:p>
            <w:pPr>
              <w:spacing w:after="0" w:line="144" w:lineRule="exact"/>
              <w:rPr>
                <w:sz w:val="20"/>
                <w:szCs w:val="20"/>
                <w:color w:val="auto"/>
              </w:rPr>
            </w:pPr>
            <w:r>
              <w:rPr>
                <w:rFonts w:ascii="Times New Roman" w:cs="Times New Roman" w:eastAsia="Times New Roman" w:hAnsi="Times New Roman"/>
                <w:sz w:val="13"/>
                <w:szCs w:val="13"/>
                <w:color w:val="auto"/>
              </w:rPr>
              <w:t>Accumulation Period.</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1040" w:type="dxa"/>
            <w:vAlign w:val="bottom"/>
            <w:tcBorders>
              <w:right w:val="single" w:sz="8" w:color="auto"/>
            </w:tcBorders>
            <w:gridSpan w:val="2"/>
            <w:vMerge w:val="restart"/>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Benefit</w:t>
            </w: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0" w:type="dxa"/>
            <w:vAlign w:val="bottom"/>
            <w:tcBorders>
              <w:left w:val="single" w:sz="8" w:color="auto"/>
            </w:tcBorders>
          </w:tcPr>
          <w:p>
            <w:pPr>
              <w:spacing w:after="0"/>
              <w:rPr>
                <w:sz w:val="12"/>
                <w:szCs w:val="12"/>
                <w:color w:val="auto"/>
              </w:rPr>
            </w:pPr>
          </w:p>
        </w:tc>
        <w:tc>
          <w:tcPr>
            <w:tcW w:w="1040" w:type="dxa"/>
            <w:vAlign w:val="bottom"/>
            <w:tcBorders>
              <w:right w:val="single" w:sz="8" w:color="auto"/>
            </w:tcBorders>
            <w:gridSpan w:val="2"/>
            <w:vMerge w:val="continue"/>
          </w:tcPr>
          <w:p>
            <w:pPr>
              <w:spacing w:after="0"/>
              <w:rPr>
                <w:sz w:val="12"/>
                <w:szCs w:val="12"/>
                <w:color w:val="auto"/>
              </w:rPr>
            </w:pPr>
          </w:p>
        </w:tc>
        <w:tc>
          <w:tcPr>
            <w:tcW w:w="1820" w:type="dxa"/>
            <w:vAlign w:val="bottom"/>
            <w:tcBorders>
              <w:right w:val="single" w:sz="8" w:color="auto"/>
            </w:tcBorders>
            <w:gridSpan w:val="6"/>
          </w:tcPr>
          <w:p>
            <w:pPr>
              <w:spacing w:after="0" w:line="129" w:lineRule="exact"/>
              <w:rPr>
                <w:sz w:val="20"/>
                <w:szCs w:val="20"/>
                <w:color w:val="auto"/>
              </w:rPr>
            </w:pPr>
            <w:r>
              <w:rPr>
                <w:rFonts w:ascii="Times New Roman" w:cs="Times New Roman" w:eastAsia="Times New Roman" w:hAnsi="Times New Roman"/>
                <w:sz w:val="13"/>
                <w:szCs w:val="13"/>
                <w:color w:val="auto"/>
              </w:rPr>
              <w:t>your Purchase Payment (adjusted</w:t>
            </w:r>
          </w:p>
        </w:tc>
        <w:tc>
          <w:tcPr>
            <w:tcW w:w="128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gridSpan w:val="13"/>
          </w:tcPr>
          <w:p>
            <w:pPr>
              <w:ind w:left="20"/>
              <w:spacing w:after="0" w:line="129" w:lineRule="exact"/>
              <w:rPr>
                <w:sz w:val="20"/>
                <w:szCs w:val="20"/>
                <w:color w:val="auto"/>
              </w:rPr>
            </w:pPr>
            <w:r>
              <w:rPr>
                <w:rFonts w:ascii="Times New Roman" w:cs="Times New Roman" w:eastAsia="Times New Roman" w:hAnsi="Times New Roman"/>
                <w:sz w:val="13"/>
                <w:szCs w:val="13"/>
                <w:color w:val="auto"/>
              </w:rPr>
              <w:t>● For Owners aged 80 or</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104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(Standard Death</w:t>
            </w: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580" w:type="dxa"/>
            <w:vAlign w:val="bottom"/>
            <w:tcBorders>
              <w:right w:val="single" w:sz="8" w:color="auto"/>
            </w:tcBorders>
            <w:gridSpan w:val="2"/>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1040" w:type="dxa"/>
            <w:vAlign w:val="bottom"/>
            <w:tcBorders>
              <w:right w:val="single" w:sz="8" w:color="auto"/>
            </w:tcBorders>
            <w:gridSpan w:val="2"/>
            <w:vMerge w:val="continue"/>
          </w:tcPr>
          <w:p>
            <w:pPr>
              <w:spacing w:after="0"/>
              <w:rPr>
                <w:sz w:val="11"/>
                <w:szCs w:val="11"/>
                <w:color w:val="auto"/>
              </w:rPr>
            </w:pPr>
          </w:p>
        </w:tc>
        <w:tc>
          <w:tcPr>
            <w:tcW w:w="1820" w:type="dxa"/>
            <w:vAlign w:val="bottom"/>
            <w:tcBorders>
              <w:right w:val="single" w:sz="8" w:color="auto"/>
            </w:tcBorders>
            <w:gridSpan w:val="6"/>
          </w:tcPr>
          <w:p>
            <w:pPr>
              <w:spacing w:after="0" w:line="129" w:lineRule="exact"/>
              <w:rPr>
                <w:sz w:val="20"/>
                <w:szCs w:val="20"/>
                <w:color w:val="auto"/>
              </w:rPr>
            </w:pPr>
            <w:r>
              <w:rPr>
                <w:rFonts w:ascii="Times New Roman" w:cs="Times New Roman" w:eastAsia="Times New Roman" w:hAnsi="Times New Roman"/>
                <w:sz w:val="13"/>
                <w:szCs w:val="13"/>
                <w:color w:val="auto"/>
              </w:rPr>
              <w:t>for any withdrawals, including</w:t>
            </w:r>
          </w:p>
        </w:tc>
        <w:tc>
          <w:tcPr>
            <w:tcW w:w="12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740" w:type="dxa"/>
            <w:vAlign w:val="bottom"/>
            <w:tcBorders>
              <w:right w:val="single" w:sz="8" w:color="auto"/>
            </w:tcBorders>
            <w:gridSpan w:val="12"/>
          </w:tcPr>
          <w:p>
            <w:pPr>
              <w:spacing w:after="0" w:line="129" w:lineRule="exact"/>
              <w:rPr>
                <w:sz w:val="20"/>
                <w:szCs w:val="20"/>
                <w:color w:val="auto"/>
              </w:rPr>
            </w:pPr>
            <w:r>
              <w:rPr>
                <w:rFonts w:ascii="Times New Roman" w:cs="Times New Roman" w:eastAsia="Times New Roman" w:hAnsi="Times New Roman"/>
                <w:sz w:val="13"/>
                <w:szCs w:val="13"/>
                <w:color w:val="auto"/>
              </w:rPr>
              <w:t>younger on the Issue Date of</w:t>
            </w:r>
          </w:p>
        </w:tc>
        <w:tc>
          <w:tcPr>
            <w:tcW w:w="0" w:type="dxa"/>
            <w:vAlign w:val="bottom"/>
          </w:tcPr>
          <w:p>
            <w:pPr>
              <w:spacing w:after="0"/>
              <w:rPr>
                <w:sz w:val="1"/>
                <w:szCs w:val="1"/>
                <w:color w:val="auto"/>
              </w:rPr>
            </w:pPr>
          </w:p>
        </w:tc>
      </w:tr>
      <w:tr>
        <w:trPr>
          <w:trHeight w:val="139"/>
        </w:trPr>
        <w:tc>
          <w:tcPr>
            <w:tcW w:w="40" w:type="dxa"/>
            <w:vAlign w:val="bottom"/>
            <w:tcBorders>
              <w:left w:val="single" w:sz="8" w:color="auto"/>
            </w:tcBorders>
          </w:tcPr>
          <w:p>
            <w:pPr>
              <w:spacing w:after="0"/>
              <w:rPr>
                <w:sz w:val="12"/>
                <w:szCs w:val="12"/>
                <w:color w:val="auto"/>
              </w:rPr>
            </w:pPr>
          </w:p>
        </w:tc>
        <w:tc>
          <w:tcPr>
            <w:tcW w:w="1040" w:type="dxa"/>
            <w:vAlign w:val="bottom"/>
            <w:tcBorders>
              <w:right w:val="single" w:sz="8" w:color="auto"/>
            </w:tcBorders>
            <w:gridSpan w:val="2"/>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Benefit)</w:t>
            </w:r>
          </w:p>
        </w:tc>
        <w:tc>
          <w:tcPr>
            <w:tcW w:w="1820" w:type="dxa"/>
            <w:vAlign w:val="bottom"/>
            <w:tcBorders>
              <w:right w:val="single" w:sz="8" w:color="auto"/>
            </w:tcBorders>
            <w:gridSpan w:val="6"/>
          </w:tcPr>
          <w:p>
            <w:pPr>
              <w:spacing w:after="0" w:line="139" w:lineRule="exact"/>
              <w:rPr>
                <w:sz w:val="20"/>
                <w:szCs w:val="20"/>
                <w:color w:val="auto"/>
              </w:rPr>
            </w:pPr>
            <w:r>
              <w:rPr>
                <w:rFonts w:ascii="Times New Roman" w:cs="Times New Roman" w:eastAsia="Times New Roman" w:hAnsi="Times New Roman"/>
                <w:sz w:val="13"/>
                <w:szCs w:val="13"/>
                <w:color w:val="auto"/>
              </w:rPr>
              <w:t>Withdrawal Charges)</w:t>
            </w:r>
          </w:p>
        </w:tc>
        <w:tc>
          <w:tcPr>
            <w:tcW w:w="12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tcPr>
          <w:p>
            <w:pPr>
              <w:spacing w:after="0" w:line="139" w:lineRule="exact"/>
              <w:rPr>
                <w:sz w:val="20"/>
                <w:szCs w:val="20"/>
                <w:color w:val="auto"/>
              </w:rPr>
            </w:pPr>
            <w:r>
              <w:rPr>
                <w:rFonts w:ascii="Times New Roman" w:cs="Times New Roman" w:eastAsia="Times New Roman" w:hAnsi="Times New Roman"/>
                <w:sz w:val="13"/>
                <w:szCs w:val="13"/>
                <w:color w:val="auto"/>
              </w:rPr>
              <w:t>your Contract.</w:t>
            </w:r>
          </w:p>
        </w:tc>
        <w:tc>
          <w:tcPr>
            <w:tcW w:w="560" w:type="dxa"/>
            <w:vAlign w:val="bottom"/>
            <w:tcBorders>
              <w:top w:val="single" w:sz="8" w:color="auto"/>
            </w:tcBorders>
            <w:gridSpan w:val="3"/>
          </w:tcPr>
          <w:p>
            <w:pPr>
              <w:spacing w:after="0"/>
              <w:rPr>
                <w:sz w:val="12"/>
                <w:szCs w:val="12"/>
                <w:color w:val="auto"/>
              </w:rPr>
            </w:pPr>
          </w:p>
        </w:tc>
        <w:tc>
          <w:tcPr>
            <w:tcW w:w="380" w:type="dxa"/>
            <w:vAlign w:val="bottom"/>
            <w:tcBorders>
              <w:right w:val="single" w:sz="8" w:color="auto"/>
            </w:tcBorders>
            <w:gridSpan w:val="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580" w:type="dxa"/>
            <w:vAlign w:val="bottom"/>
            <w:tcBorders>
              <w:right w:val="single" w:sz="8" w:color="auto"/>
            </w:tcBorders>
            <w:gridSpan w:val="2"/>
          </w:tcPr>
          <w:p>
            <w:pPr>
              <w:spacing w:after="0" w:line="20" w:lineRule="exact"/>
              <w:rPr>
                <w:sz w:val="1"/>
                <w:szCs w:val="1"/>
                <w:color w:val="auto"/>
              </w:rPr>
            </w:pPr>
          </w:p>
        </w:tc>
        <w:tc>
          <w:tcPr>
            <w:tcW w:w="3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tcBorders>
              <w:lef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gridSpan w:val="13"/>
          </w:tcPr>
          <w:p>
            <w:pPr>
              <w:ind w:left="20"/>
              <w:spacing w:after="0"/>
              <w:rPr>
                <w:sz w:val="20"/>
                <w:szCs w:val="20"/>
                <w:color w:val="auto"/>
              </w:rPr>
            </w:pPr>
            <w:r>
              <w:rPr>
                <w:rFonts w:ascii="Times New Roman" w:cs="Times New Roman" w:eastAsia="Times New Roman" w:hAnsi="Times New Roman"/>
                <w:sz w:val="13"/>
                <w:szCs w:val="13"/>
                <w:color w:val="auto"/>
              </w:rPr>
              <w:t>● Account Value may reflect an</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0" w:type="dxa"/>
            <w:vAlign w:val="bottom"/>
            <w:tcBorders>
              <w:lef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tcBorders>
              <w:right w:val="single" w:sz="8" w:color="auto"/>
            </w:tcBorders>
            <w:gridSpan w:val="12"/>
          </w:tcPr>
          <w:p>
            <w:pPr>
              <w:spacing w:after="0" w:line="139" w:lineRule="exact"/>
              <w:rPr>
                <w:sz w:val="20"/>
                <w:szCs w:val="20"/>
                <w:color w:val="auto"/>
              </w:rPr>
            </w:pPr>
            <w:r>
              <w:rPr>
                <w:rFonts w:ascii="Times New Roman" w:cs="Times New Roman" w:eastAsia="Times New Roman" w:hAnsi="Times New Roman"/>
                <w:sz w:val="13"/>
                <w:szCs w:val="13"/>
                <w:color w:val="auto"/>
              </w:rPr>
              <w:t>Interim Value calculation for</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0" w:type="dxa"/>
            <w:vAlign w:val="bottom"/>
            <w:tcBorders>
              <w:lef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tcBorders>
              <w:right w:val="single" w:sz="8" w:color="auto"/>
            </w:tcBorders>
            <w:gridSpan w:val="12"/>
          </w:tcPr>
          <w:p>
            <w:pPr>
              <w:spacing w:after="0" w:line="139" w:lineRule="exact"/>
              <w:rPr>
                <w:sz w:val="20"/>
                <w:szCs w:val="20"/>
                <w:color w:val="auto"/>
              </w:rPr>
            </w:pPr>
            <w:r>
              <w:rPr>
                <w:rFonts w:ascii="Times New Roman" w:cs="Times New Roman" w:eastAsia="Times New Roman" w:hAnsi="Times New Roman"/>
                <w:sz w:val="13"/>
                <w:szCs w:val="13"/>
                <w:color w:val="auto"/>
              </w:rPr>
              <w:t>the Shield Options, which may</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3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0" w:type="dxa"/>
            <w:vAlign w:val="bottom"/>
            <w:tcBorders>
              <w:lef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tcBorders>
              <w:right w:val="single" w:sz="8" w:color="auto"/>
            </w:tcBorders>
            <w:gridSpan w:val="12"/>
          </w:tcPr>
          <w:p>
            <w:pPr>
              <w:spacing w:after="0" w:line="139" w:lineRule="exact"/>
              <w:rPr>
                <w:sz w:val="20"/>
                <w:szCs w:val="20"/>
                <w:color w:val="auto"/>
              </w:rPr>
            </w:pPr>
            <w:r>
              <w:rPr>
                <w:rFonts w:ascii="Times New Roman" w:cs="Times New Roman" w:eastAsia="Times New Roman" w:hAnsi="Times New Roman"/>
                <w:sz w:val="13"/>
                <w:szCs w:val="13"/>
                <w:color w:val="auto"/>
              </w:rPr>
              <w:t>be less than the Investment</w:t>
            </w:r>
          </w:p>
        </w:tc>
        <w:tc>
          <w:tcPr>
            <w:tcW w:w="0" w:type="dxa"/>
            <w:vAlign w:val="bottom"/>
          </w:tcPr>
          <w:p>
            <w:pPr>
              <w:spacing w:after="0"/>
              <w:rPr>
                <w:sz w:val="1"/>
                <w:szCs w:val="1"/>
                <w:color w:val="auto"/>
              </w:rPr>
            </w:pPr>
          </w:p>
        </w:tc>
      </w:tr>
      <w:tr>
        <w:trPr>
          <w:trHeight w:val="139"/>
        </w:trPr>
        <w:tc>
          <w:tcPr>
            <w:tcW w:w="40" w:type="dxa"/>
            <w:vAlign w:val="bottom"/>
            <w:tcBorders>
              <w:lef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tcPr>
          <w:p>
            <w:pPr>
              <w:spacing w:after="0" w:line="139" w:lineRule="exact"/>
              <w:rPr>
                <w:sz w:val="20"/>
                <w:szCs w:val="20"/>
                <w:color w:val="auto"/>
              </w:rPr>
            </w:pPr>
            <w:r>
              <w:rPr>
                <w:rFonts w:ascii="Times New Roman" w:cs="Times New Roman" w:eastAsia="Times New Roman" w:hAnsi="Times New Roman"/>
                <w:sz w:val="13"/>
                <w:szCs w:val="13"/>
                <w:color w:val="auto"/>
              </w:rPr>
              <w:t>Amount.</w:t>
            </w:r>
          </w:p>
        </w:tc>
        <w:tc>
          <w:tcPr>
            <w:tcW w:w="640" w:type="dxa"/>
            <w:vAlign w:val="bottom"/>
            <w:tcBorders>
              <w:top w:val="single" w:sz="8" w:color="auto"/>
            </w:tcBorders>
            <w:gridSpan w:val="6"/>
          </w:tcPr>
          <w:p>
            <w:pPr>
              <w:spacing w:after="0"/>
              <w:rPr>
                <w:sz w:val="12"/>
                <w:szCs w:val="12"/>
                <w:color w:val="auto"/>
              </w:rPr>
            </w:pPr>
          </w:p>
        </w:tc>
        <w:tc>
          <w:tcPr>
            <w:tcW w:w="300" w:type="dxa"/>
            <w:vAlign w:val="bottom"/>
            <w:tcBorders>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 w:type="dxa"/>
            <w:vAlign w:val="bottom"/>
            <w:tcBorders>
              <w:left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tcPr>
          <w:p>
            <w:pPr>
              <w:spacing w:after="0"/>
              <w:rPr>
                <w:sz w:val="13"/>
                <w:szCs w:val="13"/>
                <w:color w:val="auto"/>
              </w:rPr>
            </w:pPr>
          </w:p>
        </w:tc>
        <w:tc>
          <w:tcPr>
            <w:tcW w:w="1900" w:type="dxa"/>
            <w:vAlign w:val="bottom"/>
            <w:tcBorders>
              <w:right w:val="single" w:sz="8" w:color="auto"/>
            </w:tcBorders>
            <w:gridSpan w:val="13"/>
          </w:tcPr>
          <w:p>
            <w:pPr>
              <w:ind w:left="20"/>
              <w:spacing w:after="0"/>
              <w:rPr>
                <w:sz w:val="20"/>
                <w:szCs w:val="20"/>
                <w:color w:val="auto"/>
              </w:rPr>
            </w:pPr>
            <w:r>
              <w:rPr>
                <w:rFonts w:ascii="Times New Roman" w:cs="Times New Roman" w:eastAsia="Times New Roman" w:hAnsi="Times New Roman"/>
                <w:sz w:val="13"/>
                <w:szCs w:val="13"/>
                <w:color w:val="auto"/>
              </w:rPr>
              <w:t>● Withdrawals will reduce the</w:t>
            </w:r>
          </w:p>
        </w:tc>
        <w:tc>
          <w:tcPr>
            <w:tcW w:w="0" w:type="dxa"/>
            <w:vAlign w:val="bottom"/>
          </w:tcPr>
          <w:p>
            <w:pPr>
              <w:spacing w:after="0"/>
              <w:rPr>
                <w:sz w:val="1"/>
                <w:szCs w:val="1"/>
                <w:color w:val="auto"/>
              </w:rPr>
            </w:pPr>
          </w:p>
        </w:tc>
      </w:tr>
      <w:tr>
        <w:trPr>
          <w:trHeight w:val="159"/>
        </w:trPr>
        <w:tc>
          <w:tcPr>
            <w:tcW w:w="40" w:type="dxa"/>
            <w:vAlign w:val="bottom"/>
            <w:tcBorders>
              <w:left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3"/>
                <w:szCs w:val="13"/>
                <w:color w:val="auto"/>
              </w:rPr>
              <w:t>death benefit, perhaps</w:t>
            </w:r>
          </w:p>
        </w:tc>
        <w:tc>
          <w:tcPr>
            <w:tcW w:w="0" w:type="dxa"/>
            <w:vAlign w:val="bottom"/>
          </w:tcPr>
          <w:p>
            <w:pPr>
              <w:spacing w:after="0"/>
              <w:rPr>
                <w:sz w:val="1"/>
                <w:szCs w:val="1"/>
                <w:color w:val="auto"/>
              </w:rPr>
            </w:pPr>
          </w:p>
        </w:tc>
      </w:tr>
      <w:tr>
        <w:trPr>
          <w:trHeight w:val="159"/>
        </w:trPr>
        <w:tc>
          <w:tcPr>
            <w:tcW w:w="40" w:type="dxa"/>
            <w:vAlign w:val="bottom"/>
            <w:tcBorders>
              <w:left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3"/>
                <w:szCs w:val="13"/>
                <w:color w:val="auto"/>
              </w:rPr>
              <w:t>significantly, and such</w:t>
            </w:r>
          </w:p>
        </w:tc>
        <w:tc>
          <w:tcPr>
            <w:tcW w:w="0" w:type="dxa"/>
            <w:vAlign w:val="bottom"/>
          </w:tcPr>
          <w:p>
            <w:pPr>
              <w:spacing w:after="0"/>
              <w:rPr>
                <w:sz w:val="1"/>
                <w:szCs w:val="1"/>
                <w:color w:val="auto"/>
              </w:rPr>
            </w:pPr>
          </w:p>
        </w:tc>
      </w:tr>
      <w:tr>
        <w:trPr>
          <w:trHeight w:val="159"/>
        </w:trPr>
        <w:tc>
          <w:tcPr>
            <w:tcW w:w="40" w:type="dxa"/>
            <w:vAlign w:val="bottom"/>
            <w:tcBorders>
              <w:left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3"/>
                <w:szCs w:val="13"/>
                <w:color w:val="auto"/>
              </w:rPr>
              <w:t>reductions could be greater</w:t>
            </w:r>
          </w:p>
        </w:tc>
        <w:tc>
          <w:tcPr>
            <w:tcW w:w="0" w:type="dxa"/>
            <w:vAlign w:val="bottom"/>
          </w:tcPr>
          <w:p>
            <w:pPr>
              <w:spacing w:after="0"/>
              <w:rPr>
                <w:sz w:val="1"/>
                <w:szCs w:val="1"/>
                <w:color w:val="auto"/>
              </w:rPr>
            </w:pPr>
          </w:p>
        </w:tc>
      </w:tr>
      <w:tr>
        <w:trPr>
          <w:trHeight w:val="182"/>
        </w:trPr>
        <w:tc>
          <w:tcPr>
            <w:tcW w:w="40" w:type="dxa"/>
            <w:vAlign w:val="bottom"/>
            <w:tcBorders>
              <w:left w:val="single" w:sz="8" w:color="auto"/>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40" w:type="dxa"/>
            <w:vAlign w:val="bottom"/>
            <w:tcBorders>
              <w:bottom w:val="single" w:sz="8" w:color="auto"/>
              <w:right w:val="single" w:sz="8" w:color="auto"/>
            </w:tcBorders>
            <w:gridSpan w:val="12"/>
          </w:tcPr>
          <w:p>
            <w:pPr>
              <w:spacing w:after="0"/>
              <w:rPr>
                <w:sz w:val="20"/>
                <w:szCs w:val="20"/>
                <w:color w:val="auto"/>
              </w:rPr>
            </w:pPr>
            <w:r>
              <w:rPr>
                <w:rFonts w:ascii="Times New Roman" w:cs="Times New Roman" w:eastAsia="Times New Roman" w:hAnsi="Times New Roman"/>
                <w:sz w:val="13"/>
                <w:szCs w:val="13"/>
                <w:color w:val="auto"/>
              </w:rPr>
              <w:t>than the amount withdrawn.</w:t>
            </w:r>
          </w:p>
        </w:tc>
        <w:tc>
          <w:tcPr>
            <w:tcW w:w="0" w:type="dxa"/>
            <w:vAlign w:val="bottom"/>
          </w:tcPr>
          <w:p>
            <w:pPr>
              <w:spacing w:after="0"/>
              <w:rPr>
                <w:sz w:val="1"/>
                <w:szCs w:val="1"/>
                <w:color w:val="auto"/>
              </w:rPr>
            </w:pPr>
          </w:p>
        </w:tc>
      </w:tr>
      <w:tr>
        <w:trPr>
          <w:trHeight w:val="139"/>
        </w:trPr>
        <w:tc>
          <w:tcPr>
            <w:tcW w:w="40" w:type="dxa"/>
            <w:vAlign w:val="bottom"/>
            <w:tcBorders>
              <w:left w:val="single" w:sz="8" w:color="auto"/>
            </w:tcBorders>
            <w:shd w:val="clear" w:color="auto" w:fill="F0FFFF"/>
          </w:tcPr>
          <w:p>
            <w:pPr>
              <w:spacing w:after="0"/>
              <w:rPr>
                <w:sz w:val="12"/>
                <w:szCs w:val="12"/>
                <w:color w:val="auto"/>
              </w:rPr>
            </w:pPr>
          </w:p>
        </w:tc>
        <w:tc>
          <w:tcPr>
            <w:tcW w:w="1040" w:type="dxa"/>
            <w:vAlign w:val="bottom"/>
            <w:tcBorders>
              <w:right w:val="single" w:sz="8" w:color="auto"/>
            </w:tcBorders>
            <w:gridSpan w:val="2"/>
            <w:shd w:val="clear" w:color="auto" w:fill="F0FFFF"/>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Systematic</w:t>
            </w:r>
          </w:p>
        </w:tc>
        <w:tc>
          <w:tcPr>
            <w:tcW w:w="1820" w:type="dxa"/>
            <w:vAlign w:val="bottom"/>
            <w:tcBorders>
              <w:right w:val="single" w:sz="8" w:color="auto"/>
            </w:tcBorders>
            <w:gridSpan w:val="6"/>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Allows automated processing of</w:t>
            </w:r>
          </w:p>
        </w:tc>
        <w:tc>
          <w:tcPr>
            <w:tcW w:w="1280" w:type="dxa"/>
            <w:vAlign w:val="bottom"/>
            <w:tcBorders>
              <w:right w:val="single" w:sz="8" w:color="auto"/>
            </w:tcBorders>
            <w:shd w:val="clear" w:color="auto" w:fill="F0FFFF"/>
          </w:tcPr>
          <w:p>
            <w:pPr>
              <w:ind w:left="20"/>
              <w:spacing w:after="0" w:line="139" w:lineRule="exact"/>
              <w:rPr>
                <w:sz w:val="20"/>
                <w:szCs w:val="20"/>
                <w:color w:val="auto"/>
              </w:rPr>
            </w:pPr>
            <w:r>
              <w:rPr>
                <w:rFonts w:ascii="Times New Roman" w:cs="Times New Roman" w:eastAsia="Times New Roman" w:hAnsi="Times New Roman"/>
                <w:sz w:val="13"/>
                <w:szCs w:val="13"/>
                <w:color w:val="auto"/>
              </w:rPr>
              <w:t>N/A</w:t>
            </w:r>
          </w:p>
        </w:tc>
        <w:tc>
          <w:tcPr>
            <w:tcW w:w="1900" w:type="dxa"/>
            <w:vAlign w:val="bottom"/>
            <w:tcBorders>
              <w:right w:val="single" w:sz="8" w:color="auto"/>
            </w:tcBorders>
            <w:gridSpan w:val="13"/>
            <w:shd w:val="clear" w:color="auto" w:fill="F0FFFF"/>
          </w:tcPr>
          <w:p>
            <w:pPr>
              <w:ind w:left="20"/>
              <w:spacing w:after="0" w:line="139" w:lineRule="exact"/>
              <w:rPr>
                <w:sz w:val="20"/>
                <w:szCs w:val="20"/>
                <w:color w:val="auto"/>
              </w:rPr>
            </w:pPr>
            <w:r>
              <w:rPr>
                <w:rFonts w:ascii="Times New Roman" w:cs="Times New Roman" w:eastAsia="Times New Roman" w:hAnsi="Times New Roman"/>
                <w:sz w:val="13"/>
                <w:szCs w:val="13"/>
                <w:color w:val="auto"/>
              </w:rPr>
              <w:t>● Available in any Contract Year</w:t>
            </w:r>
          </w:p>
        </w:tc>
        <w:tc>
          <w:tcPr>
            <w:tcW w:w="0" w:type="dxa"/>
            <w:vAlign w:val="bottom"/>
          </w:tcPr>
          <w:p>
            <w:pPr>
              <w:spacing w:after="0"/>
              <w:rPr>
                <w:sz w:val="1"/>
                <w:szCs w:val="1"/>
                <w:color w:val="auto"/>
              </w:rPr>
            </w:pPr>
          </w:p>
        </w:tc>
      </w:tr>
      <w:tr>
        <w:trPr>
          <w:trHeight w:val="134"/>
        </w:trPr>
        <w:tc>
          <w:tcPr>
            <w:tcW w:w="40" w:type="dxa"/>
            <w:vAlign w:val="bottom"/>
            <w:tcBorders>
              <w:top w:val="single" w:sz="8" w:color="F0FFFF"/>
              <w:left w:val="single" w:sz="8" w:color="auto"/>
            </w:tcBorders>
            <w:shd w:val="clear" w:color="auto" w:fill="F0FFFF"/>
          </w:tcPr>
          <w:p>
            <w:pPr>
              <w:spacing w:after="0"/>
              <w:rPr>
                <w:sz w:val="11"/>
                <w:szCs w:val="11"/>
                <w:color w:val="auto"/>
              </w:rPr>
            </w:pPr>
          </w:p>
        </w:tc>
        <w:tc>
          <w:tcPr>
            <w:tcW w:w="1040" w:type="dxa"/>
            <w:vAlign w:val="bottom"/>
            <w:tcBorders>
              <w:top w:val="single" w:sz="8" w:color="F0FFFF"/>
              <w:right w:val="single" w:sz="8" w:color="auto"/>
            </w:tcBorders>
            <w:gridSpan w:val="2"/>
            <w:shd w:val="clear" w:color="auto" w:fill="F0FFFF"/>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Withdrawal</w:t>
            </w:r>
          </w:p>
        </w:tc>
        <w:tc>
          <w:tcPr>
            <w:tcW w:w="1820" w:type="dxa"/>
            <w:vAlign w:val="bottom"/>
            <w:tcBorders>
              <w:top w:val="single" w:sz="8" w:color="F0FFFF"/>
              <w:right w:val="single" w:sz="8" w:color="auto"/>
            </w:tcBorders>
            <w:gridSpan w:val="6"/>
            <w:shd w:val="clear" w:color="auto" w:fill="F0FFFF"/>
          </w:tcPr>
          <w:p>
            <w:pPr>
              <w:spacing w:after="0" w:line="134" w:lineRule="exact"/>
              <w:rPr>
                <w:sz w:val="20"/>
                <w:szCs w:val="20"/>
                <w:color w:val="auto"/>
              </w:rPr>
            </w:pPr>
            <w:r>
              <w:rPr>
                <w:rFonts w:ascii="Times New Roman" w:cs="Times New Roman" w:eastAsia="Times New Roman" w:hAnsi="Times New Roman"/>
                <w:sz w:val="13"/>
                <w:szCs w:val="13"/>
                <w:color w:val="auto"/>
              </w:rPr>
              <w:t>amounts withdrawn from your</w:t>
            </w:r>
          </w:p>
        </w:tc>
        <w:tc>
          <w:tcPr>
            <w:tcW w:w="1280" w:type="dxa"/>
            <w:vAlign w:val="bottom"/>
            <w:tcBorders>
              <w:top w:val="single" w:sz="8" w:color="F0FFFF"/>
              <w:right w:val="single" w:sz="8" w:color="auto"/>
            </w:tcBorders>
            <w:shd w:val="clear" w:color="auto" w:fill="F0FFFF"/>
          </w:tcPr>
          <w:p>
            <w:pPr>
              <w:spacing w:after="0"/>
              <w:rPr>
                <w:sz w:val="11"/>
                <w:szCs w:val="11"/>
                <w:color w:val="auto"/>
              </w:rPr>
            </w:pPr>
          </w:p>
        </w:tc>
        <w:tc>
          <w:tcPr>
            <w:tcW w:w="160" w:type="dxa"/>
            <w:vAlign w:val="bottom"/>
            <w:tcBorders>
              <w:top w:val="single" w:sz="8" w:color="F0FFFF"/>
              <w:right w:val="single" w:sz="8" w:color="F0FFFF"/>
            </w:tcBorders>
            <w:shd w:val="clear" w:color="auto" w:fill="F0FFFF"/>
          </w:tcPr>
          <w:p>
            <w:pPr>
              <w:spacing w:after="0"/>
              <w:rPr>
                <w:sz w:val="11"/>
                <w:szCs w:val="11"/>
                <w:color w:val="auto"/>
              </w:rPr>
            </w:pPr>
          </w:p>
        </w:tc>
        <w:tc>
          <w:tcPr>
            <w:tcW w:w="960" w:type="dxa"/>
            <w:vAlign w:val="bottom"/>
            <w:tcBorders>
              <w:top w:val="single" w:sz="8" w:color="F0FFFF"/>
              <w:right w:val="single" w:sz="8" w:color="F0FFFF"/>
            </w:tcBorders>
            <w:gridSpan w:val="4"/>
            <w:shd w:val="clear" w:color="auto" w:fill="F0FFFF"/>
          </w:tcPr>
          <w:p>
            <w:pPr>
              <w:spacing w:after="0" w:line="134" w:lineRule="exact"/>
              <w:rPr>
                <w:sz w:val="20"/>
                <w:szCs w:val="20"/>
                <w:color w:val="auto"/>
              </w:rPr>
            </w:pPr>
            <w:r>
              <w:rPr>
                <w:rFonts w:ascii="Times New Roman" w:cs="Times New Roman" w:eastAsia="Times New Roman" w:hAnsi="Times New Roman"/>
                <w:sz w:val="13"/>
                <w:szCs w:val="13"/>
                <w:color w:val="auto"/>
                <w:w w:val="96"/>
              </w:rPr>
              <w:t>for RMD amounts</w:t>
            </w:r>
          </w:p>
        </w:tc>
        <w:tc>
          <w:tcPr>
            <w:tcW w:w="640" w:type="dxa"/>
            <w:vAlign w:val="bottom"/>
            <w:tcBorders>
              <w:top w:val="single" w:sz="8" w:color="auto"/>
            </w:tcBorders>
            <w:gridSpan w:val="7"/>
            <w:shd w:val="clear" w:color="auto" w:fill="F0FFFF"/>
          </w:tcPr>
          <w:p>
            <w:pPr>
              <w:ind w:left="20"/>
              <w:spacing w:after="0" w:line="134" w:lineRule="exact"/>
              <w:rPr>
                <w:sz w:val="20"/>
                <w:szCs w:val="20"/>
                <w:color w:val="auto"/>
              </w:rPr>
            </w:pPr>
            <w:r>
              <w:rPr>
                <w:rFonts w:ascii="Times New Roman" w:cs="Times New Roman" w:eastAsia="Times New Roman" w:hAnsi="Times New Roman"/>
                <w:sz w:val="13"/>
                <w:szCs w:val="13"/>
                <w:color w:val="auto"/>
              </w:rPr>
              <w:t>withdrawn</w:t>
            </w:r>
          </w:p>
        </w:tc>
        <w:tc>
          <w:tcPr>
            <w:tcW w:w="140" w:type="dxa"/>
            <w:vAlign w:val="bottom"/>
            <w:tcBorders>
              <w:top w:val="single" w:sz="8" w:color="F0FFFF"/>
              <w:right w:val="single" w:sz="8" w:color="auto"/>
            </w:tcBorders>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0" w:type="dxa"/>
            <w:vAlign w:val="bottom"/>
            <w:tcBorders>
              <w:left w:val="single" w:sz="8" w:color="auto"/>
            </w:tcBorders>
            <w:shd w:val="clear" w:color="auto" w:fill="F0FFFF"/>
          </w:tcPr>
          <w:p>
            <w:pPr>
              <w:spacing w:after="0"/>
              <w:rPr>
                <w:sz w:val="12"/>
                <w:szCs w:val="12"/>
                <w:color w:val="auto"/>
              </w:rPr>
            </w:pPr>
          </w:p>
        </w:tc>
        <w:tc>
          <w:tcPr>
            <w:tcW w:w="1040" w:type="dxa"/>
            <w:vAlign w:val="bottom"/>
            <w:tcBorders>
              <w:right w:val="single" w:sz="8" w:color="auto"/>
            </w:tcBorders>
            <w:gridSpan w:val="2"/>
            <w:shd w:val="clear" w:color="auto" w:fill="F0FFFF"/>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Program</w:t>
            </w:r>
          </w:p>
        </w:tc>
        <w:tc>
          <w:tcPr>
            <w:tcW w:w="1820" w:type="dxa"/>
            <w:vAlign w:val="bottom"/>
            <w:tcBorders>
              <w:right w:val="single" w:sz="8" w:color="auto"/>
            </w:tcBorders>
            <w:gridSpan w:val="6"/>
            <w:shd w:val="clear" w:color="auto" w:fill="F0FFFF"/>
          </w:tcPr>
          <w:p>
            <w:pPr>
              <w:spacing w:after="0" w:line="144" w:lineRule="exact"/>
              <w:rPr>
                <w:sz w:val="20"/>
                <w:szCs w:val="20"/>
                <w:color w:val="auto"/>
              </w:rPr>
            </w:pPr>
            <w:r>
              <w:rPr>
                <w:rFonts w:ascii="Times New Roman" w:cs="Times New Roman" w:eastAsia="Times New Roman" w:hAnsi="Times New Roman"/>
                <w:sz w:val="13"/>
                <w:szCs w:val="13"/>
                <w:color w:val="auto"/>
              </w:rPr>
              <w:t>Contract</w:t>
            </w:r>
          </w:p>
        </w:tc>
        <w:tc>
          <w:tcPr>
            <w:tcW w:w="1280" w:type="dxa"/>
            <w:vAlign w:val="bottom"/>
            <w:tcBorders>
              <w:right w:val="single" w:sz="8" w:color="auto"/>
            </w:tcBorders>
            <w:shd w:val="clear" w:color="auto" w:fill="F0FFFF"/>
          </w:tcPr>
          <w:p>
            <w:pPr>
              <w:spacing w:after="0"/>
              <w:rPr>
                <w:sz w:val="12"/>
                <w:szCs w:val="12"/>
                <w:color w:val="auto"/>
              </w:rPr>
            </w:pPr>
          </w:p>
        </w:tc>
        <w:tc>
          <w:tcPr>
            <w:tcW w:w="160" w:type="dxa"/>
            <w:vAlign w:val="bottom"/>
            <w:tcBorders>
              <w:right w:val="single" w:sz="8" w:color="F0FFFF"/>
            </w:tcBorders>
            <w:shd w:val="clear" w:color="auto" w:fill="F0FFFF"/>
          </w:tcPr>
          <w:p>
            <w:pPr>
              <w:spacing w:after="0"/>
              <w:rPr>
                <w:sz w:val="12"/>
                <w:szCs w:val="12"/>
                <w:color w:val="auto"/>
              </w:rPr>
            </w:pPr>
          </w:p>
        </w:tc>
        <w:tc>
          <w:tcPr>
            <w:tcW w:w="1740" w:type="dxa"/>
            <w:vAlign w:val="bottom"/>
            <w:tcBorders>
              <w:right w:val="single" w:sz="8" w:color="auto"/>
            </w:tcBorders>
            <w:gridSpan w:val="12"/>
            <w:shd w:val="clear" w:color="auto" w:fill="F0FFFF"/>
          </w:tcPr>
          <w:p>
            <w:pPr>
              <w:spacing w:after="0" w:line="144" w:lineRule="exact"/>
              <w:rPr>
                <w:sz w:val="20"/>
                <w:szCs w:val="20"/>
                <w:color w:val="auto"/>
              </w:rPr>
            </w:pPr>
            <w:r>
              <w:rPr>
                <w:rFonts w:ascii="Times New Roman" w:cs="Times New Roman" w:eastAsia="Times New Roman" w:hAnsi="Times New Roman"/>
                <w:sz w:val="13"/>
                <w:szCs w:val="13"/>
                <w:color w:val="auto"/>
              </w:rPr>
              <w:t>from an IRA Contract or</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shd w:val="clear" w:color="auto" w:fill="F0FFFF"/>
          </w:tcPr>
          <w:p>
            <w:pPr>
              <w:spacing w:after="0" w:line="20" w:lineRule="exact"/>
              <w:rPr>
                <w:sz w:val="1"/>
                <w:szCs w:val="1"/>
                <w:color w:val="auto"/>
              </w:rPr>
            </w:pPr>
          </w:p>
        </w:tc>
        <w:tc>
          <w:tcPr>
            <w:tcW w:w="82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tcBorders>
              <w:right w:val="single" w:sz="8" w:color="F0FFFF"/>
            </w:tcBorders>
            <w:shd w:val="clear" w:color="auto" w:fill="F0FFFF"/>
          </w:tcPr>
          <w:p>
            <w:pPr>
              <w:spacing w:after="0" w:line="20" w:lineRule="exact"/>
              <w:rPr>
                <w:sz w:val="1"/>
                <w:szCs w:val="1"/>
                <w:color w:val="auto"/>
              </w:rPr>
            </w:pPr>
          </w:p>
        </w:tc>
        <w:tc>
          <w:tcPr>
            <w:tcW w:w="440" w:type="dxa"/>
            <w:vAlign w:val="bottom"/>
            <w:shd w:val="clear" w:color="auto" w:fill="F0FFFF"/>
          </w:tcPr>
          <w:p>
            <w:pPr>
              <w:spacing w:after="0" w:line="20" w:lineRule="exact"/>
              <w:rPr>
                <w:sz w:val="1"/>
                <w:szCs w:val="1"/>
                <w:color w:val="auto"/>
              </w:rPr>
            </w:pPr>
          </w:p>
        </w:tc>
        <w:tc>
          <w:tcPr>
            <w:tcW w:w="36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1280" w:type="dxa"/>
            <w:vAlign w:val="bottom"/>
            <w:tcBorders>
              <w:right w:val="single" w:sz="8" w:color="auto"/>
            </w:tcBorders>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420" w:type="dxa"/>
            <w:vAlign w:val="bottom"/>
            <w:tcBorders>
              <w:right w:val="single" w:sz="8" w:color="F0FFFF"/>
            </w:tcBorders>
            <w:shd w:val="clear" w:color="auto" w:fill="F0FFFF"/>
          </w:tcPr>
          <w:p>
            <w:pPr>
              <w:spacing w:after="0" w:line="20" w:lineRule="exact"/>
              <w:rPr>
                <w:sz w:val="1"/>
                <w:szCs w:val="1"/>
                <w:color w:val="auto"/>
              </w:rPr>
            </w:pPr>
          </w:p>
        </w:tc>
        <w:tc>
          <w:tcPr>
            <w:tcW w:w="300" w:type="dxa"/>
            <w:vAlign w:val="bottom"/>
            <w:tcBorders>
              <w:left w:val="single" w:sz="8" w:color="F0FFFF"/>
              <w:right w:val="single" w:sz="8" w:color="auto"/>
            </w:tcBorders>
            <w:shd w:val="clear" w:color="auto" w:fill="F0FFFF"/>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Borders>
              <w:left w:val="single" w:sz="8" w:color="F0FFFF"/>
            </w:tcBorders>
            <w:gridSpan w:val="2"/>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160" w:type="dxa"/>
            <w:vAlign w:val="bottom"/>
            <w:gridSpan w:val="2"/>
            <w:shd w:val="clear" w:color="auto" w:fill="F0FFFF"/>
          </w:tcPr>
          <w:p>
            <w:pPr>
              <w:spacing w:after="0" w:line="20" w:lineRule="exact"/>
              <w:rPr>
                <w:sz w:val="1"/>
                <w:szCs w:val="1"/>
                <w:color w:val="auto"/>
              </w:rPr>
            </w:pPr>
          </w:p>
        </w:tc>
        <w:tc>
          <w:tcPr>
            <w:tcW w:w="160" w:type="dxa"/>
            <w:vAlign w:val="bottom"/>
            <w:tcBorders>
              <w:right w:val="single" w:sz="8" w:color="auto"/>
            </w:tcBorders>
            <w:gridSpan w:val="2"/>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40" w:type="dxa"/>
            <w:vAlign w:val="bottom"/>
            <w:tcBorders>
              <w:left w:val="single" w:sz="8" w:color="auto"/>
            </w:tcBorders>
            <w:shd w:val="clear" w:color="auto" w:fill="F0FFFF"/>
          </w:tcPr>
          <w:p>
            <w:pPr>
              <w:spacing w:after="0"/>
              <w:rPr>
                <w:sz w:val="10"/>
                <w:szCs w:val="10"/>
                <w:color w:val="auto"/>
              </w:rPr>
            </w:pPr>
          </w:p>
        </w:tc>
        <w:tc>
          <w:tcPr>
            <w:tcW w:w="820" w:type="dxa"/>
            <w:vAlign w:val="bottom"/>
            <w:shd w:val="clear" w:color="auto" w:fill="F0FFFF"/>
          </w:tcPr>
          <w:p>
            <w:pPr>
              <w:spacing w:after="0"/>
              <w:rPr>
                <w:sz w:val="10"/>
                <w:szCs w:val="10"/>
                <w:color w:val="auto"/>
              </w:rPr>
            </w:pPr>
          </w:p>
        </w:tc>
        <w:tc>
          <w:tcPr>
            <w:tcW w:w="220" w:type="dxa"/>
            <w:vAlign w:val="bottom"/>
            <w:tcBorders>
              <w:right w:val="single" w:sz="8" w:color="auto"/>
            </w:tcBorders>
            <w:shd w:val="clear" w:color="auto" w:fill="F0FFFF"/>
          </w:tcPr>
          <w:p>
            <w:pPr>
              <w:spacing w:after="0"/>
              <w:rPr>
                <w:sz w:val="10"/>
                <w:szCs w:val="10"/>
                <w:color w:val="auto"/>
              </w:rPr>
            </w:pPr>
          </w:p>
        </w:tc>
        <w:tc>
          <w:tcPr>
            <w:tcW w:w="260" w:type="dxa"/>
            <w:vAlign w:val="bottom"/>
            <w:shd w:val="clear" w:color="auto" w:fill="F0FFFF"/>
          </w:tcPr>
          <w:p>
            <w:pPr>
              <w:spacing w:after="0"/>
              <w:rPr>
                <w:sz w:val="10"/>
                <w:szCs w:val="10"/>
                <w:color w:val="auto"/>
              </w:rPr>
            </w:pPr>
          </w:p>
        </w:tc>
        <w:tc>
          <w:tcPr>
            <w:tcW w:w="180" w:type="dxa"/>
            <w:vAlign w:val="bottom"/>
            <w:shd w:val="clear" w:color="auto" w:fill="F0FFFF"/>
          </w:tcPr>
          <w:p>
            <w:pPr>
              <w:spacing w:after="0"/>
              <w:rPr>
                <w:sz w:val="10"/>
                <w:szCs w:val="10"/>
                <w:color w:val="auto"/>
              </w:rPr>
            </w:pPr>
          </w:p>
        </w:tc>
        <w:tc>
          <w:tcPr>
            <w:tcW w:w="360" w:type="dxa"/>
            <w:vAlign w:val="bottom"/>
            <w:tcBorders>
              <w:right w:val="single" w:sz="8" w:color="F0FFFF"/>
            </w:tcBorders>
            <w:shd w:val="clear" w:color="auto" w:fill="F0FFFF"/>
          </w:tcPr>
          <w:p>
            <w:pPr>
              <w:spacing w:after="0"/>
              <w:rPr>
                <w:sz w:val="10"/>
                <w:szCs w:val="10"/>
                <w:color w:val="auto"/>
              </w:rPr>
            </w:pPr>
          </w:p>
        </w:tc>
        <w:tc>
          <w:tcPr>
            <w:tcW w:w="440" w:type="dxa"/>
            <w:vAlign w:val="bottom"/>
            <w:shd w:val="clear" w:color="auto" w:fill="F0FFFF"/>
          </w:tcPr>
          <w:p>
            <w:pPr>
              <w:spacing w:after="0"/>
              <w:rPr>
                <w:sz w:val="10"/>
                <w:szCs w:val="10"/>
                <w:color w:val="auto"/>
              </w:rPr>
            </w:pPr>
          </w:p>
        </w:tc>
        <w:tc>
          <w:tcPr>
            <w:tcW w:w="360" w:type="dxa"/>
            <w:vAlign w:val="bottom"/>
            <w:shd w:val="clear" w:color="auto" w:fill="F0FFFF"/>
          </w:tcPr>
          <w:p>
            <w:pPr>
              <w:spacing w:after="0"/>
              <w:rPr>
                <w:sz w:val="10"/>
                <w:szCs w:val="10"/>
                <w:color w:val="auto"/>
              </w:rPr>
            </w:pPr>
          </w:p>
        </w:tc>
        <w:tc>
          <w:tcPr>
            <w:tcW w:w="220" w:type="dxa"/>
            <w:vAlign w:val="bottom"/>
            <w:tcBorders>
              <w:right w:val="single" w:sz="8" w:color="auto"/>
            </w:tcBorders>
            <w:shd w:val="clear" w:color="auto" w:fill="F0FFFF"/>
          </w:tcPr>
          <w:p>
            <w:pPr>
              <w:spacing w:after="0"/>
              <w:rPr>
                <w:sz w:val="10"/>
                <w:szCs w:val="10"/>
                <w:color w:val="auto"/>
              </w:rPr>
            </w:pPr>
          </w:p>
        </w:tc>
        <w:tc>
          <w:tcPr>
            <w:tcW w:w="1280" w:type="dxa"/>
            <w:vAlign w:val="bottom"/>
            <w:tcBorders>
              <w:right w:val="single" w:sz="8" w:color="auto"/>
            </w:tcBorders>
            <w:shd w:val="clear" w:color="auto" w:fill="F0FFFF"/>
          </w:tcPr>
          <w:p>
            <w:pPr>
              <w:spacing w:after="0"/>
              <w:rPr>
                <w:sz w:val="10"/>
                <w:szCs w:val="10"/>
                <w:color w:val="auto"/>
              </w:rPr>
            </w:pPr>
          </w:p>
        </w:tc>
        <w:tc>
          <w:tcPr>
            <w:tcW w:w="160" w:type="dxa"/>
            <w:vAlign w:val="bottom"/>
            <w:tcBorders>
              <w:right w:val="single" w:sz="8" w:color="F0FFFF"/>
            </w:tcBorders>
            <w:shd w:val="clear" w:color="auto" w:fill="F0FFFF"/>
          </w:tcPr>
          <w:p>
            <w:pPr>
              <w:spacing w:after="0"/>
              <w:rPr>
                <w:sz w:val="10"/>
                <w:szCs w:val="10"/>
                <w:color w:val="auto"/>
              </w:rPr>
            </w:pPr>
          </w:p>
        </w:tc>
        <w:tc>
          <w:tcPr>
            <w:tcW w:w="1740" w:type="dxa"/>
            <w:vAlign w:val="bottom"/>
            <w:tcBorders>
              <w:right w:val="single" w:sz="8" w:color="auto"/>
            </w:tcBorders>
            <w:gridSpan w:val="12"/>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auto"/>
              </w:rPr>
              <w:t>qualified annuity Contract.</w:t>
            </w:r>
          </w:p>
        </w:tc>
        <w:tc>
          <w:tcPr>
            <w:tcW w:w="0" w:type="dxa"/>
            <w:vAlign w:val="bottom"/>
          </w:tcPr>
          <w:p>
            <w:pPr>
              <w:spacing w:after="0"/>
              <w:rPr>
                <w:sz w:val="1"/>
                <w:szCs w:val="1"/>
                <w:color w:val="auto"/>
              </w:rPr>
            </w:pPr>
          </w:p>
        </w:tc>
      </w:tr>
      <w:tr>
        <w:trPr>
          <w:trHeight w:val="136"/>
        </w:trPr>
        <w:tc>
          <w:tcPr>
            <w:tcW w:w="40" w:type="dxa"/>
            <w:vAlign w:val="bottom"/>
            <w:tcBorders>
              <w:top w:val="single" w:sz="8" w:color="F0FFFF"/>
              <w:left w:val="single" w:sz="8" w:color="auto"/>
            </w:tcBorders>
            <w:shd w:val="clear" w:color="auto" w:fill="F0FFFF"/>
          </w:tcPr>
          <w:p>
            <w:pPr>
              <w:spacing w:after="0"/>
              <w:rPr>
                <w:sz w:val="11"/>
                <w:szCs w:val="11"/>
                <w:color w:val="auto"/>
              </w:rPr>
            </w:pPr>
          </w:p>
        </w:tc>
        <w:tc>
          <w:tcPr>
            <w:tcW w:w="820" w:type="dxa"/>
            <w:vAlign w:val="bottom"/>
            <w:tcBorders>
              <w:top w:val="single" w:sz="8" w:color="F0FFFF"/>
            </w:tcBorders>
            <w:shd w:val="clear" w:color="auto" w:fill="F0FFFF"/>
          </w:tcPr>
          <w:p>
            <w:pPr>
              <w:spacing w:after="0"/>
              <w:rPr>
                <w:sz w:val="11"/>
                <w:szCs w:val="11"/>
                <w:color w:val="auto"/>
              </w:rPr>
            </w:pPr>
          </w:p>
        </w:tc>
        <w:tc>
          <w:tcPr>
            <w:tcW w:w="220" w:type="dxa"/>
            <w:vAlign w:val="bottom"/>
            <w:tcBorders>
              <w:top w:val="single" w:sz="8" w:color="F0FFFF"/>
              <w:right w:val="single" w:sz="8" w:color="auto"/>
            </w:tcBorders>
            <w:shd w:val="clear" w:color="auto" w:fill="F0FFFF"/>
          </w:tcPr>
          <w:p>
            <w:pPr>
              <w:spacing w:after="0"/>
              <w:rPr>
                <w:sz w:val="11"/>
                <w:szCs w:val="11"/>
                <w:color w:val="auto"/>
              </w:rPr>
            </w:pPr>
          </w:p>
        </w:tc>
        <w:tc>
          <w:tcPr>
            <w:tcW w:w="260" w:type="dxa"/>
            <w:vAlign w:val="bottom"/>
            <w:tcBorders>
              <w:top w:val="single" w:sz="8" w:color="F0FFFF"/>
            </w:tcBorders>
            <w:shd w:val="clear" w:color="auto" w:fill="F0FFFF"/>
          </w:tcPr>
          <w:p>
            <w:pPr>
              <w:spacing w:after="0"/>
              <w:rPr>
                <w:sz w:val="11"/>
                <w:szCs w:val="11"/>
                <w:color w:val="auto"/>
              </w:rPr>
            </w:pPr>
          </w:p>
        </w:tc>
        <w:tc>
          <w:tcPr>
            <w:tcW w:w="180" w:type="dxa"/>
            <w:vAlign w:val="bottom"/>
            <w:tcBorders>
              <w:top w:val="single" w:sz="8" w:color="F0FFFF"/>
            </w:tcBorders>
            <w:shd w:val="clear" w:color="auto" w:fill="F0FFFF"/>
          </w:tcPr>
          <w:p>
            <w:pPr>
              <w:spacing w:after="0"/>
              <w:rPr>
                <w:sz w:val="11"/>
                <w:szCs w:val="11"/>
                <w:color w:val="auto"/>
              </w:rPr>
            </w:pPr>
          </w:p>
        </w:tc>
        <w:tc>
          <w:tcPr>
            <w:tcW w:w="360" w:type="dxa"/>
            <w:vAlign w:val="bottom"/>
            <w:tcBorders>
              <w:top w:val="single" w:sz="8" w:color="F0FFFF"/>
              <w:right w:val="single" w:sz="8" w:color="F0FFFF"/>
            </w:tcBorders>
            <w:shd w:val="clear" w:color="auto" w:fill="F0FFFF"/>
          </w:tcPr>
          <w:p>
            <w:pPr>
              <w:spacing w:after="0"/>
              <w:rPr>
                <w:sz w:val="11"/>
                <w:szCs w:val="11"/>
                <w:color w:val="auto"/>
              </w:rPr>
            </w:pPr>
          </w:p>
        </w:tc>
        <w:tc>
          <w:tcPr>
            <w:tcW w:w="440" w:type="dxa"/>
            <w:vAlign w:val="bottom"/>
            <w:tcBorders>
              <w:top w:val="single" w:sz="8" w:color="F0FFFF"/>
            </w:tcBorders>
            <w:shd w:val="clear" w:color="auto" w:fill="F0FFFF"/>
          </w:tcPr>
          <w:p>
            <w:pPr>
              <w:spacing w:after="0"/>
              <w:rPr>
                <w:sz w:val="11"/>
                <w:szCs w:val="11"/>
                <w:color w:val="auto"/>
              </w:rPr>
            </w:pPr>
          </w:p>
        </w:tc>
        <w:tc>
          <w:tcPr>
            <w:tcW w:w="360" w:type="dxa"/>
            <w:vAlign w:val="bottom"/>
            <w:tcBorders>
              <w:top w:val="single" w:sz="8" w:color="F0FFFF"/>
            </w:tcBorders>
            <w:shd w:val="clear" w:color="auto" w:fill="F0FFFF"/>
          </w:tcPr>
          <w:p>
            <w:pPr>
              <w:spacing w:after="0"/>
              <w:rPr>
                <w:sz w:val="11"/>
                <w:szCs w:val="11"/>
                <w:color w:val="auto"/>
              </w:rPr>
            </w:pPr>
          </w:p>
        </w:tc>
        <w:tc>
          <w:tcPr>
            <w:tcW w:w="220" w:type="dxa"/>
            <w:vAlign w:val="bottom"/>
            <w:tcBorders>
              <w:top w:val="single" w:sz="8" w:color="F0FFFF"/>
              <w:right w:val="single" w:sz="8" w:color="auto"/>
            </w:tcBorders>
            <w:shd w:val="clear" w:color="auto" w:fill="F0FFFF"/>
          </w:tcPr>
          <w:p>
            <w:pPr>
              <w:spacing w:after="0"/>
              <w:rPr>
                <w:sz w:val="11"/>
                <w:szCs w:val="11"/>
                <w:color w:val="auto"/>
              </w:rPr>
            </w:pPr>
          </w:p>
        </w:tc>
        <w:tc>
          <w:tcPr>
            <w:tcW w:w="1280" w:type="dxa"/>
            <w:vAlign w:val="bottom"/>
            <w:tcBorders>
              <w:top w:val="single" w:sz="8" w:color="F0FFFF"/>
              <w:right w:val="single" w:sz="8" w:color="auto"/>
            </w:tcBorders>
            <w:shd w:val="clear" w:color="auto" w:fill="F0FFFF"/>
          </w:tcPr>
          <w:p>
            <w:pPr>
              <w:spacing w:after="0"/>
              <w:rPr>
                <w:sz w:val="11"/>
                <w:szCs w:val="11"/>
                <w:color w:val="auto"/>
              </w:rPr>
            </w:pPr>
          </w:p>
        </w:tc>
        <w:tc>
          <w:tcPr>
            <w:tcW w:w="1120" w:type="dxa"/>
            <w:vAlign w:val="bottom"/>
            <w:tcBorders>
              <w:top w:val="single" w:sz="8" w:color="F0FFFF"/>
              <w:right w:val="single" w:sz="8" w:color="F0FFFF"/>
            </w:tcBorders>
            <w:gridSpan w:val="5"/>
            <w:shd w:val="clear" w:color="auto" w:fill="F0FFFF"/>
          </w:tcPr>
          <w:p>
            <w:pPr>
              <w:ind w:left="20"/>
              <w:spacing w:after="0" w:line="136" w:lineRule="exact"/>
              <w:rPr>
                <w:sz w:val="20"/>
                <w:szCs w:val="20"/>
                <w:color w:val="auto"/>
              </w:rPr>
            </w:pPr>
            <w:r>
              <w:rPr>
                <w:rFonts w:ascii="Times New Roman" w:cs="Times New Roman" w:eastAsia="Times New Roman" w:hAnsi="Times New Roman"/>
                <w:sz w:val="13"/>
                <w:szCs w:val="13"/>
                <w:color w:val="auto"/>
                <w:w w:val="98"/>
              </w:rPr>
              <w:t>● Available after the</w:t>
            </w:r>
          </w:p>
        </w:tc>
        <w:tc>
          <w:tcPr>
            <w:tcW w:w="420" w:type="dxa"/>
            <w:vAlign w:val="bottom"/>
            <w:tcBorders>
              <w:top w:val="single" w:sz="8" w:color="auto"/>
            </w:tcBorders>
            <w:gridSpan w:val="3"/>
            <w:shd w:val="clear" w:color="auto" w:fill="F0FFFF"/>
          </w:tcPr>
          <w:p>
            <w:pPr>
              <w:ind w:left="20"/>
              <w:spacing w:after="0" w:line="136" w:lineRule="exact"/>
              <w:rPr>
                <w:sz w:val="20"/>
                <w:szCs w:val="20"/>
                <w:color w:val="auto"/>
              </w:rPr>
            </w:pPr>
            <w:r>
              <w:rPr>
                <w:rFonts w:ascii="Times New Roman" w:cs="Times New Roman" w:eastAsia="Times New Roman" w:hAnsi="Times New Roman"/>
                <w:sz w:val="13"/>
                <w:szCs w:val="13"/>
                <w:color w:val="auto"/>
              </w:rPr>
              <w:t>first</w:t>
            </w:r>
          </w:p>
        </w:tc>
        <w:tc>
          <w:tcPr>
            <w:tcW w:w="40" w:type="dxa"/>
            <w:vAlign w:val="bottom"/>
            <w:tcBorders>
              <w:top w:val="single" w:sz="8" w:color="F0FFFF"/>
            </w:tcBorders>
            <w:shd w:val="clear" w:color="auto" w:fill="F0FFFF"/>
          </w:tcPr>
          <w:p>
            <w:pPr>
              <w:spacing w:after="0"/>
              <w:rPr>
                <w:sz w:val="11"/>
                <w:szCs w:val="11"/>
                <w:color w:val="auto"/>
              </w:rPr>
            </w:pPr>
          </w:p>
        </w:tc>
        <w:tc>
          <w:tcPr>
            <w:tcW w:w="160" w:type="dxa"/>
            <w:vAlign w:val="bottom"/>
            <w:tcBorders>
              <w:top w:val="single" w:sz="8" w:color="F0FFFF"/>
            </w:tcBorders>
            <w:gridSpan w:val="2"/>
            <w:shd w:val="clear" w:color="auto" w:fill="F0FFFF"/>
          </w:tcPr>
          <w:p>
            <w:pPr>
              <w:spacing w:after="0"/>
              <w:rPr>
                <w:sz w:val="11"/>
                <w:szCs w:val="11"/>
                <w:color w:val="auto"/>
              </w:rPr>
            </w:pPr>
          </w:p>
        </w:tc>
        <w:tc>
          <w:tcPr>
            <w:tcW w:w="160" w:type="dxa"/>
            <w:vAlign w:val="bottom"/>
            <w:tcBorders>
              <w:top w:val="single" w:sz="8" w:color="F0FFFF"/>
              <w:right w:val="single" w:sz="8" w:color="auto"/>
            </w:tcBorders>
            <w:gridSpan w:val="2"/>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0" w:type="dxa"/>
            <w:vAlign w:val="bottom"/>
            <w:tcBorders>
              <w:left w:val="single" w:sz="8" w:color="auto"/>
            </w:tcBorders>
            <w:shd w:val="clear" w:color="auto" w:fill="F0FFFF"/>
          </w:tcPr>
          <w:p>
            <w:pPr>
              <w:spacing w:after="0"/>
              <w:rPr>
                <w:sz w:val="12"/>
                <w:szCs w:val="12"/>
                <w:color w:val="auto"/>
              </w:rPr>
            </w:pPr>
          </w:p>
        </w:tc>
        <w:tc>
          <w:tcPr>
            <w:tcW w:w="820" w:type="dxa"/>
            <w:vAlign w:val="bottom"/>
            <w:shd w:val="clear" w:color="auto" w:fill="F0FFFF"/>
          </w:tcPr>
          <w:p>
            <w:pPr>
              <w:spacing w:after="0"/>
              <w:rPr>
                <w:sz w:val="12"/>
                <w:szCs w:val="12"/>
                <w:color w:val="auto"/>
              </w:rPr>
            </w:pPr>
          </w:p>
        </w:tc>
        <w:tc>
          <w:tcPr>
            <w:tcW w:w="220" w:type="dxa"/>
            <w:vAlign w:val="bottom"/>
            <w:tcBorders>
              <w:right w:val="single" w:sz="8" w:color="auto"/>
            </w:tcBorders>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360" w:type="dxa"/>
            <w:vAlign w:val="bottom"/>
            <w:tcBorders>
              <w:right w:val="single" w:sz="8" w:color="F0FFFF"/>
            </w:tcBorders>
            <w:shd w:val="clear" w:color="auto" w:fill="F0FFFF"/>
          </w:tcPr>
          <w:p>
            <w:pPr>
              <w:spacing w:after="0"/>
              <w:rPr>
                <w:sz w:val="12"/>
                <w:szCs w:val="12"/>
                <w:color w:val="auto"/>
              </w:rPr>
            </w:pPr>
          </w:p>
        </w:tc>
        <w:tc>
          <w:tcPr>
            <w:tcW w:w="440" w:type="dxa"/>
            <w:vAlign w:val="bottom"/>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220" w:type="dxa"/>
            <w:vAlign w:val="bottom"/>
            <w:tcBorders>
              <w:right w:val="single" w:sz="8" w:color="auto"/>
            </w:tcBorders>
            <w:shd w:val="clear" w:color="auto" w:fill="F0FFFF"/>
          </w:tcPr>
          <w:p>
            <w:pPr>
              <w:spacing w:after="0"/>
              <w:rPr>
                <w:sz w:val="12"/>
                <w:szCs w:val="12"/>
                <w:color w:val="auto"/>
              </w:rPr>
            </w:pPr>
          </w:p>
        </w:tc>
        <w:tc>
          <w:tcPr>
            <w:tcW w:w="1280" w:type="dxa"/>
            <w:vAlign w:val="bottom"/>
            <w:tcBorders>
              <w:right w:val="single" w:sz="8" w:color="auto"/>
            </w:tcBorders>
            <w:shd w:val="clear" w:color="auto" w:fill="F0FFFF"/>
          </w:tcPr>
          <w:p>
            <w:pPr>
              <w:spacing w:after="0"/>
              <w:rPr>
                <w:sz w:val="12"/>
                <w:szCs w:val="12"/>
                <w:color w:val="auto"/>
              </w:rPr>
            </w:pPr>
          </w:p>
        </w:tc>
        <w:tc>
          <w:tcPr>
            <w:tcW w:w="160" w:type="dxa"/>
            <w:vAlign w:val="bottom"/>
            <w:tcBorders>
              <w:right w:val="single" w:sz="8" w:color="F0FFFF"/>
            </w:tcBorders>
            <w:shd w:val="clear" w:color="auto" w:fill="F0FFFF"/>
          </w:tcPr>
          <w:p>
            <w:pPr>
              <w:spacing w:after="0"/>
              <w:rPr>
                <w:sz w:val="12"/>
                <w:szCs w:val="12"/>
                <w:color w:val="auto"/>
              </w:rPr>
            </w:pPr>
          </w:p>
        </w:tc>
        <w:tc>
          <w:tcPr>
            <w:tcW w:w="1740" w:type="dxa"/>
            <w:vAlign w:val="bottom"/>
            <w:tcBorders>
              <w:right w:val="single" w:sz="8" w:color="auto"/>
            </w:tcBorders>
            <w:gridSpan w:val="12"/>
            <w:shd w:val="clear" w:color="auto" w:fill="F0FFFF"/>
          </w:tcPr>
          <w:p>
            <w:pPr>
              <w:spacing w:after="0" w:line="142" w:lineRule="exact"/>
              <w:rPr>
                <w:sz w:val="20"/>
                <w:szCs w:val="20"/>
                <w:color w:val="auto"/>
              </w:rPr>
            </w:pPr>
            <w:r>
              <w:rPr>
                <w:rFonts w:ascii="Times New Roman" w:cs="Times New Roman" w:eastAsia="Times New Roman" w:hAnsi="Times New Roman"/>
                <w:sz w:val="13"/>
                <w:szCs w:val="13"/>
                <w:color w:val="auto"/>
              </w:rPr>
              <w:t>Contract Year and for up to10%</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shd w:val="clear" w:color="auto" w:fill="F0FFFF"/>
          </w:tcPr>
          <w:p>
            <w:pPr>
              <w:spacing w:after="0" w:line="20" w:lineRule="exact"/>
              <w:rPr>
                <w:sz w:val="1"/>
                <w:szCs w:val="1"/>
                <w:color w:val="auto"/>
              </w:rPr>
            </w:pPr>
          </w:p>
        </w:tc>
        <w:tc>
          <w:tcPr>
            <w:tcW w:w="82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60" w:type="dxa"/>
            <w:vAlign w:val="bottom"/>
            <w:tcBorders>
              <w:right w:val="single" w:sz="8" w:color="F0FFFF"/>
            </w:tcBorders>
            <w:shd w:val="clear" w:color="auto" w:fill="F0FFFF"/>
          </w:tcPr>
          <w:p>
            <w:pPr>
              <w:spacing w:after="0" w:line="20" w:lineRule="exact"/>
              <w:rPr>
                <w:sz w:val="1"/>
                <w:szCs w:val="1"/>
                <w:color w:val="auto"/>
              </w:rPr>
            </w:pPr>
          </w:p>
        </w:tc>
        <w:tc>
          <w:tcPr>
            <w:tcW w:w="440" w:type="dxa"/>
            <w:vAlign w:val="bottom"/>
            <w:shd w:val="clear" w:color="auto" w:fill="F0FFFF"/>
          </w:tcPr>
          <w:p>
            <w:pPr>
              <w:spacing w:after="0" w:line="20" w:lineRule="exact"/>
              <w:rPr>
                <w:sz w:val="1"/>
                <w:szCs w:val="1"/>
                <w:color w:val="auto"/>
              </w:rPr>
            </w:pPr>
          </w:p>
        </w:tc>
        <w:tc>
          <w:tcPr>
            <w:tcW w:w="36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1280" w:type="dxa"/>
            <w:vAlign w:val="bottom"/>
            <w:tcBorders>
              <w:right w:val="single" w:sz="8" w:color="auto"/>
            </w:tcBorders>
            <w:shd w:val="clear" w:color="auto" w:fill="F0FFFF"/>
          </w:tcPr>
          <w:p>
            <w:pPr>
              <w:spacing w:after="0" w:line="20" w:lineRule="exact"/>
              <w:rPr>
                <w:sz w:val="1"/>
                <w:szCs w:val="1"/>
                <w:color w:val="auto"/>
              </w:rPr>
            </w:pPr>
          </w:p>
        </w:tc>
        <w:tc>
          <w:tcPr>
            <w:tcW w:w="160" w:type="dxa"/>
            <w:vAlign w:val="bottom"/>
            <w:tcBorders>
              <w:right w:val="single" w:sz="8" w:color="auto"/>
            </w:tcBorders>
            <w:shd w:val="clear" w:color="auto" w:fill="F0FFFF"/>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F0FFFF"/>
            </w:tcBorders>
            <w:shd w:val="clear" w:color="auto" w:fill="F0FFFF"/>
          </w:tcPr>
          <w:p>
            <w:pPr>
              <w:spacing w:after="0" w:line="20" w:lineRule="exact"/>
              <w:rPr>
                <w:sz w:val="1"/>
                <w:szCs w:val="1"/>
                <w:color w:val="auto"/>
              </w:rPr>
            </w:pPr>
          </w:p>
        </w:tc>
        <w:tc>
          <w:tcPr>
            <w:tcW w:w="320" w:type="dxa"/>
            <w:vAlign w:val="bottom"/>
            <w:tcBorders>
              <w:left w:val="single" w:sz="8" w:color="F0FFFF"/>
            </w:tcBorders>
            <w:gridSpan w:val="2"/>
            <w:shd w:val="clear" w:color="auto" w:fill="F0FFFF"/>
          </w:tcPr>
          <w:p>
            <w:pPr>
              <w:spacing w:after="0" w:line="20" w:lineRule="exact"/>
              <w:rPr>
                <w:sz w:val="1"/>
                <w:szCs w:val="1"/>
                <w:color w:val="auto"/>
              </w:rPr>
            </w:pPr>
          </w:p>
        </w:tc>
        <w:tc>
          <w:tcPr>
            <w:tcW w:w="300" w:type="dxa"/>
            <w:vAlign w:val="bottom"/>
            <w:tcBorders>
              <w:left w:val="single" w:sz="8" w:color="F0FFFF"/>
            </w:tcBorders>
            <w:gridSpan w:val="3"/>
            <w:shd w:val="clear" w:color="auto" w:fill="F0FFFF"/>
          </w:tcPr>
          <w:p>
            <w:pPr>
              <w:spacing w:after="0" w:line="20" w:lineRule="exact"/>
              <w:rPr>
                <w:sz w:val="1"/>
                <w:szCs w:val="1"/>
                <w:color w:val="auto"/>
              </w:rPr>
            </w:pPr>
          </w:p>
        </w:tc>
        <w:tc>
          <w:tcPr>
            <w:tcW w:w="160" w:type="dxa"/>
            <w:vAlign w:val="bottom"/>
            <w:gridSpan w:val="2"/>
            <w:shd w:val="clear" w:color="auto" w:fill="F0FFFF"/>
          </w:tcPr>
          <w:p>
            <w:pPr>
              <w:spacing w:after="0" w:line="20" w:lineRule="exact"/>
              <w:rPr>
                <w:sz w:val="1"/>
                <w:szCs w:val="1"/>
                <w:color w:val="auto"/>
              </w:rPr>
            </w:pPr>
          </w:p>
        </w:tc>
        <w:tc>
          <w:tcPr>
            <w:tcW w:w="160" w:type="dxa"/>
            <w:vAlign w:val="bottom"/>
            <w:tcBorders>
              <w:right w:val="single" w:sz="8" w:color="auto"/>
            </w:tcBorders>
            <w:gridSpan w:val="2"/>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40" w:type="dxa"/>
            <w:vAlign w:val="bottom"/>
            <w:tcBorders>
              <w:left w:val="single" w:sz="8" w:color="auto"/>
            </w:tcBorders>
            <w:shd w:val="clear" w:color="auto" w:fill="F0FFFF"/>
          </w:tcPr>
          <w:p>
            <w:pPr>
              <w:spacing w:after="0"/>
              <w:rPr>
                <w:sz w:val="10"/>
                <w:szCs w:val="10"/>
                <w:color w:val="auto"/>
              </w:rPr>
            </w:pPr>
          </w:p>
        </w:tc>
        <w:tc>
          <w:tcPr>
            <w:tcW w:w="820" w:type="dxa"/>
            <w:vAlign w:val="bottom"/>
            <w:shd w:val="clear" w:color="auto" w:fill="F0FFFF"/>
          </w:tcPr>
          <w:p>
            <w:pPr>
              <w:spacing w:after="0"/>
              <w:rPr>
                <w:sz w:val="10"/>
                <w:szCs w:val="10"/>
                <w:color w:val="auto"/>
              </w:rPr>
            </w:pPr>
          </w:p>
        </w:tc>
        <w:tc>
          <w:tcPr>
            <w:tcW w:w="220" w:type="dxa"/>
            <w:vAlign w:val="bottom"/>
            <w:tcBorders>
              <w:right w:val="single" w:sz="8" w:color="auto"/>
            </w:tcBorders>
            <w:shd w:val="clear" w:color="auto" w:fill="F0FFFF"/>
          </w:tcPr>
          <w:p>
            <w:pPr>
              <w:spacing w:after="0"/>
              <w:rPr>
                <w:sz w:val="10"/>
                <w:szCs w:val="10"/>
                <w:color w:val="auto"/>
              </w:rPr>
            </w:pPr>
          </w:p>
        </w:tc>
        <w:tc>
          <w:tcPr>
            <w:tcW w:w="260" w:type="dxa"/>
            <w:vAlign w:val="bottom"/>
            <w:shd w:val="clear" w:color="auto" w:fill="F0FFFF"/>
          </w:tcPr>
          <w:p>
            <w:pPr>
              <w:spacing w:after="0"/>
              <w:rPr>
                <w:sz w:val="10"/>
                <w:szCs w:val="10"/>
                <w:color w:val="auto"/>
              </w:rPr>
            </w:pPr>
          </w:p>
        </w:tc>
        <w:tc>
          <w:tcPr>
            <w:tcW w:w="180" w:type="dxa"/>
            <w:vAlign w:val="bottom"/>
            <w:shd w:val="clear" w:color="auto" w:fill="F0FFFF"/>
          </w:tcPr>
          <w:p>
            <w:pPr>
              <w:spacing w:after="0"/>
              <w:rPr>
                <w:sz w:val="10"/>
                <w:szCs w:val="10"/>
                <w:color w:val="auto"/>
              </w:rPr>
            </w:pPr>
          </w:p>
        </w:tc>
        <w:tc>
          <w:tcPr>
            <w:tcW w:w="360" w:type="dxa"/>
            <w:vAlign w:val="bottom"/>
            <w:tcBorders>
              <w:right w:val="single" w:sz="8" w:color="F0FFFF"/>
            </w:tcBorders>
            <w:shd w:val="clear" w:color="auto" w:fill="F0FFFF"/>
          </w:tcPr>
          <w:p>
            <w:pPr>
              <w:spacing w:after="0"/>
              <w:rPr>
                <w:sz w:val="10"/>
                <w:szCs w:val="10"/>
                <w:color w:val="auto"/>
              </w:rPr>
            </w:pPr>
          </w:p>
        </w:tc>
        <w:tc>
          <w:tcPr>
            <w:tcW w:w="440" w:type="dxa"/>
            <w:vAlign w:val="bottom"/>
            <w:shd w:val="clear" w:color="auto" w:fill="F0FFFF"/>
          </w:tcPr>
          <w:p>
            <w:pPr>
              <w:spacing w:after="0"/>
              <w:rPr>
                <w:sz w:val="10"/>
                <w:szCs w:val="10"/>
                <w:color w:val="auto"/>
              </w:rPr>
            </w:pPr>
          </w:p>
        </w:tc>
        <w:tc>
          <w:tcPr>
            <w:tcW w:w="360" w:type="dxa"/>
            <w:vAlign w:val="bottom"/>
            <w:shd w:val="clear" w:color="auto" w:fill="F0FFFF"/>
          </w:tcPr>
          <w:p>
            <w:pPr>
              <w:spacing w:after="0"/>
              <w:rPr>
                <w:sz w:val="10"/>
                <w:szCs w:val="10"/>
                <w:color w:val="auto"/>
              </w:rPr>
            </w:pPr>
          </w:p>
        </w:tc>
        <w:tc>
          <w:tcPr>
            <w:tcW w:w="220" w:type="dxa"/>
            <w:vAlign w:val="bottom"/>
            <w:tcBorders>
              <w:right w:val="single" w:sz="8" w:color="auto"/>
            </w:tcBorders>
            <w:shd w:val="clear" w:color="auto" w:fill="F0FFFF"/>
          </w:tcPr>
          <w:p>
            <w:pPr>
              <w:spacing w:after="0"/>
              <w:rPr>
                <w:sz w:val="10"/>
                <w:szCs w:val="10"/>
                <w:color w:val="auto"/>
              </w:rPr>
            </w:pPr>
          </w:p>
        </w:tc>
        <w:tc>
          <w:tcPr>
            <w:tcW w:w="1280" w:type="dxa"/>
            <w:vAlign w:val="bottom"/>
            <w:tcBorders>
              <w:right w:val="single" w:sz="8" w:color="auto"/>
            </w:tcBorders>
            <w:shd w:val="clear" w:color="auto" w:fill="F0FFFF"/>
          </w:tcPr>
          <w:p>
            <w:pPr>
              <w:spacing w:after="0"/>
              <w:rPr>
                <w:sz w:val="10"/>
                <w:szCs w:val="10"/>
                <w:color w:val="auto"/>
              </w:rPr>
            </w:pPr>
          </w:p>
        </w:tc>
        <w:tc>
          <w:tcPr>
            <w:tcW w:w="160" w:type="dxa"/>
            <w:vAlign w:val="bottom"/>
            <w:tcBorders>
              <w:right w:val="single" w:sz="8" w:color="F0FFFF"/>
            </w:tcBorders>
            <w:shd w:val="clear" w:color="auto" w:fill="F0FFFF"/>
          </w:tcPr>
          <w:p>
            <w:pPr>
              <w:spacing w:after="0"/>
              <w:rPr>
                <w:sz w:val="10"/>
                <w:szCs w:val="10"/>
                <w:color w:val="auto"/>
              </w:rPr>
            </w:pPr>
          </w:p>
        </w:tc>
        <w:tc>
          <w:tcPr>
            <w:tcW w:w="1740" w:type="dxa"/>
            <w:vAlign w:val="bottom"/>
            <w:tcBorders>
              <w:right w:val="single" w:sz="8" w:color="auto"/>
            </w:tcBorders>
            <w:gridSpan w:val="12"/>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auto"/>
              </w:rPr>
              <w:t>of your Account Value as of the</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shd w:val="clear" w:color="auto" w:fill="F0FFFF"/>
          </w:tcPr>
          <w:p>
            <w:pPr>
              <w:spacing w:after="0" w:line="20" w:lineRule="exact"/>
              <w:rPr>
                <w:sz w:val="1"/>
                <w:szCs w:val="1"/>
                <w:color w:val="auto"/>
              </w:rPr>
            </w:pPr>
          </w:p>
        </w:tc>
        <w:tc>
          <w:tcPr>
            <w:tcW w:w="82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60" w:type="dxa"/>
            <w:vAlign w:val="bottom"/>
            <w:tcBorders>
              <w:right w:val="single" w:sz="8" w:color="F0FFFF"/>
            </w:tcBorders>
            <w:shd w:val="clear" w:color="auto" w:fill="F0FFFF"/>
          </w:tcPr>
          <w:p>
            <w:pPr>
              <w:spacing w:after="0" w:line="20" w:lineRule="exact"/>
              <w:rPr>
                <w:sz w:val="1"/>
                <w:szCs w:val="1"/>
                <w:color w:val="auto"/>
              </w:rPr>
            </w:pPr>
          </w:p>
        </w:tc>
        <w:tc>
          <w:tcPr>
            <w:tcW w:w="440" w:type="dxa"/>
            <w:vAlign w:val="bottom"/>
            <w:shd w:val="clear" w:color="auto" w:fill="F0FFFF"/>
          </w:tcPr>
          <w:p>
            <w:pPr>
              <w:spacing w:after="0" w:line="20" w:lineRule="exact"/>
              <w:rPr>
                <w:sz w:val="1"/>
                <w:szCs w:val="1"/>
                <w:color w:val="auto"/>
              </w:rPr>
            </w:pPr>
          </w:p>
        </w:tc>
        <w:tc>
          <w:tcPr>
            <w:tcW w:w="36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1280" w:type="dxa"/>
            <w:vAlign w:val="bottom"/>
            <w:tcBorders>
              <w:right w:val="single" w:sz="8" w:color="auto"/>
            </w:tcBorders>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420" w:type="dxa"/>
            <w:vAlign w:val="bottom"/>
            <w:tcBorders>
              <w:right w:val="single" w:sz="8" w:color="auto"/>
            </w:tcBorders>
            <w:shd w:val="clear" w:color="auto" w:fill="F0FFFF"/>
          </w:tcPr>
          <w:p>
            <w:pPr>
              <w:spacing w:after="0" w:line="20" w:lineRule="exact"/>
              <w:rPr>
                <w:sz w:val="1"/>
                <w:szCs w:val="1"/>
                <w:color w:val="auto"/>
              </w:rPr>
            </w:pPr>
          </w:p>
        </w:tc>
        <w:tc>
          <w:tcPr>
            <w:tcW w:w="380" w:type="dxa"/>
            <w:vAlign w:val="bottom"/>
            <w:tcBorders>
              <w:left w:val="single" w:sz="8" w:color="auto"/>
            </w:tcBorders>
            <w:gridSpan w:val="2"/>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300" w:type="dxa"/>
            <w:vAlign w:val="bottom"/>
            <w:tcBorders>
              <w:left w:val="single" w:sz="8" w:color="auto"/>
            </w:tcBorders>
            <w:gridSpan w:val="3"/>
            <w:shd w:val="clear" w:color="auto" w:fill="F0FFFF"/>
          </w:tcPr>
          <w:p>
            <w:pPr>
              <w:spacing w:after="0" w:line="20" w:lineRule="exact"/>
              <w:rPr>
                <w:sz w:val="1"/>
                <w:szCs w:val="1"/>
                <w:color w:val="auto"/>
              </w:rPr>
            </w:pPr>
          </w:p>
        </w:tc>
        <w:tc>
          <w:tcPr>
            <w:tcW w:w="160" w:type="dxa"/>
            <w:vAlign w:val="bottom"/>
            <w:gridSpan w:val="2"/>
            <w:shd w:val="clear" w:color="auto" w:fill="F0FFFF"/>
          </w:tcPr>
          <w:p>
            <w:pPr>
              <w:spacing w:after="0" w:line="20" w:lineRule="exact"/>
              <w:rPr>
                <w:sz w:val="1"/>
                <w:szCs w:val="1"/>
                <w:color w:val="auto"/>
              </w:rPr>
            </w:pPr>
          </w:p>
        </w:tc>
        <w:tc>
          <w:tcPr>
            <w:tcW w:w="160" w:type="dxa"/>
            <w:vAlign w:val="bottom"/>
            <w:tcBorders>
              <w:right w:val="single" w:sz="8" w:color="auto"/>
            </w:tcBorders>
            <w:gridSpan w:val="2"/>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 w:type="dxa"/>
            <w:vAlign w:val="bottom"/>
            <w:tcBorders>
              <w:left w:val="single" w:sz="8" w:color="auto"/>
            </w:tcBorders>
            <w:shd w:val="clear" w:color="auto" w:fill="F0FFFF"/>
          </w:tcPr>
          <w:p>
            <w:pPr>
              <w:spacing w:after="0"/>
              <w:rPr>
                <w:sz w:val="11"/>
                <w:szCs w:val="11"/>
                <w:color w:val="auto"/>
              </w:rPr>
            </w:pPr>
          </w:p>
        </w:tc>
        <w:tc>
          <w:tcPr>
            <w:tcW w:w="820" w:type="dxa"/>
            <w:vAlign w:val="bottom"/>
            <w:shd w:val="clear" w:color="auto" w:fill="F0FFFF"/>
          </w:tcPr>
          <w:p>
            <w:pPr>
              <w:spacing w:after="0"/>
              <w:rPr>
                <w:sz w:val="11"/>
                <w:szCs w:val="11"/>
                <w:color w:val="auto"/>
              </w:rPr>
            </w:pPr>
          </w:p>
        </w:tc>
        <w:tc>
          <w:tcPr>
            <w:tcW w:w="220" w:type="dxa"/>
            <w:vAlign w:val="bottom"/>
            <w:tcBorders>
              <w:right w:val="single" w:sz="8" w:color="auto"/>
            </w:tcBorders>
            <w:shd w:val="clear" w:color="auto" w:fill="F0FFFF"/>
          </w:tcPr>
          <w:p>
            <w:pPr>
              <w:spacing w:after="0"/>
              <w:rPr>
                <w:sz w:val="11"/>
                <w:szCs w:val="11"/>
                <w:color w:val="auto"/>
              </w:rPr>
            </w:pPr>
          </w:p>
        </w:tc>
        <w:tc>
          <w:tcPr>
            <w:tcW w:w="26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360" w:type="dxa"/>
            <w:vAlign w:val="bottom"/>
            <w:tcBorders>
              <w:right w:val="single" w:sz="8" w:color="F0FFFF"/>
            </w:tcBorders>
            <w:shd w:val="clear" w:color="auto" w:fill="F0FFFF"/>
          </w:tcPr>
          <w:p>
            <w:pPr>
              <w:spacing w:after="0"/>
              <w:rPr>
                <w:sz w:val="11"/>
                <w:szCs w:val="11"/>
                <w:color w:val="auto"/>
              </w:rPr>
            </w:pPr>
          </w:p>
        </w:tc>
        <w:tc>
          <w:tcPr>
            <w:tcW w:w="440" w:type="dxa"/>
            <w:vAlign w:val="bottom"/>
            <w:shd w:val="clear" w:color="auto" w:fill="F0FFFF"/>
          </w:tcPr>
          <w:p>
            <w:pPr>
              <w:spacing w:after="0"/>
              <w:rPr>
                <w:sz w:val="11"/>
                <w:szCs w:val="11"/>
                <w:color w:val="auto"/>
              </w:rPr>
            </w:pPr>
          </w:p>
        </w:tc>
        <w:tc>
          <w:tcPr>
            <w:tcW w:w="360" w:type="dxa"/>
            <w:vAlign w:val="bottom"/>
            <w:shd w:val="clear" w:color="auto" w:fill="F0FFFF"/>
          </w:tcPr>
          <w:p>
            <w:pPr>
              <w:spacing w:after="0"/>
              <w:rPr>
                <w:sz w:val="11"/>
                <w:szCs w:val="11"/>
                <w:color w:val="auto"/>
              </w:rPr>
            </w:pPr>
          </w:p>
        </w:tc>
        <w:tc>
          <w:tcPr>
            <w:tcW w:w="220" w:type="dxa"/>
            <w:vAlign w:val="bottom"/>
            <w:tcBorders>
              <w:right w:val="single" w:sz="8" w:color="auto"/>
            </w:tcBorders>
            <w:shd w:val="clear" w:color="auto" w:fill="F0FFFF"/>
          </w:tcPr>
          <w:p>
            <w:pPr>
              <w:spacing w:after="0"/>
              <w:rPr>
                <w:sz w:val="11"/>
                <w:szCs w:val="11"/>
                <w:color w:val="auto"/>
              </w:rPr>
            </w:pPr>
          </w:p>
        </w:tc>
        <w:tc>
          <w:tcPr>
            <w:tcW w:w="1280" w:type="dxa"/>
            <w:vAlign w:val="bottom"/>
            <w:tcBorders>
              <w:right w:val="single" w:sz="8" w:color="auto"/>
            </w:tcBorders>
            <w:shd w:val="clear" w:color="auto" w:fill="F0FFFF"/>
          </w:tcPr>
          <w:p>
            <w:pPr>
              <w:spacing w:after="0"/>
              <w:rPr>
                <w:sz w:val="11"/>
                <w:szCs w:val="11"/>
                <w:color w:val="auto"/>
              </w:rPr>
            </w:pPr>
          </w:p>
        </w:tc>
        <w:tc>
          <w:tcPr>
            <w:tcW w:w="160" w:type="dxa"/>
            <w:vAlign w:val="bottom"/>
            <w:tcBorders>
              <w:right w:val="single" w:sz="8" w:color="F0FFFF"/>
            </w:tcBorders>
            <w:shd w:val="clear" w:color="auto" w:fill="F0FFFF"/>
          </w:tcPr>
          <w:p>
            <w:pPr>
              <w:spacing w:after="0"/>
              <w:rPr>
                <w:sz w:val="11"/>
                <w:szCs w:val="11"/>
                <w:color w:val="auto"/>
              </w:rPr>
            </w:pPr>
          </w:p>
        </w:tc>
        <w:tc>
          <w:tcPr>
            <w:tcW w:w="1740" w:type="dxa"/>
            <w:vAlign w:val="bottom"/>
            <w:tcBorders>
              <w:right w:val="single" w:sz="8" w:color="auto"/>
            </w:tcBorders>
            <w:gridSpan w:val="12"/>
            <w:shd w:val="clear" w:color="auto" w:fill="F0FFFF"/>
          </w:tcPr>
          <w:p>
            <w:pPr>
              <w:spacing w:after="0" w:line="129" w:lineRule="exact"/>
              <w:rPr>
                <w:sz w:val="20"/>
                <w:szCs w:val="20"/>
                <w:color w:val="auto"/>
              </w:rPr>
            </w:pPr>
            <w:r>
              <w:rPr>
                <w:rFonts w:ascii="Times New Roman" w:cs="Times New Roman" w:eastAsia="Times New Roman" w:hAnsi="Times New Roman"/>
                <w:sz w:val="13"/>
                <w:szCs w:val="13"/>
                <w:color w:val="auto"/>
              </w:rPr>
              <w:t>prior Contract Anniversary for</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shd w:val="clear" w:color="auto" w:fill="F0FFFF"/>
          </w:tcPr>
          <w:p>
            <w:pPr>
              <w:spacing w:after="0" w:line="20" w:lineRule="exact"/>
              <w:rPr>
                <w:sz w:val="1"/>
                <w:szCs w:val="1"/>
                <w:color w:val="auto"/>
              </w:rPr>
            </w:pPr>
          </w:p>
        </w:tc>
        <w:tc>
          <w:tcPr>
            <w:tcW w:w="82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60" w:type="dxa"/>
            <w:vAlign w:val="bottom"/>
            <w:tcBorders>
              <w:right w:val="single" w:sz="8" w:color="F0FFFF"/>
            </w:tcBorders>
            <w:shd w:val="clear" w:color="auto" w:fill="F0FFFF"/>
          </w:tcPr>
          <w:p>
            <w:pPr>
              <w:spacing w:after="0" w:line="20" w:lineRule="exact"/>
              <w:rPr>
                <w:sz w:val="1"/>
                <w:szCs w:val="1"/>
                <w:color w:val="auto"/>
              </w:rPr>
            </w:pPr>
          </w:p>
        </w:tc>
        <w:tc>
          <w:tcPr>
            <w:tcW w:w="440" w:type="dxa"/>
            <w:vAlign w:val="bottom"/>
            <w:shd w:val="clear" w:color="auto" w:fill="F0FFFF"/>
          </w:tcPr>
          <w:p>
            <w:pPr>
              <w:spacing w:after="0" w:line="20" w:lineRule="exact"/>
              <w:rPr>
                <w:sz w:val="1"/>
                <w:szCs w:val="1"/>
                <w:color w:val="auto"/>
              </w:rPr>
            </w:pPr>
          </w:p>
        </w:tc>
        <w:tc>
          <w:tcPr>
            <w:tcW w:w="36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1280" w:type="dxa"/>
            <w:vAlign w:val="bottom"/>
            <w:tcBorders>
              <w:right w:val="single" w:sz="8" w:color="auto"/>
            </w:tcBorders>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420" w:type="dxa"/>
            <w:vAlign w:val="bottom"/>
            <w:tcBorders>
              <w:right w:val="single" w:sz="8" w:color="auto"/>
            </w:tcBorders>
            <w:shd w:val="clear" w:color="auto" w:fill="F0FFFF"/>
          </w:tcPr>
          <w:p>
            <w:pPr>
              <w:spacing w:after="0" w:line="20" w:lineRule="exact"/>
              <w:rPr>
                <w:sz w:val="1"/>
                <w:szCs w:val="1"/>
                <w:color w:val="auto"/>
              </w:rPr>
            </w:pPr>
          </w:p>
        </w:tc>
        <w:tc>
          <w:tcPr>
            <w:tcW w:w="380" w:type="dxa"/>
            <w:vAlign w:val="bottom"/>
            <w:tcBorders>
              <w:left w:val="single" w:sz="8" w:color="auto"/>
            </w:tcBorders>
            <w:gridSpan w:val="2"/>
            <w:shd w:val="clear" w:color="auto" w:fill="000000"/>
          </w:tcPr>
          <w:p>
            <w:pPr>
              <w:spacing w:after="0" w:line="20" w:lineRule="exact"/>
              <w:rPr>
                <w:sz w:val="1"/>
                <w:szCs w:val="1"/>
                <w:color w:val="auto"/>
              </w:rPr>
            </w:pPr>
          </w:p>
        </w:tc>
        <w:tc>
          <w:tcPr>
            <w:tcW w:w="620" w:type="dxa"/>
            <w:vAlign w:val="bottom"/>
            <w:tcBorders>
              <w:left w:val="single" w:sz="8" w:color="auto"/>
            </w:tcBorders>
            <w:gridSpan w:val="5"/>
            <w:shd w:val="clear" w:color="auto" w:fill="000000"/>
          </w:tcPr>
          <w:p>
            <w:pPr>
              <w:spacing w:after="0" w:line="20" w:lineRule="exact"/>
              <w:rPr>
                <w:sz w:val="1"/>
                <w:szCs w:val="1"/>
                <w:color w:val="auto"/>
              </w:rPr>
            </w:pPr>
          </w:p>
        </w:tc>
        <w:tc>
          <w:tcPr>
            <w:tcW w:w="160" w:type="dxa"/>
            <w:vAlign w:val="bottom"/>
            <w:gridSpan w:val="2"/>
            <w:vMerge w:val="restart"/>
            <w:shd w:val="clear" w:color="auto" w:fill="F0FFFF"/>
          </w:tcPr>
          <w:p>
            <w:pPr>
              <w:spacing w:after="0" w:line="20" w:lineRule="exact"/>
              <w:rPr>
                <w:sz w:val="1"/>
                <w:szCs w:val="1"/>
                <w:color w:val="auto"/>
              </w:rPr>
            </w:pPr>
          </w:p>
        </w:tc>
        <w:tc>
          <w:tcPr>
            <w:tcW w:w="160" w:type="dxa"/>
            <w:vAlign w:val="bottom"/>
            <w:tcBorders>
              <w:right w:val="single" w:sz="8" w:color="auto"/>
            </w:tcBorders>
            <w:gridSpan w:val="2"/>
            <w:vMerge w:val="restart"/>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40" w:type="dxa"/>
            <w:vAlign w:val="bottom"/>
            <w:tcBorders>
              <w:left w:val="single" w:sz="8" w:color="auto"/>
            </w:tcBorders>
            <w:shd w:val="clear" w:color="auto" w:fill="F0FFFF"/>
          </w:tcPr>
          <w:p>
            <w:pPr>
              <w:spacing w:after="0"/>
              <w:rPr>
                <w:sz w:val="10"/>
                <w:szCs w:val="10"/>
                <w:color w:val="auto"/>
              </w:rPr>
            </w:pPr>
          </w:p>
        </w:tc>
        <w:tc>
          <w:tcPr>
            <w:tcW w:w="820" w:type="dxa"/>
            <w:vAlign w:val="bottom"/>
            <w:shd w:val="clear" w:color="auto" w:fill="F0FFFF"/>
          </w:tcPr>
          <w:p>
            <w:pPr>
              <w:spacing w:after="0"/>
              <w:rPr>
                <w:sz w:val="10"/>
                <w:szCs w:val="10"/>
                <w:color w:val="auto"/>
              </w:rPr>
            </w:pPr>
          </w:p>
        </w:tc>
        <w:tc>
          <w:tcPr>
            <w:tcW w:w="220" w:type="dxa"/>
            <w:vAlign w:val="bottom"/>
            <w:tcBorders>
              <w:right w:val="single" w:sz="8" w:color="auto"/>
            </w:tcBorders>
            <w:shd w:val="clear" w:color="auto" w:fill="F0FFFF"/>
          </w:tcPr>
          <w:p>
            <w:pPr>
              <w:spacing w:after="0"/>
              <w:rPr>
                <w:sz w:val="10"/>
                <w:szCs w:val="10"/>
                <w:color w:val="auto"/>
              </w:rPr>
            </w:pPr>
          </w:p>
        </w:tc>
        <w:tc>
          <w:tcPr>
            <w:tcW w:w="260" w:type="dxa"/>
            <w:vAlign w:val="bottom"/>
            <w:shd w:val="clear" w:color="auto" w:fill="F0FFFF"/>
          </w:tcPr>
          <w:p>
            <w:pPr>
              <w:spacing w:after="0"/>
              <w:rPr>
                <w:sz w:val="10"/>
                <w:szCs w:val="10"/>
                <w:color w:val="auto"/>
              </w:rPr>
            </w:pPr>
          </w:p>
        </w:tc>
        <w:tc>
          <w:tcPr>
            <w:tcW w:w="180" w:type="dxa"/>
            <w:vAlign w:val="bottom"/>
            <w:shd w:val="clear" w:color="auto" w:fill="F0FFFF"/>
          </w:tcPr>
          <w:p>
            <w:pPr>
              <w:spacing w:after="0"/>
              <w:rPr>
                <w:sz w:val="10"/>
                <w:szCs w:val="10"/>
                <w:color w:val="auto"/>
              </w:rPr>
            </w:pPr>
          </w:p>
        </w:tc>
        <w:tc>
          <w:tcPr>
            <w:tcW w:w="360" w:type="dxa"/>
            <w:vAlign w:val="bottom"/>
            <w:tcBorders>
              <w:right w:val="single" w:sz="8" w:color="F0FFFF"/>
            </w:tcBorders>
            <w:shd w:val="clear" w:color="auto" w:fill="F0FFFF"/>
          </w:tcPr>
          <w:p>
            <w:pPr>
              <w:spacing w:after="0"/>
              <w:rPr>
                <w:sz w:val="10"/>
                <w:szCs w:val="10"/>
                <w:color w:val="auto"/>
              </w:rPr>
            </w:pPr>
          </w:p>
        </w:tc>
        <w:tc>
          <w:tcPr>
            <w:tcW w:w="440" w:type="dxa"/>
            <w:vAlign w:val="bottom"/>
            <w:shd w:val="clear" w:color="auto" w:fill="F0FFFF"/>
          </w:tcPr>
          <w:p>
            <w:pPr>
              <w:spacing w:after="0"/>
              <w:rPr>
                <w:sz w:val="10"/>
                <w:szCs w:val="10"/>
                <w:color w:val="auto"/>
              </w:rPr>
            </w:pPr>
          </w:p>
        </w:tc>
        <w:tc>
          <w:tcPr>
            <w:tcW w:w="360" w:type="dxa"/>
            <w:vAlign w:val="bottom"/>
            <w:shd w:val="clear" w:color="auto" w:fill="F0FFFF"/>
          </w:tcPr>
          <w:p>
            <w:pPr>
              <w:spacing w:after="0"/>
              <w:rPr>
                <w:sz w:val="10"/>
                <w:szCs w:val="10"/>
                <w:color w:val="auto"/>
              </w:rPr>
            </w:pPr>
          </w:p>
        </w:tc>
        <w:tc>
          <w:tcPr>
            <w:tcW w:w="220" w:type="dxa"/>
            <w:vAlign w:val="bottom"/>
            <w:tcBorders>
              <w:right w:val="single" w:sz="8" w:color="auto"/>
            </w:tcBorders>
            <w:shd w:val="clear" w:color="auto" w:fill="F0FFFF"/>
          </w:tcPr>
          <w:p>
            <w:pPr>
              <w:spacing w:after="0"/>
              <w:rPr>
                <w:sz w:val="10"/>
                <w:szCs w:val="10"/>
                <w:color w:val="auto"/>
              </w:rPr>
            </w:pPr>
          </w:p>
        </w:tc>
        <w:tc>
          <w:tcPr>
            <w:tcW w:w="1280" w:type="dxa"/>
            <w:vAlign w:val="bottom"/>
            <w:tcBorders>
              <w:right w:val="single" w:sz="8" w:color="auto"/>
            </w:tcBorders>
            <w:shd w:val="clear" w:color="auto" w:fill="F0FFFF"/>
          </w:tcPr>
          <w:p>
            <w:pPr>
              <w:spacing w:after="0"/>
              <w:rPr>
                <w:sz w:val="10"/>
                <w:szCs w:val="10"/>
                <w:color w:val="auto"/>
              </w:rPr>
            </w:pPr>
          </w:p>
        </w:tc>
        <w:tc>
          <w:tcPr>
            <w:tcW w:w="160" w:type="dxa"/>
            <w:vAlign w:val="bottom"/>
            <w:tcBorders>
              <w:right w:val="single" w:sz="8" w:color="F0FFFF"/>
            </w:tcBorders>
            <w:shd w:val="clear" w:color="auto" w:fill="F0FFFF"/>
          </w:tcPr>
          <w:p>
            <w:pPr>
              <w:spacing w:after="0"/>
              <w:rPr>
                <w:sz w:val="10"/>
                <w:szCs w:val="10"/>
                <w:color w:val="auto"/>
              </w:rPr>
            </w:pPr>
          </w:p>
        </w:tc>
        <w:tc>
          <w:tcPr>
            <w:tcW w:w="1420" w:type="dxa"/>
            <w:vAlign w:val="bottom"/>
            <w:gridSpan w:val="8"/>
            <w:shd w:val="clear" w:color="auto" w:fill="F0FFFF"/>
          </w:tcPr>
          <w:p>
            <w:pPr>
              <w:spacing w:after="0" w:line="126" w:lineRule="exact"/>
              <w:rPr>
                <w:sz w:val="20"/>
                <w:szCs w:val="20"/>
                <w:color w:val="auto"/>
              </w:rPr>
            </w:pPr>
            <w:r>
              <w:rPr>
                <w:rFonts w:ascii="Times New Roman" w:cs="Times New Roman" w:eastAsia="Times New Roman" w:hAnsi="Times New Roman"/>
                <w:sz w:val="13"/>
                <w:szCs w:val="13"/>
                <w:color w:val="auto"/>
              </w:rPr>
              <w:t>automated processing of</w:t>
            </w:r>
          </w:p>
        </w:tc>
        <w:tc>
          <w:tcPr>
            <w:tcW w:w="160" w:type="dxa"/>
            <w:vAlign w:val="bottom"/>
            <w:gridSpan w:val="2"/>
            <w:vMerge w:val="continue"/>
            <w:shd w:val="clear" w:color="auto" w:fill="F0FFFF"/>
          </w:tcPr>
          <w:p>
            <w:pPr>
              <w:spacing w:after="0"/>
              <w:rPr>
                <w:sz w:val="10"/>
                <w:szCs w:val="10"/>
                <w:color w:val="auto"/>
              </w:rPr>
            </w:pPr>
          </w:p>
        </w:tc>
        <w:tc>
          <w:tcPr>
            <w:tcW w:w="160" w:type="dxa"/>
            <w:vAlign w:val="bottom"/>
            <w:tcBorders>
              <w:right w:val="single" w:sz="8" w:color="auto"/>
            </w:tcBorders>
            <w:gridSpan w:val="2"/>
            <w:vMerge w:val="continue"/>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 w:type="dxa"/>
            <w:vAlign w:val="bottom"/>
            <w:tcBorders>
              <w:left w:val="single" w:sz="8" w:color="auto"/>
            </w:tcBorders>
            <w:shd w:val="clear" w:color="auto" w:fill="F0FFFF"/>
          </w:tcPr>
          <w:p>
            <w:pPr>
              <w:spacing w:after="0"/>
              <w:rPr>
                <w:sz w:val="12"/>
                <w:szCs w:val="12"/>
                <w:color w:val="auto"/>
              </w:rPr>
            </w:pPr>
          </w:p>
        </w:tc>
        <w:tc>
          <w:tcPr>
            <w:tcW w:w="820" w:type="dxa"/>
            <w:vAlign w:val="bottom"/>
            <w:shd w:val="clear" w:color="auto" w:fill="F0FFFF"/>
          </w:tcPr>
          <w:p>
            <w:pPr>
              <w:spacing w:after="0"/>
              <w:rPr>
                <w:sz w:val="12"/>
                <w:szCs w:val="12"/>
                <w:color w:val="auto"/>
              </w:rPr>
            </w:pPr>
          </w:p>
        </w:tc>
        <w:tc>
          <w:tcPr>
            <w:tcW w:w="220" w:type="dxa"/>
            <w:vAlign w:val="bottom"/>
            <w:tcBorders>
              <w:right w:val="single" w:sz="8" w:color="auto"/>
            </w:tcBorders>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360" w:type="dxa"/>
            <w:vAlign w:val="bottom"/>
            <w:tcBorders>
              <w:right w:val="single" w:sz="8" w:color="F0FFFF"/>
            </w:tcBorders>
            <w:shd w:val="clear" w:color="auto" w:fill="F0FFFF"/>
          </w:tcPr>
          <w:p>
            <w:pPr>
              <w:spacing w:after="0"/>
              <w:rPr>
                <w:sz w:val="12"/>
                <w:szCs w:val="12"/>
                <w:color w:val="auto"/>
              </w:rPr>
            </w:pPr>
          </w:p>
        </w:tc>
        <w:tc>
          <w:tcPr>
            <w:tcW w:w="440" w:type="dxa"/>
            <w:vAlign w:val="bottom"/>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220" w:type="dxa"/>
            <w:vAlign w:val="bottom"/>
            <w:tcBorders>
              <w:right w:val="single" w:sz="8" w:color="auto"/>
            </w:tcBorders>
            <w:shd w:val="clear" w:color="auto" w:fill="F0FFFF"/>
          </w:tcPr>
          <w:p>
            <w:pPr>
              <w:spacing w:after="0"/>
              <w:rPr>
                <w:sz w:val="12"/>
                <w:szCs w:val="12"/>
                <w:color w:val="auto"/>
              </w:rPr>
            </w:pPr>
          </w:p>
        </w:tc>
        <w:tc>
          <w:tcPr>
            <w:tcW w:w="1280" w:type="dxa"/>
            <w:vAlign w:val="bottom"/>
            <w:tcBorders>
              <w:right w:val="single" w:sz="8" w:color="auto"/>
            </w:tcBorders>
            <w:shd w:val="clear" w:color="auto" w:fill="F0FFFF"/>
          </w:tcPr>
          <w:p>
            <w:pPr>
              <w:spacing w:after="0"/>
              <w:rPr>
                <w:sz w:val="12"/>
                <w:szCs w:val="12"/>
                <w:color w:val="auto"/>
              </w:rPr>
            </w:pPr>
          </w:p>
        </w:tc>
        <w:tc>
          <w:tcPr>
            <w:tcW w:w="160" w:type="dxa"/>
            <w:vAlign w:val="bottom"/>
            <w:tcBorders>
              <w:right w:val="single" w:sz="8" w:color="F0FFFF"/>
            </w:tcBorders>
            <w:shd w:val="clear" w:color="auto" w:fill="F0FFFF"/>
          </w:tcPr>
          <w:p>
            <w:pPr>
              <w:spacing w:after="0"/>
              <w:rPr>
                <w:sz w:val="12"/>
                <w:szCs w:val="12"/>
                <w:color w:val="auto"/>
              </w:rPr>
            </w:pPr>
          </w:p>
        </w:tc>
        <w:tc>
          <w:tcPr>
            <w:tcW w:w="1740" w:type="dxa"/>
            <w:vAlign w:val="bottom"/>
            <w:tcBorders>
              <w:right w:val="single" w:sz="8" w:color="auto"/>
            </w:tcBorders>
            <w:gridSpan w:val="12"/>
            <w:shd w:val="clear" w:color="auto" w:fill="F0FFFF"/>
          </w:tcPr>
          <w:p>
            <w:pPr>
              <w:spacing w:after="0"/>
              <w:rPr>
                <w:sz w:val="20"/>
                <w:szCs w:val="20"/>
                <w:color w:val="auto"/>
              </w:rPr>
            </w:pPr>
            <w:r>
              <w:rPr>
                <w:rFonts w:ascii="Times New Roman" w:cs="Times New Roman" w:eastAsia="Times New Roman" w:hAnsi="Times New Roman"/>
                <w:sz w:val="13"/>
                <w:szCs w:val="13"/>
                <w:color w:val="auto"/>
              </w:rPr>
              <w:t>amounts withdrawn for</w:t>
            </w:r>
          </w:p>
        </w:tc>
        <w:tc>
          <w:tcPr>
            <w:tcW w:w="0" w:type="dxa"/>
            <w:vAlign w:val="bottom"/>
          </w:tcPr>
          <w:p>
            <w:pPr>
              <w:spacing w:after="0"/>
              <w:rPr>
                <w:sz w:val="1"/>
                <w:szCs w:val="1"/>
                <w:color w:val="auto"/>
              </w:rPr>
            </w:pPr>
          </w:p>
        </w:tc>
      </w:tr>
      <w:tr>
        <w:trPr>
          <w:trHeight w:val="149"/>
        </w:trPr>
        <w:tc>
          <w:tcPr>
            <w:tcW w:w="40" w:type="dxa"/>
            <w:vAlign w:val="bottom"/>
            <w:tcBorders>
              <w:left w:val="single" w:sz="8" w:color="auto"/>
            </w:tcBorders>
            <w:shd w:val="clear" w:color="auto" w:fill="F0FFFF"/>
          </w:tcPr>
          <w:p>
            <w:pPr>
              <w:spacing w:after="0"/>
              <w:rPr>
                <w:sz w:val="12"/>
                <w:szCs w:val="12"/>
                <w:color w:val="auto"/>
              </w:rPr>
            </w:pPr>
          </w:p>
        </w:tc>
        <w:tc>
          <w:tcPr>
            <w:tcW w:w="820" w:type="dxa"/>
            <w:vAlign w:val="bottom"/>
            <w:shd w:val="clear" w:color="auto" w:fill="F0FFFF"/>
          </w:tcPr>
          <w:p>
            <w:pPr>
              <w:spacing w:after="0"/>
              <w:rPr>
                <w:sz w:val="12"/>
                <w:szCs w:val="12"/>
                <w:color w:val="auto"/>
              </w:rPr>
            </w:pPr>
          </w:p>
        </w:tc>
        <w:tc>
          <w:tcPr>
            <w:tcW w:w="220" w:type="dxa"/>
            <w:vAlign w:val="bottom"/>
            <w:tcBorders>
              <w:right w:val="single" w:sz="8" w:color="auto"/>
            </w:tcBorders>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360" w:type="dxa"/>
            <w:vAlign w:val="bottom"/>
            <w:tcBorders>
              <w:right w:val="single" w:sz="8" w:color="F0FFFF"/>
            </w:tcBorders>
            <w:shd w:val="clear" w:color="auto" w:fill="F0FFFF"/>
          </w:tcPr>
          <w:p>
            <w:pPr>
              <w:spacing w:after="0"/>
              <w:rPr>
                <w:sz w:val="12"/>
                <w:szCs w:val="12"/>
                <w:color w:val="auto"/>
              </w:rPr>
            </w:pPr>
          </w:p>
        </w:tc>
        <w:tc>
          <w:tcPr>
            <w:tcW w:w="440" w:type="dxa"/>
            <w:vAlign w:val="bottom"/>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220" w:type="dxa"/>
            <w:vAlign w:val="bottom"/>
            <w:tcBorders>
              <w:right w:val="single" w:sz="8" w:color="auto"/>
            </w:tcBorders>
            <w:shd w:val="clear" w:color="auto" w:fill="F0FFFF"/>
          </w:tcPr>
          <w:p>
            <w:pPr>
              <w:spacing w:after="0"/>
              <w:rPr>
                <w:sz w:val="12"/>
                <w:szCs w:val="12"/>
                <w:color w:val="auto"/>
              </w:rPr>
            </w:pPr>
          </w:p>
        </w:tc>
        <w:tc>
          <w:tcPr>
            <w:tcW w:w="1280" w:type="dxa"/>
            <w:vAlign w:val="bottom"/>
            <w:tcBorders>
              <w:right w:val="single" w:sz="8" w:color="auto"/>
            </w:tcBorders>
            <w:shd w:val="clear" w:color="auto" w:fill="F0FFFF"/>
          </w:tcPr>
          <w:p>
            <w:pPr>
              <w:spacing w:after="0"/>
              <w:rPr>
                <w:sz w:val="12"/>
                <w:szCs w:val="12"/>
                <w:color w:val="auto"/>
              </w:rPr>
            </w:pPr>
          </w:p>
        </w:tc>
        <w:tc>
          <w:tcPr>
            <w:tcW w:w="160" w:type="dxa"/>
            <w:vAlign w:val="bottom"/>
            <w:tcBorders>
              <w:right w:val="single" w:sz="8" w:color="F0FFFF"/>
            </w:tcBorders>
            <w:shd w:val="clear" w:color="auto" w:fill="F0FFFF"/>
          </w:tcPr>
          <w:p>
            <w:pPr>
              <w:spacing w:after="0"/>
              <w:rPr>
                <w:sz w:val="12"/>
                <w:szCs w:val="12"/>
                <w:color w:val="auto"/>
              </w:rPr>
            </w:pPr>
          </w:p>
        </w:tc>
        <w:tc>
          <w:tcPr>
            <w:tcW w:w="1740" w:type="dxa"/>
            <w:vAlign w:val="bottom"/>
            <w:tcBorders>
              <w:right w:val="single" w:sz="8" w:color="auto"/>
            </w:tcBorders>
            <w:gridSpan w:val="12"/>
            <w:shd w:val="clear" w:color="auto" w:fill="F0FFFF"/>
          </w:tcPr>
          <w:p>
            <w:pPr>
              <w:spacing w:after="0"/>
              <w:rPr>
                <w:sz w:val="20"/>
                <w:szCs w:val="20"/>
                <w:color w:val="auto"/>
              </w:rPr>
            </w:pPr>
            <w:r>
              <w:rPr>
                <w:rFonts w:ascii="Times New Roman" w:cs="Times New Roman" w:eastAsia="Times New Roman" w:hAnsi="Times New Roman"/>
                <w:sz w:val="13"/>
                <w:szCs w:val="13"/>
                <w:color w:val="auto"/>
              </w:rPr>
              <w:t>purposes other than RMDs.</w:t>
            </w:r>
          </w:p>
        </w:tc>
        <w:tc>
          <w:tcPr>
            <w:tcW w:w="0" w:type="dxa"/>
            <w:vAlign w:val="bottom"/>
          </w:tcPr>
          <w:p>
            <w:pPr>
              <w:spacing w:after="0"/>
              <w:rPr>
                <w:sz w:val="1"/>
                <w:szCs w:val="1"/>
                <w:color w:val="auto"/>
              </w:rPr>
            </w:pPr>
          </w:p>
        </w:tc>
      </w:tr>
      <w:tr>
        <w:trPr>
          <w:trHeight w:val="139"/>
        </w:trPr>
        <w:tc>
          <w:tcPr>
            <w:tcW w:w="40" w:type="dxa"/>
            <w:vAlign w:val="bottom"/>
            <w:tcBorders>
              <w:left w:val="single" w:sz="8" w:color="auto"/>
            </w:tcBorders>
            <w:shd w:val="clear" w:color="auto" w:fill="F0FFFF"/>
          </w:tcPr>
          <w:p>
            <w:pPr>
              <w:spacing w:after="0"/>
              <w:rPr>
                <w:sz w:val="12"/>
                <w:szCs w:val="12"/>
                <w:color w:val="auto"/>
              </w:rPr>
            </w:pPr>
          </w:p>
        </w:tc>
        <w:tc>
          <w:tcPr>
            <w:tcW w:w="820" w:type="dxa"/>
            <w:vAlign w:val="bottom"/>
            <w:shd w:val="clear" w:color="auto" w:fill="F0FFFF"/>
          </w:tcPr>
          <w:p>
            <w:pPr>
              <w:spacing w:after="0"/>
              <w:rPr>
                <w:sz w:val="12"/>
                <w:szCs w:val="12"/>
                <w:color w:val="auto"/>
              </w:rPr>
            </w:pPr>
          </w:p>
        </w:tc>
        <w:tc>
          <w:tcPr>
            <w:tcW w:w="220" w:type="dxa"/>
            <w:vAlign w:val="bottom"/>
            <w:tcBorders>
              <w:right w:val="single" w:sz="8" w:color="auto"/>
            </w:tcBorders>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360" w:type="dxa"/>
            <w:vAlign w:val="bottom"/>
            <w:tcBorders>
              <w:right w:val="single" w:sz="8" w:color="F0FFFF"/>
            </w:tcBorders>
            <w:shd w:val="clear" w:color="auto" w:fill="F0FFFF"/>
          </w:tcPr>
          <w:p>
            <w:pPr>
              <w:spacing w:after="0"/>
              <w:rPr>
                <w:sz w:val="12"/>
                <w:szCs w:val="12"/>
                <w:color w:val="auto"/>
              </w:rPr>
            </w:pPr>
          </w:p>
        </w:tc>
        <w:tc>
          <w:tcPr>
            <w:tcW w:w="440" w:type="dxa"/>
            <w:vAlign w:val="bottom"/>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220" w:type="dxa"/>
            <w:vAlign w:val="bottom"/>
            <w:tcBorders>
              <w:right w:val="single" w:sz="8" w:color="auto"/>
            </w:tcBorders>
            <w:shd w:val="clear" w:color="auto" w:fill="F0FFFF"/>
          </w:tcPr>
          <w:p>
            <w:pPr>
              <w:spacing w:after="0"/>
              <w:rPr>
                <w:sz w:val="12"/>
                <w:szCs w:val="12"/>
                <w:color w:val="auto"/>
              </w:rPr>
            </w:pPr>
          </w:p>
        </w:tc>
        <w:tc>
          <w:tcPr>
            <w:tcW w:w="1280" w:type="dxa"/>
            <w:vAlign w:val="bottom"/>
            <w:tcBorders>
              <w:right w:val="single" w:sz="8" w:color="auto"/>
            </w:tcBorders>
            <w:shd w:val="clear" w:color="auto" w:fill="F0FFFF"/>
          </w:tcPr>
          <w:p>
            <w:pPr>
              <w:spacing w:after="0"/>
              <w:rPr>
                <w:sz w:val="12"/>
                <w:szCs w:val="12"/>
                <w:color w:val="auto"/>
              </w:rPr>
            </w:pPr>
          </w:p>
        </w:tc>
        <w:tc>
          <w:tcPr>
            <w:tcW w:w="1900" w:type="dxa"/>
            <w:vAlign w:val="bottom"/>
            <w:tcBorders>
              <w:right w:val="single" w:sz="8" w:color="auto"/>
            </w:tcBorders>
            <w:gridSpan w:val="13"/>
            <w:shd w:val="clear" w:color="auto" w:fill="F0FFFF"/>
          </w:tcPr>
          <w:p>
            <w:pPr>
              <w:ind w:left="20"/>
              <w:spacing w:after="0" w:line="139" w:lineRule="exact"/>
              <w:rPr>
                <w:sz w:val="20"/>
                <w:szCs w:val="20"/>
                <w:color w:val="auto"/>
              </w:rPr>
            </w:pPr>
            <w:r>
              <w:rPr>
                <w:rFonts w:ascii="Times New Roman" w:cs="Times New Roman" w:eastAsia="Times New Roman" w:hAnsi="Times New Roman"/>
                <w:sz w:val="13"/>
                <w:szCs w:val="13"/>
                <w:color w:val="auto"/>
              </w:rPr>
              <w:t>● Each payment must be at least</w:t>
            </w:r>
          </w:p>
        </w:tc>
        <w:tc>
          <w:tcPr>
            <w:tcW w:w="0" w:type="dxa"/>
            <w:vAlign w:val="bottom"/>
          </w:tcPr>
          <w:p>
            <w:pPr>
              <w:spacing w:after="0"/>
              <w:rPr>
                <w:sz w:val="1"/>
                <w:szCs w:val="1"/>
                <w:color w:val="auto"/>
              </w:rPr>
            </w:pPr>
          </w:p>
        </w:tc>
      </w:tr>
      <w:tr>
        <w:trPr>
          <w:trHeight w:val="149"/>
        </w:trPr>
        <w:tc>
          <w:tcPr>
            <w:tcW w:w="40" w:type="dxa"/>
            <w:vAlign w:val="bottom"/>
            <w:tcBorders>
              <w:left w:val="single" w:sz="8" w:color="auto"/>
            </w:tcBorders>
            <w:shd w:val="clear" w:color="auto" w:fill="F0FFFF"/>
          </w:tcPr>
          <w:p>
            <w:pPr>
              <w:spacing w:after="0"/>
              <w:rPr>
                <w:sz w:val="12"/>
                <w:szCs w:val="12"/>
                <w:color w:val="auto"/>
              </w:rPr>
            </w:pPr>
          </w:p>
        </w:tc>
        <w:tc>
          <w:tcPr>
            <w:tcW w:w="820" w:type="dxa"/>
            <w:vAlign w:val="bottom"/>
            <w:shd w:val="clear" w:color="auto" w:fill="F0FFFF"/>
          </w:tcPr>
          <w:p>
            <w:pPr>
              <w:spacing w:after="0"/>
              <w:rPr>
                <w:sz w:val="12"/>
                <w:szCs w:val="12"/>
                <w:color w:val="auto"/>
              </w:rPr>
            </w:pPr>
          </w:p>
        </w:tc>
        <w:tc>
          <w:tcPr>
            <w:tcW w:w="220" w:type="dxa"/>
            <w:vAlign w:val="bottom"/>
            <w:tcBorders>
              <w:right w:val="single" w:sz="8" w:color="auto"/>
            </w:tcBorders>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360" w:type="dxa"/>
            <w:vAlign w:val="bottom"/>
            <w:tcBorders>
              <w:right w:val="single" w:sz="8" w:color="F0FFFF"/>
            </w:tcBorders>
            <w:shd w:val="clear" w:color="auto" w:fill="F0FFFF"/>
          </w:tcPr>
          <w:p>
            <w:pPr>
              <w:spacing w:after="0"/>
              <w:rPr>
                <w:sz w:val="12"/>
                <w:szCs w:val="12"/>
                <w:color w:val="auto"/>
              </w:rPr>
            </w:pPr>
          </w:p>
        </w:tc>
        <w:tc>
          <w:tcPr>
            <w:tcW w:w="440" w:type="dxa"/>
            <w:vAlign w:val="bottom"/>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220" w:type="dxa"/>
            <w:vAlign w:val="bottom"/>
            <w:tcBorders>
              <w:right w:val="single" w:sz="8" w:color="auto"/>
            </w:tcBorders>
            <w:shd w:val="clear" w:color="auto" w:fill="F0FFFF"/>
          </w:tcPr>
          <w:p>
            <w:pPr>
              <w:spacing w:after="0"/>
              <w:rPr>
                <w:sz w:val="12"/>
                <w:szCs w:val="12"/>
                <w:color w:val="auto"/>
              </w:rPr>
            </w:pPr>
          </w:p>
        </w:tc>
        <w:tc>
          <w:tcPr>
            <w:tcW w:w="1280" w:type="dxa"/>
            <w:vAlign w:val="bottom"/>
            <w:tcBorders>
              <w:right w:val="single" w:sz="8" w:color="auto"/>
            </w:tcBorders>
            <w:shd w:val="clear" w:color="auto" w:fill="F0FFFF"/>
          </w:tcPr>
          <w:p>
            <w:pPr>
              <w:spacing w:after="0"/>
              <w:rPr>
                <w:sz w:val="12"/>
                <w:szCs w:val="12"/>
                <w:color w:val="auto"/>
              </w:rPr>
            </w:pPr>
          </w:p>
        </w:tc>
        <w:tc>
          <w:tcPr>
            <w:tcW w:w="580" w:type="dxa"/>
            <w:vAlign w:val="bottom"/>
            <w:tcBorders>
              <w:right w:val="single" w:sz="8" w:color="F0FFFF"/>
            </w:tcBorders>
            <w:gridSpan w:val="2"/>
            <w:shd w:val="clear" w:color="auto" w:fill="F0FFFF"/>
          </w:tcPr>
          <w:p>
            <w:pPr>
              <w:ind w:left="140"/>
              <w:spacing w:after="0"/>
              <w:rPr>
                <w:sz w:val="20"/>
                <w:szCs w:val="20"/>
                <w:color w:val="auto"/>
              </w:rPr>
            </w:pPr>
            <w:r>
              <w:rPr>
                <w:rFonts w:ascii="Times New Roman" w:cs="Times New Roman" w:eastAsia="Times New Roman" w:hAnsi="Times New Roman"/>
                <w:sz w:val="13"/>
                <w:szCs w:val="13"/>
                <w:color w:val="auto"/>
              </w:rPr>
              <w:t>$100.</w:t>
            </w:r>
          </w:p>
        </w:tc>
        <w:tc>
          <w:tcPr>
            <w:tcW w:w="300" w:type="dxa"/>
            <w:vAlign w:val="bottom"/>
            <w:tcBorders>
              <w:left w:val="single" w:sz="8" w:color="F0FFFF"/>
              <w:right w:val="single" w:sz="8" w:color="F0FFFF"/>
            </w:tcBorders>
            <w:shd w:val="clear" w:color="auto" w:fill="F0FFFF"/>
          </w:tcPr>
          <w:p>
            <w:pPr>
              <w:spacing w:after="0"/>
              <w:rPr>
                <w:sz w:val="12"/>
                <w:szCs w:val="12"/>
                <w:color w:val="auto"/>
              </w:rPr>
            </w:pPr>
          </w:p>
        </w:tc>
        <w:tc>
          <w:tcPr>
            <w:tcW w:w="80" w:type="dxa"/>
            <w:vAlign w:val="bottom"/>
            <w:tcBorders>
              <w:left w:val="single" w:sz="8" w:color="F0FFFF"/>
            </w:tcBorders>
            <w:shd w:val="clear" w:color="auto" w:fill="F0FFFF"/>
          </w:tcPr>
          <w:p>
            <w:pPr>
              <w:spacing w:after="0"/>
              <w:rPr>
                <w:sz w:val="12"/>
                <w:szCs w:val="12"/>
                <w:color w:val="auto"/>
              </w:rPr>
            </w:pPr>
          </w:p>
        </w:tc>
        <w:tc>
          <w:tcPr>
            <w:tcW w:w="160" w:type="dxa"/>
            <w:vAlign w:val="bottom"/>
            <w:tcBorders>
              <w:left w:val="single" w:sz="8" w:color="F0FFFF"/>
              <w:right w:val="single" w:sz="8" w:color="F0FFFF"/>
            </w:tcBorders>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240" w:type="dxa"/>
            <w:vAlign w:val="bottom"/>
            <w:tcBorders>
              <w:left w:val="single" w:sz="8" w:color="F0FFFF"/>
            </w:tcBorders>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4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Borders>
              <w:left w:val="single" w:sz="8" w:color="auto"/>
            </w:tcBorders>
            <w:shd w:val="clear" w:color="auto" w:fill="F0FFFF"/>
          </w:tcPr>
          <w:p>
            <w:pPr>
              <w:spacing w:after="0"/>
              <w:rPr>
                <w:sz w:val="12"/>
                <w:szCs w:val="12"/>
                <w:color w:val="auto"/>
              </w:rPr>
            </w:pPr>
          </w:p>
        </w:tc>
        <w:tc>
          <w:tcPr>
            <w:tcW w:w="820" w:type="dxa"/>
            <w:vAlign w:val="bottom"/>
            <w:shd w:val="clear" w:color="auto" w:fill="F0FFFF"/>
          </w:tcPr>
          <w:p>
            <w:pPr>
              <w:spacing w:after="0"/>
              <w:rPr>
                <w:sz w:val="12"/>
                <w:szCs w:val="12"/>
                <w:color w:val="auto"/>
              </w:rPr>
            </w:pPr>
          </w:p>
        </w:tc>
        <w:tc>
          <w:tcPr>
            <w:tcW w:w="220" w:type="dxa"/>
            <w:vAlign w:val="bottom"/>
            <w:tcBorders>
              <w:right w:val="single" w:sz="8" w:color="auto"/>
            </w:tcBorders>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360" w:type="dxa"/>
            <w:vAlign w:val="bottom"/>
            <w:tcBorders>
              <w:right w:val="single" w:sz="8" w:color="F0FFFF"/>
            </w:tcBorders>
            <w:shd w:val="clear" w:color="auto" w:fill="F0FFFF"/>
          </w:tcPr>
          <w:p>
            <w:pPr>
              <w:spacing w:after="0"/>
              <w:rPr>
                <w:sz w:val="12"/>
                <w:szCs w:val="12"/>
                <w:color w:val="auto"/>
              </w:rPr>
            </w:pPr>
          </w:p>
        </w:tc>
        <w:tc>
          <w:tcPr>
            <w:tcW w:w="440" w:type="dxa"/>
            <w:vAlign w:val="bottom"/>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220" w:type="dxa"/>
            <w:vAlign w:val="bottom"/>
            <w:tcBorders>
              <w:right w:val="single" w:sz="8" w:color="auto"/>
            </w:tcBorders>
            <w:shd w:val="clear" w:color="auto" w:fill="F0FFFF"/>
          </w:tcPr>
          <w:p>
            <w:pPr>
              <w:spacing w:after="0"/>
              <w:rPr>
                <w:sz w:val="12"/>
                <w:szCs w:val="12"/>
                <w:color w:val="auto"/>
              </w:rPr>
            </w:pPr>
          </w:p>
        </w:tc>
        <w:tc>
          <w:tcPr>
            <w:tcW w:w="1280" w:type="dxa"/>
            <w:vAlign w:val="bottom"/>
            <w:tcBorders>
              <w:right w:val="single" w:sz="8" w:color="auto"/>
            </w:tcBorders>
            <w:shd w:val="clear" w:color="auto" w:fill="F0FFFF"/>
          </w:tcPr>
          <w:p>
            <w:pPr>
              <w:spacing w:after="0"/>
              <w:rPr>
                <w:sz w:val="12"/>
                <w:szCs w:val="12"/>
                <w:color w:val="auto"/>
              </w:rPr>
            </w:pPr>
          </w:p>
        </w:tc>
        <w:tc>
          <w:tcPr>
            <w:tcW w:w="1900" w:type="dxa"/>
            <w:vAlign w:val="bottom"/>
            <w:tcBorders>
              <w:right w:val="single" w:sz="8" w:color="auto"/>
            </w:tcBorders>
            <w:gridSpan w:val="13"/>
            <w:shd w:val="clear" w:color="auto" w:fill="F0FFFF"/>
          </w:tcPr>
          <w:p>
            <w:pPr>
              <w:ind w:left="20"/>
              <w:spacing w:after="0"/>
              <w:rPr>
                <w:sz w:val="20"/>
                <w:szCs w:val="20"/>
                <w:color w:val="auto"/>
              </w:rPr>
            </w:pPr>
            <w:r>
              <w:rPr>
                <w:rFonts w:ascii="Times New Roman" w:cs="Times New Roman" w:eastAsia="Times New Roman" w:hAnsi="Times New Roman"/>
                <w:sz w:val="13"/>
                <w:szCs w:val="13"/>
                <w:color w:val="auto"/>
              </w:rPr>
              <w:t>● A minimum of $500 must be</w:t>
            </w:r>
          </w:p>
        </w:tc>
        <w:tc>
          <w:tcPr>
            <w:tcW w:w="0" w:type="dxa"/>
            <w:vAlign w:val="bottom"/>
          </w:tcPr>
          <w:p>
            <w:pPr>
              <w:spacing w:after="0"/>
              <w:rPr>
                <w:sz w:val="1"/>
                <w:szCs w:val="1"/>
                <w:color w:val="auto"/>
              </w:rPr>
            </w:pPr>
          </w:p>
        </w:tc>
      </w:tr>
      <w:tr>
        <w:trPr>
          <w:trHeight w:val="142"/>
        </w:trPr>
        <w:tc>
          <w:tcPr>
            <w:tcW w:w="40" w:type="dxa"/>
            <w:vAlign w:val="bottom"/>
            <w:tcBorders>
              <w:left w:val="single" w:sz="8" w:color="auto"/>
            </w:tcBorders>
            <w:shd w:val="clear" w:color="auto" w:fill="F0FFFF"/>
          </w:tcPr>
          <w:p>
            <w:pPr>
              <w:spacing w:after="0"/>
              <w:rPr>
                <w:sz w:val="12"/>
                <w:szCs w:val="12"/>
                <w:color w:val="auto"/>
              </w:rPr>
            </w:pPr>
          </w:p>
        </w:tc>
        <w:tc>
          <w:tcPr>
            <w:tcW w:w="820" w:type="dxa"/>
            <w:vAlign w:val="bottom"/>
            <w:shd w:val="clear" w:color="auto" w:fill="F0FFFF"/>
          </w:tcPr>
          <w:p>
            <w:pPr>
              <w:spacing w:after="0"/>
              <w:rPr>
                <w:sz w:val="12"/>
                <w:szCs w:val="12"/>
                <w:color w:val="auto"/>
              </w:rPr>
            </w:pPr>
          </w:p>
        </w:tc>
        <w:tc>
          <w:tcPr>
            <w:tcW w:w="220" w:type="dxa"/>
            <w:vAlign w:val="bottom"/>
            <w:tcBorders>
              <w:right w:val="single" w:sz="8" w:color="auto"/>
            </w:tcBorders>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360" w:type="dxa"/>
            <w:vAlign w:val="bottom"/>
            <w:tcBorders>
              <w:right w:val="single" w:sz="8" w:color="F0FFFF"/>
            </w:tcBorders>
            <w:shd w:val="clear" w:color="auto" w:fill="F0FFFF"/>
          </w:tcPr>
          <w:p>
            <w:pPr>
              <w:spacing w:after="0"/>
              <w:rPr>
                <w:sz w:val="12"/>
                <w:szCs w:val="12"/>
                <w:color w:val="auto"/>
              </w:rPr>
            </w:pPr>
          </w:p>
        </w:tc>
        <w:tc>
          <w:tcPr>
            <w:tcW w:w="440" w:type="dxa"/>
            <w:vAlign w:val="bottom"/>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220" w:type="dxa"/>
            <w:vAlign w:val="bottom"/>
            <w:tcBorders>
              <w:right w:val="single" w:sz="8" w:color="auto"/>
            </w:tcBorders>
            <w:shd w:val="clear" w:color="auto" w:fill="F0FFFF"/>
          </w:tcPr>
          <w:p>
            <w:pPr>
              <w:spacing w:after="0"/>
              <w:rPr>
                <w:sz w:val="12"/>
                <w:szCs w:val="12"/>
                <w:color w:val="auto"/>
              </w:rPr>
            </w:pPr>
          </w:p>
        </w:tc>
        <w:tc>
          <w:tcPr>
            <w:tcW w:w="1280" w:type="dxa"/>
            <w:vAlign w:val="bottom"/>
            <w:tcBorders>
              <w:right w:val="single" w:sz="8" w:color="auto"/>
            </w:tcBorders>
            <w:shd w:val="clear" w:color="auto" w:fill="F0FFFF"/>
          </w:tcPr>
          <w:p>
            <w:pPr>
              <w:spacing w:after="0"/>
              <w:rPr>
                <w:sz w:val="12"/>
                <w:szCs w:val="12"/>
                <w:color w:val="auto"/>
              </w:rPr>
            </w:pPr>
          </w:p>
        </w:tc>
        <w:tc>
          <w:tcPr>
            <w:tcW w:w="160" w:type="dxa"/>
            <w:vAlign w:val="bottom"/>
            <w:tcBorders>
              <w:right w:val="single" w:sz="8" w:color="F0FFFF"/>
            </w:tcBorders>
            <w:shd w:val="clear" w:color="auto" w:fill="F0FFFF"/>
          </w:tcPr>
          <w:p>
            <w:pPr>
              <w:spacing w:after="0"/>
              <w:rPr>
                <w:sz w:val="12"/>
                <w:szCs w:val="12"/>
                <w:color w:val="auto"/>
              </w:rPr>
            </w:pPr>
          </w:p>
        </w:tc>
        <w:tc>
          <w:tcPr>
            <w:tcW w:w="1740" w:type="dxa"/>
            <w:vAlign w:val="bottom"/>
            <w:tcBorders>
              <w:right w:val="single" w:sz="8" w:color="auto"/>
            </w:tcBorders>
            <w:gridSpan w:val="12"/>
            <w:shd w:val="clear" w:color="auto" w:fill="F0FFFF"/>
          </w:tcPr>
          <w:p>
            <w:pPr>
              <w:spacing w:after="0" w:line="142" w:lineRule="exact"/>
              <w:rPr>
                <w:sz w:val="20"/>
                <w:szCs w:val="20"/>
                <w:color w:val="auto"/>
              </w:rPr>
            </w:pPr>
            <w:r>
              <w:rPr>
                <w:rFonts w:ascii="Times New Roman" w:cs="Times New Roman" w:eastAsia="Times New Roman" w:hAnsi="Times New Roman"/>
                <w:sz w:val="13"/>
                <w:szCs w:val="13"/>
                <w:color w:val="auto"/>
              </w:rPr>
              <w:t>distributed each Contract Year.</w:t>
            </w:r>
          </w:p>
        </w:tc>
        <w:tc>
          <w:tcPr>
            <w:tcW w:w="0" w:type="dxa"/>
            <w:vAlign w:val="bottom"/>
          </w:tcPr>
          <w:p>
            <w:pPr>
              <w:spacing w:after="0"/>
              <w:rPr>
                <w:sz w:val="1"/>
                <w:szCs w:val="1"/>
                <w:color w:val="auto"/>
              </w:rPr>
            </w:pPr>
          </w:p>
        </w:tc>
      </w:tr>
      <w:tr>
        <w:trPr>
          <w:trHeight w:val="126"/>
        </w:trPr>
        <w:tc>
          <w:tcPr>
            <w:tcW w:w="40" w:type="dxa"/>
            <w:vAlign w:val="bottom"/>
            <w:tcBorders>
              <w:top w:val="single" w:sz="8" w:color="F0FFFF"/>
              <w:left w:val="single" w:sz="8" w:color="auto"/>
            </w:tcBorders>
            <w:shd w:val="clear" w:color="auto" w:fill="F0FFFF"/>
          </w:tcPr>
          <w:p>
            <w:pPr>
              <w:spacing w:after="0"/>
              <w:rPr>
                <w:sz w:val="10"/>
                <w:szCs w:val="10"/>
                <w:color w:val="auto"/>
              </w:rPr>
            </w:pPr>
          </w:p>
        </w:tc>
        <w:tc>
          <w:tcPr>
            <w:tcW w:w="820" w:type="dxa"/>
            <w:vAlign w:val="bottom"/>
            <w:tcBorders>
              <w:top w:val="single" w:sz="8" w:color="F0FFFF"/>
            </w:tcBorders>
            <w:shd w:val="clear" w:color="auto" w:fill="F0FFFF"/>
          </w:tcPr>
          <w:p>
            <w:pPr>
              <w:spacing w:after="0"/>
              <w:rPr>
                <w:sz w:val="10"/>
                <w:szCs w:val="10"/>
                <w:color w:val="auto"/>
              </w:rPr>
            </w:pPr>
          </w:p>
        </w:tc>
        <w:tc>
          <w:tcPr>
            <w:tcW w:w="220" w:type="dxa"/>
            <w:vAlign w:val="bottom"/>
            <w:tcBorders>
              <w:top w:val="single" w:sz="8" w:color="F0FFFF"/>
              <w:right w:val="single" w:sz="8" w:color="auto"/>
            </w:tcBorders>
            <w:shd w:val="clear" w:color="auto" w:fill="F0FFFF"/>
          </w:tcPr>
          <w:p>
            <w:pPr>
              <w:spacing w:after="0"/>
              <w:rPr>
                <w:sz w:val="10"/>
                <w:szCs w:val="10"/>
                <w:color w:val="auto"/>
              </w:rPr>
            </w:pPr>
          </w:p>
        </w:tc>
        <w:tc>
          <w:tcPr>
            <w:tcW w:w="260" w:type="dxa"/>
            <w:vAlign w:val="bottom"/>
            <w:tcBorders>
              <w:top w:val="single" w:sz="8" w:color="F0FFFF"/>
            </w:tcBorders>
            <w:shd w:val="clear" w:color="auto" w:fill="F0FFFF"/>
          </w:tcPr>
          <w:p>
            <w:pPr>
              <w:spacing w:after="0"/>
              <w:rPr>
                <w:sz w:val="10"/>
                <w:szCs w:val="10"/>
                <w:color w:val="auto"/>
              </w:rPr>
            </w:pPr>
          </w:p>
        </w:tc>
        <w:tc>
          <w:tcPr>
            <w:tcW w:w="180" w:type="dxa"/>
            <w:vAlign w:val="bottom"/>
            <w:tcBorders>
              <w:top w:val="single" w:sz="8" w:color="F0FFFF"/>
            </w:tcBorders>
            <w:shd w:val="clear" w:color="auto" w:fill="F0FFFF"/>
          </w:tcPr>
          <w:p>
            <w:pPr>
              <w:spacing w:after="0"/>
              <w:rPr>
                <w:sz w:val="10"/>
                <w:szCs w:val="10"/>
                <w:color w:val="auto"/>
              </w:rPr>
            </w:pPr>
          </w:p>
        </w:tc>
        <w:tc>
          <w:tcPr>
            <w:tcW w:w="360" w:type="dxa"/>
            <w:vAlign w:val="bottom"/>
            <w:tcBorders>
              <w:top w:val="single" w:sz="8" w:color="F0FFFF"/>
              <w:right w:val="single" w:sz="8" w:color="F0FFFF"/>
            </w:tcBorders>
            <w:shd w:val="clear" w:color="auto" w:fill="F0FFFF"/>
          </w:tcPr>
          <w:p>
            <w:pPr>
              <w:spacing w:after="0"/>
              <w:rPr>
                <w:sz w:val="10"/>
                <w:szCs w:val="10"/>
                <w:color w:val="auto"/>
              </w:rPr>
            </w:pPr>
          </w:p>
        </w:tc>
        <w:tc>
          <w:tcPr>
            <w:tcW w:w="440" w:type="dxa"/>
            <w:vAlign w:val="bottom"/>
            <w:tcBorders>
              <w:top w:val="single" w:sz="8" w:color="F0FFFF"/>
            </w:tcBorders>
            <w:shd w:val="clear" w:color="auto" w:fill="F0FFFF"/>
          </w:tcPr>
          <w:p>
            <w:pPr>
              <w:spacing w:after="0"/>
              <w:rPr>
                <w:sz w:val="10"/>
                <w:szCs w:val="10"/>
                <w:color w:val="auto"/>
              </w:rPr>
            </w:pPr>
          </w:p>
        </w:tc>
        <w:tc>
          <w:tcPr>
            <w:tcW w:w="360" w:type="dxa"/>
            <w:vAlign w:val="bottom"/>
            <w:tcBorders>
              <w:top w:val="single" w:sz="8" w:color="F0FFFF"/>
            </w:tcBorders>
            <w:shd w:val="clear" w:color="auto" w:fill="F0FFFF"/>
          </w:tcPr>
          <w:p>
            <w:pPr>
              <w:spacing w:after="0"/>
              <w:rPr>
                <w:sz w:val="10"/>
                <w:szCs w:val="10"/>
                <w:color w:val="auto"/>
              </w:rPr>
            </w:pPr>
          </w:p>
        </w:tc>
        <w:tc>
          <w:tcPr>
            <w:tcW w:w="220" w:type="dxa"/>
            <w:vAlign w:val="bottom"/>
            <w:tcBorders>
              <w:top w:val="single" w:sz="8" w:color="F0FFFF"/>
              <w:right w:val="single" w:sz="8" w:color="auto"/>
            </w:tcBorders>
            <w:shd w:val="clear" w:color="auto" w:fill="F0FFFF"/>
          </w:tcPr>
          <w:p>
            <w:pPr>
              <w:spacing w:after="0"/>
              <w:rPr>
                <w:sz w:val="10"/>
                <w:szCs w:val="10"/>
                <w:color w:val="auto"/>
              </w:rPr>
            </w:pPr>
          </w:p>
        </w:tc>
        <w:tc>
          <w:tcPr>
            <w:tcW w:w="1280" w:type="dxa"/>
            <w:vAlign w:val="bottom"/>
            <w:tcBorders>
              <w:top w:val="single" w:sz="8" w:color="F0FFFF"/>
              <w:right w:val="single" w:sz="8" w:color="auto"/>
            </w:tcBorders>
            <w:shd w:val="clear" w:color="auto" w:fill="F0FFFF"/>
          </w:tcPr>
          <w:p>
            <w:pPr>
              <w:spacing w:after="0"/>
              <w:rPr>
                <w:sz w:val="10"/>
                <w:szCs w:val="10"/>
                <w:color w:val="auto"/>
              </w:rPr>
            </w:pPr>
          </w:p>
        </w:tc>
        <w:tc>
          <w:tcPr>
            <w:tcW w:w="960" w:type="dxa"/>
            <w:vAlign w:val="bottom"/>
            <w:tcBorders>
              <w:top w:val="single" w:sz="8" w:color="F0FFFF"/>
            </w:tcBorders>
            <w:gridSpan w:val="4"/>
            <w:shd w:val="clear" w:color="auto" w:fill="F0FFFF"/>
          </w:tcPr>
          <w:p>
            <w:pPr>
              <w:ind w:left="20"/>
              <w:spacing w:after="0" w:line="126" w:lineRule="exact"/>
              <w:rPr>
                <w:sz w:val="20"/>
                <w:szCs w:val="20"/>
                <w:color w:val="auto"/>
              </w:rPr>
            </w:pPr>
            <w:r>
              <w:rPr>
                <w:rFonts w:ascii="Times New Roman" w:cs="Times New Roman" w:eastAsia="Times New Roman" w:hAnsi="Times New Roman"/>
                <w:sz w:val="13"/>
                <w:szCs w:val="13"/>
                <w:color w:val="auto"/>
                <w:w w:val="87"/>
              </w:rPr>
              <w:t>● Withdrawals may</w:t>
            </w:r>
          </w:p>
        </w:tc>
        <w:tc>
          <w:tcPr>
            <w:tcW w:w="780" w:type="dxa"/>
            <w:vAlign w:val="bottom"/>
            <w:tcBorders>
              <w:top w:val="single" w:sz="8" w:color="auto"/>
              <w:left w:val="single" w:sz="8" w:color="F0FFFF"/>
            </w:tcBorders>
            <w:gridSpan w:val="7"/>
            <w:shd w:val="clear" w:color="auto" w:fill="F0FFFF"/>
          </w:tcPr>
          <w:p>
            <w:pPr>
              <w:ind w:left="140"/>
              <w:spacing w:after="0" w:line="126" w:lineRule="exact"/>
              <w:rPr>
                <w:sz w:val="20"/>
                <w:szCs w:val="20"/>
                <w:color w:val="auto"/>
              </w:rPr>
            </w:pPr>
            <w:r>
              <w:rPr>
                <w:rFonts w:ascii="Times New Roman" w:cs="Times New Roman" w:eastAsia="Times New Roman" w:hAnsi="Times New Roman"/>
                <w:sz w:val="13"/>
                <w:szCs w:val="13"/>
                <w:color w:val="auto"/>
                <w:w w:val="96"/>
              </w:rPr>
              <w:t>only be on a</w:t>
            </w:r>
          </w:p>
        </w:tc>
        <w:tc>
          <w:tcPr>
            <w:tcW w:w="160" w:type="dxa"/>
            <w:vAlign w:val="bottom"/>
            <w:tcBorders>
              <w:top w:val="single" w:sz="8" w:color="F0FFFF"/>
              <w:right w:val="single" w:sz="8" w:color="auto"/>
            </w:tcBorders>
            <w:gridSpan w:val="2"/>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40" w:type="dxa"/>
            <w:vAlign w:val="bottom"/>
            <w:tcBorders>
              <w:left w:val="single" w:sz="8" w:color="auto"/>
            </w:tcBorders>
            <w:shd w:val="clear" w:color="auto" w:fill="F0FFFF"/>
          </w:tcPr>
          <w:p>
            <w:pPr>
              <w:spacing w:after="0"/>
              <w:rPr>
                <w:sz w:val="12"/>
                <w:szCs w:val="12"/>
                <w:color w:val="auto"/>
              </w:rPr>
            </w:pPr>
          </w:p>
        </w:tc>
        <w:tc>
          <w:tcPr>
            <w:tcW w:w="820" w:type="dxa"/>
            <w:vAlign w:val="bottom"/>
            <w:shd w:val="clear" w:color="auto" w:fill="F0FFFF"/>
          </w:tcPr>
          <w:p>
            <w:pPr>
              <w:spacing w:after="0"/>
              <w:rPr>
                <w:sz w:val="12"/>
                <w:szCs w:val="12"/>
                <w:color w:val="auto"/>
              </w:rPr>
            </w:pPr>
          </w:p>
        </w:tc>
        <w:tc>
          <w:tcPr>
            <w:tcW w:w="220" w:type="dxa"/>
            <w:vAlign w:val="bottom"/>
            <w:tcBorders>
              <w:right w:val="single" w:sz="8" w:color="auto"/>
            </w:tcBorders>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360" w:type="dxa"/>
            <w:vAlign w:val="bottom"/>
            <w:tcBorders>
              <w:right w:val="single" w:sz="8" w:color="F0FFFF"/>
            </w:tcBorders>
            <w:shd w:val="clear" w:color="auto" w:fill="F0FFFF"/>
          </w:tcPr>
          <w:p>
            <w:pPr>
              <w:spacing w:after="0"/>
              <w:rPr>
                <w:sz w:val="12"/>
                <w:szCs w:val="12"/>
                <w:color w:val="auto"/>
              </w:rPr>
            </w:pPr>
          </w:p>
        </w:tc>
        <w:tc>
          <w:tcPr>
            <w:tcW w:w="440" w:type="dxa"/>
            <w:vAlign w:val="bottom"/>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220" w:type="dxa"/>
            <w:vAlign w:val="bottom"/>
            <w:tcBorders>
              <w:right w:val="single" w:sz="8" w:color="auto"/>
            </w:tcBorders>
            <w:shd w:val="clear" w:color="auto" w:fill="F0FFFF"/>
          </w:tcPr>
          <w:p>
            <w:pPr>
              <w:spacing w:after="0"/>
              <w:rPr>
                <w:sz w:val="12"/>
                <w:szCs w:val="12"/>
                <w:color w:val="auto"/>
              </w:rPr>
            </w:pPr>
          </w:p>
        </w:tc>
        <w:tc>
          <w:tcPr>
            <w:tcW w:w="1280" w:type="dxa"/>
            <w:vAlign w:val="bottom"/>
            <w:tcBorders>
              <w:right w:val="single" w:sz="8" w:color="auto"/>
            </w:tcBorders>
            <w:shd w:val="clear" w:color="auto" w:fill="F0FFFF"/>
          </w:tcPr>
          <w:p>
            <w:pPr>
              <w:spacing w:after="0"/>
              <w:rPr>
                <w:sz w:val="12"/>
                <w:szCs w:val="12"/>
                <w:color w:val="auto"/>
              </w:rPr>
            </w:pPr>
          </w:p>
        </w:tc>
        <w:tc>
          <w:tcPr>
            <w:tcW w:w="160" w:type="dxa"/>
            <w:vAlign w:val="bottom"/>
            <w:tcBorders>
              <w:right w:val="single" w:sz="8" w:color="F0FFFF"/>
            </w:tcBorders>
            <w:shd w:val="clear" w:color="auto" w:fill="F0FFFF"/>
          </w:tcPr>
          <w:p>
            <w:pPr>
              <w:spacing w:after="0"/>
              <w:rPr>
                <w:sz w:val="12"/>
                <w:szCs w:val="12"/>
                <w:color w:val="auto"/>
              </w:rPr>
            </w:pPr>
          </w:p>
        </w:tc>
        <w:tc>
          <w:tcPr>
            <w:tcW w:w="1740" w:type="dxa"/>
            <w:vAlign w:val="bottom"/>
            <w:tcBorders>
              <w:right w:val="single" w:sz="8" w:color="auto"/>
            </w:tcBorders>
            <w:gridSpan w:val="12"/>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monthly, quarterly,</w:t>
            </w:r>
          </w:p>
        </w:tc>
        <w:tc>
          <w:tcPr>
            <w:tcW w:w="0" w:type="dxa"/>
            <w:vAlign w:val="bottom"/>
          </w:tcPr>
          <w:p>
            <w:pPr>
              <w:spacing w:after="0"/>
              <w:rPr>
                <w:sz w:val="1"/>
                <w:szCs w:val="1"/>
                <w:color w:val="auto"/>
              </w:rPr>
            </w:pPr>
          </w:p>
        </w:tc>
      </w:tr>
      <w:tr>
        <w:trPr>
          <w:trHeight w:val="172"/>
        </w:trPr>
        <w:tc>
          <w:tcPr>
            <w:tcW w:w="40" w:type="dxa"/>
            <w:vAlign w:val="bottom"/>
            <w:tcBorders>
              <w:left w:val="single" w:sz="8" w:color="auto"/>
            </w:tcBorders>
            <w:shd w:val="clear" w:color="auto" w:fill="F0FFFF"/>
          </w:tcPr>
          <w:p>
            <w:pPr>
              <w:spacing w:after="0"/>
              <w:rPr>
                <w:sz w:val="14"/>
                <w:szCs w:val="14"/>
                <w:color w:val="auto"/>
              </w:rPr>
            </w:pPr>
          </w:p>
        </w:tc>
        <w:tc>
          <w:tcPr>
            <w:tcW w:w="820" w:type="dxa"/>
            <w:vAlign w:val="bottom"/>
            <w:shd w:val="clear" w:color="auto" w:fill="F0FFFF"/>
          </w:tcPr>
          <w:p>
            <w:pPr>
              <w:spacing w:after="0"/>
              <w:rPr>
                <w:sz w:val="14"/>
                <w:szCs w:val="14"/>
                <w:color w:val="auto"/>
              </w:rPr>
            </w:pPr>
          </w:p>
        </w:tc>
        <w:tc>
          <w:tcPr>
            <w:tcW w:w="220" w:type="dxa"/>
            <w:vAlign w:val="bottom"/>
            <w:tcBorders>
              <w:right w:val="single" w:sz="8" w:color="auto"/>
            </w:tcBorders>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360" w:type="dxa"/>
            <w:vAlign w:val="bottom"/>
            <w:tcBorders>
              <w:right w:val="single" w:sz="8" w:color="F0FFFF"/>
            </w:tcBorders>
            <w:shd w:val="clear" w:color="auto" w:fill="F0FFFF"/>
          </w:tcPr>
          <w:p>
            <w:pPr>
              <w:spacing w:after="0"/>
              <w:rPr>
                <w:sz w:val="14"/>
                <w:szCs w:val="14"/>
                <w:color w:val="auto"/>
              </w:rPr>
            </w:pPr>
          </w:p>
        </w:tc>
        <w:tc>
          <w:tcPr>
            <w:tcW w:w="440" w:type="dxa"/>
            <w:vAlign w:val="bottom"/>
            <w:shd w:val="clear" w:color="auto" w:fill="F0FFFF"/>
          </w:tcPr>
          <w:p>
            <w:pPr>
              <w:spacing w:after="0"/>
              <w:rPr>
                <w:sz w:val="14"/>
                <w:szCs w:val="14"/>
                <w:color w:val="auto"/>
              </w:rPr>
            </w:pPr>
          </w:p>
        </w:tc>
        <w:tc>
          <w:tcPr>
            <w:tcW w:w="360" w:type="dxa"/>
            <w:vAlign w:val="bottom"/>
            <w:shd w:val="clear" w:color="auto" w:fill="F0FFFF"/>
          </w:tcPr>
          <w:p>
            <w:pPr>
              <w:spacing w:after="0"/>
              <w:rPr>
                <w:sz w:val="14"/>
                <w:szCs w:val="14"/>
                <w:color w:val="auto"/>
              </w:rPr>
            </w:pPr>
          </w:p>
        </w:tc>
        <w:tc>
          <w:tcPr>
            <w:tcW w:w="220" w:type="dxa"/>
            <w:vAlign w:val="bottom"/>
            <w:tcBorders>
              <w:right w:val="single" w:sz="8" w:color="auto"/>
            </w:tcBorders>
            <w:shd w:val="clear" w:color="auto" w:fill="F0FFFF"/>
          </w:tcPr>
          <w:p>
            <w:pPr>
              <w:spacing w:after="0"/>
              <w:rPr>
                <w:sz w:val="14"/>
                <w:szCs w:val="14"/>
                <w:color w:val="auto"/>
              </w:rPr>
            </w:pPr>
          </w:p>
        </w:tc>
        <w:tc>
          <w:tcPr>
            <w:tcW w:w="1280" w:type="dxa"/>
            <w:vAlign w:val="bottom"/>
            <w:tcBorders>
              <w:right w:val="single" w:sz="8" w:color="auto"/>
            </w:tcBorders>
            <w:shd w:val="clear" w:color="auto" w:fill="F0FFFF"/>
          </w:tcPr>
          <w:p>
            <w:pPr>
              <w:spacing w:after="0"/>
              <w:rPr>
                <w:sz w:val="14"/>
                <w:szCs w:val="14"/>
                <w:color w:val="auto"/>
              </w:rPr>
            </w:pPr>
          </w:p>
        </w:tc>
        <w:tc>
          <w:tcPr>
            <w:tcW w:w="160" w:type="dxa"/>
            <w:vAlign w:val="bottom"/>
            <w:tcBorders>
              <w:right w:val="single" w:sz="8" w:color="F0FFFF"/>
            </w:tcBorders>
            <w:shd w:val="clear" w:color="auto" w:fill="F0FFFF"/>
          </w:tcPr>
          <w:p>
            <w:pPr>
              <w:spacing w:after="0"/>
              <w:rPr>
                <w:sz w:val="14"/>
                <w:szCs w:val="14"/>
                <w:color w:val="auto"/>
              </w:rPr>
            </w:pPr>
          </w:p>
        </w:tc>
        <w:tc>
          <w:tcPr>
            <w:tcW w:w="1740" w:type="dxa"/>
            <w:vAlign w:val="bottom"/>
            <w:tcBorders>
              <w:right w:val="single" w:sz="8" w:color="auto"/>
            </w:tcBorders>
            <w:gridSpan w:val="12"/>
            <w:shd w:val="clear" w:color="auto" w:fill="F0FFFF"/>
          </w:tcPr>
          <w:p>
            <w:pPr>
              <w:spacing w:after="0"/>
              <w:rPr>
                <w:sz w:val="20"/>
                <w:szCs w:val="20"/>
                <w:color w:val="auto"/>
              </w:rPr>
            </w:pPr>
            <w:r>
              <w:rPr>
                <w:rFonts w:ascii="Times New Roman" w:cs="Times New Roman" w:eastAsia="Times New Roman" w:hAnsi="Times New Roman"/>
                <w:sz w:val="13"/>
                <w:szCs w:val="13"/>
                <w:color w:val="auto"/>
              </w:rPr>
              <w:t>semi-annual, or annual basis.</w:t>
            </w:r>
          </w:p>
        </w:tc>
        <w:tc>
          <w:tcPr>
            <w:tcW w:w="0" w:type="dxa"/>
            <w:vAlign w:val="bottom"/>
          </w:tcPr>
          <w:p>
            <w:pPr>
              <w:spacing w:after="0"/>
              <w:rPr>
                <w:sz w:val="1"/>
                <w:szCs w:val="1"/>
                <w:color w:val="auto"/>
              </w:rPr>
            </w:pPr>
          </w:p>
        </w:tc>
      </w:tr>
      <w:tr>
        <w:trPr>
          <w:trHeight w:val="158"/>
        </w:trPr>
        <w:tc>
          <w:tcPr>
            <w:tcW w:w="40" w:type="dxa"/>
            <w:vAlign w:val="bottom"/>
            <w:tcBorders>
              <w:left w:val="single" w:sz="8" w:color="auto"/>
              <w:bottom w:val="single" w:sz="8" w:color="auto"/>
            </w:tcBorders>
            <w:shd w:val="clear" w:color="auto" w:fill="F0FFFF"/>
          </w:tcPr>
          <w:p>
            <w:pPr>
              <w:spacing w:after="0"/>
              <w:rPr>
                <w:sz w:val="13"/>
                <w:szCs w:val="13"/>
                <w:color w:val="auto"/>
              </w:rPr>
            </w:pPr>
          </w:p>
        </w:tc>
        <w:tc>
          <w:tcPr>
            <w:tcW w:w="820" w:type="dxa"/>
            <w:vAlign w:val="bottom"/>
            <w:tcBorders>
              <w:bottom w:val="single" w:sz="8" w:color="auto"/>
            </w:tcBorders>
            <w:shd w:val="clear" w:color="auto" w:fill="F0FFFF"/>
          </w:tcPr>
          <w:p>
            <w:pPr>
              <w:spacing w:after="0"/>
              <w:rPr>
                <w:sz w:val="13"/>
                <w:szCs w:val="13"/>
                <w:color w:val="auto"/>
              </w:rPr>
            </w:pPr>
          </w:p>
        </w:tc>
        <w:tc>
          <w:tcPr>
            <w:tcW w:w="220" w:type="dxa"/>
            <w:vAlign w:val="bottom"/>
            <w:tcBorders>
              <w:bottom w:val="single" w:sz="8" w:color="auto"/>
              <w:right w:val="single" w:sz="8" w:color="auto"/>
            </w:tcBorders>
            <w:shd w:val="clear" w:color="auto" w:fill="F0FFFF"/>
          </w:tcPr>
          <w:p>
            <w:pPr>
              <w:spacing w:after="0"/>
              <w:rPr>
                <w:sz w:val="13"/>
                <w:szCs w:val="13"/>
                <w:color w:val="auto"/>
              </w:rPr>
            </w:pPr>
          </w:p>
        </w:tc>
        <w:tc>
          <w:tcPr>
            <w:tcW w:w="260" w:type="dxa"/>
            <w:vAlign w:val="bottom"/>
            <w:tcBorders>
              <w:bottom w:val="single" w:sz="8" w:color="auto"/>
            </w:tcBorders>
            <w:shd w:val="clear" w:color="auto" w:fill="F0FFFF"/>
          </w:tcPr>
          <w:p>
            <w:pPr>
              <w:spacing w:after="0"/>
              <w:rPr>
                <w:sz w:val="13"/>
                <w:szCs w:val="13"/>
                <w:color w:val="auto"/>
              </w:rPr>
            </w:pPr>
          </w:p>
        </w:tc>
        <w:tc>
          <w:tcPr>
            <w:tcW w:w="180" w:type="dxa"/>
            <w:vAlign w:val="bottom"/>
            <w:tcBorders>
              <w:bottom w:val="single" w:sz="8" w:color="auto"/>
            </w:tcBorders>
            <w:shd w:val="clear" w:color="auto" w:fill="F0FFFF"/>
          </w:tcPr>
          <w:p>
            <w:pPr>
              <w:spacing w:after="0"/>
              <w:rPr>
                <w:sz w:val="13"/>
                <w:szCs w:val="13"/>
                <w:color w:val="auto"/>
              </w:rPr>
            </w:pPr>
          </w:p>
        </w:tc>
        <w:tc>
          <w:tcPr>
            <w:tcW w:w="360" w:type="dxa"/>
            <w:vAlign w:val="bottom"/>
            <w:tcBorders>
              <w:bottom w:val="single" w:sz="8" w:color="auto"/>
              <w:right w:val="single" w:sz="8" w:color="F0FFFF"/>
            </w:tcBorders>
            <w:shd w:val="clear" w:color="auto" w:fill="F0FFFF"/>
          </w:tcPr>
          <w:p>
            <w:pPr>
              <w:spacing w:after="0"/>
              <w:rPr>
                <w:sz w:val="13"/>
                <w:szCs w:val="13"/>
                <w:color w:val="auto"/>
              </w:rPr>
            </w:pPr>
          </w:p>
        </w:tc>
        <w:tc>
          <w:tcPr>
            <w:tcW w:w="440" w:type="dxa"/>
            <w:vAlign w:val="bottom"/>
            <w:tcBorders>
              <w:bottom w:val="single" w:sz="8" w:color="auto"/>
            </w:tcBorders>
            <w:shd w:val="clear" w:color="auto" w:fill="F0FFFF"/>
          </w:tcPr>
          <w:p>
            <w:pPr>
              <w:spacing w:after="0"/>
              <w:rPr>
                <w:sz w:val="13"/>
                <w:szCs w:val="13"/>
                <w:color w:val="auto"/>
              </w:rPr>
            </w:pPr>
          </w:p>
        </w:tc>
        <w:tc>
          <w:tcPr>
            <w:tcW w:w="360" w:type="dxa"/>
            <w:vAlign w:val="bottom"/>
            <w:tcBorders>
              <w:bottom w:val="single" w:sz="8" w:color="auto"/>
            </w:tcBorders>
            <w:shd w:val="clear" w:color="auto" w:fill="F0FFFF"/>
          </w:tcPr>
          <w:p>
            <w:pPr>
              <w:spacing w:after="0"/>
              <w:rPr>
                <w:sz w:val="13"/>
                <w:szCs w:val="13"/>
                <w:color w:val="auto"/>
              </w:rPr>
            </w:pPr>
          </w:p>
        </w:tc>
        <w:tc>
          <w:tcPr>
            <w:tcW w:w="220" w:type="dxa"/>
            <w:vAlign w:val="bottom"/>
            <w:tcBorders>
              <w:bottom w:val="single" w:sz="8" w:color="auto"/>
              <w:right w:val="single" w:sz="8" w:color="auto"/>
            </w:tcBorders>
            <w:shd w:val="clear" w:color="auto" w:fill="F0FFFF"/>
          </w:tcPr>
          <w:p>
            <w:pPr>
              <w:spacing w:after="0"/>
              <w:rPr>
                <w:sz w:val="13"/>
                <w:szCs w:val="13"/>
                <w:color w:val="auto"/>
              </w:rPr>
            </w:pPr>
          </w:p>
        </w:tc>
        <w:tc>
          <w:tcPr>
            <w:tcW w:w="1280" w:type="dxa"/>
            <w:vAlign w:val="bottom"/>
            <w:tcBorders>
              <w:bottom w:val="single" w:sz="8" w:color="auto"/>
              <w:right w:val="single" w:sz="8" w:color="auto"/>
            </w:tcBorders>
            <w:shd w:val="clear" w:color="auto" w:fill="F0FFFF"/>
          </w:tcPr>
          <w:p>
            <w:pPr>
              <w:spacing w:after="0"/>
              <w:rPr>
                <w:sz w:val="13"/>
                <w:szCs w:val="13"/>
                <w:color w:val="auto"/>
              </w:rPr>
            </w:pPr>
          </w:p>
        </w:tc>
        <w:tc>
          <w:tcPr>
            <w:tcW w:w="160" w:type="dxa"/>
            <w:vAlign w:val="bottom"/>
            <w:tcBorders>
              <w:bottom w:val="single" w:sz="8" w:color="auto"/>
              <w:right w:val="single" w:sz="8" w:color="F0FFFF"/>
            </w:tcBorders>
            <w:shd w:val="clear" w:color="auto" w:fill="F0FFFF"/>
          </w:tcPr>
          <w:p>
            <w:pPr>
              <w:spacing w:after="0"/>
              <w:rPr>
                <w:sz w:val="13"/>
                <w:szCs w:val="13"/>
                <w:color w:val="auto"/>
              </w:rPr>
            </w:pPr>
          </w:p>
        </w:tc>
        <w:tc>
          <w:tcPr>
            <w:tcW w:w="420" w:type="dxa"/>
            <w:vAlign w:val="bottom"/>
            <w:tcBorders>
              <w:bottom w:val="single" w:sz="8" w:color="auto"/>
              <w:right w:val="single" w:sz="8" w:color="F0FFFF"/>
            </w:tcBorders>
            <w:shd w:val="clear" w:color="auto" w:fill="F0FFFF"/>
          </w:tcPr>
          <w:p>
            <w:pPr>
              <w:spacing w:after="0"/>
              <w:rPr>
                <w:sz w:val="13"/>
                <w:szCs w:val="13"/>
                <w:color w:val="auto"/>
              </w:rPr>
            </w:pPr>
          </w:p>
        </w:tc>
        <w:tc>
          <w:tcPr>
            <w:tcW w:w="300" w:type="dxa"/>
            <w:vAlign w:val="bottom"/>
            <w:tcBorders>
              <w:left w:val="single" w:sz="8" w:color="F0FFFF"/>
              <w:bottom w:val="single" w:sz="8" w:color="auto"/>
              <w:right w:val="single" w:sz="8" w:color="F0FFFF"/>
            </w:tcBorders>
            <w:shd w:val="clear" w:color="auto" w:fill="F0FFFF"/>
          </w:tcPr>
          <w:p>
            <w:pPr>
              <w:spacing w:after="0"/>
              <w:rPr>
                <w:sz w:val="13"/>
                <w:szCs w:val="13"/>
                <w:color w:val="auto"/>
              </w:rPr>
            </w:pPr>
          </w:p>
        </w:tc>
        <w:tc>
          <w:tcPr>
            <w:tcW w:w="80" w:type="dxa"/>
            <w:vAlign w:val="bottom"/>
            <w:tcBorders>
              <w:left w:val="single" w:sz="8" w:color="F0FFFF"/>
              <w:bottom w:val="single" w:sz="8" w:color="auto"/>
            </w:tcBorders>
            <w:shd w:val="clear" w:color="auto" w:fill="F0FFFF"/>
          </w:tcPr>
          <w:p>
            <w:pPr>
              <w:spacing w:after="0"/>
              <w:rPr>
                <w:sz w:val="13"/>
                <w:szCs w:val="13"/>
                <w:color w:val="auto"/>
              </w:rPr>
            </w:pPr>
          </w:p>
        </w:tc>
        <w:tc>
          <w:tcPr>
            <w:tcW w:w="160" w:type="dxa"/>
            <w:vAlign w:val="bottom"/>
            <w:tcBorders>
              <w:left w:val="single" w:sz="8" w:color="F0FFFF"/>
              <w:bottom w:val="single" w:sz="8" w:color="auto"/>
              <w:right w:val="single" w:sz="8" w:color="F0FFFF"/>
            </w:tcBorders>
            <w:shd w:val="clear" w:color="auto" w:fill="F0FFFF"/>
          </w:tcPr>
          <w:p>
            <w:pPr>
              <w:spacing w:after="0"/>
              <w:rPr>
                <w:sz w:val="13"/>
                <w:szCs w:val="13"/>
                <w:color w:val="auto"/>
              </w:rPr>
            </w:pPr>
          </w:p>
        </w:tc>
        <w:tc>
          <w:tcPr>
            <w:tcW w:w="160" w:type="dxa"/>
            <w:vAlign w:val="bottom"/>
            <w:tcBorders>
              <w:bottom w:val="single" w:sz="8" w:color="auto"/>
            </w:tcBorders>
            <w:shd w:val="clear" w:color="auto" w:fill="F0FFFF"/>
          </w:tcPr>
          <w:p>
            <w:pPr>
              <w:spacing w:after="0"/>
              <w:rPr>
                <w:sz w:val="13"/>
                <w:szCs w:val="13"/>
                <w:color w:val="auto"/>
              </w:rPr>
            </w:pPr>
          </w:p>
        </w:tc>
        <w:tc>
          <w:tcPr>
            <w:tcW w:w="240" w:type="dxa"/>
            <w:vAlign w:val="bottom"/>
            <w:tcBorders>
              <w:left w:val="single" w:sz="8" w:color="F0FFFF"/>
              <w:bottom w:val="single" w:sz="8" w:color="auto"/>
            </w:tcBorders>
            <w:shd w:val="clear" w:color="auto" w:fill="F0FFFF"/>
          </w:tcPr>
          <w:p>
            <w:pPr>
              <w:spacing w:after="0"/>
              <w:rPr>
                <w:sz w:val="13"/>
                <w:szCs w:val="13"/>
                <w:color w:val="auto"/>
              </w:rPr>
            </w:pPr>
          </w:p>
        </w:tc>
        <w:tc>
          <w:tcPr>
            <w:tcW w:w="20" w:type="dxa"/>
            <w:vAlign w:val="bottom"/>
            <w:tcBorders>
              <w:bottom w:val="single" w:sz="8" w:color="auto"/>
            </w:tcBorders>
            <w:shd w:val="clear" w:color="auto" w:fill="F0FFFF"/>
          </w:tcPr>
          <w:p>
            <w:pPr>
              <w:spacing w:after="0"/>
              <w:rPr>
                <w:sz w:val="13"/>
                <w:szCs w:val="13"/>
                <w:color w:val="auto"/>
              </w:rPr>
            </w:pPr>
          </w:p>
        </w:tc>
        <w:tc>
          <w:tcPr>
            <w:tcW w:w="40" w:type="dxa"/>
            <w:vAlign w:val="bottom"/>
            <w:tcBorders>
              <w:bottom w:val="single" w:sz="8" w:color="auto"/>
            </w:tcBorders>
            <w:shd w:val="clear" w:color="auto" w:fill="F0FFFF"/>
          </w:tcPr>
          <w:p>
            <w:pPr>
              <w:spacing w:after="0"/>
              <w:rPr>
                <w:sz w:val="13"/>
                <w:szCs w:val="13"/>
                <w:color w:val="auto"/>
              </w:rPr>
            </w:pPr>
          </w:p>
        </w:tc>
        <w:tc>
          <w:tcPr>
            <w:tcW w:w="20" w:type="dxa"/>
            <w:vAlign w:val="bottom"/>
            <w:tcBorders>
              <w:bottom w:val="single" w:sz="8" w:color="auto"/>
            </w:tcBorders>
            <w:shd w:val="clear" w:color="auto" w:fill="F0FFFF"/>
          </w:tcPr>
          <w:p>
            <w:pPr>
              <w:spacing w:after="0"/>
              <w:rPr>
                <w:sz w:val="13"/>
                <w:szCs w:val="13"/>
                <w:color w:val="auto"/>
              </w:rPr>
            </w:pPr>
          </w:p>
        </w:tc>
        <w:tc>
          <w:tcPr>
            <w:tcW w:w="140" w:type="dxa"/>
            <w:vAlign w:val="bottom"/>
            <w:tcBorders>
              <w:bottom w:val="single" w:sz="8" w:color="auto"/>
            </w:tcBorders>
            <w:shd w:val="clear" w:color="auto" w:fill="F0FFFF"/>
          </w:tcPr>
          <w:p>
            <w:pPr>
              <w:spacing w:after="0"/>
              <w:rPr>
                <w:sz w:val="13"/>
                <w:szCs w:val="13"/>
                <w:color w:val="auto"/>
              </w:rPr>
            </w:pPr>
          </w:p>
        </w:tc>
        <w:tc>
          <w:tcPr>
            <w:tcW w:w="20" w:type="dxa"/>
            <w:vAlign w:val="bottom"/>
            <w:tcBorders>
              <w:bottom w:val="single" w:sz="8" w:color="auto"/>
            </w:tcBorders>
            <w:shd w:val="clear" w:color="auto" w:fill="F0FFFF"/>
          </w:tcPr>
          <w:p>
            <w:pPr>
              <w:spacing w:after="0"/>
              <w:rPr>
                <w:sz w:val="13"/>
                <w:szCs w:val="13"/>
                <w:color w:val="auto"/>
              </w:rPr>
            </w:pPr>
          </w:p>
        </w:tc>
        <w:tc>
          <w:tcPr>
            <w:tcW w:w="140" w:type="dxa"/>
            <w:vAlign w:val="bottom"/>
            <w:tcBorders>
              <w:bottom w:val="single" w:sz="8" w:color="auto"/>
              <w:right w:val="single" w:sz="8" w:color="auto"/>
            </w:tcBorders>
            <w:shd w:val="clear" w:color="auto" w:fill="F0FF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-5123815</wp:posOffset>
            </wp:positionV>
            <wp:extent cx="3842385" cy="2330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842385" cy="23304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-4286250</wp:posOffset>
            </wp:positionV>
            <wp:extent cx="25400"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5400" cy="63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-3341370</wp:posOffset>
            </wp:positionV>
            <wp:extent cx="3842385" cy="15557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842385" cy="1555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color w:val="auto"/>
        </w:rPr>
        <w:t>52</w:t>
      </w:r>
    </w:p>
    <w:p>
      <w:pPr>
        <w:sectPr>
          <w:pgSz w:w="11900" w:h="16838" w:orient="portrait"/>
          <w:cols w:equalWidth="0" w:num="1">
            <w:col w:w="9259"/>
          </w:cols>
          <w:pgMar w:left="1200" w:top="1047" w:right="1440" w:bottom="1440" w:gutter="0" w:footer="0" w:header="0"/>
        </w:sectPr>
      </w:pPr>
    </w:p>
    <w:bookmarkStart w:id="54" w:name="page55"/>
    <w:bookmarkEnd w:id="54"/>
    <w:tbl>
      <w:tblPr>
        <w:tblLayout w:type="fixed"/>
        <w:tblInd w:w="10" w:type="dxa"/>
        <w:tblCellMar>
          <w:top w:w="0" w:type="dxa"/>
          <w:left w:w="0" w:type="dxa"/>
          <w:bottom w:w="0" w:type="dxa"/>
          <w:right w:w="0" w:type="dxa"/>
        </w:tblCellMar>
      </w:tblPr>
      <w:tr>
        <w:trPr>
          <w:trHeight w:val="179"/>
        </w:trPr>
        <w:tc>
          <w:tcPr>
            <w:tcW w:w="520" w:type="dxa"/>
            <w:vAlign w:val="bottom"/>
            <w:tcBorders>
              <w:top w:val="single" w:sz="8" w:color="auto"/>
            </w:tcBorders>
          </w:tcPr>
          <w:p>
            <w:pPr>
              <w:spacing w:after="0"/>
              <w:rPr>
                <w:sz w:val="15"/>
                <w:szCs w:val="15"/>
                <w:color w:val="auto"/>
              </w:rPr>
            </w:pPr>
          </w:p>
        </w:tc>
        <w:tc>
          <w:tcPr>
            <w:tcW w:w="560" w:type="dxa"/>
            <w:vAlign w:val="bottom"/>
            <w:tcBorders>
              <w:top w:val="single" w:sz="8" w:color="auto"/>
              <w:right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right w:val="single" w:sz="8" w:color="auto"/>
            </w:tcBorders>
          </w:tcPr>
          <w:p>
            <w:pPr>
              <w:spacing w:after="0"/>
              <w:rPr>
                <w:sz w:val="15"/>
                <w:szCs w:val="15"/>
                <w:color w:val="auto"/>
              </w:rPr>
            </w:pPr>
          </w:p>
        </w:tc>
        <w:tc>
          <w:tcPr>
            <w:tcW w:w="1460" w:type="dxa"/>
            <w:vAlign w:val="bottom"/>
            <w:tcBorders>
              <w:top w:val="single" w:sz="8" w:color="auto"/>
              <w:right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700" w:type="dxa"/>
            <w:vAlign w:val="bottom"/>
            <w:tcBorders>
              <w:top w:val="single" w:sz="8" w:color="auto"/>
              <w:right w:val="single" w:sz="8" w:color="auto"/>
            </w:tcBorders>
            <w:gridSpan w:val="10"/>
          </w:tcPr>
          <w:p>
            <w:pPr>
              <w:ind w:left="200"/>
              <w:spacing w:after="0"/>
              <w:rPr>
                <w:sz w:val="20"/>
                <w:szCs w:val="20"/>
                <w:color w:val="auto"/>
              </w:rPr>
            </w:pPr>
            <w:r>
              <w:rPr>
                <w:rFonts w:ascii="Times New Roman" w:cs="Times New Roman" w:eastAsia="Times New Roman" w:hAnsi="Times New Roman"/>
                <w:sz w:val="13"/>
                <w:szCs w:val="13"/>
                <w:b w:val="1"/>
                <w:bCs w:val="1"/>
                <w:color w:val="auto"/>
              </w:rPr>
              <w:t>Brief Description of</w:t>
            </w:r>
          </w:p>
        </w:tc>
        <w:tc>
          <w:tcPr>
            <w:tcW w:w="0" w:type="dxa"/>
            <w:vAlign w:val="bottom"/>
          </w:tcPr>
          <w:p>
            <w:pPr>
              <w:spacing w:after="0"/>
              <w:rPr>
                <w:sz w:val="1"/>
                <w:szCs w:val="1"/>
                <w:color w:val="auto"/>
              </w:rPr>
            </w:pPr>
          </w:p>
        </w:tc>
      </w:tr>
      <w:tr>
        <w:trPr>
          <w:trHeight w:val="184"/>
        </w:trPr>
        <w:tc>
          <w:tcPr>
            <w:tcW w:w="10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Name of Benefit</w:t>
            </w:r>
          </w:p>
        </w:tc>
        <w:tc>
          <w:tcPr>
            <w:tcW w:w="440" w:type="dxa"/>
            <w:vAlign w:val="bottom"/>
            <w:tcBorders>
              <w:bottom w:val="single" w:sz="8" w:color="auto"/>
            </w:tcBorders>
          </w:tcPr>
          <w:p>
            <w:pPr>
              <w:spacing w:after="0"/>
              <w:rPr>
                <w:sz w:val="15"/>
                <w:szCs w:val="15"/>
                <w:color w:val="auto"/>
              </w:rPr>
            </w:pPr>
          </w:p>
        </w:tc>
        <w:tc>
          <w:tcPr>
            <w:tcW w:w="1260" w:type="dxa"/>
            <w:vAlign w:val="bottom"/>
            <w:tcBorders>
              <w:bottom w:val="single" w:sz="8" w:color="auto"/>
              <w:right w:val="single" w:sz="8" w:color="auto"/>
            </w:tcBorders>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Purpose</w:t>
            </w:r>
          </w:p>
        </w:tc>
        <w:tc>
          <w:tcPr>
            <w:tcW w:w="146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3"/>
                <w:szCs w:val="13"/>
                <w:b w:val="1"/>
                <w:bCs w:val="1"/>
                <w:color w:val="auto"/>
              </w:rPr>
              <w:t>Maximum Fee</w:t>
            </w:r>
          </w:p>
        </w:tc>
        <w:tc>
          <w:tcPr>
            <w:tcW w:w="140" w:type="dxa"/>
            <w:vAlign w:val="bottom"/>
            <w:tcBorders>
              <w:bottom w:val="single" w:sz="8" w:color="auto"/>
            </w:tcBorders>
          </w:tcPr>
          <w:p>
            <w:pPr>
              <w:spacing w:after="0"/>
              <w:rPr>
                <w:sz w:val="15"/>
                <w:szCs w:val="15"/>
                <w:color w:val="auto"/>
              </w:rPr>
            </w:pPr>
          </w:p>
        </w:tc>
        <w:tc>
          <w:tcPr>
            <w:tcW w:w="1700" w:type="dxa"/>
            <w:vAlign w:val="bottom"/>
            <w:tcBorders>
              <w:bottom w:val="single" w:sz="8" w:color="auto"/>
              <w:right w:val="single" w:sz="8" w:color="auto"/>
            </w:tcBorders>
            <w:gridSpan w:val="10"/>
          </w:tcPr>
          <w:p>
            <w:pPr>
              <w:ind w:left="80"/>
              <w:spacing w:after="0"/>
              <w:rPr>
                <w:sz w:val="20"/>
                <w:szCs w:val="20"/>
                <w:color w:val="auto"/>
              </w:rPr>
            </w:pPr>
            <w:r>
              <w:rPr>
                <w:rFonts w:ascii="Times New Roman" w:cs="Times New Roman" w:eastAsia="Times New Roman" w:hAnsi="Times New Roman"/>
                <w:sz w:val="13"/>
                <w:szCs w:val="13"/>
                <w:b w:val="1"/>
                <w:bCs w:val="1"/>
                <w:color w:val="auto"/>
              </w:rPr>
              <w:t>Restrictions/Limitations</w:t>
            </w:r>
          </w:p>
        </w:tc>
        <w:tc>
          <w:tcPr>
            <w:tcW w:w="0" w:type="dxa"/>
            <w:vAlign w:val="bottom"/>
          </w:tcPr>
          <w:p>
            <w:pPr>
              <w:spacing w:after="0"/>
              <w:rPr>
                <w:sz w:val="1"/>
                <w:szCs w:val="1"/>
                <w:color w:val="auto"/>
              </w:rPr>
            </w:pPr>
          </w:p>
        </w:tc>
      </w:tr>
      <w:tr>
        <w:trPr>
          <w:trHeight w:val="139"/>
        </w:trPr>
        <w:tc>
          <w:tcPr>
            <w:tcW w:w="1080" w:type="dxa"/>
            <w:vAlign w:val="bottom"/>
            <w:tcBorders>
              <w:left w:val="single" w:sz="8" w:color="F0FFFF"/>
              <w:right w:val="single" w:sz="8" w:color="auto"/>
            </w:tcBorders>
            <w:gridSpan w:val="2"/>
            <w:shd w:val="clear" w:color="auto" w:fill="F0FFFF"/>
          </w:tcPr>
          <w:p>
            <w:pPr>
              <w:ind w:left="40"/>
              <w:spacing w:after="0" w:line="139" w:lineRule="exact"/>
              <w:rPr>
                <w:sz w:val="20"/>
                <w:szCs w:val="20"/>
                <w:color w:val="auto"/>
              </w:rPr>
            </w:pPr>
            <w:r>
              <w:rPr>
                <w:rFonts w:ascii="Times New Roman" w:cs="Times New Roman" w:eastAsia="Times New Roman" w:hAnsi="Times New Roman"/>
                <w:sz w:val="13"/>
                <w:szCs w:val="13"/>
                <w:b w:val="1"/>
                <w:bCs w:val="1"/>
                <w:color w:val="auto"/>
              </w:rPr>
              <w:t>Free Withdrawal</w:t>
            </w:r>
          </w:p>
        </w:tc>
        <w:tc>
          <w:tcPr>
            <w:tcW w:w="1700" w:type="dxa"/>
            <w:vAlign w:val="bottom"/>
            <w:tcBorders>
              <w:right w:val="single" w:sz="8" w:color="auto"/>
            </w:tcBorders>
            <w:gridSpan w:val="5"/>
            <w:shd w:val="clear" w:color="auto" w:fill="F0FFFF"/>
          </w:tcPr>
          <w:p>
            <w:pPr>
              <w:ind w:left="20"/>
              <w:spacing w:after="0" w:line="139" w:lineRule="exact"/>
              <w:rPr>
                <w:sz w:val="20"/>
                <w:szCs w:val="20"/>
                <w:color w:val="auto"/>
              </w:rPr>
            </w:pPr>
            <w:r>
              <w:rPr>
                <w:rFonts w:ascii="Times New Roman" w:cs="Times New Roman" w:eastAsia="Times New Roman" w:hAnsi="Times New Roman"/>
                <w:sz w:val="13"/>
                <w:szCs w:val="13"/>
                <w:color w:val="auto"/>
              </w:rPr>
              <w:t>Provides a portion of your</w:t>
            </w:r>
          </w:p>
        </w:tc>
        <w:tc>
          <w:tcPr>
            <w:tcW w:w="1460" w:type="dxa"/>
            <w:vAlign w:val="bottom"/>
            <w:tcBorders>
              <w:right w:val="single" w:sz="8" w:color="auto"/>
            </w:tcBorders>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N/A</w:t>
            </w:r>
          </w:p>
        </w:tc>
        <w:tc>
          <w:tcPr>
            <w:tcW w:w="1840" w:type="dxa"/>
            <w:vAlign w:val="bottom"/>
            <w:tcBorders>
              <w:right w:val="single" w:sz="8" w:color="auto"/>
            </w:tcBorders>
            <w:gridSpan w:val="11"/>
            <w:shd w:val="clear" w:color="auto" w:fill="F0FFFF"/>
          </w:tcPr>
          <w:p>
            <w:pPr>
              <w:ind w:left="20"/>
              <w:spacing w:after="0" w:line="139" w:lineRule="exact"/>
              <w:rPr>
                <w:sz w:val="20"/>
                <w:szCs w:val="20"/>
                <w:color w:val="auto"/>
              </w:rPr>
            </w:pPr>
            <w:r>
              <w:rPr>
                <w:rFonts w:ascii="Times New Roman" w:cs="Times New Roman" w:eastAsia="Times New Roman" w:hAnsi="Times New Roman"/>
                <w:sz w:val="13"/>
                <w:szCs w:val="13"/>
                <w:color w:val="auto"/>
              </w:rPr>
              <w:t>● Only available during the</w:t>
            </w:r>
          </w:p>
        </w:tc>
        <w:tc>
          <w:tcPr>
            <w:tcW w:w="0" w:type="dxa"/>
            <w:vAlign w:val="bottom"/>
          </w:tcPr>
          <w:p>
            <w:pPr>
              <w:spacing w:after="0"/>
              <w:rPr>
                <w:sz w:val="1"/>
                <w:szCs w:val="1"/>
                <w:color w:val="auto"/>
              </w:rPr>
            </w:pPr>
          </w:p>
        </w:tc>
      </w:tr>
      <w:tr>
        <w:trPr>
          <w:trHeight w:val="129"/>
        </w:trPr>
        <w:tc>
          <w:tcPr>
            <w:tcW w:w="520" w:type="dxa"/>
            <w:vAlign w:val="bottom"/>
            <w:tcBorders>
              <w:top w:val="single" w:sz="8" w:color="auto"/>
              <w:left w:val="single" w:sz="8" w:color="F0FFFF"/>
            </w:tcBorders>
            <w:shd w:val="clear" w:color="auto" w:fill="F0FFFF"/>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560" w:type="dxa"/>
            <w:vAlign w:val="bottom"/>
            <w:tcBorders>
              <w:top w:val="single" w:sz="8" w:color="auto"/>
              <w:right w:val="single" w:sz="8" w:color="auto"/>
            </w:tcBorders>
            <w:shd w:val="clear" w:color="auto" w:fill="F0FFFF"/>
          </w:tcPr>
          <w:p>
            <w:pPr>
              <w:spacing w:after="0"/>
              <w:rPr>
                <w:sz w:val="11"/>
                <w:szCs w:val="11"/>
                <w:color w:val="auto"/>
              </w:rPr>
            </w:pPr>
          </w:p>
        </w:tc>
        <w:tc>
          <w:tcPr>
            <w:tcW w:w="1700" w:type="dxa"/>
            <w:vAlign w:val="bottom"/>
            <w:tcBorders>
              <w:top w:val="single" w:sz="8" w:color="F0FFFF"/>
              <w:right w:val="single" w:sz="8" w:color="auto"/>
            </w:tcBorders>
            <w:gridSpan w:val="5"/>
            <w:shd w:val="clear" w:color="auto" w:fill="F0FFFF"/>
          </w:tcPr>
          <w:p>
            <w:pPr>
              <w:ind w:left="20"/>
              <w:spacing w:after="0" w:line="129" w:lineRule="exact"/>
              <w:rPr>
                <w:sz w:val="20"/>
                <w:szCs w:val="20"/>
                <w:color w:val="auto"/>
              </w:rPr>
            </w:pPr>
            <w:r>
              <w:rPr>
                <w:rFonts w:ascii="Times New Roman" w:cs="Times New Roman" w:eastAsia="Times New Roman" w:hAnsi="Times New Roman"/>
                <w:sz w:val="13"/>
                <w:szCs w:val="13"/>
                <w:color w:val="auto"/>
              </w:rPr>
              <w:t>Account Value that may be</w:t>
            </w:r>
          </w:p>
        </w:tc>
        <w:tc>
          <w:tcPr>
            <w:tcW w:w="1460" w:type="dxa"/>
            <w:vAlign w:val="bottom"/>
            <w:tcBorders>
              <w:top w:val="single" w:sz="8" w:color="F0FFFF"/>
              <w:right w:val="single" w:sz="8" w:color="auto"/>
            </w:tcBorders>
            <w:shd w:val="clear" w:color="auto" w:fill="F0FFFF"/>
          </w:tcPr>
          <w:p>
            <w:pPr>
              <w:spacing w:after="0"/>
              <w:rPr>
                <w:sz w:val="11"/>
                <w:szCs w:val="11"/>
                <w:color w:val="auto"/>
              </w:rPr>
            </w:pPr>
          </w:p>
        </w:tc>
        <w:tc>
          <w:tcPr>
            <w:tcW w:w="140" w:type="dxa"/>
            <w:vAlign w:val="bottom"/>
            <w:tcBorders>
              <w:top w:val="single" w:sz="8" w:color="F0FFFF"/>
            </w:tcBorders>
            <w:shd w:val="clear" w:color="auto" w:fill="F0FFFF"/>
          </w:tcPr>
          <w:p>
            <w:pPr>
              <w:spacing w:after="0"/>
              <w:rPr>
                <w:sz w:val="11"/>
                <w:szCs w:val="11"/>
                <w:color w:val="auto"/>
              </w:rPr>
            </w:pPr>
          </w:p>
        </w:tc>
        <w:tc>
          <w:tcPr>
            <w:tcW w:w="1700" w:type="dxa"/>
            <w:vAlign w:val="bottom"/>
            <w:tcBorders>
              <w:top w:val="single" w:sz="8" w:color="F0FFFF"/>
              <w:right w:val="single" w:sz="8" w:color="auto"/>
            </w:tcBorders>
            <w:gridSpan w:val="10"/>
            <w:shd w:val="clear" w:color="auto" w:fill="F0FFFF"/>
          </w:tcPr>
          <w:p>
            <w:pPr>
              <w:spacing w:after="0" w:line="129" w:lineRule="exact"/>
              <w:rPr>
                <w:sz w:val="20"/>
                <w:szCs w:val="20"/>
                <w:color w:val="auto"/>
              </w:rPr>
            </w:pPr>
            <w:r>
              <w:rPr>
                <w:rFonts w:ascii="Times New Roman" w:cs="Times New Roman" w:eastAsia="Times New Roman" w:hAnsi="Times New Roman"/>
                <w:sz w:val="13"/>
                <w:szCs w:val="13"/>
                <w:color w:val="auto"/>
              </w:rPr>
              <w:t>Accumulation Period.</w:t>
            </w:r>
          </w:p>
        </w:tc>
        <w:tc>
          <w:tcPr>
            <w:tcW w:w="0" w:type="dxa"/>
            <w:vAlign w:val="bottom"/>
          </w:tcPr>
          <w:p>
            <w:pPr>
              <w:spacing w:after="0"/>
              <w:rPr>
                <w:sz w:val="1"/>
                <w:szCs w:val="1"/>
                <w:color w:val="auto"/>
              </w:rPr>
            </w:pPr>
          </w:p>
        </w:tc>
      </w:tr>
      <w:tr>
        <w:trPr>
          <w:trHeight w:val="20"/>
        </w:trPr>
        <w:tc>
          <w:tcPr>
            <w:tcW w:w="520" w:type="dxa"/>
            <w:vAlign w:val="bottom"/>
            <w:tcBorders>
              <w:left w:val="single" w:sz="8" w:color="F0FFFF"/>
            </w:tcBorders>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F0FF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F0FFFF"/>
          </w:tcPr>
          <w:p>
            <w:pPr>
              <w:spacing w:after="0" w:line="20" w:lineRule="exact"/>
              <w:rPr>
                <w:sz w:val="1"/>
                <w:szCs w:val="1"/>
                <w:color w:val="auto"/>
              </w:rPr>
            </w:pPr>
          </w:p>
        </w:tc>
        <w:tc>
          <w:tcPr>
            <w:tcW w:w="820" w:type="dxa"/>
            <w:vAlign w:val="bottom"/>
            <w:tcBorders>
              <w:right w:val="single" w:sz="8" w:color="auto"/>
            </w:tcBorders>
            <w:gridSpan w:val="2"/>
            <w:vMerge w:val="restart"/>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Contract Year</w:t>
            </w:r>
          </w:p>
        </w:tc>
        <w:tc>
          <w:tcPr>
            <w:tcW w:w="1460" w:type="dxa"/>
            <w:vAlign w:val="bottom"/>
            <w:tcBorders>
              <w:right w:val="single" w:sz="8" w:color="auto"/>
            </w:tcBorders>
            <w:shd w:val="clear" w:color="auto" w:fill="F0FFFF"/>
          </w:tcPr>
          <w:p>
            <w:pPr>
              <w:spacing w:after="0" w:line="20" w:lineRule="exact"/>
              <w:rPr>
                <w:sz w:val="1"/>
                <w:szCs w:val="1"/>
                <w:color w:val="auto"/>
              </w:rPr>
            </w:pPr>
          </w:p>
        </w:tc>
        <w:tc>
          <w:tcPr>
            <w:tcW w:w="140" w:type="dxa"/>
            <w:vAlign w:val="bottom"/>
            <w:vMerge w:val="restart"/>
            <w:shd w:val="clear" w:color="auto" w:fill="F0FFFF"/>
          </w:tcPr>
          <w:p>
            <w:pPr>
              <w:ind w:left="20"/>
              <w:spacing w:after="0" w:line="139"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F0FFFF"/>
            </w:tcBorders>
            <w:shd w:val="clear" w:color="auto" w:fill="000000"/>
          </w:tcPr>
          <w:p>
            <w:pPr>
              <w:spacing w:after="0" w:line="20" w:lineRule="exact"/>
              <w:rPr>
                <w:sz w:val="1"/>
                <w:szCs w:val="1"/>
                <w:color w:val="auto"/>
              </w:rPr>
            </w:pPr>
          </w:p>
        </w:tc>
        <w:tc>
          <w:tcPr>
            <w:tcW w:w="100" w:type="dxa"/>
            <w:vAlign w:val="bottom"/>
            <w:tcBorders>
              <w:left w:val="single" w:sz="8" w:color="F0FFFF"/>
            </w:tcBorders>
            <w:shd w:val="clear" w:color="auto" w:fill="F0FFFF"/>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20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520" w:type="dxa"/>
            <w:vAlign w:val="bottom"/>
            <w:tcBorders>
              <w:left w:val="single" w:sz="8" w:color="F0FFFF"/>
            </w:tcBorders>
            <w:shd w:val="clear" w:color="auto" w:fill="F0FFFF"/>
          </w:tcPr>
          <w:p>
            <w:pPr>
              <w:spacing w:after="0"/>
              <w:rPr>
                <w:sz w:val="10"/>
                <w:szCs w:val="10"/>
                <w:color w:val="auto"/>
              </w:rPr>
            </w:pPr>
          </w:p>
        </w:tc>
        <w:tc>
          <w:tcPr>
            <w:tcW w:w="560" w:type="dxa"/>
            <w:vAlign w:val="bottom"/>
            <w:tcBorders>
              <w:right w:val="single" w:sz="8" w:color="auto"/>
            </w:tcBorders>
            <w:shd w:val="clear" w:color="auto" w:fill="F0FFFF"/>
          </w:tcPr>
          <w:p>
            <w:pPr>
              <w:spacing w:after="0"/>
              <w:rPr>
                <w:sz w:val="10"/>
                <w:szCs w:val="10"/>
                <w:color w:val="auto"/>
              </w:rPr>
            </w:pPr>
          </w:p>
        </w:tc>
        <w:tc>
          <w:tcPr>
            <w:tcW w:w="800" w:type="dxa"/>
            <w:vAlign w:val="bottom"/>
            <w:gridSpan w:val="2"/>
            <w:shd w:val="clear" w:color="auto" w:fill="F0FFFF"/>
          </w:tcPr>
          <w:p>
            <w:pPr>
              <w:ind w:left="20"/>
              <w:spacing w:after="0" w:line="119" w:lineRule="exact"/>
              <w:rPr>
                <w:sz w:val="20"/>
                <w:szCs w:val="20"/>
                <w:color w:val="auto"/>
              </w:rPr>
            </w:pPr>
            <w:r>
              <w:rPr>
                <w:rFonts w:ascii="Times New Roman" w:cs="Times New Roman" w:eastAsia="Times New Roman" w:hAnsi="Times New Roman"/>
                <w:sz w:val="13"/>
                <w:szCs w:val="13"/>
                <w:color w:val="auto"/>
                <w:w w:val="91"/>
              </w:rPr>
              <w:t>withdrawn each</w:t>
            </w:r>
          </w:p>
        </w:tc>
        <w:tc>
          <w:tcPr>
            <w:tcW w:w="80" w:type="dxa"/>
            <w:vAlign w:val="bottom"/>
            <w:vMerge w:val="continue"/>
            <w:shd w:val="clear" w:color="auto" w:fill="F0FFFF"/>
          </w:tcPr>
          <w:p>
            <w:pPr>
              <w:spacing w:after="0"/>
              <w:rPr>
                <w:sz w:val="10"/>
                <w:szCs w:val="10"/>
                <w:color w:val="auto"/>
              </w:rPr>
            </w:pPr>
          </w:p>
        </w:tc>
        <w:tc>
          <w:tcPr>
            <w:tcW w:w="820" w:type="dxa"/>
            <w:vAlign w:val="bottom"/>
            <w:tcBorders>
              <w:right w:val="single" w:sz="8" w:color="auto"/>
            </w:tcBorders>
            <w:gridSpan w:val="2"/>
            <w:vMerge w:val="continue"/>
            <w:shd w:val="clear" w:color="auto" w:fill="F0FFFF"/>
          </w:tcPr>
          <w:p>
            <w:pPr>
              <w:spacing w:after="0"/>
              <w:rPr>
                <w:sz w:val="10"/>
                <w:szCs w:val="10"/>
                <w:color w:val="auto"/>
              </w:rPr>
            </w:pPr>
          </w:p>
        </w:tc>
        <w:tc>
          <w:tcPr>
            <w:tcW w:w="1460" w:type="dxa"/>
            <w:vAlign w:val="bottom"/>
            <w:tcBorders>
              <w:right w:val="single" w:sz="8" w:color="auto"/>
            </w:tcBorders>
            <w:shd w:val="clear" w:color="auto" w:fill="F0FFFF"/>
          </w:tcPr>
          <w:p>
            <w:pPr>
              <w:spacing w:after="0"/>
              <w:rPr>
                <w:sz w:val="10"/>
                <w:szCs w:val="10"/>
                <w:color w:val="auto"/>
              </w:rPr>
            </w:pPr>
          </w:p>
        </w:tc>
        <w:tc>
          <w:tcPr>
            <w:tcW w:w="140" w:type="dxa"/>
            <w:vAlign w:val="bottom"/>
            <w:vMerge w:val="continue"/>
            <w:shd w:val="clear" w:color="auto" w:fill="F0FFFF"/>
          </w:tcPr>
          <w:p>
            <w:pPr>
              <w:spacing w:after="0"/>
              <w:rPr>
                <w:sz w:val="10"/>
                <w:szCs w:val="10"/>
                <w:color w:val="auto"/>
              </w:rPr>
            </w:pPr>
          </w:p>
        </w:tc>
        <w:tc>
          <w:tcPr>
            <w:tcW w:w="1700" w:type="dxa"/>
            <w:vAlign w:val="bottom"/>
            <w:tcBorders>
              <w:right w:val="single" w:sz="8" w:color="auto"/>
            </w:tcBorders>
            <w:gridSpan w:val="10"/>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auto"/>
              </w:rPr>
              <w:t>Withdrawals of the Free</w:t>
            </w:r>
          </w:p>
        </w:tc>
        <w:tc>
          <w:tcPr>
            <w:tcW w:w="0" w:type="dxa"/>
            <w:vAlign w:val="bottom"/>
          </w:tcPr>
          <w:p>
            <w:pPr>
              <w:spacing w:after="0"/>
              <w:rPr>
                <w:sz w:val="1"/>
                <w:szCs w:val="1"/>
                <w:color w:val="auto"/>
              </w:rPr>
            </w:pPr>
          </w:p>
        </w:tc>
      </w:tr>
      <w:tr>
        <w:trPr>
          <w:trHeight w:val="20"/>
        </w:trPr>
        <w:tc>
          <w:tcPr>
            <w:tcW w:w="520" w:type="dxa"/>
            <w:vAlign w:val="bottom"/>
            <w:tcBorders>
              <w:left w:val="single" w:sz="8" w:color="F0FFFF"/>
            </w:tcBorders>
            <w:shd w:val="clear" w:color="auto" w:fill="F0FFFF"/>
          </w:tcPr>
          <w:p>
            <w:pPr>
              <w:spacing w:after="0" w:line="20" w:lineRule="exact"/>
              <w:rPr>
                <w:sz w:val="1"/>
                <w:szCs w:val="1"/>
                <w:color w:val="auto"/>
              </w:rPr>
            </w:pPr>
          </w:p>
        </w:tc>
        <w:tc>
          <w:tcPr>
            <w:tcW w:w="560" w:type="dxa"/>
            <w:vAlign w:val="bottom"/>
            <w:tcBorders>
              <w:right w:val="single" w:sz="8" w:color="auto"/>
            </w:tcBorders>
            <w:shd w:val="clear" w:color="auto" w:fill="F0FFFF"/>
          </w:tcPr>
          <w:p>
            <w:pPr>
              <w:spacing w:after="0" w:line="20" w:lineRule="exact"/>
              <w:rPr>
                <w:sz w:val="1"/>
                <w:szCs w:val="1"/>
                <w:color w:val="auto"/>
              </w:rPr>
            </w:pPr>
          </w:p>
        </w:tc>
        <w:tc>
          <w:tcPr>
            <w:tcW w:w="880" w:type="dxa"/>
            <w:vAlign w:val="bottom"/>
            <w:gridSpan w:val="3"/>
            <w:vMerge w:val="restart"/>
            <w:shd w:val="clear" w:color="auto" w:fill="F0FFFF"/>
          </w:tcPr>
          <w:p>
            <w:pPr>
              <w:ind w:left="20"/>
              <w:spacing w:after="0"/>
              <w:rPr>
                <w:sz w:val="20"/>
                <w:szCs w:val="20"/>
                <w:color w:val="auto"/>
              </w:rPr>
            </w:pPr>
            <w:r>
              <w:rPr>
                <w:rFonts w:ascii="Times New Roman" w:cs="Times New Roman" w:eastAsia="Times New Roman" w:hAnsi="Times New Roman"/>
                <w:sz w:val="13"/>
                <w:szCs w:val="13"/>
                <w:color w:val="auto"/>
                <w:w w:val="92"/>
              </w:rPr>
              <w:t>without incurring</w:t>
            </w:r>
          </w:p>
        </w:tc>
        <w:tc>
          <w:tcPr>
            <w:tcW w:w="8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460" w:type="dxa"/>
            <w:vAlign w:val="bottom"/>
            <w:tcBorders>
              <w:right w:val="single" w:sz="8" w:color="auto"/>
            </w:tcBorders>
            <w:shd w:val="clear" w:color="auto" w:fill="F0FFFF"/>
          </w:tcPr>
          <w:p>
            <w:pPr>
              <w:spacing w:after="0" w:line="20" w:lineRule="exact"/>
              <w:rPr>
                <w:sz w:val="1"/>
                <w:szCs w:val="1"/>
                <w:color w:val="auto"/>
              </w:rPr>
            </w:pPr>
          </w:p>
        </w:tc>
        <w:tc>
          <w:tcPr>
            <w:tcW w:w="140" w:type="dxa"/>
            <w:vAlign w:val="bottom"/>
            <w:vMerge w:val="restart"/>
            <w:shd w:val="clear" w:color="auto" w:fill="F0FFFF"/>
          </w:tcPr>
          <w:p>
            <w:pPr>
              <w:spacing w:after="0" w:line="20" w:lineRule="exact"/>
              <w:rPr>
                <w:sz w:val="1"/>
                <w:szCs w:val="1"/>
                <w:color w:val="auto"/>
              </w:rPr>
            </w:pPr>
          </w:p>
        </w:tc>
        <w:tc>
          <w:tcPr>
            <w:tcW w:w="1020" w:type="dxa"/>
            <w:vAlign w:val="bottom"/>
            <w:gridSpan w:val="5"/>
            <w:vMerge w:val="restart"/>
            <w:shd w:val="clear" w:color="auto" w:fill="F0FFFF"/>
          </w:tcPr>
          <w:p>
            <w:pPr>
              <w:spacing w:after="0"/>
              <w:rPr>
                <w:sz w:val="20"/>
                <w:szCs w:val="20"/>
                <w:color w:val="auto"/>
              </w:rPr>
            </w:pPr>
            <w:r>
              <w:rPr>
                <w:rFonts w:ascii="Times New Roman" w:cs="Times New Roman" w:eastAsia="Times New Roman" w:hAnsi="Times New Roman"/>
                <w:sz w:val="13"/>
                <w:szCs w:val="13"/>
                <w:color w:val="auto"/>
                <w:w w:val="91"/>
              </w:rPr>
              <w:t>Withdrawal Amount</w:t>
            </w: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20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20" w:type="dxa"/>
            <w:vAlign w:val="bottom"/>
            <w:tcBorders>
              <w:left w:val="single" w:sz="8" w:color="F0FFFF"/>
            </w:tcBorders>
            <w:shd w:val="clear" w:color="auto" w:fill="F0FFFF"/>
          </w:tcPr>
          <w:p>
            <w:pPr>
              <w:spacing w:after="0"/>
              <w:rPr>
                <w:sz w:val="11"/>
                <w:szCs w:val="11"/>
                <w:color w:val="auto"/>
              </w:rPr>
            </w:pPr>
          </w:p>
        </w:tc>
        <w:tc>
          <w:tcPr>
            <w:tcW w:w="560" w:type="dxa"/>
            <w:vAlign w:val="bottom"/>
            <w:tcBorders>
              <w:right w:val="single" w:sz="8" w:color="auto"/>
            </w:tcBorders>
            <w:shd w:val="clear" w:color="auto" w:fill="F0FFFF"/>
          </w:tcPr>
          <w:p>
            <w:pPr>
              <w:spacing w:after="0"/>
              <w:rPr>
                <w:sz w:val="11"/>
                <w:szCs w:val="11"/>
                <w:color w:val="auto"/>
              </w:rPr>
            </w:pPr>
          </w:p>
        </w:tc>
        <w:tc>
          <w:tcPr>
            <w:tcW w:w="880" w:type="dxa"/>
            <w:vAlign w:val="bottom"/>
            <w:gridSpan w:val="3"/>
            <w:vMerge w:val="continue"/>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40" w:type="dxa"/>
            <w:vAlign w:val="bottom"/>
            <w:tcBorders>
              <w:right w:val="single" w:sz="8" w:color="auto"/>
            </w:tcBorders>
            <w:shd w:val="clear" w:color="auto" w:fill="F0FFFF"/>
          </w:tcPr>
          <w:p>
            <w:pPr>
              <w:spacing w:after="0" w:line="129" w:lineRule="exact"/>
              <w:rPr>
                <w:sz w:val="20"/>
                <w:szCs w:val="20"/>
                <w:color w:val="auto"/>
              </w:rPr>
            </w:pPr>
            <w:r>
              <w:rPr>
                <w:rFonts w:ascii="Times New Roman" w:cs="Times New Roman" w:eastAsia="Times New Roman" w:hAnsi="Times New Roman"/>
                <w:sz w:val="13"/>
                <w:szCs w:val="13"/>
                <w:color w:val="auto"/>
              </w:rPr>
              <w:t>Withdrawal</w:t>
            </w:r>
          </w:p>
        </w:tc>
        <w:tc>
          <w:tcPr>
            <w:tcW w:w="1460" w:type="dxa"/>
            <w:vAlign w:val="bottom"/>
            <w:tcBorders>
              <w:right w:val="single" w:sz="8" w:color="auto"/>
            </w:tcBorders>
            <w:shd w:val="clear" w:color="auto" w:fill="F0FFFF"/>
          </w:tcPr>
          <w:p>
            <w:pPr>
              <w:spacing w:after="0"/>
              <w:rPr>
                <w:sz w:val="11"/>
                <w:szCs w:val="11"/>
                <w:color w:val="auto"/>
              </w:rPr>
            </w:pPr>
          </w:p>
        </w:tc>
        <w:tc>
          <w:tcPr>
            <w:tcW w:w="140" w:type="dxa"/>
            <w:vAlign w:val="bottom"/>
            <w:vMerge w:val="continue"/>
            <w:shd w:val="clear" w:color="auto" w:fill="F0FFFF"/>
          </w:tcPr>
          <w:p>
            <w:pPr>
              <w:spacing w:after="0"/>
              <w:rPr>
                <w:sz w:val="11"/>
                <w:szCs w:val="11"/>
                <w:color w:val="auto"/>
              </w:rPr>
            </w:pPr>
          </w:p>
        </w:tc>
        <w:tc>
          <w:tcPr>
            <w:tcW w:w="1020" w:type="dxa"/>
            <w:vAlign w:val="bottom"/>
            <w:gridSpan w:val="5"/>
            <w:vMerge w:val="continue"/>
            <w:shd w:val="clear" w:color="auto" w:fill="F0FFFF"/>
          </w:tcPr>
          <w:p>
            <w:pPr>
              <w:spacing w:after="0"/>
              <w:rPr>
                <w:sz w:val="11"/>
                <w:szCs w:val="11"/>
                <w:color w:val="auto"/>
              </w:rPr>
            </w:pPr>
          </w:p>
        </w:tc>
        <w:tc>
          <w:tcPr>
            <w:tcW w:w="680" w:type="dxa"/>
            <w:vAlign w:val="bottom"/>
            <w:tcBorders>
              <w:left w:val="single" w:sz="8" w:color="F0FFFF"/>
              <w:right w:val="single" w:sz="8" w:color="auto"/>
            </w:tcBorders>
            <w:gridSpan w:val="5"/>
            <w:shd w:val="clear" w:color="auto" w:fill="F0FFFF"/>
          </w:tcPr>
          <w:p>
            <w:pPr>
              <w:ind w:left="100"/>
              <w:spacing w:after="0" w:line="129" w:lineRule="exact"/>
              <w:rPr>
                <w:sz w:val="20"/>
                <w:szCs w:val="20"/>
                <w:color w:val="auto"/>
              </w:rPr>
            </w:pPr>
            <w:r>
              <w:rPr>
                <w:rFonts w:ascii="Times New Roman" w:cs="Times New Roman" w:eastAsia="Times New Roman" w:hAnsi="Times New Roman"/>
                <w:sz w:val="13"/>
                <w:szCs w:val="13"/>
                <w:color w:val="auto"/>
              </w:rPr>
              <w:t>may be</w:t>
            </w:r>
          </w:p>
        </w:tc>
        <w:tc>
          <w:tcPr>
            <w:tcW w:w="0" w:type="dxa"/>
            <w:vAlign w:val="bottom"/>
          </w:tcPr>
          <w:p>
            <w:pPr>
              <w:spacing w:after="0"/>
              <w:rPr>
                <w:sz w:val="1"/>
                <w:szCs w:val="1"/>
                <w:color w:val="auto"/>
              </w:rPr>
            </w:pPr>
          </w:p>
        </w:tc>
      </w:tr>
      <w:tr>
        <w:trPr>
          <w:trHeight w:val="129"/>
        </w:trPr>
        <w:tc>
          <w:tcPr>
            <w:tcW w:w="520" w:type="dxa"/>
            <w:vAlign w:val="bottom"/>
            <w:tcBorders>
              <w:top w:val="single" w:sz="8" w:color="F0FFFF"/>
              <w:left w:val="single" w:sz="8" w:color="F0FFFF"/>
            </w:tcBorders>
            <w:shd w:val="clear" w:color="auto" w:fill="F0FFFF"/>
          </w:tcPr>
          <w:p>
            <w:pPr>
              <w:spacing w:after="0"/>
              <w:rPr>
                <w:sz w:val="11"/>
                <w:szCs w:val="11"/>
                <w:color w:val="auto"/>
              </w:rPr>
            </w:pPr>
          </w:p>
        </w:tc>
        <w:tc>
          <w:tcPr>
            <w:tcW w:w="560" w:type="dxa"/>
            <w:vAlign w:val="bottom"/>
            <w:tcBorders>
              <w:top w:val="single" w:sz="8" w:color="F0FFFF"/>
              <w:right w:val="single" w:sz="8" w:color="auto"/>
            </w:tcBorders>
            <w:shd w:val="clear" w:color="auto" w:fill="F0FFFF"/>
          </w:tcPr>
          <w:p>
            <w:pPr>
              <w:spacing w:after="0"/>
              <w:rPr>
                <w:sz w:val="11"/>
                <w:szCs w:val="11"/>
                <w:color w:val="auto"/>
              </w:rPr>
            </w:pPr>
          </w:p>
        </w:tc>
        <w:tc>
          <w:tcPr>
            <w:tcW w:w="960" w:type="dxa"/>
            <w:vAlign w:val="bottom"/>
            <w:tcBorders>
              <w:top w:val="single" w:sz="8" w:color="F0FFFF"/>
            </w:tcBorders>
            <w:gridSpan w:val="4"/>
            <w:shd w:val="clear" w:color="auto" w:fill="F0FFFF"/>
          </w:tcPr>
          <w:p>
            <w:pPr>
              <w:ind w:left="20"/>
              <w:spacing w:after="0" w:line="129" w:lineRule="exact"/>
              <w:rPr>
                <w:sz w:val="20"/>
                <w:szCs w:val="20"/>
                <w:color w:val="auto"/>
              </w:rPr>
            </w:pPr>
            <w:r>
              <w:rPr>
                <w:rFonts w:ascii="Times New Roman" w:cs="Times New Roman" w:eastAsia="Times New Roman" w:hAnsi="Times New Roman"/>
                <w:sz w:val="13"/>
                <w:szCs w:val="13"/>
                <w:color w:val="auto"/>
              </w:rPr>
              <w:t>Charges</w:t>
            </w:r>
          </w:p>
        </w:tc>
        <w:tc>
          <w:tcPr>
            <w:tcW w:w="740" w:type="dxa"/>
            <w:vAlign w:val="bottom"/>
            <w:tcBorders>
              <w:top w:val="single" w:sz="8" w:color="auto"/>
              <w:right w:val="single" w:sz="8" w:color="auto"/>
            </w:tcBorders>
            <w:shd w:val="clear" w:color="auto" w:fill="F0FFFF"/>
          </w:tcPr>
          <w:p>
            <w:pPr>
              <w:spacing w:after="0"/>
              <w:rPr>
                <w:sz w:val="11"/>
                <w:szCs w:val="11"/>
                <w:color w:val="auto"/>
              </w:rPr>
            </w:pPr>
          </w:p>
        </w:tc>
        <w:tc>
          <w:tcPr>
            <w:tcW w:w="1460" w:type="dxa"/>
            <w:vAlign w:val="bottom"/>
            <w:tcBorders>
              <w:top w:val="single" w:sz="8" w:color="F0FFFF"/>
              <w:right w:val="single" w:sz="8" w:color="auto"/>
            </w:tcBorders>
            <w:shd w:val="clear" w:color="auto" w:fill="F0FFFF"/>
          </w:tcPr>
          <w:p>
            <w:pPr>
              <w:spacing w:after="0"/>
              <w:rPr>
                <w:sz w:val="11"/>
                <w:szCs w:val="11"/>
                <w:color w:val="auto"/>
              </w:rPr>
            </w:pPr>
          </w:p>
        </w:tc>
        <w:tc>
          <w:tcPr>
            <w:tcW w:w="140" w:type="dxa"/>
            <w:vAlign w:val="bottom"/>
            <w:tcBorders>
              <w:top w:val="single" w:sz="8" w:color="F0FFFF"/>
            </w:tcBorders>
            <w:shd w:val="clear" w:color="auto" w:fill="F0FFFF"/>
          </w:tcPr>
          <w:p>
            <w:pPr>
              <w:spacing w:after="0"/>
              <w:rPr>
                <w:sz w:val="11"/>
                <w:szCs w:val="11"/>
                <w:color w:val="auto"/>
              </w:rPr>
            </w:pPr>
          </w:p>
        </w:tc>
        <w:tc>
          <w:tcPr>
            <w:tcW w:w="1020" w:type="dxa"/>
            <w:vAlign w:val="bottom"/>
            <w:tcBorders>
              <w:top w:val="single" w:sz="8" w:color="auto"/>
            </w:tcBorders>
            <w:gridSpan w:val="5"/>
            <w:shd w:val="clear" w:color="auto" w:fill="F0FFFF"/>
          </w:tcPr>
          <w:p>
            <w:pPr>
              <w:spacing w:after="0" w:line="129" w:lineRule="exact"/>
              <w:rPr>
                <w:sz w:val="20"/>
                <w:szCs w:val="20"/>
                <w:color w:val="auto"/>
              </w:rPr>
            </w:pPr>
            <w:r>
              <w:rPr>
                <w:rFonts w:ascii="Times New Roman" w:cs="Times New Roman" w:eastAsia="Times New Roman" w:hAnsi="Times New Roman"/>
                <w:sz w:val="13"/>
                <w:szCs w:val="13"/>
                <w:color w:val="auto"/>
                <w:w w:val="95"/>
              </w:rPr>
              <w:t>subject to taxes and</w:t>
            </w:r>
          </w:p>
        </w:tc>
        <w:tc>
          <w:tcPr>
            <w:tcW w:w="680" w:type="dxa"/>
            <w:vAlign w:val="bottom"/>
            <w:tcBorders>
              <w:top w:val="single" w:sz="8" w:color="F0FFFF"/>
              <w:left w:val="single" w:sz="8" w:color="F0FFFF"/>
              <w:right w:val="single" w:sz="8" w:color="auto"/>
            </w:tcBorders>
            <w:gridSpan w:val="5"/>
            <w:shd w:val="clear" w:color="auto" w:fill="F0FFFF"/>
          </w:tcPr>
          <w:p>
            <w:pPr>
              <w:ind w:left="60"/>
              <w:spacing w:after="0" w:line="129" w:lineRule="exact"/>
              <w:rPr>
                <w:sz w:val="20"/>
                <w:szCs w:val="20"/>
                <w:color w:val="auto"/>
              </w:rPr>
            </w:pPr>
            <w:r>
              <w:rPr>
                <w:rFonts w:ascii="Times New Roman" w:cs="Times New Roman" w:eastAsia="Times New Roman" w:hAnsi="Times New Roman"/>
                <w:sz w:val="13"/>
                <w:szCs w:val="13"/>
                <w:color w:val="auto"/>
              </w:rPr>
              <w:t>tax</w:t>
            </w:r>
          </w:p>
        </w:tc>
        <w:tc>
          <w:tcPr>
            <w:tcW w:w="0" w:type="dxa"/>
            <w:vAlign w:val="bottom"/>
          </w:tcPr>
          <w:p>
            <w:pPr>
              <w:spacing w:after="0"/>
              <w:rPr>
                <w:sz w:val="1"/>
                <w:szCs w:val="1"/>
                <w:color w:val="auto"/>
              </w:rPr>
            </w:pPr>
          </w:p>
        </w:tc>
      </w:tr>
      <w:tr>
        <w:trPr>
          <w:trHeight w:val="126"/>
        </w:trPr>
        <w:tc>
          <w:tcPr>
            <w:tcW w:w="520" w:type="dxa"/>
            <w:vAlign w:val="bottom"/>
            <w:tcBorders>
              <w:top w:val="single" w:sz="8" w:color="F0FFFF"/>
              <w:left w:val="single" w:sz="8" w:color="F0FFFF"/>
            </w:tcBorders>
            <w:shd w:val="clear" w:color="auto" w:fill="F0FFFF"/>
          </w:tcPr>
          <w:p>
            <w:pPr>
              <w:spacing w:after="0"/>
              <w:rPr>
                <w:sz w:val="10"/>
                <w:szCs w:val="10"/>
                <w:color w:val="auto"/>
              </w:rPr>
            </w:pPr>
          </w:p>
        </w:tc>
        <w:tc>
          <w:tcPr>
            <w:tcW w:w="560" w:type="dxa"/>
            <w:vAlign w:val="bottom"/>
            <w:tcBorders>
              <w:top w:val="single" w:sz="8" w:color="F0FFFF"/>
              <w:right w:val="single" w:sz="8" w:color="auto"/>
            </w:tcBorders>
            <w:shd w:val="clear" w:color="auto" w:fill="F0FFFF"/>
          </w:tcPr>
          <w:p>
            <w:pPr>
              <w:spacing w:after="0"/>
              <w:rPr>
                <w:sz w:val="10"/>
                <w:szCs w:val="10"/>
                <w:color w:val="auto"/>
              </w:rPr>
            </w:pPr>
          </w:p>
        </w:tc>
        <w:tc>
          <w:tcPr>
            <w:tcW w:w="440" w:type="dxa"/>
            <w:vAlign w:val="bottom"/>
            <w:tcBorders>
              <w:top w:val="single" w:sz="8" w:color="auto"/>
            </w:tcBorders>
            <w:shd w:val="clear" w:color="auto" w:fill="F0FFFF"/>
          </w:tcPr>
          <w:p>
            <w:pPr>
              <w:spacing w:after="0"/>
              <w:rPr>
                <w:sz w:val="10"/>
                <w:szCs w:val="10"/>
                <w:color w:val="auto"/>
              </w:rPr>
            </w:pPr>
          </w:p>
        </w:tc>
        <w:tc>
          <w:tcPr>
            <w:tcW w:w="360" w:type="dxa"/>
            <w:vAlign w:val="bottom"/>
            <w:tcBorders>
              <w:top w:val="single" w:sz="8" w:color="F0FFFF"/>
            </w:tcBorders>
            <w:shd w:val="clear" w:color="auto" w:fill="F0FFFF"/>
          </w:tcPr>
          <w:p>
            <w:pPr>
              <w:spacing w:after="0"/>
              <w:rPr>
                <w:sz w:val="10"/>
                <w:szCs w:val="10"/>
                <w:color w:val="auto"/>
              </w:rPr>
            </w:pPr>
          </w:p>
        </w:tc>
        <w:tc>
          <w:tcPr>
            <w:tcW w:w="80" w:type="dxa"/>
            <w:vAlign w:val="bottom"/>
            <w:tcBorders>
              <w:top w:val="single" w:sz="8" w:color="F0FFFF"/>
            </w:tcBorders>
            <w:shd w:val="clear" w:color="auto" w:fill="F0FFFF"/>
          </w:tcPr>
          <w:p>
            <w:pPr>
              <w:spacing w:after="0"/>
              <w:rPr>
                <w:sz w:val="10"/>
                <w:szCs w:val="10"/>
                <w:color w:val="auto"/>
              </w:rPr>
            </w:pPr>
          </w:p>
        </w:tc>
        <w:tc>
          <w:tcPr>
            <w:tcW w:w="80" w:type="dxa"/>
            <w:vAlign w:val="bottom"/>
            <w:tcBorders>
              <w:top w:val="single" w:sz="8" w:color="F0FFFF"/>
            </w:tcBorders>
            <w:shd w:val="clear" w:color="auto" w:fill="F0FFFF"/>
          </w:tcPr>
          <w:p>
            <w:pPr>
              <w:spacing w:after="0"/>
              <w:rPr>
                <w:sz w:val="10"/>
                <w:szCs w:val="10"/>
                <w:color w:val="auto"/>
              </w:rPr>
            </w:pPr>
          </w:p>
        </w:tc>
        <w:tc>
          <w:tcPr>
            <w:tcW w:w="740" w:type="dxa"/>
            <w:vAlign w:val="bottom"/>
            <w:tcBorders>
              <w:top w:val="single" w:sz="8" w:color="F0FFFF"/>
              <w:right w:val="single" w:sz="8" w:color="auto"/>
            </w:tcBorders>
            <w:shd w:val="clear" w:color="auto" w:fill="F0FFFF"/>
          </w:tcPr>
          <w:p>
            <w:pPr>
              <w:spacing w:after="0"/>
              <w:rPr>
                <w:sz w:val="10"/>
                <w:szCs w:val="10"/>
                <w:color w:val="auto"/>
              </w:rPr>
            </w:pPr>
          </w:p>
        </w:tc>
        <w:tc>
          <w:tcPr>
            <w:tcW w:w="1460" w:type="dxa"/>
            <w:vAlign w:val="bottom"/>
            <w:tcBorders>
              <w:top w:val="single" w:sz="8" w:color="F0FFFF"/>
              <w:right w:val="single" w:sz="8" w:color="auto"/>
            </w:tcBorders>
            <w:shd w:val="clear" w:color="auto" w:fill="F0FFFF"/>
          </w:tcPr>
          <w:p>
            <w:pPr>
              <w:spacing w:after="0"/>
              <w:rPr>
                <w:sz w:val="10"/>
                <w:szCs w:val="10"/>
                <w:color w:val="auto"/>
              </w:rPr>
            </w:pPr>
          </w:p>
        </w:tc>
        <w:tc>
          <w:tcPr>
            <w:tcW w:w="140" w:type="dxa"/>
            <w:vAlign w:val="bottom"/>
            <w:tcBorders>
              <w:top w:val="single" w:sz="8" w:color="F0FFFF"/>
            </w:tcBorders>
            <w:shd w:val="clear" w:color="auto" w:fill="F0FFFF"/>
          </w:tcPr>
          <w:p>
            <w:pPr>
              <w:spacing w:after="0"/>
              <w:rPr>
                <w:sz w:val="10"/>
                <w:szCs w:val="10"/>
                <w:color w:val="auto"/>
              </w:rPr>
            </w:pPr>
          </w:p>
        </w:tc>
        <w:tc>
          <w:tcPr>
            <w:tcW w:w="1700" w:type="dxa"/>
            <w:vAlign w:val="bottom"/>
            <w:tcBorders>
              <w:top w:val="single" w:sz="8" w:color="F0FFFF"/>
              <w:right w:val="single" w:sz="8" w:color="auto"/>
            </w:tcBorders>
            <w:gridSpan w:val="10"/>
            <w:shd w:val="clear" w:color="auto" w:fill="F0FFFF"/>
          </w:tcPr>
          <w:p>
            <w:pPr>
              <w:spacing w:after="0" w:line="126" w:lineRule="exact"/>
              <w:rPr>
                <w:sz w:val="20"/>
                <w:szCs w:val="20"/>
                <w:color w:val="auto"/>
              </w:rPr>
            </w:pPr>
            <w:r>
              <w:rPr>
                <w:rFonts w:ascii="Times New Roman" w:cs="Times New Roman" w:eastAsia="Times New Roman" w:hAnsi="Times New Roman"/>
                <w:sz w:val="13"/>
                <w:szCs w:val="13"/>
                <w:color w:val="auto"/>
              </w:rPr>
              <w:t>penalties.</w:t>
            </w:r>
          </w:p>
        </w:tc>
        <w:tc>
          <w:tcPr>
            <w:tcW w:w="0" w:type="dxa"/>
            <w:vAlign w:val="bottom"/>
          </w:tcPr>
          <w:p>
            <w:pPr>
              <w:spacing w:after="0"/>
              <w:rPr>
                <w:sz w:val="1"/>
                <w:szCs w:val="1"/>
                <w:color w:val="auto"/>
              </w:rPr>
            </w:pPr>
          </w:p>
        </w:tc>
      </w:tr>
      <w:tr>
        <w:trPr>
          <w:trHeight w:val="142"/>
        </w:trPr>
        <w:tc>
          <w:tcPr>
            <w:tcW w:w="520" w:type="dxa"/>
            <w:vAlign w:val="bottom"/>
            <w:tcBorders>
              <w:left w:val="single" w:sz="8" w:color="F0FFFF"/>
            </w:tcBorders>
            <w:shd w:val="clear" w:color="auto" w:fill="F0FFFF"/>
          </w:tcPr>
          <w:p>
            <w:pPr>
              <w:spacing w:after="0"/>
              <w:rPr>
                <w:sz w:val="12"/>
                <w:szCs w:val="12"/>
                <w:color w:val="auto"/>
              </w:rPr>
            </w:pPr>
          </w:p>
        </w:tc>
        <w:tc>
          <w:tcPr>
            <w:tcW w:w="560" w:type="dxa"/>
            <w:vAlign w:val="bottom"/>
            <w:tcBorders>
              <w:right w:val="single" w:sz="8" w:color="auto"/>
            </w:tcBorders>
            <w:shd w:val="clear" w:color="auto" w:fill="F0FFFF"/>
          </w:tcPr>
          <w:p>
            <w:pPr>
              <w:spacing w:after="0"/>
              <w:rPr>
                <w:sz w:val="12"/>
                <w:szCs w:val="12"/>
                <w:color w:val="auto"/>
              </w:rPr>
            </w:pPr>
          </w:p>
        </w:tc>
        <w:tc>
          <w:tcPr>
            <w:tcW w:w="440" w:type="dxa"/>
            <w:vAlign w:val="bottom"/>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tcBorders>
              <w:right w:val="single" w:sz="8" w:color="auto"/>
            </w:tcBorders>
            <w:shd w:val="clear" w:color="auto" w:fill="F0FFFF"/>
          </w:tcPr>
          <w:p>
            <w:pPr>
              <w:spacing w:after="0"/>
              <w:rPr>
                <w:sz w:val="12"/>
                <w:szCs w:val="12"/>
                <w:color w:val="auto"/>
              </w:rPr>
            </w:pPr>
          </w:p>
        </w:tc>
        <w:tc>
          <w:tcPr>
            <w:tcW w:w="1460" w:type="dxa"/>
            <w:vAlign w:val="bottom"/>
            <w:tcBorders>
              <w:right w:val="single" w:sz="8" w:color="auto"/>
            </w:tcBorders>
            <w:shd w:val="clear" w:color="auto" w:fill="F0FFFF"/>
          </w:tcPr>
          <w:p>
            <w:pPr>
              <w:spacing w:after="0"/>
              <w:rPr>
                <w:sz w:val="12"/>
                <w:szCs w:val="12"/>
                <w:color w:val="auto"/>
              </w:rPr>
            </w:pPr>
          </w:p>
        </w:tc>
        <w:tc>
          <w:tcPr>
            <w:tcW w:w="1840" w:type="dxa"/>
            <w:vAlign w:val="bottom"/>
            <w:tcBorders>
              <w:right w:val="single" w:sz="8" w:color="auto"/>
            </w:tcBorders>
            <w:gridSpan w:val="11"/>
            <w:shd w:val="clear" w:color="auto" w:fill="F0FFFF"/>
          </w:tcPr>
          <w:p>
            <w:pPr>
              <w:ind w:left="20"/>
              <w:spacing w:after="0" w:line="142" w:lineRule="exact"/>
              <w:rPr>
                <w:sz w:val="20"/>
                <w:szCs w:val="20"/>
                <w:color w:val="auto"/>
              </w:rPr>
            </w:pPr>
            <w:r>
              <w:rPr>
                <w:rFonts w:ascii="Times New Roman" w:cs="Times New Roman" w:eastAsia="Times New Roman" w:hAnsi="Times New Roman"/>
                <w:sz w:val="13"/>
                <w:szCs w:val="13"/>
                <w:color w:val="auto"/>
              </w:rPr>
              <w:t>● Withdrawals from the Shield</w:t>
            </w:r>
          </w:p>
        </w:tc>
        <w:tc>
          <w:tcPr>
            <w:tcW w:w="0" w:type="dxa"/>
            <w:vAlign w:val="bottom"/>
          </w:tcPr>
          <w:p>
            <w:pPr>
              <w:spacing w:after="0"/>
              <w:rPr>
                <w:sz w:val="1"/>
                <w:szCs w:val="1"/>
                <w:color w:val="auto"/>
              </w:rPr>
            </w:pPr>
          </w:p>
        </w:tc>
      </w:tr>
      <w:tr>
        <w:trPr>
          <w:trHeight w:val="20"/>
        </w:trPr>
        <w:tc>
          <w:tcPr>
            <w:tcW w:w="520" w:type="dxa"/>
            <w:vAlign w:val="bottom"/>
            <w:tcBorders>
              <w:left w:val="single" w:sz="8" w:color="F0FFFF"/>
            </w:tcBorders>
            <w:shd w:val="clear" w:color="auto" w:fill="F0FFFF"/>
          </w:tcPr>
          <w:p>
            <w:pPr>
              <w:spacing w:after="0" w:line="20" w:lineRule="exact"/>
              <w:rPr>
                <w:sz w:val="1"/>
                <w:szCs w:val="1"/>
                <w:color w:val="auto"/>
              </w:rPr>
            </w:pPr>
          </w:p>
        </w:tc>
        <w:tc>
          <w:tcPr>
            <w:tcW w:w="560" w:type="dxa"/>
            <w:vAlign w:val="bottom"/>
            <w:tcBorders>
              <w:right w:val="single" w:sz="8" w:color="auto"/>
            </w:tcBorders>
            <w:shd w:val="clear" w:color="auto" w:fill="F0FFFF"/>
          </w:tcPr>
          <w:p>
            <w:pPr>
              <w:spacing w:after="0" w:line="20" w:lineRule="exact"/>
              <w:rPr>
                <w:sz w:val="1"/>
                <w:szCs w:val="1"/>
                <w:color w:val="auto"/>
              </w:rPr>
            </w:pPr>
          </w:p>
        </w:tc>
        <w:tc>
          <w:tcPr>
            <w:tcW w:w="440" w:type="dxa"/>
            <w:vAlign w:val="bottom"/>
            <w:shd w:val="clear" w:color="auto" w:fill="F0FFFF"/>
          </w:tcPr>
          <w:p>
            <w:pPr>
              <w:spacing w:after="0" w:line="20" w:lineRule="exact"/>
              <w:rPr>
                <w:sz w:val="1"/>
                <w:szCs w:val="1"/>
                <w:color w:val="auto"/>
              </w:rPr>
            </w:pPr>
          </w:p>
        </w:tc>
        <w:tc>
          <w:tcPr>
            <w:tcW w:w="36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740" w:type="dxa"/>
            <w:vAlign w:val="bottom"/>
            <w:tcBorders>
              <w:right w:val="single" w:sz="8" w:color="auto"/>
            </w:tcBorders>
            <w:shd w:val="clear" w:color="auto" w:fill="F0FFFF"/>
          </w:tcPr>
          <w:p>
            <w:pPr>
              <w:spacing w:after="0" w:line="20" w:lineRule="exact"/>
              <w:rPr>
                <w:sz w:val="1"/>
                <w:szCs w:val="1"/>
                <w:color w:val="auto"/>
              </w:rPr>
            </w:pPr>
          </w:p>
        </w:tc>
        <w:tc>
          <w:tcPr>
            <w:tcW w:w="1460" w:type="dxa"/>
            <w:vAlign w:val="bottom"/>
            <w:tcBorders>
              <w:right w:val="single" w:sz="8" w:color="auto"/>
            </w:tcBorders>
            <w:shd w:val="clear" w:color="auto" w:fill="F0FFFF"/>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1160" w:type="dxa"/>
            <w:vAlign w:val="bottom"/>
            <w:tcBorders>
              <w:right w:val="single" w:sz="8" w:color="F0FFFF"/>
            </w:tcBorders>
            <w:gridSpan w:val="6"/>
            <w:vMerge w:val="restart"/>
            <w:shd w:val="clear" w:color="auto" w:fill="F0FFFF"/>
          </w:tcPr>
          <w:p>
            <w:pPr>
              <w:spacing w:after="0"/>
              <w:rPr>
                <w:sz w:val="20"/>
                <w:szCs w:val="20"/>
                <w:color w:val="auto"/>
              </w:rPr>
            </w:pPr>
            <w:r>
              <w:rPr>
                <w:rFonts w:ascii="Times New Roman" w:cs="Times New Roman" w:eastAsia="Times New Roman" w:hAnsi="Times New Roman"/>
                <w:sz w:val="13"/>
                <w:szCs w:val="13"/>
                <w:color w:val="auto"/>
                <w:w w:val="94"/>
              </w:rPr>
              <w:t>Options during a Term</w:t>
            </w: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20" w:type="dxa"/>
            <w:vAlign w:val="bottom"/>
            <w:tcBorders>
              <w:left w:val="single" w:sz="8" w:color="F0FFFF"/>
            </w:tcBorders>
            <w:shd w:val="clear" w:color="auto" w:fill="F0FFFF"/>
          </w:tcPr>
          <w:p>
            <w:pPr>
              <w:spacing w:after="0"/>
              <w:rPr>
                <w:sz w:val="11"/>
                <w:szCs w:val="11"/>
                <w:color w:val="auto"/>
              </w:rPr>
            </w:pPr>
          </w:p>
        </w:tc>
        <w:tc>
          <w:tcPr>
            <w:tcW w:w="560" w:type="dxa"/>
            <w:vAlign w:val="bottom"/>
            <w:tcBorders>
              <w:right w:val="single" w:sz="8" w:color="auto"/>
            </w:tcBorders>
            <w:shd w:val="clear" w:color="auto" w:fill="F0FFFF"/>
          </w:tcPr>
          <w:p>
            <w:pPr>
              <w:spacing w:after="0"/>
              <w:rPr>
                <w:sz w:val="11"/>
                <w:szCs w:val="11"/>
                <w:color w:val="auto"/>
              </w:rPr>
            </w:pPr>
          </w:p>
        </w:tc>
        <w:tc>
          <w:tcPr>
            <w:tcW w:w="440" w:type="dxa"/>
            <w:vAlign w:val="bottom"/>
            <w:shd w:val="clear" w:color="auto" w:fill="F0FFFF"/>
          </w:tcPr>
          <w:p>
            <w:pPr>
              <w:spacing w:after="0"/>
              <w:rPr>
                <w:sz w:val="11"/>
                <w:szCs w:val="11"/>
                <w:color w:val="auto"/>
              </w:rPr>
            </w:pPr>
          </w:p>
        </w:tc>
        <w:tc>
          <w:tcPr>
            <w:tcW w:w="3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40" w:type="dxa"/>
            <w:vAlign w:val="bottom"/>
            <w:tcBorders>
              <w:right w:val="single" w:sz="8" w:color="auto"/>
            </w:tcBorders>
            <w:shd w:val="clear" w:color="auto" w:fill="F0FFFF"/>
          </w:tcPr>
          <w:p>
            <w:pPr>
              <w:spacing w:after="0"/>
              <w:rPr>
                <w:sz w:val="11"/>
                <w:szCs w:val="11"/>
                <w:color w:val="auto"/>
              </w:rPr>
            </w:pPr>
          </w:p>
        </w:tc>
        <w:tc>
          <w:tcPr>
            <w:tcW w:w="1460" w:type="dxa"/>
            <w:vAlign w:val="bottom"/>
            <w:tcBorders>
              <w:right w:val="single" w:sz="8" w:color="auto"/>
            </w:tcBorders>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160" w:type="dxa"/>
            <w:vAlign w:val="bottom"/>
            <w:tcBorders>
              <w:right w:val="single" w:sz="8" w:color="F0FFFF"/>
            </w:tcBorders>
            <w:gridSpan w:val="6"/>
            <w:vMerge w:val="continue"/>
            <w:shd w:val="clear" w:color="auto" w:fill="F0FFFF"/>
          </w:tcPr>
          <w:p>
            <w:pPr>
              <w:spacing w:after="0"/>
              <w:rPr>
                <w:sz w:val="11"/>
                <w:szCs w:val="11"/>
                <w:color w:val="auto"/>
              </w:rPr>
            </w:pPr>
          </w:p>
        </w:tc>
        <w:tc>
          <w:tcPr>
            <w:tcW w:w="540" w:type="dxa"/>
            <w:vAlign w:val="bottom"/>
            <w:tcBorders>
              <w:left w:val="single" w:sz="8" w:color="F0FFFF"/>
              <w:right w:val="single" w:sz="8" w:color="auto"/>
            </w:tcBorders>
            <w:gridSpan w:val="4"/>
            <w:shd w:val="clear" w:color="auto" w:fill="F0FFFF"/>
          </w:tcPr>
          <w:p>
            <w:pPr>
              <w:ind w:left="60"/>
              <w:spacing w:after="0" w:line="129" w:lineRule="exact"/>
              <w:rPr>
                <w:sz w:val="20"/>
                <w:szCs w:val="20"/>
                <w:color w:val="auto"/>
              </w:rPr>
            </w:pPr>
            <w:r>
              <w:rPr>
                <w:rFonts w:ascii="Times New Roman" w:cs="Times New Roman" w:eastAsia="Times New Roman" w:hAnsi="Times New Roman"/>
                <w:sz w:val="13"/>
                <w:szCs w:val="13"/>
                <w:color w:val="auto"/>
              </w:rPr>
              <w:t>will be</w:t>
            </w:r>
          </w:p>
        </w:tc>
        <w:tc>
          <w:tcPr>
            <w:tcW w:w="0" w:type="dxa"/>
            <w:vAlign w:val="bottom"/>
          </w:tcPr>
          <w:p>
            <w:pPr>
              <w:spacing w:after="0"/>
              <w:rPr>
                <w:sz w:val="1"/>
                <w:szCs w:val="1"/>
                <w:color w:val="auto"/>
              </w:rPr>
            </w:pPr>
          </w:p>
        </w:tc>
      </w:tr>
      <w:tr>
        <w:trPr>
          <w:trHeight w:val="20"/>
        </w:trPr>
        <w:tc>
          <w:tcPr>
            <w:tcW w:w="520" w:type="dxa"/>
            <w:vAlign w:val="bottom"/>
            <w:tcBorders>
              <w:left w:val="single" w:sz="8" w:color="F0FFFF"/>
            </w:tcBorders>
            <w:shd w:val="clear" w:color="auto" w:fill="F0FFFF"/>
          </w:tcPr>
          <w:p>
            <w:pPr>
              <w:spacing w:after="0" w:line="20" w:lineRule="exact"/>
              <w:rPr>
                <w:sz w:val="1"/>
                <w:szCs w:val="1"/>
                <w:color w:val="auto"/>
              </w:rPr>
            </w:pPr>
          </w:p>
        </w:tc>
        <w:tc>
          <w:tcPr>
            <w:tcW w:w="560" w:type="dxa"/>
            <w:vAlign w:val="bottom"/>
            <w:tcBorders>
              <w:right w:val="single" w:sz="8" w:color="auto"/>
            </w:tcBorders>
            <w:shd w:val="clear" w:color="auto" w:fill="F0FFFF"/>
          </w:tcPr>
          <w:p>
            <w:pPr>
              <w:spacing w:after="0" w:line="20" w:lineRule="exact"/>
              <w:rPr>
                <w:sz w:val="1"/>
                <w:szCs w:val="1"/>
                <w:color w:val="auto"/>
              </w:rPr>
            </w:pPr>
          </w:p>
        </w:tc>
        <w:tc>
          <w:tcPr>
            <w:tcW w:w="440" w:type="dxa"/>
            <w:vAlign w:val="bottom"/>
            <w:shd w:val="clear" w:color="auto" w:fill="F0FFFF"/>
          </w:tcPr>
          <w:p>
            <w:pPr>
              <w:spacing w:after="0" w:line="20" w:lineRule="exact"/>
              <w:rPr>
                <w:sz w:val="1"/>
                <w:szCs w:val="1"/>
                <w:color w:val="auto"/>
              </w:rPr>
            </w:pPr>
          </w:p>
        </w:tc>
        <w:tc>
          <w:tcPr>
            <w:tcW w:w="36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740" w:type="dxa"/>
            <w:vAlign w:val="bottom"/>
            <w:tcBorders>
              <w:right w:val="single" w:sz="8" w:color="auto"/>
            </w:tcBorders>
            <w:shd w:val="clear" w:color="auto" w:fill="F0FFFF"/>
          </w:tcPr>
          <w:p>
            <w:pPr>
              <w:spacing w:after="0" w:line="20" w:lineRule="exact"/>
              <w:rPr>
                <w:sz w:val="1"/>
                <w:szCs w:val="1"/>
                <w:color w:val="auto"/>
              </w:rPr>
            </w:pPr>
          </w:p>
        </w:tc>
        <w:tc>
          <w:tcPr>
            <w:tcW w:w="1460" w:type="dxa"/>
            <w:vAlign w:val="bottom"/>
            <w:tcBorders>
              <w:right w:val="single" w:sz="8" w:color="auto"/>
            </w:tcBorders>
            <w:shd w:val="clear" w:color="auto" w:fill="F0FFFF"/>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220" w:type="dxa"/>
            <w:vAlign w:val="bottom"/>
            <w:shd w:val="clear" w:color="auto" w:fill="F0FFFF"/>
          </w:tcPr>
          <w:p>
            <w:pPr>
              <w:spacing w:after="0" w:line="20" w:lineRule="exact"/>
              <w:rPr>
                <w:sz w:val="1"/>
                <w:szCs w:val="1"/>
                <w:color w:val="auto"/>
              </w:rPr>
            </w:pPr>
          </w:p>
        </w:tc>
        <w:tc>
          <w:tcPr>
            <w:tcW w:w="200" w:type="dxa"/>
            <w:vAlign w:val="bottom"/>
            <w:shd w:val="clear" w:color="auto" w:fill="F0FFFF"/>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F0FFFF"/>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300" w:type="dxa"/>
            <w:vAlign w:val="bottom"/>
            <w:tcBorders>
              <w:right w:val="single" w:sz="8" w:color="auto"/>
            </w:tcBorders>
            <w:gridSpan w:val="2"/>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520" w:type="dxa"/>
            <w:vAlign w:val="bottom"/>
            <w:tcBorders>
              <w:left w:val="single" w:sz="8" w:color="F0FFFF"/>
            </w:tcBorders>
            <w:shd w:val="clear" w:color="auto" w:fill="F0FFFF"/>
          </w:tcPr>
          <w:p>
            <w:pPr>
              <w:spacing w:after="0"/>
              <w:rPr>
                <w:sz w:val="10"/>
                <w:szCs w:val="10"/>
                <w:color w:val="auto"/>
              </w:rPr>
            </w:pPr>
          </w:p>
        </w:tc>
        <w:tc>
          <w:tcPr>
            <w:tcW w:w="560" w:type="dxa"/>
            <w:vAlign w:val="bottom"/>
            <w:tcBorders>
              <w:right w:val="single" w:sz="8" w:color="auto"/>
            </w:tcBorders>
            <w:shd w:val="clear" w:color="auto" w:fill="F0FFFF"/>
          </w:tcPr>
          <w:p>
            <w:pPr>
              <w:spacing w:after="0"/>
              <w:rPr>
                <w:sz w:val="10"/>
                <w:szCs w:val="10"/>
                <w:color w:val="auto"/>
              </w:rPr>
            </w:pPr>
          </w:p>
        </w:tc>
        <w:tc>
          <w:tcPr>
            <w:tcW w:w="440" w:type="dxa"/>
            <w:vAlign w:val="bottom"/>
            <w:shd w:val="clear" w:color="auto" w:fill="F0FFFF"/>
          </w:tcPr>
          <w:p>
            <w:pPr>
              <w:spacing w:after="0"/>
              <w:rPr>
                <w:sz w:val="10"/>
                <w:szCs w:val="10"/>
                <w:color w:val="auto"/>
              </w:rPr>
            </w:pPr>
          </w:p>
        </w:tc>
        <w:tc>
          <w:tcPr>
            <w:tcW w:w="360" w:type="dxa"/>
            <w:vAlign w:val="bottom"/>
            <w:shd w:val="clear" w:color="auto" w:fill="F0FFFF"/>
          </w:tcPr>
          <w:p>
            <w:pPr>
              <w:spacing w:after="0"/>
              <w:rPr>
                <w:sz w:val="10"/>
                <w:szCs w:val="10"/>
                <w:color w:val="auto"/>
              </w:rPr>
            </w:pPr>
          </w:p>
        </w:tc>
        <w:tc>
          <w:tcPr>
            <w:tcW w:w="80" w:type="dxa"/>
            <w:vAlign w:val="bottom"/>
            <w:shd w:val="clear" w:color="auto" w:fill="F0FFFF"/>
          </w:tcPr>
          <w:p>
            <w:pPr>
              <w:spacing w:after="0"/>
              <w:rPr>
                <w:sz w:val="10"/>
                <w:szCs w:val="10"/>
                <w:color w:val="auto"/>
              </w:rPr>
            </w:pPr>
          </w:p>
        </w:tc>
        <w:tc>
          <w:tcPr>
            <w:tcW w:w="80" w:type="dxa"/>
            <w:vAlign w:val="bottom"/>
            <w:shd w:val="clear" w:color="auto" w:fill="F0FFFF"/>
          </w:tcPr>
          <w:p>
            <w:pPr>
              <w:spacing w:after="0"/>
              <w:rPr>
                <w:sz w:val="10"/>
                <w:szCs w:val="10"/>
                <w:color w:val="auto"/>
              </w:rPr>
            </w:pPr>
          </w:p>
        </w:tc>
        <w:tc>
          <w:tcPr>
            <w:tcW w:w="740" w:type="dxa"/>
            <w:vAlign w:val="bottom"/>
            <w:tcBorders>
              <w:right w:val="single" w:sz="8" w:color="auto"/>
            </w:tcBorders>
            <w:shd w:val="clear" w:color="auto" w:fill="F0FFFF"/>
          </w:tcPr>
          <w:p>
            <w:pPr>
              <w:spacing w:after="0"/>
              <w:rPr>
                <w:sz w:val="10"/>
                <w:szCs w:val="10"/>
                <w:color w:val="auto"/>
              </w:rPr>
            </w:pPr>
          </w:p>
        </w:tc>
        <w:tc>
          <w:tcPr>
            <w:tcW w:w="1460" w:type="dxa"/>
            <w:vAlign w:val="bottom"/>
            <w:tcBorders>
              <w:right w:val="single" w:sz="8" w:color="auto"/>
            </w:tcBorders>
            <w:shd w:val="clear" w:color="auto" w:fill="F0FFFF"/>
          </w:tcPr>
          <w:p>
            <w:pPr>
              <w:spacing w:after="0"/>
              <w:rPr>
                <w:sz w:val="10"/>
                <w:szCs w:val="10"/>
                <w:color w:val="auto"/>
              </w:rPr>
            </w:pPr>
          </w:p>
        </w:tc>
        <w:tc>
          <w:tcPr>
            <w:tcW w:w="140" w:type="dxa"/>
            <w:vAlign w:val="bottom"/>
            <w:shd w:val="clear" w:color="auto" w:fill="F0FFFF"/>
          </w:tcPr>
          <w:p>
            <w:pPr>
              <w:spacing w:after="0"/>
              <w:rPr>
                <w:sz w:val="10"/>
                <w:szCs w:val="10"/>
                <w:color w:val="auto"/>
              </w:rPr>
            </w:pPr>
          </w:p>
        </w:tc>
        <w:tc>
          <w:tcPr>
            <w:tcW w:w="1700" w:type="dxa"/>
            <w:vAlign w:val="bottom"/>
            <w:tcBorders>
              <w:right w:val="single" w:sz="8" w:color="auto"/>
            </w:tcBorders>
            <w:gridSpan w:val="10"/>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auto"/>
              </w:rPr>
              <w:t>based on Interim Values.</w:t>
            </w:r>
          </w:p>
        </w:tc>
        <w:tc>
          <w:tcPr>
            <w:tcW w:w="0" w:type="dxa"/>
            <w:vAlign w:val="bottom"/>
          </w:tcPr>
          <w:p>
            <w:pPr>
              <w:spacing w:after="0"/>
              <w:rPr>
                <w:sz w:val="1"/>
                <w:szCs w:val="1"/>
                <w:color w:val="auto"/>
              </w:rPr>
            </w:pPr>
          </w:p>
        </w:tc>
      </w:tr>
      <w:tr>
        <w:trPr>
          <w:trHeight w:val="20"/>
        </w:trPr>
        <w:tc>
          <w:tcPr>
            <w:tcW w:w="520" w:type="dxa"/>
            <w:vAlign w:val="bottom"/>
            <w:tcBorders>
              <w:left w:val="single" w:sz="8" w:color="F0FFFF"/>
            </w:tcBorders>
            <w:shd w:val="clear" w:color="auto" w:fill="F0FFFF"/>
          </w:tcPr>
          <w:p>
            <w:pPr>
              <w:spacing w:after="0" w:line="20" w:lineRule="exact"/>
              <w:rPr>
                <w:sz w:val="1"/>
                <w:szCs w:val="1"/>
                <w:color w:val="auto"/>
              </w:rPr>
            </w:pPr>
          </w:p>
        </w:tc>
        <w:tc>
          <w:tcPr>
            <w:tcW w:w="560" w:type="dxa"/>
            <w:vAlign w:val="bottom"/>
            <w:tcBorders>
              <w:right w:val="single" w:sz="8" w:color="auto"/>
            </w:tcBorders>
            <w:shd w:val="clear" w:color="auto" w:fill="F0FFFF"/>
          </w:tcPr>
          <w:p>
            <w:pPr>
              <w:spacing w:after="0" w:line="20" w:lineRule="exact"/>
              <w:rPr>
                <w:sz w:val="1"/>
                <w:szCs w:val="1"/>
                <w:color w:val="auto"/>
              </w:rPr>
            </w:pPr>
          </w:p>
        </w:tc>
        <w:tc>
          <w:tcPr>
            <w:tcW w:w="440" w:type="dxa"/>
            <w:vAlign w:val="bottom"/>
            <w:shd w:val="clear" w:color="auto" w:fill="F0FFFF"/>
          </w:tcPr>
          <w:p>
            <w:pPr>
              <w:spacing w:after="0" w:line="20" w:lineRule="exact"/>
              <w:rPr>
                <w:sz w:val="1"/>
                <w:szCs w:val="1"/>
                <w:color w:val="auto"/>
              </w:rPr>
            </w:pPr>
          </w:p>
        </w:tc>
        <w:tc>
          <w:tcPr>
            <w:tcW w:w="36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740" w:type="dxa"/>
            <w:vAlign w:val="bottom"/>
            <w:tcBorders>
              <w:right w:val="single" w:sz="8" w:color="auto"/>
            </w:tcBorders>
            <w:shd w:val="clear" w:color="auto" w:fill="F0FFFF"/>
          </w:tcPr>
          <w:p>
            <w:pPr>
              <w:spacing w:after="0" w:line="20" w:lineRule="exact"/>
              <w:rPr>
                <w:sz w:val="1"/>
                <w:szCs w:val="1"/>
                <w:color w:val="auto"/>
              </w:rPr>
            </w:pPr>
          </w:p>
        </w:tc>
        <w:tc>
          <w:tcPr>
            <w:tcW w:w="1460" w:type="dxa"/>
            <w:vAlign w:val="bottom"/>
            <w:tcBorders>
              <w:right w:val="single" w:sz="8" w:color="auto"/>
            </w:tcBorders>
            <w:shd w:val="clear" w:color="auto" w:fill="F0FFFF"/>
          </w:tcPr>
          <w:p>
            <w:pPr>
              <w:spacing w:after="0" w:line="20" w:lineRule="exact"/>
              <w:rPr>
                <w:sz w:val="1"/>
                <w:szCs w:val="1"/>
                <w:color w:val="auto"/>
              </w:rPr>
            </w:pPr>
          </w:p>
        </w:tc>
        <w:tc>
          <w:tcPr>
            <w:tcW w:w="640" w:type="dxa"/>
            <w:vAlign w:val="bottom"/>
            <w:gridSpan w:val="3"/>
            <w:shd w:val="clear" w:color="auto" w:fill="F0FF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gridSpan w:val="4"/>
            <w:shd w:val="clear" w:color="auto" w:fill="000000"/>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300" w:type="dxa"/>
            <w:vAlign w:val="bottom"/>
            <w:tcBorders>
              <w:right w:val="single" w:sz="8" w:color="auto"/>
            </w:tcBorders>
            <w:gridSpan w:val="2"/>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20" w:type="dxa"/>
            <w:vAlign w:val="bottom"/>
            <w:tcBorders>
              <w:left w:val="single" w:sz="8" w:color="F0FFFF"/>
            </w:tcBorders>
            <w:shd w:val="clear" w:color="auto" w:fill="F0FFFF"/>
          </w:tcPr>
          <w:p>
            <w:pPr>
              <w:spacing w:after="0"/>
              <w:rPr>
                <w:sz w:val="11"/>
                <w:szCs w:val="11"/>
                <w:color w:val="auto"/>
              </w:rPr>
            </w:pPr>
          </w:p>
        </w:tc>
        <w:tc>
          <w:tcPr>
            <w:tcW w:w="560" w:type="dxa"/>
            <w:vAlign w:val="bottom"/>
            <w:tcBorders>
              <w:right w:val="single" w:sz="8" w:color="auto"/>
            </w:tcBorders>
            <w:shd w:val="clear" w:color="auto" w:fill="F0FFFF"/>
          </w:tcPr>
          <w:p>
            <w:pPr>
              <w:spacing w:after="0"/>
              <w:rPr>
                <w:sz w:val="11"/>
                <w:szCs w:val="11"/>
                <w:color w:val="auto"/>
              </w:rPr>
            </w:pPr>
          </w:p>
        </w:tc>
        <w:tc>
          <w:tcPr>
            <w:tcW w:w="440" w:type="dxa"/>
            <w:vAlign w:val="bottom"/>
            <w:shd w:val="clear" w:color="auto" w:fill="F0FFFF"/>
          </w:tcPr>
          <w:p>
            <w:pPr>
              <w:spacing w:after="0"/>
              <w:rPr>
                <w:sz w:val="11"/>
                <w:szCs w:val="11"/>
                <w:color w:val="auto"/>
              </w:rPr>
            </w:pPr>
          </w:p>
        </w:tc>
        <w:tc>
          <w:tcPr>
            <w:tcW w:w="3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40" w:type="dxa"/>
            <w:vAlign w:val="bottom"/>
            <w:tcBorders>
              <w:right w:val="single" w:sz="8" w:color="auto"/>
            </w:tcBorders>
            <w:shd w:val="clear" w:color="auto" w:fill="F0FFFF"/>
          </w:tcPr>
          <w:p>
            <w:pPr>
              <w:spacing w:after="0"/>
              <w:rPr>
                <w:sz w:val="11"/>
                <w:szCs w:val="11"/>
                <w:color w:val="auto"/>
              </w:rPr>
            </w:pPr>
          </w:p>
        </w:tc>
        <w:tc>
          <w:tcPr>
            <w:tcW w:w="1460" w:type="dxa"/>
            <w:vAlign w:val="bottom"/>
            <w:tcBorders>
              <w:right w:val="single" w:sz="8" w:color="auto"/>
            </w:tcBorders>
            <w:shd w:val="clear" w:color="auto" w:fill="F0FFFF"/>
          </w:tcPr>
          <w:p>
            <w:pPr>
              <w:spacing w:after="0"/>
              <w:rPr>
                <w:sz w:val="11"/>
                <w:szCs w:val="11"/>
                <w:color w:val="auto"/>
              </w:rPr>
            </w:pPr>
          </w:p>
        </w:tc>
        <w:tc>
          <w:tcPr>
            <w:tcW w:w="1840" w:type="dxa"/>
            <w:vAlign w:val="bottom"/>
            <w:tcBorders>
              <w:right w:val="single" w:sz="8" w:color="auto"/>
            </w:tcBorders>
            <w:gridSpan w:val="11"/>
            <w:shd w:val="clear" w:color="auto" w:fill="F0FFFF"/>
          </w:tcPr>
          <w:p>
            <w:pPr>
              <w:ind w:left="20"/>
              <w:spacing w:after="0" w:line="129" w:lineRule="exact"/>
              <w:rPr>
                <w:sz w:val="20"/>
                <w:szCs w:val="20"/>
                <w:color w:val="auto"/>
              </w:rPr>
            </w:pPr>
            <w:r>
              <w:rPr>
                <w:rFonts w:ascii="Times New Roman" w:cs="Times New Roman" w:eastAsia="Times New Roman" w:hAnsi="Times New Roman"/>
                <w:sz w:val="13"/>
                <w:szCs w:val="13"/>
                <w:color w:val="auto"/>
              </w:rPr>
              <w:t>● Any unused portion of the Free</w:t>
            </w:r>
          </w:p>
        </w:tc>
        <w:tc>
          <w:tcPr>
            <w:tcW w:w="0" w:type="dxa"/>
            <w:vAlign w:val="bottom"/>
          </w:tcPr>
          <w:p>
            <w:pPr>
              <w:spacing w:after="0"/>
              <w:rPr>
                <w:sz w:val="1"/>
                <w:szCs w:val="1"/>
                <w:color w:val="auto"/>
              </w:rPr>
            </w:pPr>
          </w:p>
        </w:tc>
      </w:tr>
      <w:tr>
        <w:trPr>
          <w:trHeight w:val="129"/>
        </w:trPr>
        <w:tc>
          <w:tcPr>
            <w:tcW w:w="520" w:type="dxa"/>
            <w:vAlign w:val="bottom"/>
            <w:tcBorders>
              <w:top w:val="single" w:sz="8" w:color="F0FFFF"/>
              <w:left w:val="single" w:sz="8" w:color="F0FFFF"/>
            </w:tcBorders>
            <w:shd w:val="clear" w:color="auto" w:fill="F0FFFF"/>
          </w:tcPr>
          <w:p>
            <w:pPr>
              <w:spacing w:after="0"/>
              <w:rPr>
                <w:sz w:val="11"/>
                <w:szCs w:val="11"/>
                <w:color w:val="auto"/>
              </w:rPr>
            </w:pPr>
          </w:p>
        </w:tc>
        <w:tc>
          <w:tcPr>
            <w:tcW w:w="560" w:type="dxa"/>
            <w:vAlign w:val="bottom"/>
            <w:tcBorders>
              <w:top w:val="single" w:sz="8" w:color="F0FFFF"/>
              <w:right w:val="single" w:sz="8" w:color="auto"/>
            </w:tcBorders>
            <w:shd w:val="clear" w:color="auto" w:fill="F0FFFF"/>
          </w:tcPr>
          <w:p>
            <w:pPr>
              <w:spacing w:after="0"/>
              <w:rPr>
                <w:sz w:val="11"/>
                <w:szCs w:val="11"/>
                <w:color w:val="auto"/>
              </w:rPr>
            </w:pPr>
          </w:p>
        </w:tc>
        <w:tc>
          <w:tcPr>
            <w:tcW w:w="440" w:type="dxa"/>
            <w:vAlign w:val="bottom"/>
            <w:tcBorders>
              <w:top w:val="single" w:sz="8" w:color="F0FFFF"/>
            </w:tcBorders>
            <w:shd w:val="clear" w:color="auto" w:fill="F0FFFF"/>
          </w:tcPr>
          <w:p>
            <w:pPr>
              <w:spacing w:after="0"/>
              <w:rPr>
                <w:sz w:val="11"/>
                <w:szCs w:val="11"/>
                <w:color w:val="auto"/>
              </w:rPr>
            </w:pPr>
          </w:p>
        </w:tc>
        <w:tc>
          <w:tcPr>
            <w:tcW w:w="360" w:type="dxa"/>
            <w:vAlign w:val="bottom"/>
            <w:tcBorders>
              <w:top w:val="single" w:sz="8" w:color="F0FFFF"/>
            </w:tcBorders>
            <w:shd w:val="clear" w:color="auto" w:fill="F0FFFF"/>
          </w:tcPr>
          <w:p>
            <w:pPr>
              <w:spacing w:after="0"/>
              <w:rPr>
                <w:sz w:val="11"/>
                <w:szCs w:val="11"/>
                <w:color w:val="auto"/>
              </w:rPr>
            </w:pPr>
          </w:p>
        </w:tc>
        <w:tc>
          <w:tcPr>
            <w:tcW w:w="80" w:type="dxa"/>
            <w:vAlign w:val="bottom"/>
            <w:tcBorders>
              <w:top w:val="single" w:sz="8" w:color="F0FFFF"/>
            </w:tcBorders>
            <w:shd w:val="clear" w:color="auto" w:fill="F0FFFF"/>
          </w:tcPr>
          <w:p>
            <w:pPr>
              <w:spacing w:after="0"/>
              <w:rPr>
                <w:sz w:val="11"/>
                <w:szCs w:val="11"/>
                <w:color w:val="auto"/>
              </w:rPr>
            </w:pPr>
          </w:p>
        </w:tc>
        <w:tc>
          <w:tcPr>
            <w:tcW w:w="80" w:type="dxa"/>
            <w:vAlign w:val="bottom"/>
            <w:tcBorders>
              <w:top w:val="single" w:sz="8" w:color="F0FFFF"/>
            </w:tcBorders>
            <w:shd w:val="clear" w:color="auto" w:fill="F0FFFF"/>
          </w:tcPr>
          <w:p>
            <w:pPr>
              <w:spacing w:after="0"/>
              <w:rPr>
                <w:sz w:val="11"/>
                <w:szCs w:val="11"/>
                <w:color w:val="auto"/>
              </w:rPr>
            </w:pPr>
          </w:p>
        </w:tc>
        <w:tc>
          <w:tcPr>
            <w:tcW w:w="740" w:type="dxa"/>
            <w:vAlign w:val="bottom"/>
            <w:tcBorders>
              <w:top w:val="single" w:sz="8" w:color="F0FFFF"/>
              <w:right w:val="single" w:sz="8" w:color="auto"/>
            </w:tcBorders>
            <w:shd w:val="clear" w:color="auto" w:fill="F0FFFF"/>
          </w:tcPr>
          <w:p>
            <w:pPr>
              <w:spacing w:after="0"/>
              <w:rPr>
                <w:sz w:val="11"/>
                <w:szCs w:val="11"/>
                <w:color w:val="auto"/>
              </w:rPr>
            </w:pPr>
          </w:p>
        </w:tc>
        <w:tc>
          <w:tcPr>
            <w:tcW w:w="1460" w:type="dxa"/>
            <w:vAlign w:val="bottom"/>
            <w:tcBorders>
              <w:top w:val="single" w:sz="8" w:color="F0FFFF"/>
              <w:right w:val="single" w:sz="8" w:color="auto"/>
            </w:tcBorders>
            <w:shd w:val="clear" w:color="auto" w:fill="F0FFFF"/>
          </w:tcPr>
          <w:p>
            <w:pPr>
              <w:spacing w:after="0"/>
              <w:rPr>
                <w:sz w:val="11"/>
                <w:szCs w:val="11"/>
                <w:color w:val="auto"/>
              </w:rPr>
            </w:pPr>
          </w:p>
        </w:tc>
        <w:tc>
          <w:tcPr>
            <w:tcW w:w="140" w:type="dxa"/>
            <w:vAlign w:val="bottom"/>
            <w:tcBorders>
              <w:top w:val="single" w:sz="8" w:color="F0FFFF"/>
            </w:tcBorders>
            <w:shd w:val="clear" w:color="auto" w:fill="F0FFFF"/>
          </w:tcPr>
          <w:p>
            <w:pPr>
              <w:spacing w:after="0"/>
              <w:rPr>
                <w:sz w:val="11"/>
                <w:szCs w:val="11"/>
                <w:color w:val="auto"/>
              </w:rPr>
            </w:pPr>
          </w:p>
        </w:tc>
        <w:tc>
          <w:tcPr>
            <w:tcW w:w="1400" w:type="dxa"/>
            <w:vAlign w:val="bottom"/>
            <w:tcBorders>
              <w:top w:val="single" w:sz="8" w:color="F0FFFF"/>
            </w:tcBorders>
            <w:gridSpan w:val="8"/>
            <w:shd w:val="clear" w:color="auto" w:fill="F0FFFF"/>
          </w:tcPr>
          <w:p>
            <w:pPr>
              <w:spacing w:after="0" w:line="129" w:lineRule="exact"/>
              <w:rPr>
                <w:sz w:val="20"/>
                <w:szCs w:val="20"/>
                <w:color w:val="auto"/>
              </w:rPr>
            </w:pPr>
            <w:r>
              <w:rPr>
                <w:rFonts w:ascii="Times New Roman" w:cs="Times New Roman" w:eastAsia="Times New Roman" w:hAnsi="Times New Roman"/>
                <w:sz w:val="13"/>
                <w:szCs w:val="13"/>
                <w:color w:val="auto"/>
              </w:rPr>
              <w:t>Withdrawal Amount may</w:t>
            </w:r>
          </w:p>
        </w:tc>
        <w:tc>
          <w:tcPr>
            <w:tcW w:w="300" w:type="dxa"/>
            <w:vAlign w:val="bottom"/>
            <w:tcBorders>
              <w:top w:val="single" w:sz="8" w:color="auto"/>
              <w:right w:val="single" w:sz="8" w:color="auto"/>
            </w:tcBorders>
            <w:gridSpan w:val="2"/>
            <w:shd w:val="clear" w:color="auto" w:fill="F0FFFF"/>
          </w:tcPr>
          <w:p>
            <w:pPr>
              <w:spacing w:after="0" w:line="129" w:lineRule="exact"/>
              <w:rPr>
                <w:sz w:val="20"/>
                <w:szCs w:val="20"/>
                <w:color w:val="auto"/>
              </w:rPr>
            </w:pPr>
            <w:r>
              <w:rPr>
                <w:rFonts w:ascii="Times New Roman" w:cs="Times New Roman" w:eastAsia="Times New Roman" w:hAnsi="Times New Roman"/>
                <w:sz w:val="13"/>
                <w:szCs w:val="13"/>
                <w:color w:val="auto"/>
              </w:rPr>
              <w:t>not</w:t>
            </w:r>
          </w:p>
        </w:tc>
        <w:tc>
          <w:tcPr>
            <w:tcW w:w="0" w:type="dxa"/>
            <w:vAlign w:val="bottom"/>
          </w:tcPr>
          <w:p>
            <w:pPr>
              <w:spacing w:after="0"/>
              <w:rPr>
                <w:sz w:val="1"/>
                <w:szCs w:val="1"/>
                <w:color w:val="auto"/>
              </w:rPr>
            </w:pPr>
          </w:p>
        </w:tc>
      </w:tr>
      <w:tr>
        <w:trPr>
          <w:trHeight w:val="126"/>
        </w:trPr>
        <w:tc>
          <w:tcPr>
            <w:tcW w:w="520" w:type="dxa"/>
            <w:vAlign w:val="bottom"/>
            <w:tcBorders>
              <w:top w:val="single" w:sz="8" w:color="F0FFFF"/>
              <w:left w:val="single" w:sz="8" w:color="F0FFFF"/>
            </w:tcBorders>
            <w:shd w:val="clear" w:color="auto" w:fill="F0FFFF"/>
          </w:tcPr>
          <w:p>
            <w:pPr>
              <w:spacing w:after="0"/>
              <w:rPr>
                <w:sz w:val="10"/>
                <w:szCs w:val="10"/>
                <w:color w:val="auto"/>
              </w:rPr>
            </w:pPr>
          </w:p>
        </w:tc>
        <w:tc>
          <w:tcPr>
            <w:tcW w:w="560" w:type="dxa"/>
            <w:vAlign w:val="bottom"/>
            <w:tcBorders>
              <w:top w:val="single" w:sz="8" w:color="F0FFFF"/>
              <w:right w:val="single" w:sz="8" w:color="auto"/>
            </w:tcBorders>
            <w:shd w:val="clear" w:color="auto" w:fill="F0FFFF"/>
          </w:tcPr>
          <w:p>
            <w:pPr>
              <w:spacing w:after="0"/>
              <w:rPr>
                <w:sz w:val="10"/>
                <w:szCs w:val="10"/>
                <w:color w:val="auto"/>
              </w:rPr>
            </w:pPr>
          </w:p>
        </w:tc>
        <w:tc>
          <w:tcPr>
            <w:tcW w:w="440" w:type="dxa"/>
            <w:vAlign w:val="bottom"/>
            <w:tcBorders>
              <w:top w:val="single" w:sz="8" w:color="F0FFFF"/>
            </w:tcBorders>
            <w:shd w:val="clear" w:color="auto" w:fill="F0FFFF"/>
          </w:tcPr>
          <w:p>
            <w:pPr>
              <w:spacing w:after="0"/>
              <w:rPr>
                <w:sz w:val="10"/>
                <w:szCs w:val="10"/>
                <w:color w:val="auto"/>
              </w:rPr>
            </w:pPr>
          </w:p>
        </w:tc>
        <w:tc>
          <w:tcPr>
            <w:tcW w:w="360" w:type="dxa"/>
            <w:vAlign w:val="bottom"/>
            <w:tcBorders>
              <w:top w:val="single" w:sz="8" w:color="F0FFFF"/>
            </w:tcBorders>
            <w:shd w:val="clear" w:color="auto" w:fill="F0FFFF"/>
          </w:tcPr>
          <w:p>
            <w:pPr>
              <w:spacing w:after="0"/>
              <w:rPr>
                <w:sz w:val="10"/>
                <w:szCs w:val="10"/>
                <w:color w:val="auto"/>
              </w:rPr>
            </w:pPr>
          </w:p>
        </w:tc>
        <w:tc>
          <w:tcPr>
            <w:tcW w:w="80" w:type="dxa"/>
            <w:vAlign w:val="bottom"/>
            <w:tcBorders>
              <w:top w:val="single" w:sz="8" w:color="F0FFFF"/>
            </w:tcBorders>
            <w:shd w:val="clear" w:color="auto" w:fill="F0FFFF"/>
          </w:tcPr>
          <w:p>
            <w:pPr>
              <w:spacing w:after="0"/>
              <w:rPr>
                <w:sz w:val="10"/>
                <w:szCs w:val="10"/>
                <w:color w:val="auto"/>
              </w:rPr>
            </w:pPr>
          </w:p>
        </w:tc>
        <w:tc>
          <w:tcPr>
            <w:tcW w:w="80" w:type="dxa"/>
            <w:vAlign w:val="bottom"/>
            <w:tcBorders>
              <w:top w:val="single" w:sz="8" w:color="F0FFFF"/>
            </w:tcBorders>
            <w:shd w:val="clear" w:color="auto" w:fill="F0FFFF"/>
          </w:tcPr>
          <w:p>
            <w:pPr>
              <w:spacing w:after="0"/>
              <w:rPr>
                <w:sz w:val="10"/>
                <w:szCs w:val="10"/>
                <w:color w:val="auto"/>
              </w:rPr>
            </w:pPr>
          </w:p>
        </w:tc>
        <w:tc>
          <w:tcPr>
            <w:tcW w:w="740" w:type="dxa"/>
            <w:vAlign w:val="bottom"/>
            <w:tcBorders>
              <w:top w:val="single" w:sz="8" w:color="F0FFFF"/>
              <w:right w:val="single" w:sz="8" w:color="auto"/>
            </w:tcBorders>
            <w:shd w:val="clear" w:color="auto" w:fill="F0FFFF"/>
          </w:tcPr>
          <w:p>
            <w:pPr>
              <w:spacing w:after="0"/>
              <w:rPr>
                <w:sz w:val="10"/>
                <w:szCs w:val="10"/>
                <w:color w:val="auto"/>
              </w:rPr>
            </w:pPr>
          </w:p>
        </w:tc>
        <w:tc>
          <w:tcPr>
            <w:tcW w:w="1460" w:type="dxa"/>
            <w:vAlign w:val="bottom"/>
            <w:tcBorders>
              <w:top w:val="single" w:sz="8" w:color="F0FFFF"/>
              <w:right w:val="single" w:sz="8" w:color="auto"/>
            </w:tcBorders>
            <w:shd w:val="clear" w:color="auto" w:fill="F0FFFF"/>
          </w:tcPr>
          <w:p>
            <w:pPr>
              <w:spacing w:after="0"/>
              <w:rPr>
                <w:sz w:val="10"/>
                <w:szCs w:val="10"/>
                <w:color w:val="auto"/>
              </w:rPr>
            </w:pPr>
          </w:p>
        </w:tc>
        <w:tc>
          <w:tcPr>
            <w:tcW w:w="140" w:type="dxa"/>
            <w:vAlign w:val="bottom"/>
            <w:tcBorders>
              <w:top w:val="single" w:sz="8" w:color="F0FFFF"/>
            </w:tcBorders>
            <w:shd w:val="clear" w:color="auto" w:fill="F0FFFF"/>
          </w:tcPr>
          <w:p>
            <w:pPr>
              <w:spacing w:after="0"/>
              <w:rPr>
                <w:sz w:val="10"/>
                <w:szCs w:val="10"/>
                <w:color w:val="auto"/>
              </w:rPr>
            </w:pPr>
          </w:p>
        </w:tc>
        <w:tc>
          <w:tcPr>
            <w:tcW w:w="1020" w:type="dxa"/>
            <w:vAlign w:val="bottom"/>
            <w:tcBorders>
              <w:top w:val="single" w:sz="8" w:color="auto"/>
            </w:tcBorders>
            <w:gridSpan w:val="5"/>
            <w:shd w:val="clear" w:color="auto" w:fill="F0FFFF"/>
          </w:tcPr>
          <w:p>
            <w:pPr>
              <w:spacing w:after="0" w:line="126" w:lineRule="exact"/>
              <w:rPr>
                <w:sz w:val="20"/>
                <w:szCs w:val="20"/>
                <w:color w:val="auto"/>
              </w:rPr>
            </w:pPr>
            <w:r>
              <w:rPr>
                <w:rFonts w:ascii="Times New Roman" w:cs="Times New Roman" w:eastAsia="Times New Roman" w:hAnsi="Times New Roman"/>
                <w:sz w:val="13"/>
                <w:szCs w:val="13"/>
                <w:color w:val="auto"/>
                <w:w w:val="88"/>
              </w:rPr>
              <w:t>be carried over to the</w:t>
            </w:r>
          </w:p>
        </w:tc>
        <w:tc>
          <w:tcPr>
            <w:tcW w:w="680" w:type="dxa"/>
            <w:vAlign w:val="bottom"/>
            <w:tcBorders>
              <w:top w:val="single" w:sz="8" w:color="F0FFFF"/>
              <w:left w:val="single" w:sz="8" w:color="F0FFFF"/>
              <w:right w:val="single" w:sz="8" w:color="auto"/>
            </w:tcBorders>
            <w:gridSpan w:val="5"/>
            <w:shd w:val="clear" w:color="auto" w:fill="F0FFFF"/>
          </w:tcPr>
          <w:p>
            <w:pPr>
              <w:ind w:left="120"/>
              <w:spacing w:after="0" w:line="126" w:lineRule="exact"/>
              <w:rPr>
                <w:sz w:val="20"/>
                <w:szCs w:val="20"/>
                <w:color w:val="auto"/>
              </w:rPr>
            </w:pPr>
            <w:r>
              <w:rPr>
                <w:rFonts w:ascii="Times New Roman" w:cs="Times New Roman" w:eastAsia="Times New Roman" w:hAnsi="Times New Roman"/>
                <w:sz w:val="13"/>
                <w:szCs w:val="13"/>
                <w:color w:val="auto"/>
              </w:rPr>
              <w:t>next</w:t>
            </w:r>
          </w:p>
        </w:tc>
        <w:tc>
          <w:tcPr>
            <w:tcW w:w="0" w:type="dxa"/>
            <w:vAlign w:val="bottom"/>
          </w:tcPr>
          <w:p>
            <w:pPr>
              <w:spacing w:after="0"/>
              <w:rPr>
                <w:sz w:val="1"/>
                <w:szCs w:val="1"/>
                <w:color w:val="auto"/>
              </w:rPr>
            </w:pPr>
          </w:p>
        </w:tc>
      </w:tr>
      <w:tr>
        <w:trPr>
          <w:trHeight w:val="142"/>
        </w:trPr>
        <w:tc>
          <w:tcPr>
            <w:tcW w:w="520" w:type="dxa"/>
            <w:vAlign w:val="bottom"/>
            <w:tcBorders>
              <w:left w:val="single" w:sz="8" w:color="F0FFFF"/>
            </w:tcBorders>
            <w:shd w:val="clear" w:color="auto" w:fill="F0FFFF"/>
          </w:tcPr>
          <w:p>
            <w:pPr>
              <w:spacing w:after="0"/>
              <w:rPr>
                <w:sz w:val="12"/>
                <w:szCs w:val="12"/>
                <w:color w:val="auto"/>
              </w:rPr>
            </w:pPr>
          </w:p>
        </w:tc>
        <w:tc>
          <w:tcPr>
            <w:tcW w:w="560" w:type="dxa"/>
            <w:vAlign w:val="bottom"/>
            <w:tcBorders>
              <w:right w:val="single" w:sz="8" w:color="auto"/>
            </w:tcBorders>
            <w:shd w:val="clear" w:color="auto" w:fill="F0FFFF"/>
          </w:tcPr>
          <w:p>
            <w:pPr>
              <w:spacing w:after="0"/>
              <w:rPr>
                <w:sz w:val="12"/>
                <w:szCs w:val="12"/>
                <w:color w:val="auto"/>
              </w:rPr>
            </w:pPr>
          </w:p>
        </w:tc>
        <w:tc>
          <w:tcPr>
            <w:tcW w:w="440" w:type="dxa"/>
            <w:vAlign w:val="bottom"/>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tcBorders>
              <w:right w:val="single" w:sz="8" w:color="auto"/>
            </w:tcBorders>
            <w:shd w:val="clear" w:color="auto" w:fill="F0FFFF"/>
          </w:tcPr>
          <w:p>
            <w:pPr>
              <w:spacing w:after="0"/>
              <w:rPr>
                <w:sz w:val="12"/>
                <w:szCs w:val="12"/>
                <w:color w:val="auto"/>
              </w:rPr>
            </w:pPr>
          </w:p>
        </w:tc>
        <w:tc>
          <w:tcPr>
            <w:tcW w:w="1460" w:type="dxa"/>
            <w:vAlign w:val="bottom"/>
            <w:tcBorders>
              <w:right w:val="single" w:sz="8" w:color="auto"/>
            </w:tcBorders>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700" w:type="dxa"/>
            <w:vAlign w:val="bottom"/>
            <w:tcBorders>
              <w:right w:val="single" w:sz="8" w:color="auto"/>
            </w:tcBorders>
            <w:gridSpan w:val="10"/>
            <w:shd w:val="clear" w:color="auto" w:fill="F0FFFF"/>
          </w:tcPr>
          <w:p>
            <w:pPr>
              <w:spacing w:after="0" w:line="142" w:lineRule="exact"/>
              <w:rPr>
                <w:sz w:val="20"/>
                <w:szCs w:val="20"/>
                <w:color w:val="auto"/>
              </w:rPr>
            </w:pPr>
            <w:r>
              <w:rPr>
                <w:rFonts w:ascii="Times New Roman" w:cs="Times New Roman" w:eastAsia="Times New Roman" w:hAnsi="Times New Roman"/>
                <w:sz w:val="13"/>
                <w:szCs w:val="13"/>
                <w:color w:val="auto"/>
              </w:rPr>
              <w:t>Contract Year.</w:t>
            </w:r>
          </w:p>
        </w:tc>
        <w:tc>
          <w:tcPr>
            <w:tcW w:w="0" w:type="dxa"/>
            <w:vAlign w:val="bottom"/>
          </w:tcPr>
          <w:p>
            <w:pPr>
              <w:spacing w:after="0"/>
              <w:rPr>
                <w:sz w:val="1"/>
                <w:szCs w:val="1"/>
                <w:color w:val="auto"/>
              </w:rPr>
            </w:pPr>
          </w:p>
        </w:tc>
      </w:tr>
      <w:tr>
        <w:trPr>
          <w:trHeight w:val="129"/>
        </w:trPr>
        <w:tc>
          <w:tcPr>
            <w:tcW w:w="520" w:type="dxa"/>
            <w:vAlign w:val="bottom"/>
            <w:tcBorders>
              <w:top w:val="single" w:sz="8" w:color="F0FFFF"/>
              <w:left w:val="single" w:sz="8" w:color="F0FFFF"/>
              <w:bottom w:val="single" w:sz="8" w:color="auto"/>
            </w:tcBorders>
            <w:shd w:val="clear" w:color="auto" w:fill="F0FFFF"/>
          </w:tcPr>
          <w:p>
            <w:pPr>
              <w:spacing w:after="0"/>
              <w:rPr>
                <w:sz w:val="11"/>
                <w:szCs w:val="11"/>
                <w:color w:val="auto"/>
              </w:rPr>
            </w:pPr>
          </w:p>
        </w:tc>
        <w:tc>
          <w:tcPr>
            <w:tcW w:w="560" w:type="dxa"/>
            <w:vAlign w:val="bottom"/>
            <w:tcBorders>
              <w:top w:val="single" w:sz="8" w:color="F0FFFF"/>
              <w:bottom w:val="single" w:sz="8" w:color="auto"/>
              <w:right w:val="single" w:sz="8" w:color="auto"/>
            </w:tcBorders>
            <w:shd w:val="clear" w:color="auto" w:fill="F0FFFF"/>
          </w:tcPr>
          <w:p>
            <w:pPr>
              <w:spacing w:after="0"/>
              <w:rPr>
                <w:sz w:val="11"/>
                <w:szCs w:val="11"/>
                <w:color w:val="auto"/>
              </w:rPr>
            </w:pPr>
          </w:p>
        </w:tc>
        <w:tc>
          <w:tcPr>
            <w:tcW w:w="440" w:type="dxa"/>
            <w:vAlign w:val="bottom"/>
            <w:tcBorders>
              <w:top w:val="single" w:sz="8" w:color="F0FFFF"/>
              <w:bottom w:val="single" w:sz="8" w:color="auto"/>
            </w:tcBorders>
            <w:shd w:val="clear" w:color="auto" w:fill="F0FFFF"/>
          </w:tcPr>
          <w:p>
            <w:pPr>
              <w:spacing w:after="0"/>
              <w:rPr>
                <w:sz w:val="11"/>
                <w:szCs w:val="11"/>
                <w:color w:val="auto"/>
              </w:rPr>
            </w:pPr>
          </w:p>
        </w:tc>
        <w:tc>
          <w:tcPr>
            <w:tcW w:w="360" w:type="dxa"/>
            <w:vAlign w:val="bottom"/>
            <w:tcBorders>
              <w:top w:val="single" w:sz="8" w:color="F0FFFF"/>
              <w:bottom w:val="single" w:sz="8" w:color="auto"/>
            </w:tcBorders>
            <w:shd w:val="clear" w:color="auto" w:fill="F0FFFF"/>
          </w:tcPr>
          <w:p>
            <w:pPr>
              <w:spacing w:after="0"/>
              <w:rPr>
                <w:sz w:val="11"/>
                <w:szCs w:val="11"/>
                <w:color w:val="auto"/>
              </w:rPr>
            </w:pPr>
          </w:p>
        </w:tc>
        <w:tc>
          <w:tcPr>
            <w:tcW w:w="80" w:type="dxa"/>
            <w:vAlign w:val="bottom"/>
            <w:tcBorders>
              <w:top w:val="single" w:sz="8" w:color="F0FFFF"/>
              <w:bottom w:val="single" w:sz="8" w:color="auto"/>
            </w:tcBorders>
            <w:shd w:val="clear" w:color="auto" w:fill="F0FFFF"/>
          </w:tcPr>
          <w:p>
            <w:pPr>
              <w:spacing w:after="0"/>
              <w:rPr>
                <w:sz w:val="11"/>
                <w:szCs w:val="11"/>
                <w:color w:val="auto"/>
              </w:rPr>
            </w:pPr>
          </w:p>
        </w:tc>
        <w:tc>
          <w:tcPr>
            <w:tcW w:w="80" w:type="dxa"/>
            <w:vAlign w:val="bottom"/>
            <w:tcBorders>
              <w:top w:val="single" w:sz="8" w:color="F0FFFF"/>
              <w:bottom w:val="single" w:sz="8" w:color="auto"/>
            </w:tcBorders>
            <w:shd w:val="clear" w:color="auto" w:fill="F0FFFF"/>
          </w:tcPr>
          <w:p>
            <w:pPr>
              <w:spacing w:after="0"/>
              <w:rPr>
                <w:sz w:val="11"/>
                <w:szCs w:val="11"/>
                <w:color w:val="auto"/>
              </w:rPr>
            </w:pPr>
          </w:p>
        </w:tc>
        <w:tc>
          <w:tcPr>
            <w:tcW w:w="740" w:type="dxa"/>
            <w:vAlign w:val="bottom"/>
            <w:tcBorders>
              <w:top w:val="single" w:sz="8" w:color="F0FFFF"/>
              <w:bottom w:val="single" w:sz="8" w:color="auto"/>
              <w:right w:val="single" w:sz="8" w:color="auto"/>
            </w:tcBorders>
            <w:shd w:val="clear" w:color="auto" w:fill="F0FFFF"/>
          </w:tcPr>
          <w:p>
            <w:pPr>
              <w:spacing w:after="0"/>
              <w:rPr>
                <w:sz w:val="11"/>
                <w:szCs w:val="11"/>
                <w:color w:val="auto"/>
              </w:rPr>
            </w:pPr>
          </w:p>
        </w:tc>
        <w:tc>
          <w:tcPr>
            <w:tcW w:w="1460" w:type="dxa"/>
            <w:vAlign w:val="bottom"/>
            <w:tcBorders>
              <w:top w:val="single" w:sz="8" w:color="F0FFFF"/>
              <w:bottom w:val="single" w:sz="8" w:color="auto"/>
              <w:right w:val="single" w:sz="8" w:color="auto"/>
            </w:tcBorders>
            <w:shd w:val="clear" w:color="auto" w:fill="F0FFFF"/>
          </w:tcPr>
          <w:p>
            <w:pPr>
              <w:spacing w:after="0"/>
              <w:rPr>
                <w:sz w:val="11"/>
                <w:szCs w:val="11"/>
                <w:color w:val="auto"/>
              </w:rPr>
            </w:pPr>
          </w:p>
        </w:tc>
        <w:tc>
          <w:tcPr>
            <w:tcW w:w="140" w:type="dxa"/>
            <w:vAlign w:val="bottom"/>
            <w:tcBorders>
              <w:top w:val="single" w:sz="8" w:color="F0FFFF"/>
              <w:bottom w:val="single" w:sz="8" w:color="auto"/>
            </w:tcBorders>
            <w:shd w:val="clear" w:color="auto" w:fill="F0FFFF"/>
          </w:tcPr>
          <w:p>
            <w:pPr>
              <w:spacing w:after="0"/>
              <w:rPr>
                <w:sz w:val="11"/>
                <w:szCs w:val="11"/>
                <w:color w:val="auto"/>
              </w:rPr>
            </w:pPr>
          </w:p>
        </w:tc>
        <w:tc>
          <w:tcPr>
            <w:tcW w:w="420" w:type="dxa"/>
            <w:vAlign w:val="bottom"/>
            <w:tcBorders>
              <w:top w:val="single" w:sz="8" w:color="auto"/>
              <w:bottom w:val="single" w:sz="8" w:color="auto"/>
            </w:tcBorders>
            <w:shd w:val="clear" w:color="auto" w:fill="F0FFFF"/>
          </w:tcPr>
          <w:p>
            <w:pPr>
              <w:spacing w:after="0"/>
              <w:rPr>
                <w:sz w:val="11"/>
                <w:szCs w:val="11"/>
                <w:color w:val="auto"/>
              </w:rPr>
            </w:pPr>
          </w:p>
        </w:tc>
        <w:tc>
          <w:tcPr>
            <w:tcW w:w="80" w:type="dxa"/>
            <w:vAlign w:val="bottom"/>
            <w:tcBorders>
              <w:top w:val="single" w:sz="8" w:color="auto"/>
              <w:bottom w:val="single" w:sz="8" w:color="auto"/>
            </w:tcBorders>
            <w:shd w:val="clear" w:color="auto" w:fill="F0FFFF"/>
          </w:tcPr>
          <w:p>
            <w:pPr>
              <w:spacing w:after="0"/>
              <w:rPr>
                <w:sz w:val="11"/>
                <w:szCs w:val="11"/>
                <w:color w:val="auto"/>
              </w:rPr>
            </w:pPr>
          </w:p>
        </w:tc>
        <w:tc>
          <w:tcPr>
            <w:tcW w:w="220" w:type="dxa"/>
            <w:vAlign w:val="bottom"/>
            <w:tcBorders>
              <w:top w:val="single" w:sz="8" w:color="auto"/>
              <w:bottom w:val="single" w:sz="8" w:color="auto"/>
            </w:tcBorders>
            <w:shd w:val="clear" w:color="auto" w:fill="F0FFFF"/>
          </w:tcPr>
          <w:p>
            <w:pPr>
              <w:spacing w:after="0"/>
              <w:rPr>
                <w:sz w:val="11"/>
                <w:szCs w:val="11"/>
                <w:color w:val="auto"/>
              </w:rPr>
            </w:pPr>
          </w:p>
        </w:tc>
        <w:tc>
          <w:tcPr>
            <w:tcW w:w="200" w:type="dxa"/>
            <w:vAlign w:val="bottom"/>
            <w:tcBorders>
              <w:top w:val="single" w:sz="8" w:color="F0FFFF"/>
              <w:bottom w:val="single" w:sz="8" w:color="auto"/>
            </w:tcBorders>
            <w:shd w:val="clear" w:color="auto" w:fill="F0FFFF"/>
          </w:tcPr>
          <w:p>
            <w:pPr>
              <w:spacing w:after="0"/>
              <w:rPr>
                <w:sz w:val="11"/>
                <w:szCs w:val="11"/>
                <w:color w:val="auto"/>
              </w:rPr>
            </w:pPr>
          </w:p>
        </w:tc>
        <w:tc>
          <w:tcPr>
            <w:tcW w:w="100" w:type="dxa"/>
            <w:vAlign w:val="bottom"/>
            <w:tcBorders>
              <w:top w:val="single" w:sz="8" w:color="F0FFFF"/>
              <w:bottom w:val="single" w:sz="8" w:color="auto"/>
            </w:tcBorders>
            <w:shd w:val="clear" w:color="auto" w:fill="F0FFFF"/>
          </w:tcPr>
          <w:p>
            <w:pPr>
              <w:spacing w:after="0"/>
              <w:rPr>
                <w:sz w:val="11"/>
                <w:szCs w:val="11"/>
                <w:color w:val="auto"/>
              </w:rPr>
            </w:pPr>
          </w:p>
        </w:tc>
        <w:tc>
          <w:tcPr>
            <w:tcW w:w="140" w:type="dxa"/>
            <w:vAlign w:val="bottom"/>
            <w:tcBorders>
              <w:top w:val="single" w:sz="8" w:color="F0FFFF"/>
              <w:left w:val="single" w:sz="8" w:color="F0FFFF"/>
              <w:bottom w:val="single" w:sz="8" w:color="auto"/>
              <w:right w:val="single" w:sz="8" w:color="F0FFFF"/>
            </w:tcBorders>
            <w:shd w:val="clear" w:color="auto" w:fill="F0FFFF"/>
          </w:tcPr>
          <w:p>
            <w:pPr>
              <w:spacing w:after="0"/>
              <w:rPr>
                <w:sz w:val="11"/>
                <w:szCs w:val="11"/>
                <w:color w:val="auto"/>
              </w:rPr>
            </w:pPr>
          </w:p>
        </w:tc>
        <w:tc>
          <w:tcPr>
            <w:tcW w:w="100" w:type="dxa"/>
            <w:vAlign w:val="bottom"/>
            <w:tcBorders>
              <w:top w:val="single" w:sz="8" w:color="F0FFFF"/>
              <w:left w:val="single" w:sz="8" w:color="F0FFFF"/>
              <w:bottom w:val="single" w:sz="8" w:color="auto"/>
            </w:tcBorders>
            <w:shd w:val="clear" w:color="auto" w:fill="F0FFFF"/>
          </w:tcPr>
          <w:p>
            <w:pPr>
              <w:spacing w:after="0"/>
              <w:rPr>
                <w:sz w:val="11"/>
                <w:szCs w:val="11"/>
                <w:color w:val="auto"/>
              </w:rPr>
            </w:pPr>
          </w:p>
        </w:tc>
        <w:tc>
          <w:tcPr>
            <w:tcW w:w="140" w:type="dxa"/>
            <w:vAlign w:val="bottom"/>
            <w:tcBorders>
              <w:top w:val="single" w:sz="8" w:color="F0FFFF"/>
              <w:bottom w:val="single" w:sz="8" w:color="auto"/>
            </w:tcBorders>
            <w:shd w:val="clear" w:color="auto" w:fill="F0FFFF"/>
          </w:tcPr>
          <w:p>
            <w:pPr>
              <w:spacing w:after="0"/>
              <w:rPr>
                <w:sz w:val="11"/>
                <w:szCs w:val="11"/>
                <w:color w:val="auto"/>
              </w:rPr>
            </w:pPr>
          </w:p>
        </w:tc>
        <w:tc>
          <w:tcPr>
            <w:tcW w:w="100" w:type="dxa"/>
            <w:vAlign w:val="bottom"/>
            <w:tcBorders>
              <w:top w:val="single" w:sz="8" w:color="F0FFFF"/>
              <w:bottom w:val="single" w:sz="8" w:color="auto"/>
            </w:tcBorders>
            <w:shd w:val="clear" w:color="auto" w:fill="F0FFFF"/>
          </w:tcPr>
          <w:p>
            <w:pPr>
              <w:spacing w:after="0"/>
              <w:rPr>
                <w:sz w:val="11"/>
                <w:szCs w:val="11"/>
                <w:color w:val="auto"/>
              </w:rPr>
            </w:pPr>
          </w:p>
        </w:tc>
        <w:tc>
          <w:tcPr>
            <w:tcW w:w="200" w:type="dxa"/>
            <w:vAlign w:val="bottom"/>
            <w:tcBorders>
              <w:top w:val="single" w:sz="8" w:color="F0FFFF"/>
              <w:bottom w:val="single" w:sz="8" w:color="auto"/>
              <w:right w:val="single" w:sz="8" w:color="auto"/>
            </w:tcBorders>
            <w:shd w:val="clear" w:color="auto" w:fill="F0FF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93915" cy="381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-1533525</wp:posOffset>
            </wp:positionV>
            <wp:extent cx="3842385" cy="2330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842385" cy="233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color w:val="auto"/>
        </w:rPr>
        <w:t>53</w:t>
      </w:r>
    </w:p>
    <w:p>
      <w:pPr>
        <w:sectPr>
          <w:pgSz w:w="11900" w:h="16838" w:orient="portrait"/>
          <w:cols w:equalWidth="0" w:num="1">
            <w:col w:w="9259"/>
          </w:cols>
          <w:pgMar w:left="1200" w:top="1037" w:right="1440" w:bottom="1440" w:gutter="0" w:footer="0" w:header="0"/>
        </w:sectPr>
      </w:pPr>
    </w:p>
    <w:bookmarkStart w:id="55" w:name="page56"/>
    <w:bookmarkEnd w:id="55"/>
    <w:tbl>
      <w:tblPr>
        <w:tblLayout w:type="fixed"/>
        <w:tblInd w:w="10" w:type="dxa"/>
        <w:tblCellMar>
          <w:top w:w="0" w:type="dxa"/>
          <w:left w:w="0" w:type="dxa"/>
          <w:bottom w:w="0" w:type="dxa"/>
          <w:right w:w="0" w:type="dxa"/>
        </w:tblCellMar>
      </w:tblPr>
      <w:tr>
        <w:trPr>
          <w:trHeight w:val="179"/>
        </w:trPr>
        <w:tc>
          <w:tcPr>
            <w:tcW w:w="1020" w:type="dxa"/>
            <w:vAlign w:val="bottom"/>
            <w:tcBorders>
              <w:top w:val="single" w:sz="8" w:color="auto"/>
              <w:left w:val="single" w:sz="8" w:color="auto"/>
              <w:right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280" w:type="dxa"/>
            <w:vAlign w:val="bottom"/>
            <w:tcBorders>
              <w:top w:val="single" w:sz="8" w:color="auto"/>
              <w:right w:val="single" w:sz="8" w:color="auto"/>
            </w:tcBorders>
          </w:tcPr>
          <w:p>
            <w:pPr>
              <w:spacing w:after="0"/>
              <w:rPr>
                <w:sz w:val="15"/>
                <w:szCs w:val="15"/>
                <w:color w:val="auto"/>
              </w:rPr>
            </w:pPr>
          </w:p>
        </w:tc>
        <w:tc>
          <w:tcPr>
            <w:tcW w:w="1320" w:type="dxa"/>
            <w:vAlign w:val="bottom"/>
            <w:tcBorders>
              <w:top w:val="single" w:sz="8" w:color="auto"/>
              <w:right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520" w:type="dxa"/>
            <w:vAlign w:val="bottom"/>
            <w:tcBorders>
              <w:top w:val="single" w:sz="8" w:color="auto"/>
              <w:right w:val="single" w:sz="8" w:color="auto"/>
            </w:tcBorders>
            <w:gridSpan w:val="24"/>
          </w:tcPr>
          <w:p>
            <w:pPr>
              <w:spacing w:after="0"/>
              <w:rPr>
                <w:sz w:val="20"/>
                <w:szCs w:val="20"/>
                <w:color w:val="auto"/>
              </w:rPr>
            </w:pPr>
            <w:r>
              <w:rPr>
                <w:rFonts w:ascii="Times New Roman" w:cs="Times New Roman" w:eastAsia="Times New Roman" w:hAnsi="Times New Roman"/>
                <w:sz w:val="13"/>
                <w:szCs w:val="13"/>
                <w:b w:val="1"/>
                <w:bCs w:val="1"/>
                <w:color w:val="auto"/>
              </w:rPr>
              <w:t>Brief Description of</w:t>
            </w:r>
          </w:p>
        </w:tc>
        <w:tc>
          <w:tcPr>
            <w:tcW w:w="0" w:type="dxa"/>
            <w:vAlign w:val="bottom"/>
          </w:tcPr>
          <w:p>
            <w:pPr>
              <w:spacing w:after="0"/>
              <w:rPr>
                <w:sz w:val="1"/>
                <w:szCs w:val="1"/>
                <w:color w:val="auto"/>
              </w:rPr>
            </w:pPr>
          </w:p>
        </w:tc>
      </w:tr>
      <w:tr>
        <w:trPr>
          <w:trHeight w:val="184"/>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Name of Benefit</w:t>
            </w: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right w:val="single" w:sz="8" w:color="auto"/>
            </w:tcBorders>
            <w:gridSpan w:val="5"/>
          </w:tcPr>
          <w:p>
            <w:pPr>
              <w:ind w:left="400"/>
              <w:spacing w:after="0"/>
              <w:rPr>
                <w:sz w:val="20"/>
                <w:szCs w:val="20"/>
                <w:color w:val="auto"/>
              </w:rPr>
            </w:pPr>
            <w:r>
              <w:rPr>
                <w:rFonts w:ascii="Times New Roman" w:cs="Times New Roman" w:eastAsia="Times New Roman" w:hAnsi="Times New Roman"/>
                <w:sz w:val="13"/>
                <w:szCs w:val="13"/>
                <w:b w:val="1"/>
                <w:bCs w:val="1"/>
                <w:color w:val="auto"/>
              </w:rPr>
              <w:t>Purpose</w:t>
            </w:r>
          </w:p>
        </w:tc>
        <w:tc>
          <w:tcPr>
            <w:tcW w:w="132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3"/>
                <w:szCs w:val="13"/>
                <w:b w:val="1"/>
                <w:bCs w:val="1"/>
                <w:color w:val="auto"/>
              </w:rPr>
              <w:t>Maximum Fee</w:t>
            </w:r>
          </w:p>
        </w:tc>
        <w:tc>
          <w:tcPr>
            <w:tcW w:w="140" w:type="dxa"/>
            <w:vAlign w:val="bottom"/>
            <w:tcBorders>
              <w:bottom w:val="single" w:sz="8" w:color="auto"/>
            </w:tcBorders>
          </w:tcPr>
          <w:p>
            <w:pPr>
              <w:spacing w:after="0"/>
              <w:rPr>
                <w:sz w:val="15"/>
                <w:szCs w:val="15"/>
                <w:color w:val="auto"/>
              </w:rPr>
            </w:pPr>
          </w:p>
        </w:tc>
        <w:tc>
          <w:tcPr>
            <w:tcW w:w="1760" w:type="dxa"/>
            <w:vAlign w:val="bottom"/>
            <w:tcBorders>
              <w:bottom w:val="single" w:sz="8" w:color="auto"/>
              <w:right w:val="single" w:sz="8" w:color="auto"/>
            </w:tcBorders>
            <w:gridSpan w:val="27"/>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Restrictions/Limitations</w:t>
            </w:r>
          </w:p>
        </w:tc>
        <w:tc>
          <w:tcPr>
            <w:tcW w:w="0" w:type="dxa"/>
            <w:vAlign w:val="bottom"/>
          </w:tcPr>
          <w:p>
            <w:pPr>
              <w:spacing w:after="0"/>
              <w:rPr>
                <w:sz w:val="1"/>
                <w:szCs w:val="1"/>
                <w:color w:val="auto"/>
              </w:rPr>
            </w:pPr>
          </w:p>
        </w:tc>
      </w:tr>
      <w:tr>
        <w:trPr>
          <w:trHeight w:val="139"/>
        </w:trPr>
        <w:tc>
          <w:tcPr>
            <w:tcW w:w="1020" w:type="dxa"/>
            <w:vAlign w:val="bottom"/>
            <w:tcBorders>
              <w:left w:val="single" w:sz="8" w:color="auto"/>
              <w:right w:val="single" w:sz="8" w:color="auto"/>
            </w:tcBorders>
            <w:shd w:val="clear" w:color="auto" w:fill="F0FFFF"/>
          </w:tcPr>
          <w:p>
            <w:pPr>
              <w:ind w:left="40"/>
              <w:spacing w:after="0" w:line="139" w:lineRule="exact"/>
              <w:rPr>
                <w:sz w:val="20"/>
                <w:szCs w:val="20"/>
                <w:color w:val="auto"/>
              </w:rPr>
            </w:pPr>
            <w:r>
              <w:rPr>
                <w:rFonts w:ascii="Times New Roman" w:cs="Times New Roman" w:eastAsia="Times New Roman" w:hAnsi="Times New Roman"/>
                <w:sz w:val="13"/>
                <w:szCs w:val="13"/>
                <w:b w:val="1"/>
                <w:bCs w:val="1"/>
                <w:color w:val="auto"/>
              </w:rPr>
              <w:t>Performance</w:t>
            </w:r>
          </w:p>
        </w:tc>
        <w:tc>
          <w:tcPr>
            <w:tcW w:w="1840" w:type="dxa"/>
            <w:vAlign w:val="bottom"/>
            <w:tcBorders>
              <w:right w:val="single" w:sz="8" w:color="auto"/>
            </w:tcBorders>
            <w:gridSpan w:val="7"/>
            <w:shd w:val="clear" w:color="auto" w:fill="F0FFFF"/>
          </w:tcPr>
          <w:p>
            <w:pPr>
              <w:ind w:left="20"/>
              <w:spacing w:after="0" w:line="139" w:lineRule="exact"/>
              <w:rPr>
                <w:sz w:val="20"/>
                <w:szCs w:val="20"/>
                <w:color w:val="auto"/>
              </w:rPr>
            </w:pPr>
            <w:r>
              <w:rPr>
                <w:rFonts w:ascii="Times New Roman" w:cs="Times New Roman" w:eastAsia="Times New Roman" w:hAnsi="Times New Roman"/>
                <w:sz w:val="13"/>
                <w:szCs w:val="13"/>
                <w:color w:val="auto"/>
              </w:rPr>
              <w:t>By providing Notice to us, allows</w:t>
            </w:r>
          </w:p>
        </w:tc>
        <w:tc>
          <w:tcPr>
            <w:tcW w:w="1320" w:type="dxa"/>
            <w:vAlign w:val="bottom"/>
            <w:tcBorders>
              <w:right w:val="single" w:sz="8" w:color="auto"/>
            </w:tcBorders>
            <w:shd w:val="clear" w:color="auto" w:fill="F0FFFF"/>
          </w:tcPr>
          <w:p>
            <w:pPr>
              <w:ind w:left="20"/>
              <w:spacing w:after="0" w:line="139" w:lineRule="exact"/>
              <w:rPr>
                <w:sz w:val="20"/>
                <w:szCs w:val="20"/>
                <w:color w:val="auto"/>
              </w:rPr>
            </w:pPr>
            <w:r>
              <w:rPr>
                <w:rFonts w:ascii="Times New Roman" w:cs="Times New Roman" w:eastAsia="Times New Roman" w:hAnsi="Times New Roman"/>
                <w:sz w:val="13"/>
                <w:szCs w:val="13"/>
                <w:color w:val="auto"/>
              </w:rPr>
              <w:t>N/A</w:t>
            </w:r>
          </w:p>
        </w:tc>
        <w:tc>
          <w:tcPr>
            <w:tcW w:w="1900" w:type="dxa"/>
            <w:vAlign w:val="bottom"/>
            <w:tcBorders>
              <w:right w:val="single" w:sz="8" w:color="auto"/>
            </w:tcBorders>
            <w:gridSpan w:val="28"/>
            <w:shd w:val="clear" w:color="auto" w:fill="F0FFFF"/>
          </w:tcPr>
          <w:p>
            <w:pPr>
              <w:ind w:left="20"/>
              <w:spacing w:after="0" w:line="139" w:lineRule="exact"/>
              <w:rPr>
                <w:sz w:val="20"/>
                <w:szCs w:val="20"/>
                <w:color w:val="auto"/>
              </w:rPr>
            </w:pPr>
            <w:r>
              <w:rPr>
                <w:rFonts w:ascii="Times New Roman" w:cs="Times New Roman" w:eastAsia="Times New Roman" w:hAnsi="Times New Roman"/>
                <w:sz w:val="13"/>
                <w:szCs w:val="13"/>
                <w:color w:val="auto"/>
              </w:rPr>
              <w:t>● Only available during the</w:t>
            </w:r>
          </w:p>
        </w:tc>
        <w:tc>
          <w:tcPr>
            <w:tcW w:w="0" w:type="dxa"/>
            <w:vAlign w:val="bottom"/>
          </w:tcPr>
          <w:p>
            <w:pPr>
              <w:spacing w:after="0"/>
              <w:rPr>
                <w:sz w:val="1"/>
                <w:szCs w:val="1"/>
                <w:color w:val="auto"/>
              </w:rPr>
            </w:pPr>
          </w:p>
        </w:tc>
      </w:tr>
      <w:tr>
        <w:trPr>
          <w:trHeight w:val="20"/>
        </w:trPr>
        <w:tc>
          <w:tcPr>
            <w:tcW w:w="1020" w:type="dxa"/>
            <w:vAlign w:val="bottom"/>
            <w:tcBorders>
              <w:left w:val="single" w:sz="8" w:color="auto"/>
              <w:right w:val="single" w:sz="8" w:color="auto"/>
            </w:tcBorders>
            <w:vMerge w:val="restart"/>
            <w:shd w:val="clear" w:color="auto" w:fill="F0FFFF"/>
          </w:tcPr>
          <w:p>
            <w:pPr>
              <w:ind w:left="40"/>
              <w:spacing w:after="0"/>
              <w:rPr>
                <w:sz w:val="20"/>
                <w:szCs w:val="20"/>
                <w:color w:val="auto"/>
              </w:rPr>
            </w:pPr>
            <w:r>
              <w:rPr>
                <w:rFonts w:ascii="Times New Roman" w:cs="Times New Roman" w:eastAsia="Times New Roman" w:hAnsi="Times New Roman"/>
                <w:sz w:val="13"/>
                <w:szCs w:val="13"/>
                <w:b w:val="1"/>
                <w:bCs w:val="1"/>
                <w:color w:val="auto"/>
              </w:rPr>
              <w:t>Lock</w:t>
            </w:r>
          </w:p>
        </w:tc>
        <w:tc>
          <w:tcPr>
            <w:tcW w:w="20" w:type="dxa"/>
            <w:vAlign w:val="bottom"/>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480" w:type="dxa"/>
            <w:vAlign w:val="bottom"/>
            <w:tcBorders>
              <w:right w:val="single" w:sz="8" w:color="auto"/>
            </w:tcBorders>
            <w:shd w:val="clear" w:color="auto" w:fill="F0FF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F0FFFF"/>
          </w:tcPr>
          <w:p>
            <w:pPr>
              <w:spacing w:after="0" w:line="20" w:lineRule="exact"/>
              <w:rPr>
                <w:sz w:val="1"/>
                <w:szCs w:val="1"/>
                <w:color w:val="auto"/>
              </w:rPr>
            </w:pPr>
          </w:p>
        </w:tc>
        <w:tc>
          <w:tcPr>
            <w:tcW w:w="280" w:type="dxa"/>
            <w:vAlign w:val="bottom"/>
            <w:tcBorders>
              <w:right w:val="single" w:sz="8" w:color="auto"/>
            </w:tcBorders>
            <w:shd w:val="clear" w:color="auto" w:fill="F0FFFF"/>
          </w:tcPr>
          <w:p>
            <w:pPr>
              <w:spacing w:after="0" w:line="20" w:lineRule="exact"/>
              <w:rPr>
                <w:sz w:val="1"/>
                <w:szCs w:val="1"/>
                <w:color w:val="auto"/>
              </w:rPr>
            </w:pPr>
          </w:p>
        </w:tc>
        <w:tc>
          <w:tcPr>
            <w:tcW w:w="1320" w:type="dxa"/>
            <w:vAlign w:val="bottom"/>
            <w:tcBorders>
              <w:right w:val="single" w:sz="8" w:color="auto"/>
            </w:tcBorders>
            <w:shd w:val="clear" w:color="auto" w:fill="F0FFFF"/>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1760" w:type="dxa"/>
            <w:vAlign w:val="bottom"/>
            <w:tcBorders>
              <w:left w:val="single" w:sz="8" w:color="F0FFFF"/>
              <w:right w:val="single" w:sz="8" w:color="auto"/>
            </w:tcBorders>
            <w:gridSpan w:val="27"/>
            <w:vMerge w:val="restart"/>
            <w:shd w:val="clear" w:color="auto" w:fill="F0FFFF"/>
          </w:tcPr>
          <w:p>
            <w:pPr>
              <w:spacing w:after="0"/>
              <w:rPr>
                <w:sz w:val="20"/>
                <w:szCs w:val="20"/>
                <w:color w:val="auto"/>
              </w:rPr>
            </w:pPr>
            <w:r>
              <w:rPr>
                <w:rFonts w:ascii="Times New Roman" w:cs="Times New Roman" w:eastAsia="Times New Roman" w:hAnsi="Times New Roman"/>
                <w:sz w:val="13"/>
                <w:szCs w:val="13"/>
                <w:color w:val="auto"/>
              </w:rPr>
              <w:t>Accumulation Period.</w:t>
            </w:r>
          </w:p>
        </w:tc>
        <w:tc>
          <w:tcPr>
            <w:tcW w:w="0" w:type="dxa"/>
            <w:vAlign w:val="bottom"/>
          </w:tcPr>
          <w:p>
            <w:pPr>
              <w:spacing w:after="0" w:line="20" w:lineRule="exact"/>
              <w:rPr>
                <w:sz w:val="1"/>
                <w:szCs w:val="1"/>
                <w:color w:val="auto"/>
              </w:rPr>
            </w:pPr>
          </w:p>
        </w:tc>
      </w:tr>
      <w:tr>
        <w:trPr>
          <w:trHeight w:val="129"/>
        </w:trPr>
        <w:tc>
          <w:tcPr>
            <w:tcW w:w="1020" w:type="dxa"/>
            <w:vAlign w:val="bottom"/>
            <w:tcBorders>
              <w:left w:val="single" w:sz="8" w:color="auto"/>
              <w:right w:val="single" w:sz="8" w:color="auto"/>
            </w:tcBorders>
            <w:vMerge w:val="continue"/>
            <w:shd w:val="clear" w:color="auto" w:fill="F0FFFF"/>
          </w:tcPr>
          <w:p>
            <w:pPr>
              <w:spacing w:after="0"/>
              <w:rPr>
                <w:sz w:val="11"/>
                <w:szCs w:val="11"/>
                <w:color w:val="auto"/>
              </w:rPr>
            </w:pPr>
          </w:p>
        </w:tc>
        <w:tc>
          <w:tcPr>
            <w:tcW w:w="1840" w:type="dxa"/>
            <w:vAlign w:val="bottom"/>
            <w:tcBorders>
              <w:right w:val="single" w:sz="8" w:color="auto"/>
            </w:tcBorders>
            <w:gridSpan w:val="7"/>
            <w:shd w:val="clear" w:color="auto" w:fill="F0FFFF"/>
          </w:tcPr>
          <w:p>
            <w:pPr>
              <w:ind w:left="20"/>
              <w:spacing w:after="0" w:line="129" w:lineRule="exact"/>
              <w:rPr>
                <w:sz w:val="20"/>
                <w:szCs w:val="20"/>
                <w:color w:val="auto"/>
              </w:rPr>
            </w:pPr>
            <w:r>
              <w:rPr>
                <w:rFonts w:ascii="Times New Roman" w:cs="Times New Roman" w:eastAsia="Times New Roman" w:hAnsi="Times New Roman"/>
                <w:sz w:val="13"/>
                <w:szCs w:val="13"/>
                <w:color w:val="auto"/>
              </w:rPr>
              <w:t>you to lock the Interim Value of a</w:t>
            </w:r>
          </w:p>
        </w:tc>
        <w:tc>
          <w:tcPr>
            <w:tcW w:w="1320" w:type="dxa"/>
            <w:vAlign w:val="bottom"/>
            <w:tcBorders>
              <w:right w:val="single" w:sz="8" w:color="auto"/>
            </w:tcBorders>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760" w:type="dxa"/>
            <w:vAlign w:val="bottom"/>
            <w:tcBorders>
              <w:left w:val="single" w:sz="8" w:color="F0FFFF"/>
              <w:right w:val="single" w:sz="8" w:color="auto"/>
            </w:tcBorders>
            <w:gridSpan w:val="27"/>
            <w:vMerge w:val="continue"/>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840" w:type="dxa"/>
            <w:vAlign w:val="bottom"/>
            <w:gridSpan w:val="4"/>
            <w:vMerge w:val="restart"/>
            <w:shd w:val="clear" w:color="auto" w:fill="F0FFFF"/>
          </w:tcPr>
          <w:p>
            <w:pPr>
              <w:ind w:left="20"/>
              <w:spacing w:after="0" w:line="139" w:lineRule="exact"/>
              <w:rPr>
                <w:sz w:val="20"/>
                <w:szCs w:val="20"/>
                <w:color w:val="auto"/>
              </w:rPr>
            </w:pPr>
            <w:r>
              <w:rPr>
                <w:rFonts w:ascii="Times New Roman" w:cs="Times New Roman" w:eastAsia="Times New Roman" w:hAnsi="Times New Roman"/>
                <w:sz w:val="13"/>
                <w:szCs w:val="13"/>
                <w:color w:val="auto"/>
              </w:rPr>
              <w:t>Shield Option</w:t>
            </w:r>
          </w:p>
        </w:tc>
        <w:tc>
          <w:tcPr>
            <w:tcW w:w="72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F0FFFF"/>
          </w:tcPr>
          <w:p>
            <w:pPr>
              <w:spacing w:after="0" w:line="20" w:lineRule="exact"/>
              <w:rPr>
                <w:sz w:val="1"/>
                <w:szCs w:val="1"/>
                <w:color w:val="auto"/>
              </w:rPr>
            </w:pPr>
          </w:p>
        </w:tc>
        <w:tc>
          <w:tcPr>
            <w:tcW w:w="1320" w:type="dxa"/>
            <w:vAlign w:val="bottom"/>
            <w:tcBorders>
              <w:right w:val="single" w:sz="8" w:color="auto"/>
            </w:tcBorders>
            <w:shd w:val="clear" w:color="auto" w:fill="F0FFFF"/>
          </w:tcPr>
          <w:p>
            <w:pPr>
              <w:spacing w:after="0" w:line="20" w:lineRule="exact"/>
              <w:rPr>
                <w:sz w:val="1"/>
                <w:szCs w:val="1"/>
                <w:color w:val="auto"/>
              </w:rPr>
            </w:pPr>
          </w:p>
        </w:tc>
        <w:tc>
          <w:tcPr>
            <w:tcW w:w="140" w:type="dxa"/>
            <w:vAlign w:val="bottom"/>
            <w:vMerge w:val="restart"/>
            <w:shd w:val="clear" w:color="auto" w:fill="F0FFFF"/>
          </w:tcPr>
          <w:p>
            <w:pPr>
              <w:ind w:left="20"/>
              <w:spacing w:after="0" w:line="139"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auto"/>
              <w:right w:val="single" w:sz="8" w:color="F0FFFF"/>
            </w:tcBorders>
            <w:shd w:val="clear" w:color="auto" w:fill="000000"/>
          </w:tcPr>
          <w:p>
            <w:pPr>
              <w:spacing w:after="0" w:line="20" w:lineRule="exact"/>
              <w:rPr>
                <w:sz w:val="1"/>
                <w:szCs w:val="1"/>
                <w:color w:val="auto"/>
              </w:rPr>
            </w:pPr>
          </w:p>
        </w:tc>
        <w:tc>
          <w:tcPr>
            <w:tcW w:w="540" w:type="dxa"/>
            <w:vAlign w:val="bottom"/>
            <w:tcBorders>
              <w:left w:val="single" w:sz="8" w:color="F0FFFF"/>
              <w:right w:val="single" w:sz="8" w:color="auto"/>
            </w:tcBorders>
            <w:gridSpan w:val="15"/>
            <w:vMerge w:val="restart"/>
            <w:shd w:val="clear" w:color="auto" w:fill="F0FFFF"/>
          </w:tcPr>
          <w:p>
            <w:pPr>
              <w:jc w:val="right"/>
              <w:ind w:right="440"/>
              <w:spacing w:after="0"/>
              <w:rPr>
                <w:sz w:val="20"/>
                <w:szCs w:val="20"/>
                <w:color w:val="auto"/>
              </w:rPr>
            </w:pPr>
            <w:r>
              <w:rPr>
                <w:rFonts w:ascii="Times New Roman" w:cs="Times New Roman" w:eastAsia="Times New Roman" w:hAnsi="Times New Roman"/>
                <w:sz w:val="7"/>
                <w:szCs w:val="7"/>
                <w:color w:val="auto"/>
                <w:w w:val="78"/>
              </w:rPr>
              <w:t>any</w:t>
            </w:r>
          </w:p>
        </w:tc>
        <w:tc>
          <w:tcPr>
            <w:tcW w:w="0" w:type="dxa"/>
            <w:vAlign w:val="bottom"/>
          </w:tcPr>
          <w:p>
            <w:pPr>
              <w:spacing w:after="0" w:line="20" w:lineRule="exact"/>
              <w:rPr>
                <w:sz w:val="1"/>
                <w:szCs w:val="1"/>
                <w:color w:val="auto"/>
              </w:rPr>
            </w:pPr>
          </w:p>
        </w:tc>
      </w:tr>
      <w:tr>
        <w:trPr>
          <w:trHeight w:val="119"/>
        </w:trPr>
        <w:tc>
          <w:tcPr>
            <w:tcW w:w="1020" w:type="dxa"/>
            <w:vAlign w:val="bottom"/>
            <w:tcBorders>
              <w:left w:val="single" w:sz="8" w:color="auto"/>
              <w:right w:val="single" w:sz="8" w:color="auto"/>
            </w:tcBorders>
            <w:shd w:val="clear" w:color="auto" w:fill="F0FFFF"/>
          </w:tcPr>
          <w:p>
            <w:pPr>
              <w:spacing w:after="0"/>
              <w:rPr>
                <w:sz w:val="10"/>
                <w:szCs w:val="10"/>
                <w:color w:val="auto"/>
              </w:rPr>
            </w:pPr>
          </w:p>
        </w:tc>
        <w:tc>
          <w:tcPr>
            <w:tcW w:w="840" w:type="dxa"/>
            <w:vAlign w:val="bottom"/>
            <w:gridSpan w:val="4"/>
            <w:vMerge w:val="continue"/>
            <w:shd w:val="clear" w:color="auto" w:fill="F0FFFF"/>
          </w:tcPr>
          <w:p>
            <w:pPr>
              <w:spacing w:after="0"/>
              <w:rPr>
                <w:sz w:val="10"/>
                <w:szCs w:val="10"/>
                <w:color w:val="auto"/>
              </w:rPr>
            </w:pPr>
          </w:p>
        </w:tc>
        <w:tc>
          <w:tcPr>
            <w:tcW w:w="1000" w:type="dxa"/>
            <w:vAlign w:val="bottom"/>
            <w:tcBorders>
              <w:right w:val="single" w:sz="8" w:color="auto"/>
            </w:tcBorders>
            <w:gridSpan w:val="3"/>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auto"/>
              </w:rPr>
              <w:t>once during the</w:t>
            </w:r>
          </w:p>
        </w:tc>
        <w:tc>
          <w:tcPr>
            <w:tcW w:w="1320" w:type="dxa"/>
            <w:vAlign w:val="bottom"/>
            <w:tcBorders>
              <w:right w:val="single" w:sz="8" w:color="auto"/>
            </w:tcBorders>
            <w:shd w:val="clear" w:color="auto" w:fill="F0FFFF"/>
          </w:tcPr>
          <w:p>
            <w:pPr>
              <w:spacing w:after="0"/>
              <w:rPr>
                <w:sz w:val="10"/>
                <w:szCs w:val="10"/>
                <w:color w:val="auto"/>
              </w:rPr>
            </w:pPr>
          </w:p>
        </w:tc>
        <w:tc>
          <w:tcPr>
            <w:tcW w:w="140" w:type="dxa"/>
            <w:vAlign w:val="bottom"/>
            <w:vMerge w:val="continue"/>
            <w:shd w:val="clear" w:color="auto" w:fill="F0FFFF"/>
          </w:tcPr>
          <w:p>
            <w:pPr>
              <w:spacing w:after="0"/>
              <w:rPr>
                <w:sz w:val="10"/>
                <w:szCs w:val="10"/>
                <w:color w:val="auto"/>
              </w:rPr>
            </w:pPr>
          </w:p>
        </w:tc>
        <w:tc>
          <w:tcPr>
            <w:tcW w:w="1220" w:type="dxa"/>
            <w:vAlign w:val="bottom"/>
            <w:tcBorders>
              <w:left w:val="single" w:sz="8" w:color="F0FFFF"/>
              <w:right w:val="single" w:sz="8" w:color="F0FFFF"/>
            </w:tcBorders>
            <w:gridSpan w:val="12"/>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auto"/>
              </w:rPr>
              <w:t>May be requested on</w:t>
            </w:r>
          </w:p>
        </w:tc>
        <w:tc>
          <w:tcPr>
            <w:tcW w:w="540" w:type="dxa"/>
            <w:vAlign w:val="bottom"/>
            <w:tcBorders>
              <w:left w:val="single" w:sz="8" w:color="F0FFFF"/>
              <w:right w:val="single" w:sz="8" w:color="auto"/>
            </w:tcBorders>
            <w:gridSpan w:val="15"/>
            <w:vMerge w:val="continue"/>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020" w:type="dxa"/>
            <w:vAlign w:val="bottom"/>
            <w:tcBorders>
              <w:top w:val="single" w:sz="8" w:color="F0FFFF"/>
              <w:left w:val="single" w:sz="8" w:color="auto"/>
              <w:right w:val="single" w:sz="8" w:color="auto"/>
            </w:tcBorders>
            <w:shd w:val="clear" w:color="auto" w:fill="F0FFFF"/>
          </w:tcPr>
          <w:p>
            <w:pPr>
              <w:spacing w:after="0"/>
              <w:rPr>
                <w:sz w:val="11"/>
                <w:szCs w:val="11"/>
                <w:color w:val="auto"/>
              </w:rPr>
            </w:pPr>
          </w:p>
        </w:tc>
        <w:tc>
          <w:tcPr>
            <w:tcW w:w="20" w:type="dxa"/>
            <w:vAlign w:val="bottom"/>
            <w:tcBorders>
              <w:top w:val="single" w:sz="8" w:color="F0FFFF"/>
            </w:tcBorders>
            <w:shd w:val="clear" w:color="auto" w:fill="F0FFFF"/>
          </w:tcPr>
          <w:p>
            <w:pPr>
              <w:spacing w:after="0"/>
              <w:rPr>
                <w:sz w:val="11"/>
                <w:szCs w:val="11"/>
                <w:color w:val="auto"/>
              </w:rPr>
            </w:pPr>
          </w:p>
        </w:tc>
        <w:tc>
          <w:tcPr>
            <w:tcW w:w="740" w:type="dxa"/>
            <w:vAlign w:val="bottom"/>
            <w:tcBorders>
              <w:top w:val="single" w:sz="8" w:color="auto"/>
              <w:right w:val="single" w:sz="8" w:color="F0FFFF"/>
            </w:tcBorders>
            <w:gridSpan w:val="2"/>
            <w:shd w:val="clear" w:color="auto" w:fill="F0FFFF"/>
          </w:tcPr>
          <w:p>
            <w:pPr>
              <w:spacing w:after="0" w:line="129" w:lineRule="exact"/>
              <w:rPr>
                <w:sz w:val="20"/>
                <w:szCs w:val="20"/>
                <w:color w:val="auto"/>
              </w:rPr>
            </w:pPr>
            <w:r>
              <w:rPr>
                <w:rFonts w:ascii="Times New Roman" w:cs="Times New Roman" w:eastAsia="Times New Roman" w:hAnsi="Times New Roman"/>
                <w:sz w:val="13"/>
                <w:szCs w:val="13"/>
                <w:color w:val="auto"/>
              </w:rPr>
              <w:t>Term</w:t>
            </w:r>
          </w:p>
        </w:tc>
        <w:tc>
          <w:tcPr>
            <w:tcW w:w="1080" w:type="dxa"/>
            <w:vAlign w:val="bottom"/>
            <w:tcBorders>
              <w:top w:val="single" w:sz="8" w:color="F0FFFF"/>
              <w:right w:val="single" w:sz="8" w:color="auto"/>
            </w:tcBorders>
            <w:gridSpan w:val="4"/>
            <w:shd w:val="clear" w:color="auto" w:fill="F0FFFF"/>
          </w:tcPr>
          <w:p>
            <w:pPr>
              <w:spacing w:after="0"/>
              <w:rPr>
                <w:sz w:val="11"/>
                <w:szCs w:val="11"/>
                <w:color w:val="auto"/>
              </w:rPr>
            </w:pPr>
          </w:p>
        </w:tc>
        <w:tc>
          <w:tcPr>
            <w:tcW w:w="1320" w:type="dxa"/>
            <w:vAlign w:val="bottom"/>
            <w:tcBorders>
              <w:top w:val="single" w:sz="8" w:color="F0FFFF"/>
              <w:right w:val="single" w:sz="8" w:color="auto"/>
            </w:tcBorders>
            <w:shd w:val="clear" w:color="auto" w:fill="F0FFFF"/>
          </w:tcPr>
          <w:p>
            <w:pPr>
              <w:spacing w:after="0"/>
              <w:rPr>
                <w:sz w:val="11"/>
                <w:szCs w:val="11"/>
                <w:color w:val="auto"/>
              </w:rPr>
            </w:pPr>
          </w:p>
        </w:tc>
        <w:tc>
          <w:tcPr>
            <w:tcW w:w="140" w:type="dxa"/>
            <w:vAlign w:val="bottom"/>
            <w:tcBorders>
              <w:top w:val="single" w:sz="8" w:color="F0FFFF"/>
            </w:tcBorders>
            <w:shd w:val="clear" w:color="auto" w:fill="F0FFFF"/>
          </w:tcPr>
          <w:p>
            <w:pPr>
              <w:spacing w:after="0"/>
              <w:rPr>
                <w:sz w:val="11"/>
                <w:szCs w:val="11"/>
                <w:color w:val="auto"/>
              </w:rPr>
            </w:pPr>
          </w:p>
        </w:tc>
        <w:tc>
          <w:tcPr>
            <w:tcW w:w="1760" w:type="dxa"/>
            <w:vAlign w:val="bottom"/>
            <w:tcBorders>
              <w:top w:val="single" w:sz="8" w:color="F0FFFF"/>
              <w:left w:val="single" w:sz="8" w:color="F0FFFF"/>
              <w:right w:val="single" w:sz="8" w:color="auto"/>
            </w:tcBorders>
            <w:gridSpan w:val="27"/>
            <w:shd w:val="clear" w:color="auto" w:fill="F0FFFF"/>
          </w:tcPr>
          <w:p>
            <w:pPr>
              <w:spacing w:after="0" w:line="129" w:lineRule="exact"/>
              <w:rPr>
                <w:sz w:val="20"/>
                <w:szCs w:val="20"/>
                <w:color w:val="auto"/>
              </w:rPr>
            </w:pPr>
            <w:r>
              <w:rPr>
                <w:rFonts w:ascii="Times New Roman" w:cs="Times New Roman" w:eastAsia="Times New Roman" w:hAnsi="Times New Roman"/>
                <w:sz w:val="13"/>
                <w:szCs w:val="13"/>
                <w:color w:val="auto"/>
              </w:rPr>
              <w:t>Business Day prior to the Term</w:t>
            </w:r>
          </w:p>
        </w:tc>
        <w:tc>
          <w:tcPr>
            <w:tcW w:w="0" w:type="dxa"/>
            <w:vAlign w:val="bottom"/>
          </w:tcPr>
          <w:p>
            <w:pPr>
              <w:spacing w:after="0"/>
              <w:rPr>
                <w:sz w:val="1"/>
                <w:szCs w:val="1"/>
                <w:color w:val="auto"/>
              </w:rPr>
            </w:pPr>
          </w:p>
        </w:tc>
      </w:tr>
      <w:tr>
        <w:trPr>
          <w:trHeight w:val="129"/>
        </w:trPr>
        <w:tc>
          <w:tcPr>
            <w:tcW w:w="1020" w:type="dxa"/>
            <w:vAlign w:val="bottom"/>
            <w:tcBorders>
              <w:top w:val="single" w:sz="8" w:color="F0FFFF"/>
              <w:left w:val="single" w:sz="8" w:color="auto"/>
              <w:right w:val="single" w:sz="8" w:color="auto"/>
            </w:tcBorders>
            <w:shd w:val="clear" w:color="auto" w:fill="F0FFFF"/>
          </w:tcPr>
          <w:p>
            <w:pPr>
              <w:spacing w:after="0"/>
              <w:rPr>
                <w:sz w:val="11"/>
                <w:szCs w:val="11"/>
                <w:color w:val="auto"/>
              </w:rPr>
            </w:pPr>
          </w:p>
        </w:tc>
        <w:tc>
          <w:tcPr>
            <w:tcW w:w="20" w:type="dxa"/>
            <w:vAlign w:val="bottom"/>
            <w:tcBorders>
              <w:top w:val="single" w:sz="8" w:color="F0FFFF"/>
            </w:tcBorders>
            <w:shd w:val="clear" w:color="auto" w:fill="F0FFFF"/>
          </w:tcPr>
          <w:p>
            <w:pPr>
              <w:spacing w:after="0"/>
              <w:rPr>
                <w:sz w:val="11"/>
                <w:szCs w:val="11"/>
                <w:color w:val="auto"/>
              </w:rPr>
            </w:pPr>
          </w:p>
        </w:tc>
        <w:tc>
          <w:tcPr>
            <w:tcW w:w="260" w:type="dxa"/>
            <w:vAlign w:val="bottom"/>
            <w:tcBorders>
              <w:top w:val="single" w:sz="8" w:color="auto"/>
            </w:tcBorders>
            <w:shd w:val="clear" w:color="auto" w:fill="F0FFFF"/>
          </w:tcPr>
          <w:p>
            <w:pPr>
              <w:spacing w:after="0"/>
              <w:rPr>
                <w:sz w:val="11"/>
                <w:szCs w:val="11"/>
                <w:color w:val="auto"/>
              </w:rPr>
            </w:pPr>
          </w:p>
        </w:tc>
        <w:tc>
          <w:tcPr>
            <w:tcW w:w="480" w:type="dxa"/>
            <w:vAlign w:val="bottom"/>
            <w:tcBorders>
              <w:top w:val="single" w:sz="8" w:color="F0FFFF"/>
              <w:right w:val="single" w:sz="8" w:color="F0FFFF"/>
            </w:tcBorders>
            <w:shd w:val="clear" w:color="auto" w:fill="F0FFFF"/>
          </w:tcPr>
          <w:p>
            <w:pPr>
              <w:spacing w:after="0"/>
              <w:rPr>
                <w:sz w:val="11"/>
                <w:szCs w:val="11"/>
                <w:color w:val="auto"/>
              </w:rPr>
            </w:pPr>
          </w:p>
        </w:tc>
        <w:tc>
          <w:tcPr>
            <w:tcW w:w="80" w:type="dxa"/>
            <w:vAlign w:val="bottom"/>
            <w:tcBorders>
              <w:top w:val="single" w:sz="8" w:color="F0FFFF"/>
            </w:tcBorders>
            <w:shd w:val="clear" w:color="auto" w:fill="F0FFFF"/>
          </w:tcPr>
          <w:p>
            <w:pPr>
              <w:spacing w:after="0"/>
              <w:rPr>
                <w:sz w:val="11"/>
                <w:szCs w:val="11"/>
                <w:color w:val="auto"/>
              </w:rPr>
            </w:pPr>
          </w:p>
        </w:tc>
        <w:tc>
          <w:tcPr>
            <w:tcW w:w="260" w:type="dxa"/>
            <w:vAlign w:val="bottom"/>
            <w:tcBorders>
              <w:top w:val="single" w:sz="8" w:color="F0FFFF"/>
            </w:tcBorders>
            <w:shd w:val="clear" w:color="auto" w:fill="F0FFFF"/>
          </w:tcPr>
          <w:p>
            <w:pPr>
              <w:spacing w:after="0"/>
              <w:rPr>
                <w:sz w:val="11"/>
                <w:szCs w:val="11"/>
                <w:color w:val="auto"/>
              </w:rPr>
            </w:pPr>
          </w:p>
        </w:tc>
        <w:tc>
          <w:tcPr>
            <w:tcW w:w="460" w:type="dxa"/>
            <w:vAlign w:val="bottom"/>
            <w:tcBorders>
              <w:top w:val="single" w:sz="8" w:color="F0FFFF"/>
            </w:tcBorders>
            <w:shd w:val="clear" w:color="auto" w:fill="F0FFFF"/>
          </w:tcPr>
          <w:p>
            <w:pPr>
              <w:spacing w:after="0"/>
              <w:rPr>
                <w:sz w:val="11"/>
                <w:szCs w:val="11"/>
                <w:color w:val="auto"/>
              </w:rPr>
            </w:pPr>
          </w:p>
        </w:tc>
        <w:tc>
          <w:tcPr>
            <w:tcW w:w="280" w:type="dxa"/>
            <w:vAlign w:val="bottom"/>
            <w:tcBorders>
              <w:top w:val="single" w:sz="8" w:color="F0FFFF"/>
              <w:right w:val="single" w:sz="8" w:color="auto"/>
            </w:tcBorders>
            <w:shd w:val="clear" w:color="auto" w:fill="F0FFFF"/>
          </w:tcPr>
          <w:p>
            <w:pPr>
              <w:spacing w:after="0"/>
              <w:rPr>
                <w:sz w:val="11"/>
                <w:szCs w:val="11"/>
                <w:color w:val="auto"/>
              </w:rPr>
            </w:pPr>
          </w:p>
        </w:tc>
        <w:tc>
          <w:tcPr>
            <w:tcW w:w="1320" w:type="dxa"/>
            <w:vAlign w:val="bottom"/>
            <w:tcBorders>
              <w:top w:val="single" w:sz="8" w:color="F0FFFF"/>
              <w:right w:val="single" w:sz="8" w:color="auto"/>
            </w:tcBorders>
            <w:shd w:val="clear" w:color="auto" w:fill="F0FFFF"/>
          </w:tcPr>
          <w:p>
            <w:pPr>
              <w:spacing w:after="0"/>
              <w:rPr>
                <w:sz w:val="11"/>
                <w:szCs w:val="11"/>
                <w:color w:val="auto"/>
              </w:rPr>
            </w:pPr>
          </w:p>
        </w:tc>
        <w:tc>
          <w:tcPr>
            <w:tcW w:w="140" w:type="dxa"/>
            <w:vAlign w:val="bottom"/>
            <w:tcBorders>
              <w:top w:val="single" w:sz="8" w:color="F0FFFF"/>
            </w:tcBorders>
            <w:vMerge w:val="restart"/>
            <w:shd w:val="clear" w:color="auto" w:fill="F0FF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left w:val="single" w:sz="8" w:color="F0FFFF"/>
            </w:tcBorders>
            <w:gridSpan w:val="7"/>
            <w:shd w:val="clear" w:color="auto" w:fill="F0FFFF"/>
          </w:tcPr>
          <w:p>
            <w:pPr>
              <w:spacing w:after="0" w:line="129" w:lineRule="exact"/>
              <w:rPr>
                <w:sz w:val="20"/>
                <w:szCs w:val="20"/>
                <w:color w:val="auto"/>
              </w:rPr>
            </w:pPr>
            <w:r>
              <w:rPr>
                <w:rFonts w:ascii="Times New Roman" w:cs="Times New Roman" w:eastAsia="Times New Roman" w:hAnsi="Times New Roman"/>
                <w:sz w:val="13"/>
                <w:szCs w:val="13"/>
                <w:color w:val="auto"/>
              </w:rPr>
              <w:t>End Date.</w:t>
            </w:r>
          </w:p>
        </w:tc>
        <w:tc>
          <w:tcPr>
            <w:tcW w:w="20" w:type="dxa"/>
            <w:vAlign w:val="bottom"/>
            <w:tcBorders>
              <w:top w:val="single" w:sz="8" w:color="F0FFFF"/>
            </w:tcBorders>
            <w:shd w:val="clear" w:color="auto" w:fill="F0FFFF"/>
          </w:tcPr>
          <w:p>
            <w:pPr>
              <w:spacing w:after="0"/>
              <w:rPr>
                <w:sz w:val="11"/>
                <w:szCs w:val="11"/>
                <w:color w:val="auto"/>
              </w:rPr>
            </w:pPr>
          </w:p>
        </w:tc>
        <w:tc>
          <w:tcPr>
            <w:tcW w:w="80" w:type="dxa"/>
            <w:vAlign w:val="bottom"/>
            <w:tcBorders>
              <w:top w:val="single" w:sz="8" w:color="F0FFFF"/>
              <w:right w:val="single" w:sz="8" w:color="F0FFFF"/>
            </w:tcBorders>
            <w:shd w:val="clear" w:color="auto" w:fill="F0FFFF"/>
          </w:tcPr>
          <w:p>
            <w:pPr>
              <w:spacing w:after="0"/>
              <w:rPr>
                <w:sz w:val="11"/>
                <w:szCs w:val="11"/>
                <w:color w:val="auto"/>
              </w:rPr>
            </w:pPr>
          </w:p>
        </w:tc>
        <w:tc>
          <w:tcPr>
            <w:tcW w:w="80" w:type="dxa"/>
            <w:vAlign w:val="bottom"/>
            <w:tcBorders>
              <w:top w:val="single" w:sz="8" w:color="F0FFFF"/>
            </w:tcBorders>
            <w:shd w:val="clear" w:color="auto" w:fill="F0FFFF"/>
          </w:tcPr>
          <w:p>
            <w:pPr>
              <w:spacing w:after="0"/>
              <w:rPr>
                <w:sz w:val="11"/>
                <w:szCs w:val="11"/>
                <w:color w:val="auto"/>
              </w:rPr>
            </w:pPr>
          </w:p>
        </w:tc>
        <w:tc>
          <w:tcPr>
            <w:tcW w:w="40" w:type="dxa"/>
            <w:vAlign w:val="bottom"/>
            <w:tcBorders>
              <w:top w:val="single" w:sz="8" w:color="F0FFFF"/>
              <w:right w:val="single" w:sz="8" w:color="F0FFFF"/>
            </w:tcBorders>
            <w:shd w:val="clear" w:color="auto" w:fill="F0FFFF"/>
          </w:tcPr>
          <w:p>
            <w:pPr>
              <w:spacing w:after="0"/>
              <w:rPr>
                <w:sz w:val="11"/>
                <w:szCs w:val="11"/>
                <w:color w:val="auto"/>
              </w:rPr>
            </w:pPr>
          </w:p>
        </w:tc>
        <w:tc>
          <w:tcPr>
            <w:tcW w:w="280" w:type="dxa"/>
            <w:vAlign w:val="bottom"/>
            <w:tcBorders>
              <w:top w:val="single" w:sz="8" w:color="F0FFFF"/>
              <w:left w:val="single" w:sz="8" w:color="F0FFFF"/>
              <w:right w:val="single" w:sz="8" w:color="F0FFFF"/>
            </w:tcBorders>
            <w:shd w:val="clear" w:color="auto" w:fill="F0FFFF"/>
          </w:tcPr>
          <w:p>
            <w:pPr>
              <w:spacing w:after="0"/>
              <w:rPr>
                <w:sz w:val="11"/>
                <w:szCs w:val="11"/>
                <w:color w:val="auto"/>
              </w:rPr>
            </w:pPr>
          </w:p>
        </w:tc>
        <w:tc>
          <w:tcPr>
            <w:tcW w:w="100" w:type="dxa"/>
            <w:vAlign w:val="bottom"/>
            <w:tcBorders>
              <w:top w:val="single" w:sz="8" w:color="F0FFFF"/>
              <w:left w:val="single" w:sz="8" w:color="F0FFFF"/>
            </w:tcBorders>
            <w:shd w:val="clear" w:color="auto" w:fill="F0FFFF"/>
          </w:tcPr>
          <w:p>
            <w:pPr>
              <w:spacing w:after="0"/>
              <w:rPr>
                <w:sz w:val="11"/>
                <w:szCs w:val="11"/>
                <w:color w:val="auto"/>
              </w:rPr>
            </w:pPr>
          </w:p>
        </w:tc>
        <w:tc>
          <w:tcPr>
            <w:tcW w:w="20" w:type="dxa"/>
            <w:vAlign w:val="bottom"/>
            <w:tcBorders>
              <w:top w:val="single" w:sz="8" w:color="F0FFFF"/>
            </w:tcBorders>
            <w:shd w:val="clear" w:color="auto" w:fill="F0FFFF"/>
          </w:tcPr>
          <w:p>
            <w:pPr>
              <w:spacing w:after="0"/>
              <w:rPr>
                <w:sz w:val="11"/>
                <w:szCs w:val="11"/>
                <w:color w:val="auto"/>
              </w:rPr>
            </w:pPr>
          </w:p>
        </w:tc>
        <w:tc>
          <w:tcPr>
            <w:tcW w:w="20" w:type="dxa"/>
            <w:vAlign w:val="bottom"/>
            <w:tcBorders>
              <w:top w:val="single" w:sz="8" w:color="F0FFFF"/>
              <w:right w:val="single" w:sz="8" w:color="F0FFFF"/>
            </w:tcBorders>
            <w:shd w:val="clear" w:color="auto" w:fill="F0FFFF"/>
          </w:tcPr>
          <w:p>
            <w:pPr>
              <w:spacing w:after="0"/>
              <w:rPr>
                <w:sz w:val="11"/>
                <w:szCs w:val="11"/>
                <w:color w:val="auto"/>
              </w:rPr>
            </w:pPr>
          </w:p>
        </w:tc>
        <w:tc>
          <w:tcPr>
            <w:tcW w:w="20" w:type="dxa"/>
            <w:vAlign w:val="bottom"/>
            <w:tcBorders>
              <w:top w:val="single" w:sz="8" w:color="F0FFFF"/>
            </w:tcBorders>
            <w:shd w:val="clear" w:color="auto" w:fill="F0FFFF"/>
          </w:tcPr>
          <w:p>
            <w:pPr>
              <w:spacing w:after="0"/>
              <w:rPr>
                <w:sz w:val="11"/>
                <w:szCs w:val="11"/>
                <w:color w:val="auto"/>
              </w:rPr>
            </w:pPr>
          </w:p>
        </w:tc>
        <w:tc>
          <w:tcPr>
            <w:tcW w:w="20" w:type="dxa"/>
            <w:vAlign w:val="bottom"/>
            <w:tcBorders>
              <w:top w:val="single" w:sz="8" w:color="auto"/>
            </w:tcBorders>
            <w:shd w:val="clear" w:color="auto" w:fill="F0FFFF"/>
          </w:tcPr>
          <w:p>
            <w:pPr>
              <w:spacing w:after="0"/>
              <w:rPr>
                <w:sz w:val="11"/>
                <w:szCs w:val="11"/>
                <w:color w:val="auto"/>
              </w:rPr>
            </w:pPr>
          </w:p>
        </w:tc>
        <w:tc>
          <w:tcPr>
            <w:tcW w:w="20" w:type="dxa"/>
            <w:vAlign w:val="bottom"/>
            <w:tcBorders>
              <w:top w:val="single" w:sz="8" w:color="auto"/>
            </w:tcBorders>
            <w:shd w:val="clear" w:color="auto" w:fill="F0FFFF"/>
          </w:tcPr>
          <w:p>
            <w:pPr>
              <w:spacing w:after="0"/>
              <w:rPr>
                <w:sz w:val="11"/>
                <w:szCs w:val="11"/>
                <w:color w:val="auto"/>
              </w:rPr>
            </w:pPr>
          </w:p>
        </w:tc>
        <w:tc>
          <w:tcPr>
            <w:tcW w:w="80" w:type="dxa"/>
            <w:vAlign w:val="bottom"/>
            <w:tcBorders>
              <w:top w:val="single" w:sz="8" w:color="auto"/>
              <w:right w:val="single" w:sz="8" w:color="F0FFFF"/>
            </w:tcBorders>
            <w:shd w:val="clear" w:color="auto" w:fill="F0FFFF"/>
          </w:tcPr>
          <w:p>
            <w:pPr>
              <w:spacing w:after="0"/>
              <w:rPr>
                <w:sz w:val="11"/>
                <w:szCs w:val="11"/>
                <w:color w:val="auto"/>
              </w:rPr>
            </w:pPr>
          </w:p>
        </w:tc>
        <w:tc>
          <w:tcPr>
            <w:tcW w:w="20" w:type="dxa"/>
            <w:vAlign w:val="bottom"/>
            <w:tcBorders>
              <w:top w:val="single" w:sz="8" w:color="auto"/>
            </w:tcBorders>
            <w:shd w:val="clear" w:color="auto" w:fill="F0FFFF"/>
          </w:tcPr>
          <w:p>
            <w:pPr>
              <w:spacing w:after="0"/>
              <w:rPr>
                <w:sz w:val="11"/>
                <w:szCs w:val="11"/>
                <w:color w:val="auto"/>
              </w:rPr>
            </w:pPr>
          </w:p>
        </w:tc>
        <w:tc>
          <w:tcPr>
            <w:tcW w:w="40" w:type="dxa"/>
            <w:vAlign w:val="bottom"/>
            <w:tcBorders>
              <w:top w:val="single" w:sz="8" w:color="auto"/>
              <w:right w:val="single" w:sz="8" w:color="F0FFFF"/>
            </w:tcBorders>
            <w:shd w:val="clear" w:color="auto" w:fill="F0FFFF"/>
          </w:tcPr>
          <w:p>
            <w:pPr>
              <w:spacing w:after="0"/>
              <w:rPr>
                <w:sz w:val="11"/>
                <w:szCs w:val="11"/>
                <w:color w:val="auto"/>
              </w:rPr>
            </w:pPr>
          </w:p>
        </w:tc>
        <w:tc>
          <w:tcPr>
            <w:tcW w:w="20" w:type="dxa"/>
            <w:vAlign w:val="bottom"/>
            <w:tcBorders>
              <w:top w:val="single" w:sz="8" w:color="auto"/>
            </w:tcBorders>
            <w:shd w:val="clear" w:color="auto" w:fill="F0FFFF"/>
          </w:tcPr>
          <w:p>
            <w:pPr>
              <w:spacing w:after="0"/>
              <w:rPr>
                <w:sz w:val="11"/>
                <w:szCs w:val="11"/>
                <w:color w:val="auto"/>
              </w:rPr>
            </w:pPr>
          </w:p>
        </w:tc>
        <w:tc>
          <w:tcPr>
            <w:tcW w:w="20" w:type="dxa"/>
            <w:vAlign w:val="bottom"/>
            <w:tcBorders>
              <w:top w:val="single" w:sz="8" w:color="auto"/>
            </w:tcBorders>
            <w:shd w:val="clear" w:color="auto" w:fill="F0FFFF"/>
          </w:tcPr>
          <w:p>
            <w:pPr>
              <w:spacing w:after="0"/>
              <w:rPr>
                <w:sz w:val="11"/>
                <w:szCs w:val="11"/>
                <w:color w:val="auto"/>
              </w:rPr>
            </w:pPr>
          </w:p>
        </w:tc>
        <w:tc>
          <w:tcPr>
            <w:tcW w:w="20" w:type="dxa"/>
            <w:vAlign w:val="bottom"/>
            <w:tcBorders>
              <w:top w:val="single" w:sz="8" w:color="auto"/>
            </w:tcBorders>
            <w:shd w:val="clear" w:color="auto" w:fill="F0FFFF"/>
          </w:tcPr>
          <w:p>
            <w:pPr>
              <w:spacing w:after="0"/>
              <w:rPr>
                <w:sz w:val="11"/>
                <w:szCs w:val="11"/>
                <w:color w:val="auto"/>
              </w:rPr>
            </w:pPr>
          </w:p>
        </w:tc>
        <w:tc>
          <w:tcPr>
            <w:tcW w:w="20" w:type="dxa"/>
            <w:vAlign w:val="bottom"/>
            <w:tcBorders>
              <w:top w:val="single" w:sz="8" w:color="auto"/>
            </w:tcBorders>
            <w:shd w:val="clear" w:color="auto" w:fill="F0FFFF"/>
          </w:tcPr>
          <w:p>
            <w:pPr>
              <w:spacing w:after="0"/>
              <w:rPr>
                <w:sz w:val="11"/>
                <w:szCs w:val="11"/>
                <w:color w:val="auto"/>
              </w:rPr>
            </w:pPr>
          </w:p>
        </w:tc>
        <w:tc>
          <w:tcPr>
            <w:tcW w:w="20" w:type="dxa"/>
            <w:vAlign w:val="bottom"/>
            <w:tcBorders>
              <w:top w:val="single" w:sz="8" w:color="auto"/>
            </w:tcBorders>
            <w:shd w:val="clear" w:color="auto" w:fill="F0FFFF"/>
          </w:tcPr>
          <w:p>
            <w:pPr>
              <w:spacing w:after="0"/>
              <w:rPr>
                <w:sz w:val="11"/>
                <w:szCs w:val="11"/>
                <w:color w:val="auto"/>
              </w:rPr>
            </w:pPr>
          </w:p>
        </w:tc>
        <w:tc>
          <w:tcPr>
            <w:tcW w:w="100" w:type="dxa"/>
            <w:vAlign w:val="bottom"/>
            <w:tcBorders>
              <w:top w:val="single" w:sz="8" w:color="F0FFFF"/>
              <w:right w:val="single" w:sz="8" w:color="auto"/>
            </w:tcBorders>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48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460" w:type="dxa"/>
            <w:vAlign w:val="bottom"/>
            <w:shd w:val="clear" w:color="auto" w:fill="F0FFFF"/>
          </w:tcPr>
          <w:p>
            <w:pPr>
              <w:spacing w:after="0" w:line="20" w:lineRule="exact"/>
              <w:rPr>
                <w:sz w:val="1"/>
                <w:szCs w:val="1"/>
                <w:color w:val="auto"/>
              </w:rPr>
            </w:pPr>
          </w:p>
        </w:tc>
        <w:tc>
          <w:tcPr>
            <w:tcW w:w="280" w:type="dxa"/>
            <w:vAlign w:val="bottom"/>
            <w:tcBorders>
              <w:right w:val="single" w:sz="8" w:color="auto"/>
            </w:tcBorders>
            <w:shd w:val="clear" w:color="auto" w:fill="F0FFFF"/>
          </w:tcPr>
          <w:p>
            <w:pPr>
              <w:spacing w:after="0" w:line="20" w:lineRule="exact"/>
              <w:rPr>
                <w:sz w:val="1"/>
                <w:szCs w:val="1"/>
                <w:color w:val="auto"/>
              </w:rPr>
            </w:pPr>
          </w:p>
        </w:tc>
        <w:tc>
          <w:tcPr>
            <w:tcW w:w="1320" w:type="dxa"/>
            <w:vAlign w:val="bottom"/>
            <w:tcBorders>
              <w:right w:val="single" w:sz="8" w:color="auto"/>
            </w:tcBorders>
            <w:shd w:val="clear" w:color="auto" w:fill="F0FFFF"/>
          </w:tcPr>
          <w:p>
            <w:pPr>
              <w:spacing w:after="0" w:line="20" w:lineRule="exact"/>
              <w:rPr>
                <w:sz w:val="1"/>
                <w:szCs w:val="1"/>
                <w:color w:val="auto"/>
              </w:rPr>
            </w:pPr>
          </w:p>
        </w:tc>
        <w:tc>
          <w:tcPr>
            <w:tcW w:w="140" w:type="dxa"/>
            <w:vAlign w:val="bottom"/>
            <w:vMerge w:val="continue"/>
            <w:shd w:val="clear" w:color="auto" w:fill="F0FFFF"/>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right w:val="single" w:sz="8" w:color="F0FFFF"/>
            </w:tcBorders>
            <w:shd w:val="clear" w:color="auto" w:fill="F0FFFF"/>
          </w:tcPr>
          <w:p>
            <w:pPr>
              <w:spacing w:after="0" w:line="20" w:lineRule="exact"/>
              <w:rPr>
                <w:sz w:val="1"/>
                <w:szCs w:val="1"/>
                <w:color w:val="auto"/>
              </w:rPr>
            </w:pPr>
          </w:p>
        </w:tc>
        <w:tc>
          <w:tcPr>
            <w:tcW w:w="40" w:type="dxa"/>
            <w:vAlign w:val="bottom"/>
            <w:gridSpan w:val="2"/>
            <w:shd w:val="clear" w:color="auto" w:fill="F0FFFF"/>
          </w:tcPr>
          <w:p>
            <w:pPr>
              <w:spacing w:after="0" w:line="20" w:lineRule="exact"/>
              <w:rPr>
                <w:sz w:val="1"/>
                <w:szCs w:val="1"/>
                <w:color w:val="auto"/>
              </w:rPr>
            </w:pPr>
          </w:p>
        </w:tc>
        <w:tc>
          <w:tcPr>
            <w:tcW w:w="8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4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100" w:type="dxa"/>
            <w:vAlign w:val="bottom"/>
            <w:tcBorders>
              <w:left w:val="single" w:sz="8" w:color="F0FFFF"/>
            </w:tcBorders>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20" w:type="dxa"/>
            <w:vAlign w:val="bottom"/>
            <w:tcBorders>
              <w:right w:val="single" w:sz="8" w:color="F0FFFF"/>
            </w:tcBorders>
            <w:shd w:val="clear" w:color="auto" w:fill="F0FFFF"/>
          </w:tcPr>
          <w:p>
            <w:pPr>
              <w:spacing w:after="0" w:line="20" w:lineRule="exact"/>
              <w:rPr>
                <w:sz w:val="1"/>
                <w:szCs w:val="1"/>
                <w:color w:val="auto"/>
              </w:rPr>
            </w:pPr>
          </w:p>
        </w:tc>
        <w:tc>
          <w:tcPr>
            <w:tcW w:w="40" w:type="dxa"/>
            <w:vAlign w:val="bottom"/>
            <w:gridSpan w:val="2"/>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80" w:type="dxa"/>
            <w:vAlign w:val="bottom"/>
            <w:tcBorders>
              <w:right w:val="single" w:sz="8" w:color="F0FFFF"/>
            </w:tcBorders>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40" w:type="dxa"/>
            <w:vAlign w:val="bottom"/>
            <w:tcBorders>
              <w:right w:val="single" w:sz="8" w:color="F0FFFF"/>
            </w:tcBorders>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20" w:type="dxa"/>
            <w:vAlign w:val="bottom"/>
            <w:tcBorders>
              <w:right w:val="single" w:sz="8" w:color="auto"/>
            </w:tcBorders>
            <w:gridSpan w:val="2"/>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020" w:type="dxa"/>
            <w:vAlign w:val="bottom"/>
            <w:tcBorders>
              <w:left w:val="single" w:sz="8" w:color="auto"/>
              <w:right w:val="single" w:sz="8" w:color="auto"/>
            </w:tcBorders>
            <w:shd w:val="clear" w:color="auto" w:fill="F0FFFF"/>
          </w:tcPr>
          <w:p>
            <w:pPr>
              <w:spacing w:after="0"/>
              <w:rPr>
                <w:sz w:val="10"/>
                <w:szCs w:val="10"/>
                <w:color w:val="auto"/>
              </w:rPr>
            </w:pPr>
          </w:p>
        </w:tc>
        <w:tc>
          <w:tcPr>
            <w:tcW w:w="20" w:type="dxa"/>
            <w:vAlign w:val="bottom"/>
            <w:shd w:val="clear" w:color="auto" w:fill="F0FFFF"/>
          </w:tcPr>
          <w:p>
            <w:pPr>
              <w:spacing w:after="0"/>
              <w:rPr>
                <w:sz w:val="10"/>
                <w:szCs w:val="10"/>
                <w:color w:val="auto"/>
              </w:rPr>
            </w:pPr>
          </w:p>
        </w:tc>
        <w:tc>
          <w:tcPr>
            <w:tcW w:w="260" w:type="dxa"/>
            <w:vAlign w:val="bottom"/>
            <w:shd w:val="clear" w:color="auto" w:fill="F0FFFF"/>
          </w:tcPr>
          <w:p>
            <w:pPr>
              <w:spacing w:after="0"/>
              <w:rPr>
                <w:sz w:val="10"/>
                <w:szCs w:val="10"/>
                <w:color w:val="auto"/>
              </w:rPr>
            </w:pPr>
          </w:p>
        </w:tc>
        <w:tc>
          <w:tcPr>
            <w:tcW w:w="480" w:type="dxa"/>
            <w:vAlign w:val="bottom"/>
            <w:tcBorders>
              <w:right w:val="single" w:sz="8" w:color="F0FFFF"/>
            </w:tcBorders>
            <w:shd w:val="clear" w:color="auto" w:fill="F0FFFF"/>
          </w:tcPr>
          <w:p>
            <w:pPr>
              <w:spacing w:after="0"/>
              <w:rPr>
                <w:sz w:val="10"/>
                <w:szCs w:val="10"/>
                <w:color w:val="auto"/>
              </w:rPr>
            </w:pPr>
          </w:p>
        </w:tc>
        <w:tc>
          <w:tcPr>
            <w:tcW w:w="80" w:type="dxa"/>
            <w:vAlign w:val="bottom"/>
            <w:shd w:val="clear" w:color="auto" w:fill="F0FFFF"/>
          </w:tcPr>
          <w:p>
            <w:pPr>
              <w:spacing w:after="0"/>
              <w:rPr>
                <w:sz w:val="10"/>
                <w:szCs w:val="10"/>
                <w:color w:val="auto"/>
              </w:rPr>
            </w:pPr>
          </w:p>
        </w:tc>
        <w:tc>
          <w:tcPr>
            <w:tcW w:w="260" w:type="dxa"/>
            <w:vAlign w:val="bottom"/>
            <w:shd w:val="clear" w:color="auto" w:fill="F0FFFF"/>
          </w:tcPr>
          <w:p>
            <w:pPr>
              <w:spacing w:after="0"/>
              <w:rPr>
                <w:sz w:val="10"/>
                <w:szCs w:val="10"/>
                <w:color w:val="auto"/>
              </w:rPr>
            </w:pPr>
          </w:p>
        </w:tc>
        <w:tc>
          <w:tcPr>
            <w:tcW w:w="460" w:type="dxa"/>
            <w:vAlign w:val="bottom"/>
            <w:shd w:val="clear" w:color="auto" w:fill="F0FFFF"/>
          </w:tcPr>
          <w:p>
            <w:pPr>
              <w:spacing w:after="0"/>
              <w:rPr>
                <w:sz w:val="10"/>
                <w:szCs w:val="10"/>
                <w:color w:val="auto"/>
              </w:rPr>
            </w:pPr>
          </w:p>
        </w:tc>
        <w:tc>
          <w:tcPr>
            <w:tcW w:w="280" w:type="dxa"/>
            <w:vAlign w:val="bottom"/>
            <w:tcBorders>
              <w:right w:val="single" w:sz="8" w:color="auto"/>
            </w:tcBorders>
            <w:shd w:val="clear" w:color="auto" w:fill="F0FFFF"/>
          </w:tcPr>
          <w:p>
            <w:pPr>
              <w:spacing w:after="0"/>
              <w:rPr>
                <w:sz w:val="10"/>
                <w:szCs w:val="10"/>
                <w:color w:val="auto"/>
              </w:rPr>
            </w:pPr>
          </w:p>
        </w:tc>
        <w:tc>
          <w:tcPr>
            <w:tcW w:w="1320" w:type="dxa"/>
            <w:vAlign w:val="bottom"/>
            <w:tcBorders>
              <w:right w:val="single" w:sz="8" w:color="auto"/>
            </w:tcBorders>
            <w:shd w:val="clear" w:color="auto" w:fill="F0FFFF"/>
          </w:tcPr>
          <w:p>
            <w:pPr>
              <w:spacing w:after="0"/>
              <w:rPr>
                <w:sz w:val="10"/>
                <w:szCs w:val="10"/>
                <w:color w:val="auto"/>
              </w:rPr>
            </w:pPr>
          </w:p>
        </w:tc>
        <w:tc>
          <w:tcPr>
            <w:tcW w:w="140" w:type="dxa"/>
            <w:vAlign w:val="bottom"/>
            <w:vMerge w:val="continue"/>
            <w:shd w:val="clear" w:color="auto" w:fill="F0FFFF"/>
          </w:tcPr>
          <w:p>
            <w:pPr>
              <w:spacing w:after="0"/>
              <w:rPr>
                <w:sz w:val="10"/>
                <w:szCs w:val="10"/>
                <w:color w:val="auto"/>
              </w:rPr>
            </w:pPr>
          </w:p>
        </w:tc>
        <w:tc>
          <w:tcPr>
            <w:tcW w:w="1760" w:type="dxa"/>
            <w:vAlign w:val="bottom"/>
            <w:tcBorders>
              <w:left w:val="single" w:sz="8" w:color="F0FFFF"/>
              <w:right w:val="single" w:sz="8" w:color="auto"/>
            </w:tcBorders>
            <w:gridSpan w:val="27"/>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auto"/>
              </w:rPr>
              <w:t>We use the Interim Value</w:t>
            </w:r>
          </w:p>
        </w:tc>
        <w:tc>
          <w:tcPr>
            <w:tcW w:w="0" w:type="dxa"/>
            <w:vAlign w:val="bottom"/>
          </w:tcPr>
          <w:p>
            <w:pPr>
              <w:spacing w:after="0"/>
              <w:rPr>
                <w:sz w:val="1"/>
                <w:szCs w:val="1"/>
                <w:color w:val="auto"/>
              </w:rPr>
            </w:pPr>
          </w:p>
        </w:tc>
      </w:tr>
      <w:tr>
        <w:trPr>
          <w:trHeight w:val="20"/>
        </w:trPr>
        <w:tc>
          <w:tcPr>
            <w:tcW w:w="102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48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460" w:type="dxa"/>
            <w:vAlign w:val="bottom"/>
            <w:shd w:val="clear" w:color="auto" w:fill="F0FFFF"/>
          </w:tcPr>
          <w:p>
            <w:pPr>
              <w:spacing w:after="0" w:line="20" w:lineRule="exact"/>
              <w:rPr>
                <w:sz w:val="1"/>
                <w:szCs w:val="1"/>
                <w:color w:val="auto"/>
              </w:rPr>
            </w:pPr>
          </w:p>
        </w:tc>
        <w:tc>
          <w:tcPr>
            <w:tcW w:w="280" w:type="dxa"/>
            <w:vAlign w:val="bottom"/>
            <w:tcBorders>
              <w:right w:val="single" w:sz="8" w:color="auto"/>
            </w:tcBorders>
            <w:shd w:val="clear" w:color="auto" w:fill="F0FFFF"/>
          </w:tcPr>
          <w:p>
            <w:pPr>
              <w:spacing w:after="0" w:line="20" w:lineRule="exact"/>
              <w:rPr>
                <w:sz w:val="1"/>
                <w:szCs w:val="1"/>
                <w:color w:val="auto"/>
              </w:rPr>
            </w:pPr>
          </w:p>
        </w:tc>
        <w:tc>
          <w:tcPr>
            <w:tcW w:w="1320" w:type="dxa"/>
            <w:vAlign w:val="bottom"/>
            <w:tcBorders>
              <w:right w:val="single" w:sz="8" w:color="auto"/>
            </w:tcBorders>
            <w:shd w:val="clear" w:color="auto" w:fill="F0FFFF"/>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200" w:type="dxa"/>
            <w:vAlign w:val="bottom"/>
            <w:tcBorders>
              <w:left w:val="single" w:sz="8" w:color="F0FFFF"/>
            </w:tcBorders>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60" w:type="dxa"/>
            <w:vAlign w:val="bottom"/>
            <w:tcBorders>
              <w:right w:val="single" w:sz="8" w:color="F0FFFF"/>
            </w:tcBorders>
            <w:shd w:val="clear" w:color="auto" w:fill="F0FFFF"/>
          </w:tcPr>
          <w:p>
            <w:pPr>
              <w:spacing w:after="0" w:line="20" w:lineRule="exact"/>
              <w:rPr>
                <w:sz w:val="1"/>
                <w:szCs w:val="1"/>
                <w:color w:val="auto"/>
              </w:rPr>
            </w:pPr>
          </w:p>
        </w:tc>
        <w:tc>
          <w:tcPr>
            <w:tcW w:w="200" w:type="dxa"/>
            <w:vAlign w:val="bottom"/>
            <w:tcBorders>
              <w:right w:val="single" w:sz="8" w:color="F0FFFF"/>
            </w:tcBorders>
            <w:shd w:val="clear" w:color="auto" w:fill="F0FFFF"/>
          </w:tcPr>
          <w:p>
            <w:pPr>
              <w:spacing w:after="0" w:line="20" w:lineRule="exact"/>
              <w:rPr>
                <w:sz w:val="1"/>
                <w:szCs w:val="1"/>
                <w:color w:val="auto"/>
              </w:rPr>
            </w:pPr>
          </w:p>
        </w:tc>
        <w:tc>
          <w:tcPr>
            <w:tcW w:w="200" w:type="dxa"/>
            <w:vAlign w:val="bottom"/>
            <w:tcBorders>
              <w:left w:val="single" w:sz="8" w:color="F0FFFF"/>
              <w:right w:val="single" w:sz="8" w:color="auto"/>
            </w:tcBorders>
            <w:shd w:val="clear" w:color="auto" w:fill="F0FFFF"/>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gridSpan w:val="2"/>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80" w:type="dxa"/>
            <w:vAlign w:val="bottom"/>
            <w:tcBorders>
              <w:right w:val="single" w:sz="8" w:color="F0FFFF"/>
            </w:tcBorders>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40" w:type="dxa"/>
            <w:vAlign w:val="bottom"/>
            <w:tcBorders>
              <w:right w:val="single" w:sz="8" w:color="F0FFFF"/>
            </w:tcBorders>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20" w:type="dxa"/>
            <w:vAlign w:val="bottom"/>
            <w:tcBorders>
              <w:right w:val="single" w:sz="8" w:color="auto"/>
            </w:tcBorders>
            <w:gridSpan w:val="2"/>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020" w:type="dxa"/>
            <w:vAlign w:val="bottom"/>
            <w:tcBorders>
              <w:left w:val="single" w:sz="8" w:color="auto"/>
              <w:right w:val="single" w:sz="8" w:color="auto"/>
            </w:tcBorders>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260" w:type="dxa"/>
            <w:vAlign w:val="bottom"/>
            <w:shd w:val="clear" w:color="auto" w:fill="F0FFFF"/>
          </w:tcPr>
          <w:p>
            <w:pPr>
              <w:spacing w:after="0"/>
              <w:rPr>
                <w:sz w:val="11"/>
                <w:szCs w:val="11"/>
                <w:color w:val="auto"/>
              </w:rPr>
            </w:pPr>
          </w:p>
        </w:tc>
        <w:tc>
          <w:tcPr>
            <w:tcW w:w="480" w:type="dxa"/>
            <w:vAlign w:val="bottom"/>
            <w:tcBorders>
              <w:righ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260" w:type="dxa"/>
            <w:vAlign w:val="bottom"/>
            <w:shd w:val="clear" w:color="auto" w:fill="F0FFFF"/>
          </w:tcPr>
          <w:p>
            <w:pPr>
              <w:spacing w:after="0"/>
              <w:rPr>
                <w:sz w:val="11"/>
                <w:szCs w:val="11"/>
                <w:color w:val="auto"/>
              </w:rPr>
            </w:pPr>
          </w:p>
        </w:tc>
        <w:tc>
          <w:tcPr>
            <w:tcW w:w="460" w:type="dxa"/>
            <w:vAlign w:val="bottom"/>
            <w:shd w:val="clear" w:color="auto" w:fill="F0FFFF"/>
          </w:tcPr>
          <w:p>
            <w:pPr>
              <w:spacing w:after="0"/>
              <w:rPr>
                <w:sz w:val="11"/>
                <w:szCs w:val="11"/>
                <w:color w:val="auto"/>
              </w:rPr>
            </w:pPr>
          </w:p>
        </w:tc>
        <w:tc>
          <w:tcPr>
            <w:tcW w:w="280" w:type="dxa"/>
            <w:vAlign w:val="bottom"/>
            <w:tcBorders>
              <w:right w:val="single" w:sz="8" w:color="auto"/>
            </w:tcBorders>
            <w:shd w:val="clear" w:color="auto" w:fill="F0FFFF"/>
          </w:tcPr>
          <w:p>
            <w:pPr>
              <w:spacing w:after="0"/>
              <w:rPr>
                <w:sz w:val="11"/>
                <w:szCs w:val="11"/>
                <w:color w:val="auto"/>
              </w:rPr>
            </w:pPr>
          </w:p>
        </w:tc>
        <w:tc>
          <w:tcPr>
            <w:tcW w:w="1320" w:type="dxa"/>
            <w:vAlign w:val="bottom"/>
            <w:tcBorders>
              <w:right w:val="single" w:sz="8" w:color="auto"/>
            </w:tcBorders>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760" w:type="dxa"/>
            <w:vAlign w:val="bottom"/>
            <w:tcBorders>
              <w:left w:val="single" w:sz="8" w:color="F0FFFF"/>
              <w:right w:val="single" w:sz="8" w:color="auto"/>
            </w:tcBorders>
            <w:gridSpan w:val="27"/>
            <w:shd w:val="clear" w:color="auto" w:fill="F0FFFF"/>
          </w:tcPr>
          <w:p>
            <w:pPr>
              <w:spacing w:after="0" w:line="136" w:lineRule="exact"/>
              <w:rPr>
                <w:sz w:val="20"/>
                <w:szCs w:val="20"/>
                <w:color w:val="auto"/>
              </w:rPr>
            </w:pPr>
            <w:r>
              <w:rPr>
                <w:rFonts w:ascii="Times New Roman" w:cs="Times New Roman" w:eastAsia="Times New Roman" w:hAnsi="Times New Roman"/>
                <w:sz w:val="13"/>
                <w:szCs w:val="13"/>
                <w:color w:val="auto"/>
              </w:rPr>
              <w:t>calculated at the end of the</w:t>
            </w:r>
          </w:p>
        </w:tc>
        <w:tc>
          <w:tcPr>
            <w:tcW w:w="0" w:type="dxa"/>
            <w:vAlign w:val="bottom"/>
          </w:tcPr>
          <w:p>
            <w:pPr>
              <w:spacing w:after="0"/>
              <w:rPr>
                <w:sz w:val="1"/>
                <w:szCs w:val="1"/>
                <w:color w:val="auto"/>
              </w:rPr>
            </w:pPr>
          </w:p>
        </w:tc>
      </w:tr>
      <w:tr>
        <w:trPr>
          <w:trHeight w:val="142"/>
        </w:trPr>
        <w:tc>
          <w:tcPr>
            <w:tcW w:w="1020" w:type="dxa"/>
            <w:vAlign w:val="bottom"/>
            <w:tcBorders>
              <w:left w:val="single" w:sz="8" w:color="auto"/>
              <w:right w:val="single" w:sz="8" w:color="auto"/>
            </w:tcBorders>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480" w:type="dxa"/>
            <w:vAlign w:val="bottom"/>
            <w:tcBorders>
              <w:righ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460" w:type="dxa"/>
            <w:vAlign w:val="bottom"/>
            <w:shd w:val="clear" w:color="auto" w:fill="F0FFFF"/>
          </w:tcPr>
          <w:p>
            <w:pPr>
              <w:spacing w:after="0"/>
              <w:rPr>
                <w:sz w:val="12"/>
                <w:szCs w:val="12"/>
                <w:color w:val="auto"/>
              </w:rPr>
            </w:pPr>
          </w:p>
        </w:tc>
        <w:tc>
          <w:tcPr>
            <w:tcW w:w="280" w:type="dxa"/>
            <w:vAlign w:val="bottom"/>
            <w:tcBorders>
              <w:right w:val="single" w:sz="8" w:color="auto"/>
            </w:tcBorders>
            <w:shd w:val="clear" w:color="auto" w:fill="F0FFFF"/>
          </w:tcPr>
          <w:p>
            <w:pPr>
              <w:spacing w:after="0"/>
              <w:rPr>
                <w:sz w:val="12"/>
                <w:szCs w:val="12"/>
                <w:color w:val="auto"/>
              </w:rPr>
            </w:pPr>
          </w:p>
        </w:tc>
        <w:tc>
          <w:tcPr>
            <w:tcW w:w="1320" w:type="dxa"/>
            <w:vAlign w:val="bottom"/>
            <w:tcBorders>
              <w:right w:val="single" w:sz="8" w:color="auto"/>
            </w:tcBorders>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760" w:type="dxa"/>
            <w:vAlign w:val="bottom"/>
            <w:tcBorders>
              <w:left w:val="single" w:sz="8" w:color="F0FFFF"/>
              <w:right w:val="single" w:sz="8" w:color="auto"/>
            </w:tcBorders>
            <w:gridSpan w:val="27"/>
            <w:shd w:val="clear" w:color="auto" w:fill="F0FFFF"/>
          </w:tcPr>
          <w:p>
            <w:pPr>
              <w:spacing w:after="0" w:line="142" w:lineRule="exact"/>
              <w:rPr>
                <w:sz w:val="20"/>
                <w:szCs w:val="20"/>
                <w:color w:val="auto"/>
              </w:rPr>
            </w:pPr>
            <w:r>
              <w:rPr>
                <w:rFonts w:ascii="Times New Roman" w:cs="Times New Roman" w:eastAsia="Times New Roman" w:hAnsi="Times New Roman"/>
                <w:sz w:val="13"/>
                <w:szCs w:val="13"/>
                <w:color w:val="auto"/>
              </w:rPr>
              <w:t>current Business Day on which</w:t>
            </w:r>
          </w:p>
        </w:tc>
        <w:tc>
          <w:tcPr>
            <w:tcW w:w="0" w:type="dxa"/>
            <w:vAlign w:val="bottom"/>
          </w:tcPr>
          <w:p>
            <w:pPr>
              <w:spacing w:after="0"/>
              <w:rPr>
                <w:sz w:val="1"/>
                <w:szCs w:val="1"/>
                <w:color w:val="auto"/>
              </w:rPr>
            </w:pPr>
          </w:p>
        </w:tc>
      </w:tr>
      <w:tr>
        <w:trPr>
          <w:trHeight w:val="20"/>
        </w:trPr>
        <w:tc>
          <w:tcPr>
            <w:tcW w:w="102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48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460" w:type="dxa"/>
            <w:vAlign w:val="bottom"/>
            <w:shd w:val="clear" w:color="auto" w:fill="F0FFFF"/>
          </w:tcPr>
          <w:p>
            <w:pPr>
              <w:spacing w:after="0" w:line="20" w:lineRule="exact"/>
              <w:rPr>
                <w:sz w:val="1"/>
                <w:szCs w:val="1"/>
                <w:color w:val="auto"/>
              </w:rPr>
            </w:pPr>
          </w:p>
        </w:tc>
        <w:tc>
          <w:tcPr>
            <w:tcW w:w="280" w:type="dxa"/>
            <w:vAlign w:val="bottom"/>
            <w:tcBorders>
              <w:right w:val="single" w:sz="8" w:color="auto"/>
            </w:tcBorders>
            <w:shd w:val="clear" w:color="auto" w:fill="F0FFFF"/>
          </w:tcPr>
          <w:p>
            <w:pPr>
              <w:spacing w:after="0" w:line="20" w:lineRule="exact"/>
              <w:rPr>
                <w:sz w:val="1"/>
                <w:szCs w:val="1"/>
                <w:color w:val="auto"/>
              </w:rPr>
            </w:pPr>
          </w:p>
        </w:tc>
        <w:tc>
          <w:tcPr>
            <w:tcW w:w="1320" w:type="dxa"/>
            <w:vAlign w:val="bottom"/>
            <w:tcBorders>
              <w:right w:val="single" w:sz="8" w:color="auto"/>
            </w:tcBorders>
            <w:shd w:val="clear" w:color="auto" w:fill="F0FFFF"/>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200" w:type="dxa"/>
            <w:vAlign w:val="bottom"/>
            <w:tcBorders>
              <w:left w:val="single" w:sz="8" w:color="F0FFFF"/>
            </w:tcBorders>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60" w:type="dxa"/>
            <w:vAlign w:val="bottom"/>
            <w:tcBorders>
              <w:right w:val="single" w:sz="8" w:color="F0FFFF"/>
            </w:tcBorders>
            <w:shd w:val="clear" w:color="auto" w:fill="F0FFFF"/>
          </w:tcPr>
          <w:p>
            <w:pPr>
              <w:spacing w:after="0" w:line="20" w:lineRule="exact"/>
              <w:rPr>
                <w:sz w:val="1"/>
                <w:szCs w:val="1"/>
                <w:color w:val="auto"/>
              </w:rPr>
            </w:pPr>
          </w:p>
        </w:tc>
        <w:tc>
          <w:tcPr>
            <w:tcW w:w="200" w:type="dxa"/>
            <w:vAlign w:val="bottom"/>
            <w:tcBorders>
              <w:right w:val="single" w:sz="8" w:color="auto"/>
            </w:tcBorders>
            <w:shd w:val="clear" w:color="auto" w:fill="F0FFFF"/>
          </w:tcPr>
          <w:p>
            <w:pPr>
              <w:spacing w:after="0" w:line="20" w:lineRule="exact"/>
              <w:rPr>
                <w:sz w:val="1"/>
                <w:szCs w:val="1"/>
                <w:color w:val="auto"/>
              </w:rPr>
            </w:pPr>
          </w:p>
        </w:tc>
        <w:tc>
          <w:tcPr>
            <w:tcW w:w="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F0FFFF"/>
            </w:tcBorders>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20" w:type="dxa"/>
            <w:vAlign w:val="bottom"/>
            <w:tcBorders>
              <w:right w:val="single" w:sz="8" w:color="F0FFFF"/>
            </w:tcBorders>
            <w:shd w:val="clear" w:color="auto" w:fill="F0FFFF"/>
          </w:tcPr>
          <w:p>
            <w:pPr>
              <w:spacing w:after="0" w:line="20" w:lineRule="exact"/>
              <w:rPr>
                <w:sz w:val="1"/>
                <w:szCs w:val="1"/>
                <w:color w:val="auto"/>
              </w:rPr>
            </w:pPr>
          </w:p>
        </w:tc>
        <w:tc>
          <w:tcPr>
            <w:tcW w:w="40" w:type="dxa"/>
            <w:vAlign w:val="bottom"/>
            <w:gridSpan w:val="2"/>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80" w:type="dxa"/>
            <w:vAlign w:val="bottom"/>
            <w:tcBorders>
              <w:right w:val="single" w:sz="8" w:color="F0FFFF"/>
            </w:tcBorders>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40" w:type="dxa"/>
            <w:vAlign w:val="bottom"/>
            <w:tcBorders>
              <w:right w:val="single" w:sz="8" w:color="F0FFFF"/>
            </w:tcBorders>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20" w:type="dxa"/>
            <w:vAlign w:val="bottom"/>
            <w:tcBorders>
              <w:right w:val="single" w:sz="8" w:color="auto"/>
            </w:tcBorders>
            <w:gridSpan w:val="2"/>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020" w:type="dxa"/>
            <w:vAlign w:val="bottom"/>
            <w:tcBorders>
              <w:left w:val="single" w:sz="8" w:color="auto"/>
              <w:right w:val="single" w:sz="8" w:color="auto"/>
            </w:tcBorders>
            <w:shd w:val="clear" w:color="auto" w:fill="F0FFFF"/>
          </w:tcPr>
          <w:p>
            <w:pPr>
              <w:spacing w:after="0"/>
              <w:rPr>
                <w:sz w:val="10"/>
                <w:szCs w:val="10"/>
                <w:color w:val="auto"/>
              </w:rPr>
            </w:pPr>
          </w:p>
        </w:tc>
        <w:tc>
          <w:tcPr>
            <w:tcW w:w="20" w:type="dxa"/>
            <w:vAlign w:val="bottom"/>
            <w:shd w:val="clear" w:color="auto" w:fill="F0FFFF"/>
          </w:tcPr>
          <w:p>
            <w:pPr>
              <w:spacing w:after="0"/>
              <w:rPr>
                <w:sz w:val="10"/>
                <w:szCs w:val="10"/>
                <w:color w:val="auto"/>
              </w:rPr>
            </w:pPr>
          </w:p>
        </w:tc>
        <w:tc>
          <w:tcPr>
            <w:tcW w:w="260" w:type="dxa"/>
            <w:vAlign w:val="bottom"/>
            <w:shd w:val="clear" w:color="auto" w:fill="F0FFFF"/>
          </w:tcPr>
          <w:p>
            <w:pPr>
              <w:spacing w:after="0"/>
              <w:rPr>
                <w:sz w:val="10"/>
                <w:szCs w:val="10"/>
                <w:color w:val="auto"/>
              </w:rPr>
            </w:pPr>
          </w:p>
        </w:tc>
        <w:tc>
          <w:tcPr>
            <w:tcW w:w="480" w:type="dxa"/>
            <w:vAlign w:val="bottom"/>
            <w:tcBorders>
              <w:right w:val="single" w:sz="8" w:color="F0FFFF"/>
            </w:tcBorders>
            <w:shd w:val="clear" w:color="auto" w:fill="F0FFFF"/>
          </w:tcPr>
          <w:p>
            <w:pPr>
              <w:spacing w:after="0"/>
              <w:rPr>
                <w:sz w:val="10"/>
                <w:szCs w:val="10"/>
                <w:color w:val="auto"/>
              </w:rPr>
            </w:pPr>
          </w:p>
        </w:tc>
        <w:tc>
          <w:tcPr>
            <w:tcW w:w="80" w:type="dxa"/>
            <w:vAlign w:val="bottom"/>
            <w:shd w:val="clear" w:color="auto" w:fill="F0FFFF"/>
          </w:tcPr>
          <w:p>
            <w:pPr>
              <w:spacing w:after="0"/>
              <w:rPr>
                <w:sz w:val="10"/>
                <w:szCs w:val="10"/>
                <w:color w:val="auto"/>
              </w:rPr>
            </w:pPr>
          </w:p>
        </w:tc>
        <w:tc>
          <w:tcPr>
            <w:tcW w:w="260" w:type="dxa"/>
            <w:vAlign w:val="bottom"/>
            <w:shd w:val="clear" w:color="auto" w:fill="F0FFFF"/>
          </w:tcPr>
          <w:p>
            <w:pPr>
              <w:spacing w:after="0"/>
              <w:rPr>
                <w:sz w:val="10"/>
                <w:szCs w:val="10"/>
                <w:color w:val="auto"/>
              </w:rPr>
            </w:pPr>
          </w:p>
        </w:tc>
        <w:tc>
          <w:tcPr>
            <w:tcW w:w="460" w:type="dxa"/>
            <w:vAlign w:val="bottom"/>
            <w:shd w:val="clear" w:color="auto" w:fill="F0FFFF"/>
          </w:tcPr>
          <w:p>
            <w:pPr>
              <w:spacing w:after="0"/>
              <w:rPr>
                <w:sz w:val="10"/>
                <w:szCs w:val="10"/>
                <w:color w:val="auto"/>
              </w:rPr>
            </w:pPr>
          </w:p>
        </w:tc>
        <w:tc>
          <w:tcPr>
            <w:tcW w:w="280" w:type="dxa"/>
            <w:vAlign w:val="bottom"/>
            <w:tcBorders>
              <w:right w:val="single" w:sz="8" w:color="auto"/>
            </w:tcBorders>
            <w:shd w:val="clear" w:color="auto" w:fill="F0FFFF"/>
          </w:tcPr>
          <w:p>
            <w:pPr>
              <w:spacing w:after="0"/>
              <w:rPr>
                <w:sz w:val="10"/>
                <w:szCs w:val="10"/>
                <w:color w:val="auto"/>
              </w:rPr>
            </w:pPr>
          </w:p>
        </w:tc>
        <w:tc>
          <w:tcPr>
            <w:tcW w:w="1320" w:type="dxa"/>
            <w:vAlign w:val="bottom"/>
            <w:tcBorders>
              <w:right w:val="single" w:sz="8" w:color="auto"/>
            </w:tcBorders>
            <w:shd w:val="clear" w:color="auto" w:fill="F0FFFF"/>
          </w:tcPr>
          <w:p>
            <w:pPr>
              <w:spacing w:after="0"/>
              <w:rPr>
                <w:sz w:val="10"/>
                <w:szCs w:val="10"/>
                <w:color w:val="auto"/>
              </w:rPr>
            </w:pPr>
          </w:p>
        </w:tc>
        <w:tc>
          <w:tcPr>
            <w:tcW w:w="140" w:type="dxa"/>
            <w:vAlign w:val="bottom"/>
            <w:shd w:val="clear" w:color="auto" w:fill="F0FFFF"/>
          </w:tcPr>
          <w:p>
            <w:pPr>
              <w:spacing w:after="0"/>
              <w:rPr>
                <w:sz w:val="10"/>
                <w:szCs w:val="10"/>
                <w:color w:val="auto"/>
              </w:rPr>
            </w:pPr>
          </w:p>
        </w:tc>
        <w:tc>
          <w:tcPr>
            <w:tcW w:w="1760" w:type="dxa"/>
            <w:vAlign w:val="bottom"/>
            <w:tcBorders>
              <w:left w:val="single" w:sz="8" w:color="F0FFFF"/>
              <w:right w:val="single" w:sz="8" w:color="auto"/>
            </w:tcBorders>
            <w:gridSpan w:val="27"/>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auto"/>
              </w:rPr>
              <w:t>you exercise the Performance</w:t>
            </w:r>
          </w:p>
        </w:tc>
        <w:tc>
          <w:tcPr>
            <w:tcW w:w="0" w:type="dxa"/>
            <w:vAlign w:val="bottom"/>
          </w:tcPr>
          <w:p>
            <w:pPr>
              <w:spacing w:after="0"/>
              <w:rPr>
                <w:sz w:val="1"/>
                <w:szCs w:val="1"/>
                <w:color w:val="auto"/>
              </w:rPr>
            </w:pPr>
          </w:p>
        </w:tc>
      </w:tr>
      <w:tr>
        <w:trPr>
          <w:trHeight w:val="129"/>
        </w:trPr>
        <w:tc>
          <w:tcPr>
            <w:tcW w:w="1020" w:type="dxa"/>
            <w:vAlign w:val="bottom"/>
            <w:tcBorders>
              <w:top w:val="single" w:sz="8" w:color="F0FFFF"/>
              <w:left w:val="single" w:sz="8" w:color="auto"/>
              <w:right w:val="single" w:sz="8" w:color="auto"/>
            </w:tcBorders>
            <w:shd w:val="clear" w:color="auto" w:fill="F0FFFF"/>
          </w:tcPr>
          <w:p>
            <w:pPr>
              <w:spacing w:after="0"/>
              <w:rPr>
                <w:sz w:val="11"/>
                <w:szCs w:val="11"/>
                <w:color w:val="auto"/>
              </w:rPr>
            </w:pPr>
          </w:p>
        </w:tc>
        <w:tc>
          <w:tcPr>
            <w:tcW w:w="20" w:type="dxa"/>
            <w:vAlign w:val="bottom"/>
            <w:tcBorders>
              <w:top w:val="single" w:sz="8" w:color="F0FFFF"/>
            </w:tcBorders>
            <w:shd w:val="clear" w:color="auto" w:fill="F0FFFF"/>
          </w:tcPr>
          <w:p>
            <w:pPr>
              <w:spacing w:after="0"/>
              <w:rPr>
                <w:sz w:val="11"/>
                <w:szCs w:val="11"/>
                <w:color w:val="auto"/>
              </w:rPr>
            </w:pPr>
          </w:p>
        </w:tc>
        <w:tc>
          <w:tcPr>
            <w:tcW w:w="260" w:type="dxa"/>
            <w:vAlign w:val="bottom"/>
            <w:tcBorders>
              <w:top w:val="single" w:sz="8" w:color="F0FFFF"/>
            </w:tcBorders>
            <w:shd w:val="clear" w:color="auto" w:fill="F0FFFF"/>
          </w:tcPr>
          <w:p>
            <w:pPr>
              <w:spacing w:after="0"/>
              <w:rPr>
                <w:sz w:val="11"/>
                <w:szCs w:val="11"/>
                <w:color w:val="auto"/>
              </w:rPr>
            </w:pPr>
          </w:p>
        </w:tc>
        <w:tc>
          <w:tcPr>
            <w:tcW w:w="480" w:type="dxa"/>
            <w:vAlign w:val="bottom"/>
            <w:tcBorders>
              <w:top w:val="single" w:sz="8" w:color="F0FFFF"/>
              <w:right w:val="single" w:sz="8" w:color="F0FFFF"/>
            </w:tcBorders>
            <w:shd w:val="clear" w:color="auto" w:fill="F0FFFF"/>
          </w:tcPr>
          <w:p>
            <w:pPr>
              <w:spacing w:after="0"/>
              <w:rPr>
                <w:sz w:val="11"/>
                <w:szCs w:val="11"/>
                <w:color w:val="auto"/>
              </w:rPr>
            </w:pPr>
          </w:p>
        </w:tc>
        <w:tc>
          <w:tcPr>
            <w:tcW w:w="80" w:type="dxa"/>
            <w:vAlign w:val="bottom"/>
            <w:tcBorders>
              <w:top w:val="single" w:sz="8" w:color="F0FFFF"/>
            </w:tcBorders>
            <w:shd w:val="clear" w:color="auto" w:fill="F0FFFF"/>
          </w:tcPr>
          <w:p>
            <w:pPr>
              <w:spacing w:after="0"/>
              <w:rPr>
                <w:sz w:val="11"/>
                <w:szCs w:val="11"/>
                <w:color w:val="auto"/>
              </w:rPr>
            </w:pPr>
          </w:p>
        </w:tc>
        <w:tc>
          <w:tcPr>
            <w:tcW w:w="260" w:type="dxa"/>
            <w:vAlign w:val="bottom"/>
            <w:tcBorders>
              <w:top w:val="single" w:sz="8" w:color="F0FFFF"/>
            </w:tcBorders>
            <w:shd w:val="clear" w:color="auto" w:fill="F0FFFF"/>
          </w:tcPr>
          <w:p>
            <w:pPr>
              <w:spacing w:after="0"/>
              <w:rPr>
                <w:sz w:val="11"/>
                <w:szCs w:val="11"/>
                <w:color w:val="auto"/>
              </w:rPr>
            </w:pPr>
          </w:p>
        </w:tc>
        <w:tc>
          <w:tcPr>
            <w:tcW w:w="460" w:type="dxa"/>
            <w:vAlign w:val="bottom"/>
            <w:tcBorders>
              <w:top w:val="single" w:sz="8" w:color="F0FFFF"/>
            </w:tcBorders>
            <w:shd w:val="clear" w:color="auto" w:fill="F0FFFF"/>
          </w:tcPr>
          <w:p>
            <w:pPr>
              <w:spacing w:after="0"/>
              <w:rPr>
                <w:sz w:val="11"/>
                <w:szCs w:val="11"/>
                <w:color w:val="auto"/>
              </w:rPr>
            </w:pPr>
          </w:p>
        </w:tc>
        <w:tc>
          <w:tcPr>
            <w:tcW w:w="280" w:type="dxa"/>
            <w:vAlign w:val="bottom"/>
            <w:tcBorders>
              <w:top w:val="single" w:sz="8" w:color="F0FFFF"/>
              <w:right w:val="single" w:sz="8" w:color="auto"/>
            </w:tcBorders>
            <w:shd w:val="clear" w:color="auto" w:fill="F0FFFF"/>
          </w:tcPr>
          <w:p>
            <w:pPr>
              <w:spacing w:after="0"/>
              <w:rPr>
                <w:sz w:val="11"/>
                <w:szCs w:val="11"/>
                <w:color w:val="auto"/>
              </w:rPr>
            </w:pPr>
          </w:p>
        </w:tc>
        <w:tc>
          <w:tcPr>
            <w:tcW w:w="1320" w:type="dxa"/>
            <w:vAlign w:val="bottom"/>
            <w:tcBorders>
              <w:top w:val="single" w:sz="8" w:color="F0FFFF"/>
              <w:right w:val="single" w:sz="8" w:color="auto"/>
            </w:tcBorders>
            <w:shd w:val="clear" w:color="auto" w:fill="F0FFFF"/>
          </w:tcPr>
          <w:p>
            <w:pPr>
              <w:spacing w:after="0"/>
              <w:rPr>
                <w:sz w:val="11"/>
                <w:szCs w:val="11"/>
                <w:color w:val="auto"/>
              </w:rPr>
            </w:pPr>
          </w:p>
        </w:tc>
        <w:tc>
          <w:tcPr>
            <w:tcW w:w="140" w:type="dxa"/>
            <w:vAlign w:val="bottom"/>
            <w:tcBorders>
              <w:top w:val="single" w:sz="8" w:color="F0FFFF"/>
            </w:tcBorders>
            <w:shd w:val="clear" w:color="auto" w:fill="F0FFFF"/>
          </w:tcPr>
          <w:p>
            <w:pPr>
              <w:spacing w:after="0"/>
              <w:rPr>
                <w:sz w:val="11"/>
                <w:szCs w:val="11"/>
                <w:color w:val="auto"/>
              </w:rPr>
            </w:pPr>
          </w:p>
        </w:tc>
        <w:tc>
          <w:tcPr>
            <w:tcW w:w="900" w:type="dxa"/>
            <w:vAlign w:val="bottom"/>
            <w:tcBorders>
              <w:top w:val="single" w:sz="8" w:color="F0FFFF"/>
              <w:left w:val="single" w:sz="8" w:color="F0FFFF"/>
            </w:tcBorders>
            <w:gridSpan w:val="10"/>
            <w:shd w:val="clear" w:color="auto" w:fill="F0FFFF"/>
          </w:tcPr>
          <w:p>
            <w:pPr>
              <w:spacing w:after="0" w:line="129" w:lineRule="exact"/>
              <w:rPr>
                <w:sz w:val="20"/>
                <w:szCs w:val="20"/>
                <w:color w:val="auto"/>
              </w:rPr>
            </w:pPr>
            <w:r>
              <w:rPr>
                <w:rFonts w:ascii="Times New Roman" w:cs="Times New Roman" w:eastAsia="Times New Roman" w:hAnsi="Times New Roman"/>
                <w:sz w:val="13"/>
                <w:szCs w:val="13"/>
                <w:color w:val="auto"/>
                <w:w w:val="92"/>
              </w:rPr>
              <w:t>Lock to determine</w:t>
            </w:r>
          </w:p>
        </w:tc>
        <w:tc>
          <w:tcPr>
            <w:tcW w:w="40" w:type="dxa"/>
            <w:vAlign w:val="bottom"/>
            <w:tcBorders>
              <w:top w:val="single" w:sz="8" w:color="auto"/>
              <w:right w:val="single" w:sz="8" w:color="F0FFFF"/>
            </w:tcBorders>
            <w:shd w:val="clear" w:color="auto" w:fill="F0FFFF"/>
          </w:tcPr>
          <w:p>
            <w:pPr>
              <w:spacing w:after="0"/>
              <w:rPr>
                <w:sz w:val="11"/>
                <w:szCs w:val="11"/>
                <w:color w:val="auto"/>
              </w:rPr>
            </w:pPr>
          </w:p>
        </w:tc>
        <w:tc>
          <w:tcPr>
            <w:tcW w:w="700" w:type="dxa"/>
            <w:vAlign w:val="bottom"/>
            <w:tcBorders>
              <w:top w:val="single" w:sz="8" w:color="auto"/>
              <w:left w:val="single" w:sz="8" w:color="F0FFFF"/>
            </w:tcBorders>
            <w:gridSpan w:val="14"/>
            <w:shd w:val="clear" w:color="auto" w:fill="F0FFFF"/>
          </w:tcPr>
          <w:p>
            <w:pPr>
              <w:ind w:left="60"/>
              <w:spacing w:after="0" w:line="129" w:lineRule="exact"/>
              <w:rPr>
                <w:sz w:val="20"/>
                <w:szCs w:val="20"/>
                <w:color w:val="auto"/>
              </w:rPr>
            </w:pPr>
            <w:r>
              <w:rPr>
                <w:rFonts w:ascii="Times New Roman" w:cs="Times New Roman" w:eastAsia="Times New Roman" w:hAnsi="Times New Roman"/>
                <w:sz w:val="13"/>
                <w:szCs w:val="13"/>
                <w:color w:val="auto"/>
              </w:rPr>
              <w:t>the</w:t>
            </w:r>
          </w:p>
        </w:tc>
        <w:tc>
          <w:tcPr>
            <w:tcW w:w="120" w:type="dxa"/>
            <w:vAlign w:val="bottom"/>
            <w:tcBorders>
              <w:top w:val="single" w:sz="8" w:color="F0FFFF"/>
              <w:right w:val="single" w:sz="8" w:color="auto"/>
            </w:tcBorders>
            <w:gridSpan w:val="2"/>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48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460" w:type="dxa"/>
            <w:vAlign w:val="bottom"/>
            <w:shd w:val="clear" w:color="auto" w:fill="F0FFFF"/>
          </w:tcPr>
          <w:p>
            <w:pPr>
              <w:spacing w:after="0" w:line="20" w:lineRule="exact"/>
              <w:rPr>
                <w:sz w:val="1"/>
                <w:szCs w:val="1"/>
                <w:color w:val="auto"/>
              </w:rPr>
            </w:pPr>
          </w:p>
        </w:tc>
        <w:tc>
          <w:tcPr>
            <w:tcW w:w="280" w:type="dxa"/>
            <w:vAlign w:val="bottom"/>
            <w:tcBorders>
              <w:right w:val="single" w:sz="8" w:color="auto"/>
            </w:tcBorders>
            <w:shd w:val="clear" w:color="auto" w:fill="F0FFFF"/>
          </w:tcPr>
          <w:p>
            <w:pPr>
              <w:spacing w:after="0" w:line="20" w:lineRule="exact"/>
              <w:rPr>
                <w:sz w:val="1"/>
                <w:szCs w:val="1"/>
                <w:color w:val="auto"/>
              </w:rPr>
            </w:pPr>
          </w:p>
        </w:tc>
        <w:tc>
          <w:tcPr>
            <w:tcW w:w="1320" w:type="dxa"/>
            <w:vAlign w:val="bottom"/>
            <w:tcBorders>
              <w:right w:val="single" w:sz="8" w:color="auto"/>
            </w:tcBorders>
            <w:shd w:val="clear" w:color="auto" w:fill="F0FFFF"/>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F0FFFF"/>
            </w:tcBorders>
            <w:shd w:val="clear" w:color="auto" w:fill="F0FFFF"/>
          </w:tcPr>
          <w:p>
            <w:pPr>
              <w:spacing w:after="0" w:line="20" w:lineRule="exact"/>
              <w:rPr>
                <w:sz w:val="1"/>
                <w:szCs w:val="1"/>
                <w:color w:val="auto"/>
              </w:rPr>
            </w:pPr>
          </w:p>
        </w:tc>
        <w:tc>
          <w:tcPr>
            <w:tcW w:w="20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40" w:type="dxa"/>
            <w:vAlign w:val="bottom"/>
            <w:gridSpan w:val="2"/>
            <w:shd w:val="clear" w:color="auto" w:fill="F0FFFF"/>
          </w:tcPr>
          <w:p>
            <w:pPr>
              <w:spacing w:after="0" w:line="20" w:lineRule="exact"/>
              <w:rPr>
                <w:sz w:val="1"/>
                <w:szCs w:val="1"/>
                <w:color w:val="auto"/>
              </w:rPr>
            </w:pPr>
          </w:p>
        </w:tc>
        <w:tc>
          <w:tcPr>
            <w:tcW w:w="80" w:type="dxa"/>
            <w:vAlign w:val="bottom"/>
            <w:tcBorders>
              <w:right w:val="single" w:sz="8" w:color="F0FFFF"/>
            </w:tcBorders>
            <w:shd w:val="clear" w:color="auto" w:fill="F0FFFF"/>
          </w:tcPr>
          <w:p>
            <w:pPr>
              <w:spacing w:after="0" w:line="20" w:lineRule="exact"/>
              <w:rPr>
                <w:sz w:val="1"/>
                <w:szCs w:val="1"/>
                <w:color w:val="auto"/>
              </w:rPr>
            </w:pPr>
          </w:p>
        </w:tc>
        <w:tc>
          <w:tcPr>
            <w:tcW w:w="120" w:type="dxa"/>
            <w:vAlign w:val="bottom"/>
            <w:tcBorders>
              <w:right w:val="single" w:sz="8" w:color="F0FFFF"/>
            </w:tcBorders>
            <w:gridSpan w:val="2"/>
            <w:shd w:val="clear" w:color="auto" w:fill="F0FFFF"/>
          </w:tcPr>
          <w:p>
            <w:pPr>
              <w:spacing w:after="0" w:line="20" w:lineRule="exact"/>
              <w:rPr>
                <w:sz w:val="1"/>
                <w:szCs w:val="1"/>
                <w:color w:val="auto"/>
              </w:rPr>
            </w:pPr>
          </w:p>
        </w:tc>
        <w:tc>
          <w:tcPr>
            <w:tcW w:w="28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100" w:type="dxa"/>
            <w:vAlign w:val="bottom"/>
            <w:tcBorders>
              <w:left w:val="single" w:sz="8" w:color="F0FFFF"/>
            </w:tcBorders>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20" w:type="dxa"/>
            <w:vAlign w:val="bottom"/>
            <w:tcBorders>
              <w:right w:val="single" w:sz="8" w:color="F0FFFF"/>
            </w:tcBorders>
            <w:shd w:val="clear" w:color="auto" w:fill="F0FFFF"/>
          </w:tcPr>
          <w:p>
            <w:pPr>
              <w:spacing w:after="0" w:line="20" w:lineRule="exact"/>
              <w:rPr>
                <w:sz w:val="1"/>
                <w:szCs w:val="1"/>
                <w:color w:val="auto"/>
              </w:rPr>
            </w:pPr>
          </w:p>
        </w:tc>
        <w:tc>
          <w:tcPr>
            <w:tcW w:w="40" w:type="dxa"/>
            <w:vAlign w:val="bottom"/>
            <w:gridSpan w:val="2"/>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80" w:type="dxa"/>
            <w:vAlign w:val="bottom"/>
            <w:tcBorders>
              <w:right w:val="single" w:sz="8" w:color="F0FFFF"/>
            </w:tcBorders>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40" w:type="dxa"/>
            <w:vAlign w:val="bottom"/>
            <w:tcBorders>
              <w:right w:val="single" w:sz="8" w:color="F0FFFF"/>
            </w:tcBorders>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40" w:type="dxa"/>
            <w:vAlign w:val="bottom"/>
            <w:tcBorders>
              <w:right w:val="single" w:sz="8" w:color="auto"/>
            </w:tcBorders>
            <w:gridSpan w:val="3"/>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20" w:type="dxa"/>
            <w:vAlign w:val="bottom"/>
            <w:tcBorders>
              <w:left w:val="single" w:sz="8" w:color="auto"/>
              <w:right w:val="single" w:sz="8" w:color="auto"/>
            </w:tcBorders>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260" w:type="dxa"/>
            <w:vAlign w:val="bottom"/>
            <w:shd w:val="clear" w:color="auto" w:fill="F0FFFF"/>
          </w:tcPr>
          <w:p>
            <w:pPr>
              <w:spacing w:after="0"/>
              <w:rPr>
                <w:sz w:val="11"/>
                <w:szCs w:val="11"/>
                <w:color w:val="auto"/>
              </w:rPr>
            </w:pPr>
          </w:p>
        </w:tc>
        <w:tc>
          <w:tcPr>
            <w:tcW w:w="480" w:type="dxa"/>
            <w:vAlign w:val="bottom"/>
            <w:tcBorders>
              <w:righ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260" w:type="dxa"/>
            <w:vAlign w:val="bottom"/>
            <w:shd w:val="clear" w:color="auto" w:fill="F0FFFF"/>
          </w:tcPr>
          <w:p>
            <w:pPr>
              <w:spacing w:after="0"/>
              <w:rPr>
                <w:sz w:val="11"/>
                <w:szCs w:val="11"/>
                <w:color w:val="auto"/>
              </w:rPr>
            </w:pPr>
          </w:p>
        </w:tc>
        <w:tc>
          <w:tcPr>
            <w:tcW w:w="460" w:type="dxa"/>
            <w:vAlign w:val="bottom"/>
            <w:shd w:val="clear" w:color="auto" w:fill="F0FFFF"/>
          </w:tcPr>
          <w:p>
            <w:pPr>
              <w:spacing w:after="0"/>
              <w:rPr>
                <w:sz w:val="11"/>
                <w:szCs w:val="11"/>
                <w:color w:val="auto"/>
              </w:rPr>
            </w:pPr>
          </w:p>
        </w:tc>
        <w:tc>
          <w:tcPr>
            <w:tcW w:w="280" w:type="dxa"/>
            <w:vAlign w:val="bottom"/>
            <w:tcBorders>
              <w:right w:val="single" w:sz="8" w:color="auto"/>
            </w:tcBorders>
            <w:shd w:val="clear" w:color="auto" w:fill="F0FFFF"/>
          </w:tcPr>
          <w:p>
            <w:pPr>
              <w:spacing w:after="0"/>
              <w:rPr>
                <w:sz w:val="11"/>
                <w:szCs w:val="11"/>
                <w:color w:val="auto"/>
              </w:rPr>
            </w:pPr>
          </w:p>
        </w:tc>
        <w:tc>
          <w:tcPr>
            <w:tcW w:w="1320" w:type="dxa"/>
            <w:vAlign w:val="bottom"/>
            <w:tcBorders>
              <w:right w:val="single" w:sz="8" w:color="auto"/>
            </w:tcBorders>
            <w:shd w:val="clear" w:color="auto" w:fill="F0FFFF"/>
          </w:tcPr>
          <w:p>
            <w:pPr>
              <w:spacing w:after="0"/>
              <w:rPr>
                <w:sz w:val="11"/>
                <w:szCs w:val="11"/>
                <w:color w:val="auto"/>
              </w:rPr>
            </w:pPr>
          </w:p>
        </w:tc>
        <w:tc>
          <w:tcPr>
            <w:tcW w:w="140" w:type="dxa"/>
            <w:vAlign w:val="bottom"/>
            <w:vMerge w:val="restart"/>
            <w:shd w:val="clear" w:color="auto" w:fill="F0FF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760" w:type="dxa"/>
            <w:vAlign w:val="bottom"/>
            <w:tcBorders>
              <w:left w:val="single" w:sz="8" w:color="F0FFFF"/>
              <w:right w:val="single" w:sz="8" w:color="auto"/>
            </w:tcBorders>
            <w:gridSpan w:val="27"/>
            <w:shd w:val="clear" w:color="auto" w:fill="F0FFFF"/>
          </w:tcPr>
          <w:p>
            <w:pPr>
              <w:spacing w:after="0" w:line="129" w:lineRule="exact"/>
              <w:rPr>
                <w:sz w:val="20"/>
                <w:szCs w:val="20"/>
                <w:color w:val="auto"/>
              </w:rPr>
            </w:pPr>
            <w:r>
              <w:rPr>
                <w:rFonts w:ascii="Times New Roman" w:cs="Times New Roman" w:eastAsia="Times New Roman" w:hAnsi="Times New Roman"/>
                <w:sz w:val="13"/>
                <w:szCs w:val="13"/>
                <w:color w:val="auto"/>
              </w:rPr>
              <w:t>Performance Lock Value.</w:t>
            </w:r>
          </w:p>
        </w:tc>
        <w:tc>
          <w:tcPr>
            <w:tcW w:w="0" w:type="dxa"/>
            <w:vAlign w:val="bottom"/>
          </w:tcPr>
          <w:p>
            <w:pPr>
              <w:spacing w:after="0"/>
              <w:rPr>
                <w:sz w:val="1"/>
                <w:szCs w:val="1"/>
                <w:color w:val="auto"/>
              </w:rPr>
            </w:pPr>
          </w:p>
        </w:tc>
      </w:tr>
      <w:tr>
        <w:trPr>
          <w:trHeight w:val="126"/>
        </w:trPr>
        <w:tc>
          <w:tcPr>
            <w:tcW w:w="1020" w:type="dxa"/>
            <w:vAlign w:val="bottom"/>
            <w:tcBorders>
              <w:top w:val="single" w:sz="8" w:color="F0FFFF"/>
              <w:left w:val="single" w:sz="8" w:color="auto"/>
              <w:right w:val="single" w:sz="8" w:color="auto"/>
            </w:tcBorders>
            <w:shd w:val="clear" w:color="auto" w:fill="F0FFFF"/>
          </w:tcPr>
          <w:p>
            <w:pPr>
              <w:spacing w:after="0"/>
              <w:rPr>
                <w:sz w:val="10"/>
                <w:szCs w:val="10"/>
                <w:color w:val="auto"/>
              </w:rPr>
            </w:pPr>
          </w:p>
        </w:tc>
        <w:tc>
          <w:tcPr>
            <w:tcW w:w="20" w:type="dxa"/>
            <w:vAlign w:val="bottom"/>
            <w:tcBorders>
              <w:top w:val="single" w:sz="8" w:color="F0FFFF"/>
            </w:tcBorders>
            <w:shd w:val="clear" w:color="auto" w:fill="F0FFFF"/>
          </w:tcPr>
          <w:p>
            <w:pPr>
              <w:spacing w:after="0"/>
              <w:rPr>
                <w:sz w:val="10"/>
                <w:szCs w:val="10"/>
                <w:color w:val="auto"/>
              </w:rPr>
            </w:pPr>
          </w:p>
        </w:tc>
        <w:tc>
          <w:tcPr>
            <w:tcW w:w="260" w:type="dxa"/>
            <w:vAlign w:val="bottom"/>
            <w:tcBorders>
              <w:top w:val="single" w:sz="8" w:color="F0FFFF"/>
            </w:tcBorders>
            <w:shd w:val="clear" w:color="auto" w:fill="F0FFFF"/>
          </w:tcPr>
          <w:p>
            <w:pPr>
              <w:spacing w:after="0"/>
              <w:rPr>
                <w:sz w:val="10"/>
                <w:szCs w:val="10"/>
                <w:color w:val="auto"/>
              </w:rPr>
            </w:pPr>
          </w:p>
        </w:tc>
        <w:tc>
          <w:tcPr>
            <w:tcW w:w="480" w:type="dxa"/>
            <w:vAlign w:val="bottom"/>
            <w:tcBorders>
              <w:top w:val="single" w:sz="8" w:color="F0FFFF"/>
              <w:right w:val="single" w:sz="8" w:color="F0FFFF"/>
            </w:tcBorders>
            <w:shd w:val="clear" w:color="auto" w:fill="F0FFFF"/>
          </w:tcPr>
          <w:p>
            <w:pPr>
              <w:spacing w:after="0"/>
              <w:rPr>
                <w:sz w:val="10"/>
                <w:szCs w:val="10"/>
                <w:color w:val="auto"/>
              </w:rPr>
            </w:pPr>
          </w:p>
        </w:tc>
        <w:tc>
          <w:tcPr>
            <w:tcW w:w="80" w:type="dxa"/>
            <w:vAlign w:val="bottom"/>
            <w:tcBorders>
              <w:top w:val="single" w:sz="8" w:color="F0FFFF"/>
            </w:tcBorders>
            <w:shd w:val="clear" w:color="auto" w:fill="F0FFFF"/>
          </w:tcPr>
          <w:p>
            <w:pPr>
              <w:spacing w:after="0"/>
              <w:rPr>
                <w:sz w:val="10"/>
                <w:szCs w:val="10"/>
                <w:color w:val="auto"/>
              </w:rPr>
            </w:pPr>
          </w:p>
        </w:tc>
        <w:tc>
          <w:tcPr>
            <w:tcW w:w="260" w:type="dxa"/>
            <w:vAlign w:val="bottom"/>
            <w:tcBorders>
              <w:top w:val="single" w:sz="8" w:color="F0FFFF"/>
            </w:tcBorders>
            <w:shd w:val="clear" w:color="auto" w:fill="F0FFFF"/>
          </w:tcPr>
          <w:p>
            <w:pPr>
              <w:spacing w:after="0"/>
              <w:rPr>
                <w:sz w:val="10"/>
                <w:szCs w:val="10"/>
                <w:color w:val="auto"/>
              </w:rPr>
            </w:pPr>
          </w:p>
        </w:tc>
        <w:tc>
          <w:tcPr>
            <w:tcW w:w="460" w:type="dxa"/>
            <w:vAlign w:val="bottom"/>
            <w:tcBorders>
              <w:top w:val="single" w:sz="8" w:color="F0FFFF"/>
            </w:tcBorders>
            <w:shd w:val="clear" w:color="auto" w:fill="F0FFFF"/>
          </w:tcPr>
          <w:p>
            <w:pPr>
              <w:spacing w:after="0"/>
              <w:rPr>
                <w:sz w:val="10"/>
                <w:szCs w:val="10"/>
                <w:color w:val="auto"/>
              </w:rPr>
            </w:pPr>
          </w:p>
        </w:tc>
        <w:tc>
          <w:tcPr>
            <w:tcW w:w="280" w:type="dxa"/>
            <w:vAlign w:val="bottom"/>
            <w:tcBorders>
              <w:top w:val="single" w:sz="8" w:color="F0FFFF"/>
              <w:right w:val="single" w:sz="8" w:color="auto"/>
            </w:tcBorders>
            <w:shd w:val="clear" w:color="auto" w:fill="F0FFFF"/>
          </w:tcPr>
          <w:p>
            <w:pPr>
              <w:spacing w:after="0"/>
              <w:rPr>
                <w:sz w:val="10"/>
                <w:szCs w:val="10"/>
                <w:color w:val="auto"/>
              </w:rPr>
            </w:pPr>
          </w:p>
        </w:tc>
        <w:tc>
          <w:tcPr>
            <w:tcW w:w="1320" w:type="dxa"/>
            <w:vAlign w:val="bottom"/>
            <w:tcBorders>
              <w:top w:val="single" w:sz="8" w:color="F0FFFF"/>
              <w:right w:val="single" w:sz="8" w:color="auto"/>
            </w:tcBorders>
            <w:shd w:val="clear" w:color="auto" w:fill="F0FFFF"/>
          </w:tcPr>
          <w:p>
            <w:pPr>
              <w:spacing w:after="0"/>
              <w:rPr>
                <w:sz w:val="10"/>
                <w:szCs w:val="10"/>
                <w:color w:val="auto"/>
              </w:rPr>
            </w:pPr>
          </w:p>
        </w:tc>
        <w:tc>
          <w:tcPr>
            <w:tcW w:w="140" w:type="dxa"/>
            <w:vAlign w:val="bottom"/>
            <w:tcBorders>
              <w:top w:val="single" w:sz="8" w:color="F0FFFF"/>
            </w:tcBorders>
            <w:vMerge w:val="continue"/>
            <w:shd w:val="clear" w:color="auto" w:fill="F0FFFF"/>
          </w:tcPr>
          <w:p>
            <w:pPr>
              <w:spacing w:after="0"/>
              <w:rPr>
                <w:sz w:val="10"/>
                <w:szCs w:val="10"/>
                <w:color w:val="auto"/>
              </w:rPr>
            </w:pPr>
          </w:p>
        </w:tc>
        <w:tc>
          <w:tcPr>
            <w:tcW w:w="1320" w:type="dxa"/>
            <w:vAlign w:val="bottom"/>
            <w:tcBorders>
              <w:top w:val="single" w:sz="8" w:color="auto"/>
              <w:left w:val="single" w:sz="8" w:color="F0FFFF"/>
            </w:tcBorders>
            <w:gridSpan w:val="13"/>
            <w:shd w:val="clear" w:color="auto" w:fill="F0FFFF"/>
          </w:tcPr>
          <w:p>
            <w:pPr>
              <w:spacing w:after="0" w:line="126" w:lineRule="exact"/>
              <w:rPr>
                <w:sz w:val="20"/>
                <w:szCs w:val="20"/>
                <w:color w:val="auto"/>
              </w:rPr>
            </w:pPr>
            <w:r>
              <w:rPr>
                <w:rFonts w:ascii="Times New Roman" w:cs="Times New Roman" w:eastAsia="Times New Roman" w:hAnsi="Times New Roman"/>
                <w:sz w:val="13"/>
                <w:szCs w:val="13"/>
                <w:color w:val="auto"/>
              </w:rPr>
              <w:t>You will not be able to</w:t>
            </w:r>
          </w:p>
        </w:tc>
        <w:tc>
          <w:tcPr>
            <w:tcW w:w="20" w:type="dxa"/>
            <w:vAlign w:val="bottom"/>
            <w:tcBorders>
              <w:top w:val="single" w:sz="8" w:color="F0FFFF"/>
            </w:tcBorders>
            <w:shd w:val="clear" w:color="auto" w:fill="F0FFFF"/>
          </w:tcPr>
          <w:p>
            <w:pPr>
              <w:spacing w:after="0"/>
              <w:rPr>
                <w:sz w:val="10"/>
                <w:szCs w:val="10"/>
                <w:color w:val="auto"/>
              </w:rPr>
            </w:pPr>
          </w:p>
        </w:tc>
        <w:tc>
          <w:tcPr>
            <w:tcW w:w="20" w:type="dxa"/>
            <w:vAlign w:val="bottom"/>
            <w:tcBorders>
              <w:top w:val="single" w:sz="8" w:color="F0FFFF"/>
              <w:right w:val="single" w:sz="8" w:color="F0FFFF"/>
            </w:tcBorders>
            <w:shd w:val="clear" w:color="auto" w:fill="F0FFFF"/>
          </w:tcPr>
          <w:p>
            <w:pPr>
              <w:spacing w:after="0"/>
              <w:rPr>
                <w:sz w:val="10"/>
                <w:szCs w:val="10"/>
                <w:color w:val="auto"/>
              </w:rPr>
            </w:pPr>
          </w:p>
        </w:tc>
        <w:tc>
          <w:tcPr>
            <w:tcW w:w="40" w:type="dxa"/>
            <w:vAlign w:val="bottom"/>
            <w:tcBorders>
              <w:top w:val="single" w:sz="8" w:color="F0FFFF"/>
            </w:tcBorders>
            <w:gridSpan w:val="2"/>
            <w:shd w:val="clear" w:color="auto" w:fill="F0FFFF"/>
          </w:tcPr>
          <w:p>
            <w:pPr>
              <w:spacing w:after="0"/>
              <w:rPr>
                <w:sz w:val="10"/>
                <w:szCs w:val="10"/>
                <w:color w:val="auto"/>
              </w:rPr>
            </w:pPr>
          </w:p>
        </w:tc>
        <w:tc>
          <w:tcPr>
            <w:tcW w:w="20" w:type="dxa"/>
            <w:vAlign w:val="bottom"/>
            <w:tcBorders>
              <w:top w:val="single" w:sz="8" w:color="F0FFFF"/>
            </w:tcBorders>
            <w:shd w:val="clear" w:color="auto" w:fill="F0FFFF"/>
          </w:tcPr>
          <w:p>
            <w:pPr>
              <w:spacing w:after="0"/>
              <w:rPr>
                <w:sz w:val="10"/>
                <w:szCs w:val="10"/>
                <w:color w:val="auto"/>
              </w:rPr>
            </w:pPr>
          </w:p>
        </w:tc>
        <w:tc>
          <w:tcPr>
            <w:tcW w:w="80" w:type="dxa"/>
            <w:vAlign w:val="bottom"/>
            <w:tcBorders>
              <w:top w:val="single" w:sz="8" w:color="F0FFFF"/>
              <w:right w:val="single" w:sz="8" w:color="F0FFFF"/>
            </w:tcBorders>
            <w:shd w:val="clear" w:color="auto" w:fill="F0FFFF"/>
          </w:tcPr>
          <w:p>
            <w:pPr>
              <w:spacing w:after="0"/>
              <w:rPr>
                <w:sz w:val="10"/>
                <w:szCs w:val="10"/>
                <w:color w:val="auto"/>
              </w:rPr>
            </w:pPr>
          </w:p>
        </w:tc>
        <w:tc>
          <w:tcPr>
            <w:tcW w:w="20" w:type="dxa"/>
            <w:vAlign w:val="bottom"/>
            <w:tcBorders>
              <w:top w:val="single" w:sz="8" w:color="F0FFFF"/>
            </w:tcBorders>
            <w:shd w:val="clear" w:color="auto" w:fill="F0FFFF"/>
          </w:tcPr>
          <w:p>
            <w:pPr>
              <w:spacing w:after="0"/>
              <w:rPr>
                <w:sz w:val="10"/>
                <w:szCs w:val="10"/>
                <w:color w:val="auto"/>
              </w:rPr>
            </w:pPr>
          </w:p>
        </w:tc>
        <w:tc>
          <w:tcPr>
            <w:tcW w:w="40" w:type="dxa"/>
            <w:vAlign w:val="bottom"/>
            <w:tcBorders>
              <w:top w:val="single" w:sz="8" w:color="F0FFFF"/>
              <w:right w:val="single" w:sz="8" w:color="F0FFFF"/>
            </w:tcBorders>
            <w:shd w:val="clear" w:color="auto" w:fill="F0FFFF"/>
          </w:tcPr>
          <w:p>
            <w:pPr>
              <w:spacing w:after="0"/>
              <w:rPr>
                <w:sz w:val="10"/>
                <w:szCs w:val="10"/>
                <w:color w:val="auto"/>
              </w:rPr>
            </w:pPr>
          </w:p>
        </w:tc>
        <w:tc>
          <w:tcPr>
            <w:tcW w:w="20" w:type="dxa"/>
            <w:vAlign w:val="bottom"/>
            <w:tcBorders>
              <w:top w:val="single" w:sz="8" w:color="F0FFFF"/>
            </w:tcBorders>
            <w:shd w:val="clear" w:color="auto" w:fill="F0FFFF"/>
          </w:tcPr>
          <w:p>
            <w:pPr>
              <w:spacing w:after="0"/>
              <w:rPr>
                <w:sz w:val="10"/>
                <w:szCs w:val="10"/>
                <w:color w:val="auto"/>
              </w:rPr>
            </w:pPr>
          </w:p>
        </w:tc>
        <w:tc>
          <w:tcPr>
            <w:tcW w:w="20" w:type="dxa"/>
            <w:vAlign w:val="bottom"/>
            <w:tcBorders>
              <w:top w:val="single" w:sz="8" w:color="F0FFFF"/>
            </w:tcBorders>
            <w:shd w:val="clear" w:color="auto" w:fill="F0FFFF"/>
          </w:tcPr>
          <w:p>
            <w:pPr>
              <w:spacing w:after="0"/>
              <w:rPr>
                <w:sz w:val="10"/>
                <w:szCs w:val="10"/>
                <w:color w:val="auto"/>
              </w:rPr>
            </w:pPr>
          </w:p>
        </w:tc>
        <w:tc>
          <w:tcPr>
            <w:tcW w:w="20" w:type="dxa"/>
            <w:vAlign w:val="bottom"/>
            <w:tcBorders>
              <w:top w:val="single" w:sz="8" w:color="F0FFFF"/>
            </w:tcBorders>
            <w:shd w:val="clear" w:color="auto" w:fill="F0FFFF"/>
          </w:tcPr>
          <w:p>
            <w:pPr>
              <w:spacing w:after="0"/>
              <w:rPr>
                <w:sz w:val="10"/>
                <w:szCs w:val="10"/>
                <w:color w:val="auto"/>
              </w:rPr>
            </w:pPr>
          </w:p>
        </w:tc>
        <w:tc>
          <w:tcPr>
            <w:tcW w:w="140" w:type="dxa"/>
            <w:vAlign w:val="bottom"/>
            <w:tcBorders>
              <w:top w:val="single" w:sz="8" w:color="F0FFFF"/>
              <w:right w:val="single" w:sz="8" w:color="auto"/>
            </w:tcBorders>
            <w:gridSpan w:val="3"/>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20" w:type="dxa"/>
            <w:vAlign w:val="bottom"/>
            <w:tcBorders>
              <w:left w:val="single" w:sz="8" w:color="auto"/>
              <w:right w:val="single" w:sz="8" w:color="auto"/>
            </w:tcBorders>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480" w:type="dxa"/>
            <w:vAlign w:val="bottom"/>
            <w:tcBorders>
              <w:righ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460" w:type="dxa"/>
            <w:vAlign w:val="bottom"/>
            <w:shd w:val="clear" w:color="auto" w:fill="F0FFFF"/>
          </w:tcPr>
          <w:p>
            <w:pPr>
              <w:spacing w:after="0"/>
              <w:rPr>
                <w:sz w:val="12"/>
                <w:szCs w:val="12"/>
                <w:color w:val="auto"/>
              </w:rPr>
            </w:pPr>
          </w:p>
        </w:tc>
        <w:tc>
          <w:tcPr>
            <w:tcW w:w="280" w:type="dxa"/>
            <w:vAlign w:val="bottom"/>
            <w:tcBorders>
              <w:right w:val="single" w:sz="8" w:color="auto"/>
            </w:tcBorders>
            <w:shd w:val="clear" w:color="auto" w:fill="F0FFFF"/>
          </w:tcPr>
          <w:p>
            <w:pPr>
              <w:spacing w:after="0"/>
              <w:rPr>
                <w:sz w:val="12"/>
                <w:szCs w:val="12"/>
                <w:color w:val="auto"/>
              </w:rPr>
            </w:pPr>
          </w:p>
        </w:tc>
        <w:tc>
          <w:tcPr>
            <w:tcW w:w="1320" w:type="dxa"/>
            <w:vAlign w:val="bottom"/>
            <w:tcBorders>
              <w:right w:val="single" w:sz="8" w:color="auto"/>
            </w:tcBorders>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760" w:type="dxa"/>
            <w:vAlign w:val="bottom"/>
            <w:tcBorders>
              <w:left w:val="single" w:sz="8" w:color="F0FFFF"/>
              <w:right w:val="single" w:sz="8" w:color="auto"/>
            </w:tcBorders>
            <w:gridSpan w:val="27"/>
            <w:shd w:val="clear" w:color="auto" w:fill="F0FFFF"/>
          </w:tcPr>
          <w:p>
            <w:pPr>
              <w:spacing w:after="0"/>
              <w:rPr>
                <w:sz w:val="20"/>
                <w:szCs w:val="20"/>
                <w:color w:val="auto"/>
              </w:rPr>
            </w:pPr>
            <w:r>
              <w:rPr>
                <w:rFonts w:ascii="Times New Roman" w:cs="Times New Roman" w:eastAsia="Times New Roman" w:hAnsi="Times New Roman"/>
                <w:sz w:val="13"/>
                <w:szCs w:val="13"/>
                <w:color w:val="auto"/>
              </w:rPr>
              <w:t>determine in advance the</w:t>
            </w:r>
          </w:p>
        </w:tc>
        <w:tc>
          <w:tcPr>
            <w:tcW w:w="0" w:type="dxa"/>
            <w:vAlign w:val="bottom"/>
          </w:tcPr>
          <w:p>
            <w:pPr>
              <w:spacing w:after="0"/>
              <w:rPr>
                <w:sz w:val="1"/>
                <w:szCs w:val="1"/>
                <w:color w:val="auto"/>
              </w:rPr>
            </w:pPr>
          </w:p>
        </w:tc>
      </w:tr>
      <w:tr>
        <w:trPr>
          <w:trHeight w:val="142"/>
        </w:trPr>
        <w:tc>
          <w:tcPr>
            <w:tcW w:w="1020" w:type="dxa"/>
            <w:vAlign w:val="bottom"/>
            <w:tcBorders>
              <w:left w:val="single" w:sz="8" w:color="auto"/>
              <w:right w:val="single" w:sz="8" w:color="auto"/>
            </w:tcBorders>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480" w:type="dxa"/>
            <w:vAlign w:val="bottom"/>
            <w:tcBorders>
              <w:righ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460" w:type="dxa"/>
            <w:vAlign w:val="bottom"/>
            <w:shd w:val="clear" w:color="auto" w:fill="F0FFFF"/>
          </w:tcPr>
          <w:p>
            <w:pPr>
              <w:spacing w:after="0"/>
              <w:rPr>
                <w:sz w:val="12"/>
                <w:szCs w:val="12"/>
                <w:color w:val="auto"/>
              </w:rPr>
            </w:pPr>
          </w:p>
        </w:tc>
        <w:tc>
          <w:tcPr>
            <w:tcW w:w="280" w:type="dxa"/>
            <w:vAlign w:val="bottom"/>
            <w:tcBorders>
              <w:right w:val="single" w:sz="8" w:color="auto"/>
            </w:tcBorders>
            <w:shd w:val="clear" w:color="auto" w:fill="F0FFFF"/>
          </w:tcPr>
          <w:p>
            <w:pPr>
              <w:spacing w:after="0"/>
              <w:rPr>
                <w:sz w:val="12"/>
                <w:szCs w:val="12"/>
                <w:color w:val="auto"/>
              </w:rPr>
            </w:pPr>
          </w:p>
        </w:tc>
        <w:tc>
          <w:tcPr>
            <w:tcW w:w="1320" w:type="dxa"/>
            <w:vAlign w:val="bottom"/>
            <w:tcBorders>
              <w:right w:val="single" w:sz="8" w:color="auto"/>
            </w:tcBorders>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760" w:type="dxa"/>
            <w:vAlign w:val="bottom"/>
            <w:tcBorders>
              <w:left w:val="single" w:sz="8" w:color="F0FFFF"/>
              <w:right w:val="single" w:sz="8" w:color="auto"/>
            </w:tcBorders>
            <w:gridSpan w:val="27"/>
            <w:shd w:val="clear" w:color="auto" w:fill="F0FFFF"/>
          </w:tcPr>
          <w:p>
            <w:pPr>
              <w:spacing w:after="0" w:line="142" w:lineRule="exact"/>
              <w:rPr>
                <w:sz w:val="20"/>
                <w:szCs w:val="20"/>
                <w:color w:val="auto"/>
              </w:rPr>
            </w:pPr>
            <w:r>
              <w:rPr>
                <w:rFonts w:ascii="Times New Roman" w:cs="Times New Roman" w:eastAsia="Times New Roman" w:hAnsi="Times New Roman"/>
                <w:sz w:val="13"/>
                <w:szCs w:val="13"/>
                <w:color w:val="auto"/>
              </w:rPr>
              <w:t>Performance Lock Value, and it</w:t>
            </w:r>
          </w:p>
        </w:tc>
        <w:tc>
          <w:tcPr>
            <w:tcW w:w="0" w:type="dxa"/>
            <w:vAlign w:val="bottom"/>
          </w:tcPr>
          <w:p>
            <w:pPr>
              <w:spacing w:after="0"/>
              <w:rPr>
                <w:sz w:val="1"/>
                <w:szCs w:val="1"/>
                <w:color w:val="auto"/>
              </w:rPr>
            </w:pPr>
          </w:p>
        </w:tc>
      </w:tr>
      <w:tr>
        <w:trPr>
          <w:trHeight w:val="126"/>
        </w:trPr>
        <w:tc>
          <w:tcPr>
            <w:tcW w:w="1020" w:type="dxa"/>
            <w:vAlign w:val="bottom"/>
            <w:tcBorders>
              <w:top w:val="single" w:sz="8" w:color="F0FFFF"/>
              <w:left w:val="single" w:sz="8" w:color="auto"/>
              <w:right w:val="single" w:sz="8" w:color="auto"/>
            </w:tcBorders>
            <w:shd w:val="clear" w:color="auto" w:fill="F0FFFF"/>
          </w:tcPr>
          <w:p>
            <w:pPr>
              <w:spacing w:after="0"/>
              <w:rPr>
                <w:sz w:val="10"/>
                <w:szCs w:val="10"/>
                <w:color w:val="auto"/>
              </w:rPr>
            </w:pPr>
          </w:p>
        </w:tc>
        <w:tc>
          <w:tcPr>
            <w:tcW w:w="20" w:type="dxa"/>
            <w:vAlign w:val="bottom"/>
            <w:tcBorders>
              <w:top w:val="single" w:sz="8" w:color="F0FFFF"/>
            </w:tcBorders>
            <w:shd w:val="clear" w:color="auto" w:fill="F0FFFF"/>
          </w:tcPr>
          <w:p>
            <w:pPr>
              <w:spacing w:after="0"/>
              <w:rPr>
                <w:sz w:val="10"/>
                <w:szCs w:val="10"/>
                <w:color w:val="auto"/>
              </w:rPr>
            </w:pPr>
          </w:p>
        </w:tc>
        <w:tc>
          <w:tcPr>
            <w:tcW w:w="260" w:type="dxa"/>
            <w:vAlign w:val="bottom"/>
            <w:tcBorders>
              <w:top w:val="single" w:sz="8" w:color="F0FFFF"/>
            </w:tcBorders>
            <w:shd w:val="clear" w:color="auto" w:fill="F0FFFF"/>
          </w:tcPr>
          <w:p>
            <w:pPr>
              <w:spacing w:after="0"/>
              <w:rPr>
                <w:sz w:val="10"/>
                <w:szCs w:val="10"/>
                <w:color w:val="auto"/>
              </w:rPr>
            </w:pPr>
          </w:p>
        </w:tc>
        <w:tc>
          <w:tcPr>
            <w:tcW w:w="480" w:type="dxa"/>
            <w:vAlign w:val="bottom"/>
            <w:tcBorders>
              <w:top w:val="single" w:sz="8" w:color="F0FFFF"/>
              <w:right w:val="single" w:sz="8" w:color="F0FFFF"/>
            </w:tcBorders>
            <w:shd w:val="clear" w:color="auto" w:fill="F0FFFF"/>
          </w:tcPr>
          <w:p>
            <w:pPr>
              <w:spacing w:after="0"/>
              <w:rPr>
                <w:sz w:val="10"/>
                <w:szCs w:val="10"/>
                <w:color w:val="auto"/>
              </w:rPr>
            </w:pPr>
          </w:p>
        </w:tc>
        <w:tc>
          <w:tcPr>
            <w:tcW w:w="80" w:type="dxa"/>
            <w:vAlign w:val="bottom"/>
            <w:tcBorders>
              <w:top w:val="single" w:sz="8" w:color="F0FFFF"/>
            </w:tcBorders>
            <w:shd w:val="clear" w:color="auto" w:fill="F0FFFF"/>
          </w:tcPr>
          <w:p>
            <w:pPr>
              <w:spacing w:after="0"/>
              <w:rPr>
                <w:sz w:val="10"/>
                <w:szCs w:val="10"/>
                <w:color w:val="auto"/>
              </w:rPr>
            </w:pPr>
          </w:p>
        </w:tc>
        <w:tc>
          <w:tcPr>
            <w:tcW w:w="260" w:type="dxa"/>
            <w:vAlign w:val="bottom"/>
            <w:tcBorders>
              <w:top w:val="single" w:sz="8" w:color="F0FFFF"/>
            </w:tcBorders>
            <w:shd w:val="clear" w:color="auto" w:fill="F0FFFF"/>
          </w:tcPr>
          <w:p>
            <w:pPr>
              <w:spacing w:after="0"/>
              <w:rPr>
                <w:sz w:val="10"/>
                <w:szCs w:val="10"/>
                <w:color w:val="auto"/>
              </w:rPr>
            </w:pPr>
          </w:p>
        </w:tc>
        <w:tc>
          <w:tcPr>
            <w:tcW w:w="460" w:type="dxa"/>
            <w:vAlign w:val="bottom"/>
            <w:tcBorders>
              <w:top w:val="single" w:sz="8" w:color="F0FFFF"/>
            </w:tcBorders>
            <w:shd w:val="clear" w:color="auto" w:fill="F0FFFF"/>
          </w:tcPr>
          <w:p>
            <w:pPr>
              <w:spacing w:after="0"/>
              <w:rPr>
                <w:sz w:val="10"/>
                <w:szCs w:val="10"/>
                <w:color w:val="auto"/>
              </w:rPr>
            </w:pPr>
          </w:p>
        </w:tc>
        <w:tc>
          <w:tcPr>
            <w:tcW w:w="280" w:type="dxa"/>
            <w:vAlign w:val="bottom"/>
            <w:tcBorders>
              <w:top w:val="single" w:sz="8" w:color="F0FFFF"/>
              <w:right w:val="single" w:sz="8" w:color="auto"/>
            </w:tcBorders>
            <w:shd w:val="clear" w:color="auto" w:fill="F0FFFF"/>
          </w:tcPr>
          <w:p>
            <w:pPr>
              <w:spacing w:after="0"/>
              <w:rPr>
                <w:sz w:val="10"/>
                <w:szCs w:val="10"/>
                <w:color w:val="auto"/>
              </w:rPr>
            </w:pPr>
          </w:p>
        </w:tc>
        <w:tc>
          <w:tcPr>
            <w:tcW w:w="1320" w:type="dxa"/>
            <w:vAlign w:val="bottom"/>
            <w:tcBorders>
              <w:top w:val="single" w:sz="8" w:color="F0FFFF"/>
              <w:right w:val="single" w:sz="8" w:color="auto"/>
            </w:tcBorders>
            <w:shd w:val="clear" w:color="auto" w:fill="F0FFFF"/>
          </w:tcPr>
          <w:p>
            <w:pPr>
              <w:spacing w:after="0"/>
              <w:rPr>
                <w:sz w:val="10"/>
                <w:szCs w:val="10"/>
                <w:color w:val="auto"/>
              </w:rPr>
            </w:pPr>
          </w:p>
        </w:tc>
        <w:tc>
          <w:tcPr>
            <w:tcW w:w="140" w:type="dxa"/>
            <w:vAlign w:val="bottom"/>
            <w:tcBorders>
              <w:top w:val="single" w:sz="8" w:color="F0FFFF"/>
            </w:tcBorders>
            <w:shd w:val="clear" w:color="auto" w:fill="F0FFFF"/>
          </w:tcPr>
          <w:p>
            <w:pPr>
              <w:spacing w:after="0"/>
              <w:rPr>
                <w:sz w:val="10"/>
                <w:szCs w:val="10"/>
                <w:color w:val="auto"/>
              </w:rPr>
            </w:pPr>
          </w:p>
        </w:tc>
        <w:tc>
          <w:tcPr>
            <w:tcW w:w="1360" w:type="dxa"/>
            <w:vAlign w:val="bottom"/>
            <w:tcBorders>
              <w:top w:val="single" w:sz="8" w:color="auto"/>
              <w:left w:val="single" w:sz="8" w:color="F0FFFF"/>
              <w:right w:val="single" w:sz="8" w:color="F0FFFF"/>
            </w:tcBorders>
            <w:gridSpan w:val="15"/>
            <w:shd w:val="clear" w:color="auto" w:fill="F0FFFF"/>
          </w:tcPr>
          <w:p>
            <w:pPr>
              <w:spacing w:after="0" w:line="126" w:lineRule="exact"/>
              <w:rPr>
                <w:sz w:val="20"/>
                <w:szCs w:val="20"/>
                <w:color w:val="auto"/>
              </w:rPr>
            </w:pPr>
            <w:r>
              <w:rPr>
                <w:rFonts w:ascii="Times New Roman" w:cs="Times New Roman" w:eastAsia="Times New Roman" w:hAnsi="Times New Roman"/>
                <w:sz w:val="13"/>
                <w:szCs w:val="13"/>
                <w:color w:val="auto"/>
              </w:rPr>
              <w:t>may be higher or lower</w:t>
            </w:r>
          </w:p>
        </w:tc>
        <w:tc>
          <w:tcPr>
            <w:tcW w:w="400" w:type="dxa"/>
            <w:vAlign w:val="bottom"/>
            <w:tcBorders>
              <w:top w:val="single" w:sz="8" w:color="F0FFFF"/>
              <w:right w:val="single" w:sz="8" w:color="auto"/>
            </w:tcBorders>
            <w:gridSpan w:val="12"/>
            <w:shd w:val="clear" w:color="auto" w:fill="F0FFFF"/>
          </w:tcPr>
          <w:p>
            <w:pPr>
              <w:jc w:val="right"/>
              <w:ind w:right="160"/>
              <w:spacing w:after="0" w:line="126" w:lineRule="exact"/>
              <w:rPr>
                <w:sz w:val="20"/>
                <w:szCs w:val="20"/>
                <w:color w:val="auto"/>
              </w:rPr>
            </w:pPr>
            <w:r>
              <w:rPr>
                <w:rFonts w:ascii="Times New Roman" w:cs="Times New Roman" w:eastAsia="Times New Roman" w:hAnsi="Times New Roman"/>
                <w:sz w:val="12"/>
                <w:szCs w:val="12"/>
                <w:color w:val="auto"/>
                <w:w w:val="72"/>
              </w:rPr>
              <w:t>than it</w:t>
            </w:r>
          </w:p>
        </w:tc>
        <w:tc>
          <w:tcPr>
            <w:tcW w:w="0" w:type="dxa"/>
            <w:vAlign w:val="bottom"/>
          </w:tcPr>
          <w:p>
            <w:pPr>
              <w:spacing w:after="0"/>
              <w:rPr>
                <w:sz w:val="1"/>
                <w:szCs w:val="1"/>
                <w:color w:val="auto"/>
              </w:rPr>
            </w:pPr>
          </w:p>
        </w:tc>
      </w:tr>
      <w:tr>
        <w:trPr>
          <w:trHeight w:val="139"/>
        </w:trPr>
        <w:tc>
          <w:tcPr>
            <w:tcW w:w="1020" w:type="dxa"/>
            <w:vAlign w:val="bottom"/>
            <w:tcBorders>
              <w:left w:val="single" w:sz="8" w:color="auto"/>
              <w:right w:val="single" w:sz="8" w:color="auto"/>
            </w:tcBorders>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480" w:type="dxa"/>
            <w:vAlign w:val="bottom"/>
            <w:tcBorders>
              <w:righ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460" w:type="dxa"/>
            <w:vAlign w:val="bottom"/>
            <w:shd w:val="clear" w:color="auto" w:fill="F0FFFF"/>
          </w:tcPr>
          <w:p>
            <w:pPr>
              <w:spacing w:after="0"/>
              <w:rPr>
                <w:sz w:val="12"/>
                <w:szCs w:val="12"/>
                <w:color w:val="auto"/>
              </w:rPr>
            </w:pPr>
          </w:p>
        </w:tc>
        <w:tc>
          <w:tcPr>
            <w:tcW w:w="280" w:type="dxa"/>
            <w:vAlign w:val="bottom"/>
            <w:tcBorders>
              <w:right w:val="single" w:sz="8" w:color="auto"/>
            </w:tcBorders>
            <w:shd w:val="clear" w:color="auto" w:fill="F0FFFF"/>
          </w:tcPr>
          <w:p>
            <w:pPr>
              <w:spacing w:after="0"/>
              <w:rPr>
                <w:sz w:val="12"/>
                <w:szCs w:val="12"/>
                <w:color w:val="auto"/>
              </w:rPr>
            </w:pPr>
          </w:p>
        </w:tc>
        <w:tc>
          <w:tcPr>
            <w:tcW w:w="1320" w:type="dxa"/>
            <w:vAlign w:val="bottom"/>
            <w:tcBorders>
              <w:right w:val="single" w:sz="8" w:color="auto"/>
            </w:tcBorders>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760" w:type="dxa"/>
            <w:vAlign w:val="bottom"/>
            <w:tcBorders>
              <w:left w:val="single" w:sz="8" w:color="F0FFFF"/>
              <w:right w:val="single" w:sz="8" w:color="auto"/>
            </w:tcBorders>
            <w:gridSpan w:val="27"/>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was at the point in time you</w:t>
            </w:r>
          </w:p>
        </w:tc>
        <w:tc>
          <w:tcPr>
            <w:tcW w:w="0" w:type="dxa"/>
            <w:vAlign w:val="bottom"/>
          </w:tcPr>
          <w:p>
            <w:pPr>
              <w:spacing w:after="0"/>
              <w:rPr>
                <w:sz w:val="1"/>
                <w:szCs w:val="1"/>
                <w:color w:val="auto"/>
              </w:rPr>
            </w:pPr>
          </w:p>
        </w:tc>
      </w:tr>
      <w:tr>
        <w:trPr>
          <w:trHeight w:val="142"/>
        </w:trPr>
        <w:tc>
          <w:tcPr>
            <w:tcW w:w="1020" w:type="dxa"/>
            <w:vAlign w:val="bottom"/>
            <w:tcBorders>
              <w:left w:val="single" w:sz="8" w:color="auto"/>
              <w:right w:val="single" w:sz="8" w:color="auto"/>
            </w:tcBorders>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480" w:type="dxa"/>
            <w:vAlign w:val="bottom"/>
            <w:tcBorders>
              <w:righ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460" w:type="dxa"/>
            <w:vAlign w:val="bottom"/>
            <w:shd w:val="clear" w:color="auto" w:fill="F0FFFF"/>
          </w:tcPr>
          <w:p>
            <w:pPr>
              <w:spacing w:after="0"/>
              <w:rPr>
                <w:sz w:val="12"/>
                <w:szCs w:val="12"/>
                <w:color w:val="auto"/>
              </w:rPr>
            </w:pPr>
          </w:p>
        </w:tc>
        <w:tc>
          <w:tcPr>
            <w:tcW w:w="280" w:type="dxa"/>
            <w:vAlign w:val="bottom"/>
            <w:tcBorders>
              <w:right w:val="single" w:sz="8" w:color="auto"/>
            </w:tcBorders>
            <w:shd w:val="clear" w:color="auto" w:fill="F0FFFF"/>
          </w:tcPr>
          <w:p>
            <w:pPr>
              <w:spacing w:after="0"/>
              <w:rPr>
                <w:sz w:val="12"/>
                <w:szCs w:val="12"/>
                <w:color w:val="auto"/>
              </w:rPr>
            </w:pPr>
          </w:p>
        </w:tc>
        <w:tc>
          <w:tcPr>
            <w:tcW w:w="1320" w:type="dxa"/>
            <w:vAlign w:val="bottom"/>
            <w:tcBorders>
              <w:right w:val="single" w:sz="8" w:color="auto"/>
            </w:tcBorders>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760" w:type="dxa"/>
            <w:vAlign w:val="bottom"/>
            <w:tcBorders>
              <w:left w:val="single" w:sz="8" w:color="F0FFFF"/>
              <w:right w:val="single" w:sz="8" w:color="auto"/>
            </w:tcBorders>
            <w:gridSpan w:val="27"/>
            <w:shd w:val="clear" w:color="auto" w:fill="F0FFFF"/>
          </w:tcPr>
          <w:p>
            <w:pPr>
              <w:spacing w:after="0" w:line="142" w:lineRule="exact"/>
              <w:rPr>
                <w:sz w:val="20"/>
                <w:szCs w:val="20"/>
                <w:color w:val="auto"/>
              </w:rPr>
            </w:pPr>
            <w:r>
              <w:rPr>
                <w:rFonts w:ascii="Times New Roman" w:cs="Times New Roman" w:eastAsia="Times New Roman" w:hAnsi="Times New Roman"/>
                <w:sz w:val="13"/>
                <w:szCs w:val="13"/>
                <w:color w:val="auto"/>
              </w:rPr>
              <w:t>requested the Performance</w:t>
            </w:r>
          </w:p>
        </w:tc>
        <w:tc>
          <w:tcPr>
            <w:tcW w:w="0" w:type="dxa"/>
            <w:vAlign w:val="bottom"/>
          </w:tcPr>
          <w:p>
            <w:pPr>
              <w:spacing w:after="0"/>
              <w:rPr>
                <w:sz w:val="1"/>
                <w:szCs w:val="1"/>
                <w:color w:val="auto"/>
              </w:rPr>
            </w:pPr>
          </w:p>
        </w:tc>
      </w:tr>
      <w:tr>
        <w:trPr>
          <w:trHeight w:val="129"/>
        </w:trPr>
        <w:tc>
          <w:tcPr>
            <w:tcW w:w="1020" w:type="dxa"/>
            <w:vAlign w:val="bottom"/>
            <w:tcBorders>
              <w:top w:val="single" w:sz="8" w:color="F0FFFF"/>
              <w:left w:val="single" w:sz="8" w:color="auto"/>
              <w:right w:val="single" w:sz="8" w:color="auto"/>
            </w:tcBorders>
            <w:shd w:val="clear" w:color="auto" w:fill="F0FFFF"/>
          </w:tcPr>
          <w:p>
            <w:pPr>
              <w:spacing w:after="0"/>
              <w:rPr>
                <w:sz w:val="11"/>
                <w:szCs w:val="11"/>
                <w:color w:val="auto"/>
              </w:rPr>
            </w:pPr>
          </w:p>
        </w:tc>
        <w:tc>
          <w:tcPr>
            <w:tcW w:w="20" w:type="dxa"/>
            <w:vAlign w:val="bottom"/>
            <w:tcBorders>
              <w:top w:val="single" w:sz="8" w:color="F0FFFF"/>
            </w:tcBorders>
            <w:shd w:val="clear" w:color="auto" w:fill="F0FFFF"/>
          </w:tcPr>
          <w:p>
            <w:pPr>
              <w:spacing w:after="0"/>
              <w:rPr>
                <w:sz w:val="11"/>
                <w:szCs w:val="11"/>
                <w:color w:val="auto"/>
              </w:rPr>
            </w:pPr>
          </w:p>
        </w:tc>
        <w:tc>
          <w:tcPr>
            <w:tcW w:w="260" w:type="dxa"/>
            <w:vAlign w:val="bottom"/>
            <w:tcBorders>
              <w:top w:val="single" w:sz="8" w:color="F0FFFF"/>
            </w:tcBorders>
            <w:shd w:val="clear" w:color="auto" w:fill="F0FFFF"/>
          </w:tcPr>
          <w:p>
            <w:pPr>
              <w:spacing w:after="0"/>
              <w:rPr>
                <w:sz w:val="11"/>
                <w:szCs w:val="11"/>
                <w:color w:val="auto"/>
              </w:rPr>
            </w:pPr>
          </w:p>
        </w:tc>
        <w:tc>
          <w:tcPr>
            <w:tcW w:w="480" w:type="dxa"/>
            <w:vAlign w:val="bottom"/>
            <w:tcBorders>
              <w:top w:val="single" w:sz="8" w:color="F0FFFF"/>
              <w:right w:val="single" w:sz="8" w:color="F0FFFF"/>
            </w:tcBorders>
            <w:shd w:val="clear" w:color="auto" w:fill="F0FFFF"/>
          </w:tcPr>
          <w:p>
            <w:pPr>
              <w:spacing w:after="0"/>
              <w:rPr>
                <w:sz w:val="11"/>
                <w:szCs w:val="11"/>
                <w:color w:val="auto"/>
              </w:rPr>
            </w:pPr>
          </w:p>
        </w:tc>
        <w:tc>
          <w:tcPr>
            <w:tcW w:w="80" w:type="dxa"/>
            <w:vAlign w:val="bottom"/>
            <w:tcBorders>
              <w:top w:val="single" w:sz="8" w:color="F0FFFF"/>
            </w:tcBorders>
            <w:shd w:val="clear" w:color="auto" w:fill="F0FFFF"/>
          </w:tcPr>
          <w:p>
            <w:pPr>
              <w:spacing w:after="0"/>
              <w:rPr>
                <w:sz w:val="11"/>
                <w:szCs w:val="11"/>
                <w:color w:val="auto"/>
              </w:rPr>
            </w:pPr>
          </w:p>
        </w:tc>
        <w:tc>
          <w:tcPr>
            <w:tcW w:w="260" w:type="dxa"/>
            <w:vAlign w:val="bottom"/>
            <w:tcBorders>
              <w:top w:val="single" w:sz="8" w:color="F0FFFF"/>
            </w:tcBorders>
            <w:shd w:val="clear" w:color="auto" w:fill="F0FFFF"/>
          </w:tcPr>
          <w:p>
            <w:pPr>
              <w:spacing w:after="0"/>
              <w:rPr>
                <w:sz w:val="11"/>
                <w:szCs w:val="11"/>
                <w:color w:val="auto"/>
              </w:rPr>
            </w:pPr>
          </w:p>
        </w:tc>
        <w:tc>
          <w:tcPr>
            <w:tcW w:w="460" w:type="dxa"/>
            <w:vAlign w:val="bottom"/>
            <w:tcBorders>
              <w:top w:val="single" w:sz="8" w:color="F0FFFF"/>
            </w:tcBorders>
            <w:shd w:val="clear" w:color="auto" w:fill="F0FFFF"/>
          </w:tcPr>
          <w:p>
            <w:pPr>
              <w:spacing w:after="0"/>
              <w:rPr>
                <w:sz w:val="11"/>
                <w:szCs w:val="11"/>
                <w:color w:val="auto"/>
              </w:rPr>
            </w:pPr>
          </w:p>
        </w:tc>
        <w:tc>
          <w:tcPr>
            <w:tcW w:w="280" w:type="dxa"/>
            <w:vAlign w:val="bottom"/>
            <w:tcBorders>
              <w:top w:val="single" w:sz="8" w:color="F0FFFF"/>
              <w:right w:val="single" w:sz="8" w:color="auto"/>
            </w:tcBorders>
            <w:shd w:val="clear" w:color="auto" w:fill="F0FFFF"/>
          </w:tcPr>
          <w:p>
            <w:pPr>
              <w:spacing w:after="0"/>
              <w:rPr>
                <w:sz w:val="11"/>
                <w:szCs w:val="11"/>
                <w:color w:val="auto"/>
              </w:rPr>
            </w:pPr>
          </w:p>
        </w:tc>
        <w:tc>
          <w:tcPr>
            <w:tcW w:w="1320" w:type="dxa"/>
            <w:vAlign w:val="bottom"/>
            <w:tcBorders>
              <w:top w:val="single" w:sz="8" w:color="F0FFFF"/>
              <w:right w:val="single" w:sz="8" w:color="auto"/>
            </w:tcBorders>
            <w:shd w:val="clear" w:color="auto" w:fill="F0FFFF"/>
          </w:tcPr>
          <w:p>
            <w:pPr>
              <w:spacing w:after="0"/>
              <w:rPr>
                <w:sz w:val="11"/>
                <w:szCs w:val="11"/>
                <w:color w:val="auto"/>
              </w:rPr>
            </w:pPr>
          </w:p>
        </w:tc>
        <w:tc>
          <w:tcPr>
            <w:tcW w:w="140" w:type="dxa"/>
            <w:vAlign w:val="bottom"/>
            <w:tcBorders>
              <w:top w:val="single" w:sz="8" w:color="F0FFFF"/>
            </w:tcBorders>
            <w:shd w:val="clear" w:color="auto" w:fill="F0FFFF"/>
          </w:tcPr>
          <w:p>
            <w:pPr>
              <w:spacing w:after="0"/>
              <w:rPr>
                <w:sz w:val="11"/>
                <w:szCs w:val="11"/>
                <w:color w:val="auto"/>
              </w:rPr>
            </w:pPr>
          </w:p>
        </w:tc>
        <w:tc>
          <w:tcPr>
            <w:tcW w:w="740" w:type="dxa"/>
            <w:vAlign w:val="bottom"/>
            <w:tcBorders>
              <w:top w:val="single" w:sz="8" w:color="F0FFFF"/>
              <w:left w:val="single" w:sz="8" w:color="F0FFFF"/>
            </w:tcBorders>
            <w:gridSpan w:val="8"/>
            <w:shd w:val="clear" w:color="auto" w:fill="F0FFFF"/>
          </w:tcPr>
          <w:p>
            <w:pPr>
              <w:spacing w:after="0" w:line="129" w:lineRule="exact"/>
              <w:rPr>
                <w:sz w:val="20"/>
                <w:szCs w:val="20"/>
                <w:color w:val="auto"/>
              </w:rPr>
            </w:pPr>
            <w:r>
              <w:rPr>
                <w:rFonts w:ascii="Times New Roman" w:cs="Times New Roman" w:eastAsia="Times New Roman" w:hAnsi="Times New Roman"/>
                <w:sz w:val="13"/>
                <w:szCs w:val="13"/>
                <w:color w:val="auto"/>
              </w:rPr>
              <w:t>Lock.</w:t>
            </w:r>
          </w:p>
        </w:tc>
        <w:tc>
          <w:tcPr>
            <w:tcW w:w="80" w:type="dxa"/>
            <w:vAlign w:val="bottom"/>
            <w:tcBorders>
              <w:top w:val="single" w:sz="8" w:color="auto"/>
              <w:right w:val="single" w:sz="8" w:color="F0FFFF"/>
            </w:tcBorders>
            <w:shd w:val="clear" w:color="auto" w:fill="F0FFFF"/>
          </w:tcPr>
          <w:p>
            <w:pPr>
              <w:spacing w:after="0"/>
              <w:rPr>
                <w:sz w:val="11"/>
                <w:szCs w:val="11"/>
                <w:color w:val="auto"/>
              </w:rPr>
            </w:pPr>
          </w:p>
        </w:tc>
        <w:tc>
          <w:tcPr>
            <w:tcW w:w="120" w:type="dxa"/>
            <w:vAlign w:val="bottom"/>
            <w:tcBorders>
              <w:top w:val="single" w:sz="8" w:color="auto"/>
              <w:right w:val="single" w:sz="8" w:color="F0FFFF"/>
            </w:tcBorders>
            <w:gridSpan w:val="2"/>
            <w:shd w:val="clear" w:color="auto" w:fill="F0FFFF"/>
          </w:tcPr>
          <w:p>
            <w:pPr>
              <w:spacing w:after="0"/>
              <w:rPr>
                <w:sz w:val="11"/>
                <w:szCs w:val="11"/>
                <w:color w:val="auto"/>
              </w:rPr>
            </w:pPr>
          </w:p>
        </w:tc>
        <w:tc>
          <w:tcPr>
            <w:tcW w:w="280" w:type="dxa"/>
            <w:vAlign w:val="bottom"/>
            <w:tcBorders>
              <w:top w:val="single" w:sz="8" w:color="auto"/>
              <w:left w:val="single" w:sz="8" w:color="F0FFFF"/>
              <w:right w:val="single" w:sz="8" w:color="F0FFFF"/>
            </w:tcBorders>
            <w:shd w:val="clear" w:color="auto" w:fill="F0FFFF"/>
          </w:tcPr>
          <w:p>
            <w:pPr>
              <w:spacing w:after="0"/>
              <w:rPr>
                <w:sz w:val="11"/>
                <w:szCs w:val="11"/>
                <w:color w:val="auto"/>
              </w:rPr>
            </w:pPr>
          </w:p>
        </w:tc>
        <w:tc>
          <w:tcPr>
            <w:tcW w:w="120" w:type="dxa"/>
            <w:vAlign w:val="bottom"/>
            <w:tcBorders>
              <w:top w:val="single" w:sz="8" w:color="auto"/>
              <w:left w:val="single" w:sz="8" w:color="F0FFFF"/>
            </w:tcBorders>
            <w:gridSpan w:val="2"/>
            <w:shd w:val="clear" w:color="auto" w:fill="F0FFFF"/>
          </w:tcPr>
          <w:p>
            <w:pPr>
              <w:spacing w:after="0"/>
              <w:rPr>
                <w:sz w:val="11"/>
                <w:szCs w:val="11"/>
                <w:color w:val="auto"/>
              </w:rPr>
            </w:pPr>
          </w:p>
        </w:tc>
        <w:tc>
          <w:tcPr>
            <w:tcW w:w="20" w:type="dxa"/>
            <w:vAlign w:val="bottom"/>
            <w:tcBorders>
              <w:top w:val="single" w:sz="8" w:color="auto"/>
              <w:right w:val="single" w:sz="8" w:color="F0FFFF"/>
            </w:tcBorders>
            <w:shd w:val="clear" w:color="auto" w:fill="F0FFFF"/>
          </w:tcPr>
          <w:p>
            <w:pPr>
              <w:spacing w:after="0"/>
              <w:rPr>
                <w:sz w:val="11"/>
                <w:szCs w:val="11"/>
                <w:color w:val="auto"/>
              </w:rPr>
            </w:pPr>
          </w:p>
        </w:tc>
        <w:tc>
          <w:tcPr>
            <w:tcW w:w="40" w:type="dxa"/>
            <w:vAlign w:val="bottom"/>
            <w:tcBorders>
              <w:top w:val="single" w:sz="8" w:color="auto"/>
            </w:tcBorders>
            <w:gridSpan w:val="2"/>
            <w:shd w:val="clear" w:color="auto" w:fill="F0FFFF"/>
          </w:tcPr>
          <w:p>
            <w:pPr>
              <w:spacing w:after="0"/>
              <w:rPr>
                <w:sz w:val="11"/>
                <w:szCs w:val="11"/>
                <w:color w:val="auto"/>
              </w:rPr>
            </w:pPr>
          </w:p>
        </w:tc>
        <w:tc>
          <w:tcPr>
            <w:tcW w:w="20" w:type="dxa"/>
            <w:vAlign w:val="bottom"/>
            <w:tcBorders>
              <w:top w:val="single" w:sz="8" w:color="auto"/>
            </w:tcBorders>
            <w:shd w:val="clear" w:color="auto" w:fill="F0FFFF"/>
          </w:tcPr>
          <w:p>
            <w:pPr>
              <w:spacing w:after="0"/>
              <w:rPr>
                <w:sz w:val="11"/>
                <w:szCs w:val="11"/>
                <w:color w:val="auto"/>
              </w:rPr>
            </w:pPr>
          </w:p>
        </w:tc>
        <w:tc>
          <w:tcPr>
            <w:tcW w:w="80" w:type="dxa"/>
            <w:vAlign w:val="bottom"/>
            <w:tcBorders>
              <w:top w:val="single" w:sz="8" w:color="F0FFFF"/>
              <w:right w:val="single" w:sz="8" w:color="F0FFFF"/>
            </w:tcBorders>
            <w:shd w:val="clear" w:color="auto" w:fill="F0FFFF"/>
          </w:tcPr>
          <w:p>
            <w:pPr>
              <w:spacing w:after="0"/>
              <w:rPr>
                <w:sz w:val="11"/>
                <w:szCs w:val="11"/>
                <w:color w:val="auto"/>
              </w:rPr>
            </w:pPr>
          </w:p>
        </w:tc>
        <w:tc>
          <w:tcPr>
            <w:tcW w:w="20" w:type="dxa"/>
            <w:vAlign w:val="bottom"/>
            <w:tcBorders>
              <w:top w:val="single" w:sz="8" w:color="F0FFFF"/>
            </w:tcBorders>
            <w:shd w:val="clear" w:color="auto" w:fill="F0FFFF"/>
          </w:tcPr>
          <w:p>
            <w:pPr>
              <w:spacing w:after="0"/>
              <w:rPr>
                <w:sz w:val="11"/>
                <w:szCs w:val="11"/>
                <w:color w:val="auto"/>
              </w:rPr>
            </w:pPr>
          </w:p>
        </w:tc>
        <w:tc>
          <w:tcPr>
            <w:tcW w:w="40" w:type="dxa"/>
            <w:vAlign w:val="bottom"/>
            <w:tcBorders>
              <w:top w:val="single" w:sz="8" w:color="F0FFFF"/>
              <w:right w:val="single" w:sz="8" w:color="F0FFFF"/>
            </w:tcBorders>
            <w:shd w:val="clear" w:color="auto" w:fill="F0FFFF"/>
          </w:tcPr>
          <w:p>
            <w:pPr>
              <w:spacing w:after="0"/>
              <w:rPr>
                <w:sz w:val="11"/>
                <w:szCs w:val="11"/>
                <w:color w:val="auto"/>
              </w:rPr>
            </w:pPr>
          </w:p>
        </w:tc>
        <w:tc>
          <w:tcPr>
            <w:tcW w:w="20" w:type="dxa"/>
            <w:vAlign w:val="bottom"/>
            <w:tcBorders>
              <w:top w:val="single" w:sz="8" w:color="F0FFFF"/>
            </w:tcBorders>
            <w:shd w:val="clear" w:color="auto" w:fill="F0FFFF"/>
          </w:tcPr>
          <w:p>
            <w:pPr>
              <w:spacing w:after="0"/>
              <w:rPr>
                <w:sz w:val="11"/>
                <w:szCs w:val="11"/>
                <w:color w:val="auto"/>
              </w:rPr>
            </w:pPr>
          </w:p>
        </w:tc>
        <w:tc>
          <w:tcPr>
            <w:tcW w:w="20" w:type="dxa"/>
            <w:vAlign w:val="bottom"/>
            <w:tcBorders>
              <w:top w:val="single" w:sz="8" w:color="F0FFFF"/>
            </w:tcBorders>
            <w:shd w:val="clear" w:color="auto" w:fill="F0FFFF"/>
          </w:tcPr>
          <w:p>
            <w:pPr>
              <w:spacing w:after="0"/>
              <w:rPr>
                <w:sz w:val="11"/>
                <w:szCs w:val="11"/>
                <w:color w:val="auto"/>
              </w:rPr>
            </w:pPr>
          </w:p>
        </w:tc>
        <w:tc>
          <w:tcPr>
            <w:tcW w:w="20" w:type="dxa"/>
            <w:vAlign w:val="bottom"/>
            <w:tcBorders>
              <w:top w:val="single" w:sz="8" w:color="F0FFFF"/>
            </w:tcBorders>
            <w:shd w:val="clear" w:color="auto" w:fill="F0FFFF"/>
          </w:tcPr>
          <w:p>
            <w:pPr>
              <w:spacing w:after="0"/>
              <w:rPr>
                <w:sz w:val="11"/>
                <w:szCs w:val="11"/>
                <w:color w:val="auto"/>
              </w:rPr>
            </w:pPr>
          </w:p>
        </w:tc>
        <w:tc>
          <w:tcPr>
            <w:tcW w:w="140" w:type="dxa"/>
            <w:vAlign w:val="bottom"/>
            <w:tcBorders>
              <w:top w:val="single" w:sz="8" w:color="F0FFFF"/>
              <w:right w:val="single" w:sz="8" w:color="auto"/>
            </w:tcBorders>
            <w:gridSpan w:val="3"/>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020" w:type="dxa"/>
            <w:vAlign w:val="bottom"/>
            <w:tcBorders>
              <w:top w:val="single" w:sz="8" w:color="F0FFFF"/>
              <w:left w:val="single" w:sz="8" w:color="auto"/>
              <w:right w:val="single" w:sz="8" w:color="auto"/>
            </w:tcBorders>
            <w:shd w:val="clear" w:color="auto" w:fill="F0FFFF"/>
          </w:tcPr>
          <w:p>
            <w:pPr>
              <w:spacing w:after="0"/>
              <w:rPr>
                <w:sz w:val="10"/>
                <w:szCs w:val="10"/>
                <w:color w:val="auto"/>
              </w:rPr>
            </w:pPr>
          </w:p>
        </w:tc>
        <w:tc>
          <w:tcPr>
            <w:tcW w:w="20" w:type="dxa"/>
            <w:vAlign w:val="bottom"/>
            <w:tcBorders>
              <w:top w:val="single" w:sz="8" w:color="F0FFFF"/>
            </w:tcBorders>
            <w:shd w:val="clear" w:color="auto" w:fill="F0FFFF"/>
          </w:tcPr>
          <w:p>
            <w:pPr>
              <w:spacing w:after="0"/>
              <w:rPr>
                <w:sz w:val="10"/>
                <w:szCs w:val="10"/>
                <w:color w:val="auto"/>
              </w:rPr>
            </w:pPr>
          </w:p>
        </w:tc>
        <w:tc>
          <w:tcPr>
            <w:tcW w:w="260" w:type="dxa"/>
            <w:vAlign w:val="bottom"/>
            <w:tcBorders>
              <w:top w:val="single" w:sz="8" w:color="F0FFFF"/>
            </w:tcBorders>
            <w:shd w:val="clear" w:color="auto" w:fill="F0FFFF"/>
          </w:tcPr>
          <w:p>
            <w:pPr>
              <w:spacing w:after="0"/>
              <w:rPr>
                <w:sz w:val="10"/>
                <w:szCs w:val="10"/>
                <w:color w:val="auto"/>
              </w:rPr>
            </w:pPr>
          </w:p>
        </w:tc>
        <w:tc>
          <w:tcPr>
            <w:tcW w:w="480" w:type="dxa"/>
            <w:vAlign w:val="bottom"/>
            <w:tcBorders>
              <w:top w:val="single" w:sz="8" w:color="F0FFFF"/>
              <w:right w:val="single" w:sz="8" w:color="F0FFFF"/>
            </w:tcBorders>
            <w:shd w:val="clear" w:color="auto" w:fill="F0FFFF"/>
          </w:tcPr>
          <w:p>
            <w:pPr>
              <w:spacing w:after="0"/>
              <w:rPr>
                <w:sz w:val="10"/>
                <w:szCs w:val="10"/>
                <w:color w:val="auto"/>
              </w:rPr>
            </w:pPr>
          </w:p>
        </w:tc>
        <w:tc>
          <w:tcPr>
            <w:tcW w:w="80" w:type="dxa"/>
            <w:vAlign w:val="bottom"/>
            <w:tcBorders>
              <w:top w:val="single" w:sz="8" w:color="F0FFFF"/>
            </w:tcBorders>
            <w:shd w:val="clear" w:color="auto" w:fill="F0FFFF"/>
          </w:tcPr>
          <w:p>
            <w:pPr>
              <w:spacing w:after="0"/>
              <w:rPr>
                <w:sz w:val="10"/>
                <w:szCs w:val="10"/>
                <w:color w:val="auto"/>
              </w:rPr>
            </w:pPr>
          </w:p>
        </w:tc>
        <w:tc>
          <w:tcPr>
            <w:tcW w:w="260" w:type="dxa"/>
            <w:vAlign w:val="bottom"/>
            <w:tcBorders>
              <w:top w:val="single" w:sz="8" w:color="F0FFFF"/>
            </w:tcBorders>
            <w:shd w:val="clear" w:color="auto" w:fill="F0FFFF"/>
          </w:tcPr>
          <w:p>
            <w:pPr>
              <w:spacing w:after="0"/>
              <w:rPr>
                <w:sz w:val="10"/>
                <w:szCs w:val="10"/>
                <w:color w:val="auto"/>
              </w:rPr>
            </w:pPr>
          </w:p>
        </w:tc>
        <w:tc>
          <w:tcPr>
            <w:tcW w:w="460" w:type="dxa"/>
            <w:vAlign w:val="bottom"/>
            <w:tcBorders>
              <w:top w:val="single" w:sz="8" w:color="F0FFFF"/>
            </w:tcBorders>
            <w:shd w:val="clear" w:color="auto" w:fill="F0FFFF"/>
          </w:tcPr>
          <w:p>
            <w:pPr>
              <w:spacing w:after="0"/>
              <w:rPr>
                <w:sz w:val="10"/>
                <w:szCs w:val="10"/>
                <w:color w:val="auto"/>
              </w:rPr>
            </w:pPr>
          </w:p>
        </w:tc>
        <w:tc>
          <w:tcPr>
            <w:tcW w:w="280" w:type="dxa"/>
            <w:vAlign w:val="bottom"/>
            <w:tcBorders>
              <w:top w:val="single" w:sz="8" w:color="F0FFFF"/>
              <w:right w:val="single" w:sz="8" w:color="auto"/>
            </w:tcBorders>
            <w:shd w:val="clear" w:color="auto" w:fill="F0FFFF"/>
          </w:tcPr>
          <w:p>
            <w:pPr>
              <w:spacing w:after="0"/>
              <w:rPr>
                <w:sz w:val="10"/>
                <w:szCs w:val="10"/>
                <w:color w:val="auto"/>
              </w:rPr>
            </w:pPr>
          </w:p>
        </w:tc>
        <w:tc>
          <w:tcPr>
            <w:tcW w:w="1320" w:type="dxa"/>
            <w:vAlign w:val="bottom"/>
            <w:tcBorders>
              <w:top w:val="single" w:sz="8" w:color="F0FFFF"/>
              <w:right w:val="single" w:sz="8" w:color="auto"/>
            </w:tcBorders>
            <w:shd w:val="clear" w:color="auto" w:fill="F0FFFF"/>
          </w:tcPr>
          <w:p>
            <w:pPr>
              <w:spacing w:after="0"/>
              <w:rPr>
                <w:sz w:val="10"/>
                <w:szCs w:val="10"/>
                <w:color w:val="auto"/>
              </w:rPr>
            </w:pPr>
          </w:p>
        </w:tc>
        <w:tc>
          <w:tcPr>
            <w:tcW w:w="140" w:type="dxa"/>
            <w:vAlign w:val="bottom"/>
            <w:tcBorders>
              <w:top w:val="single" w:sz="8" w:color="F0FFFF"/>
            </w:tcBorders>
            <w:shd w:val="clear" w:color="auto" w:fill="F0FFFF"/>
          </w:tcPr>
          <w:p>
            <w:pPr>
              <w:ind w:left="20"/>
              <w:spacing w:after="0" w:line="126"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top w:val="single" w:sz="8" w:color="auto"/>
              <w:left w:val="single" w:sz="8" w:color="F0FFFF"/>
              <w:right w:val="single" w:sz="8" w:color="F0FFFF"/>
            </w:tcBorders>
            <w:gridSpan w:val="4"/>
            <w:shd w:val="clear" w:color="auto" w:fill="F0FFFF"/>
          </w:tcPr>
          <w:p>
            <w:pPr>
              <w:spacing w:after="0" w:line="126" w:lineRule="exact"/>
              <w:rPr>
                <w:sz w:val="20"/>
                <w:szCs w:val="20"/>
                <w:color w:val="auto"/>
              </w:rPr>
            </w:pPr>
            <w:r>
              <w:rPr>
                <w:rFonts w:ascii="Times New Roman" w:cs="Times New Roman" w:eastAsia="Times New Roman" w:hAnsi="Times New Roman"/>
                <w:sz w:val="13"/>
                <w:szCs w:val="13"/>
                <w:color w:val="auto"/>
              </w:rPr>
              <w:t>You</w:t>
            </w:r>
          </w:p>
        </w:tc>
        <w:tc>
          <w:tcPr>
            <w:tcW w:w="1460" w:type="dxa"/>
            <w:vAlign w:val="bottom"/>
            <w:tcBorders>
              <w:top w:val="single" w:sz="8" w:color="F0FFFF"/>
              <w:right w:val="single" w:sz="8" w:color="auto"/>
            </w:tcBorders>
            <w:gridSpan w:val="23"/>
            <w:shd w:val="clear" w:color="auto" w:fill="F0FFFF"/>
          </w:tcPr>
          <w:p>
            <w:pPr>
              <w:jc w:val="right"/>
              <w:ind w:right="540"/>
              <w:spacing w:after="0" w:line="126" w:lineRule="exact"/>
              <w:rPr>
                <w:sz w:val="20"/>
                <w:szCs w:val="20"/>
                <w:color w:val="auto"/>
              </w:rPr>
            </w:pPr>
            <w:r>
              <w:rPr>
                <w:rFonts w:ascii="Times New Roman" w:cs="Times New Roman" w:eastAsia="Times New Roman" w:hAnsi="Times New Roman"/>
                <w:sz w:val="13"/>
                <w:szCs w:val="13"/>
                <w:color w:val="auto"/>
                <w:w w:val="92"/>
              </w:rPr>
              <w:t>may lock in a loss.</w:t>
            </w:r>
          </w:p>
        </w:tc>
        <w:tc>
          <w:tcPr>
            <w:tcW w:w="0" w:type="dxa"/>
            <w:vAlign w:val="bottom"/>
          </w:tcPr>
          <w:p>
            <w:pPr>
              <w:spacing w:after="0"/>
              <w:rPr>
                <w:sz w:val="1"/>
                <w:szCs w:val="1"/>
                <w:color w:val="auto"/>
              </w:rPr>
            </w:pPr>
          </w:p>
        </w:tc>
      </w:tr>
      <w:tr>
        <w:trPr>
          <w:trHeight w:val="142"/>
        </w:trPr>
        <w:tc>
          <w:tcPr>
            <w:tcW w:w="1020" w:type="dxa"/>
            <w:vAlign w:val="bottom"/>
            <w:tcBorders>
              <w:left w:val="single" w:sz="8" w:color="auto"/>
              <w:right w:val="single" w:sz="8" w:color="auto"/>
            </w:tcBorders>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480" w:type="dxa"/>
            <w:vAlign w:val="bottom"/>
            <w:tcBorders>
              <w:righ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460" w:type="dxa"/>
            <w:vAlign w:val="bottom"/>
            <w:shd w:val="clear" w:color="auto" w:fill="F0FFFF"/>
          </w:tcPr>
          <w:p>
            <w:pPr>
              <w:spacing w:after="0"/>
              <w:rPr>
                <w:sz w:val="12"/>
                <w:szCs w:val="12"/>
                <w:color w:val="auto"/>
              </w:rPr>
            </w:pPr>
          </w:p>
        </w:tc>
        <w:tc>
          <w:tcPr>
            <w:tcW w:w="280" w:type="dxa"/>
            <w:vAlign w:val="bottom"/>
            <w:tcBorders>
              <w:right w:val="single" w:sz="8" w:color="auto"/>
            </w:tcBorders>
            <w:shd w:val="clear" w:color="auto" w:fill="F0FFFF"/>
          </w:tcPr>
          <w:p>
            <w:pPr>
              <w:spacing w:after="0"/>
              <w:rPr>
                <w:sz w:val="12"/>
                <w:szCs w:val="12"/>
                <w:color w:val="auto"/>
              </w:rPr>
            </w:pPr>
          </w:p>
        </w:tc>
        <w:tc>
          <w:tcPr>
            <w:tcW w:w="1320" w:type="dxa"/>
            <w:vAlign w:val="bottom"/>
            <w:tcBorders>
              <w:right w:val="single" w:sz="8" w:color="auto"/>
            </w:tcBorders>
            <w:shd w:val="clear" w:color="auto" w:fill="F0FFFF"/>
          </w:tcPr>
          <w:p>
            <w:pPr>
              <w:spacing w:after="0"/>
              <w:rPr>
                <w:sz w:val="12"/>
                <w:szCs w:val="12"/>
                <w:color w:val="auto"/>
              </w:rPr>
            </w:pPr>
          </w:p>
        </w:tc>
        <w:tc>
          <w:tcPr>
            <w:tcW w:w="1900" w:type="dxa"/>
            <w:vAlign w:val="bottom"/>
            <w:tcBorders>
              <w:right w:val="single" w:sz="8" w:color="auto"/>
            </w:tcBorders>
            <w:gridSpan w:val="28"/>
            <w:shd w:val="clear" w:color="auto" w:fill="F0FFFF"/>
          </w:tcPr>
          <w:p>
            <w:pPr>
              <w:ind w:left="20"/>
              <w:spacing w:after="0" w:line="142" w:lineRule="exact"/>
              <w:rPr>
                <w:sz w:val="20"/>
                <w:szCs w:val="20"/>
                <w:color w:val="auto"/>
              </w:rPr>
            </w:pPr>
            <w:r>
              <w:rPr>
                <w:rFonts w:ascii="Times New Roman" w:cs="Times New Roman" w:eastAsia="Times New Roman" w:hAnsi="Times New Roman"/>
                <w:sz w:val="13"/>
                <w:szCs w:val="13"/>
                <w:color w:val="auto"/>
              </w:rPr>
              <w:t>● The Performance Lock Value</w:t>
            </w:r>
          </w:p>
        </w:tc>
        <w:tc>
          <w:tcPr>
            <w:tcW w:w="0" w:type="dxa"/>
            <w:vAlign w:val="bottom"/>
          </w:tcPr>
          <w:p>
            <w:pPr>
              <w:spacing w:after="0"/>
              <w:rPr>
                <w:sz w:val="1"/>
                <w:szCs w:val="1"/>
                <w:color w:val="auto"/>
              </w:rPr>
            </w:pPr>
          </w:p>
        </w:tc>
      </w:tr>
      <w:tr>
        <w:trPr>
          <w:trHeight w:val="129"/>
        </w:trPr>
        <w:tc>
          <w:tcPr>
            <w:tcW w:w="1020" w:type="dxa"/>
            <w:vAlign w:val="bottom"/>
            <w:tcBorders>
              <w:top w:val="single" w:sz="8" w:color="F0FFFF"/>
              <w:left w:val="single" w:sz="8" w:color="auto"/>
              <w:right w:val="single" w:sz="8" w:color="auto"/>
            </w:tcBorders>
            <w:shd w:val="clear" w:color="auto" w:fill="F0FFFF"/>
          </w:tcPr>
          <w:p>
            <w:pPr>
              <w:spacing w:after="0"/>
              <w:rPr>
                <w:sz w:val="11"/>
                <w:szCs w:val="11"/>
                <w:color w:val="auto"/>
              </w:rPr>
            </w:pPr>
          </w:p>
        </w:tc>
        <w:tc>
          <w:tcPr>
            <w:tcW w:w="20" w:type="dxa"/>
            <w:vAlign w:val="bottom"/>
            <w:tcBorders>
              <w:top w:val="single" w:sz="8" w:color="F0FFFF"/>
            </w:tcBorders>
            <w:shd w:val="clear" w:color="auto" w:fill="F0FFFF"/>
          </w:tcPr>
          <w:p>
            <w:pPr>
              <w:spacing w:after="0"/>
              <w:rPr>
                <w:sz w:val="11"/>
                <w:szCs w:val="11"/>
                <w:color w:val="auto"/>
              </w:rPr>
            </w:pPr>
          </w:p>
        </w:tc>
        <w:tc>
          <w:tcPr>
            <w:tcW w:w="260" w:type="dxa"/>
            <w:vAlign w:val="bottom"/>
            <w:tcBorders>
              <w:top w:val="single" w:sz="8" w:color="F0FFFF"/>
            </w:tcBorders>
            <w:shd w:val="clear" w:color="auto" w:fill="F0FFFF"/>
          </w:tcPr>
          <w:p>
            <w:pPr>
              <w:spacing w:after="0"/>
              <w:rPr>
                <w:sz w:val="11"/>
                <w:szCs w:val="11"/>
                <w:color w:val="auto"/>
              </w:rPr>
            </w:pPr>
          </w:p>
        </w:tc>
        <w:tc>
          <w:tcPr>
            <w:tcW w:w="480" w:type="dxa"/>
            <w:vAlign w:val="bottom"/>
            <w:tcBorders>
              <w:top w:val="single" w:sz="8" w:color="F0FFFF"/>
              <w:right w:val="single" w:sz="8" w:color="F0FFFF"/>
            </w:tcBorders>
            <w:shd w:val="clear" w:color="auto" w:fill="F0FFFF"/>
          </w:tcPr>
          <w:p>
            <w:pPr>
              <w:spacing w:after="0"/>
              <w:rPr>
                <w:sz w:val="11"/>
                <w:szCs w:val="11"/>
                <w:color w:val="auto"/>
              </w:rPr>
            </w:pPr>
          </w:p>
        </w:tc>
        <w:tc>
          <w:tcPr>
            <w:tcW w:w="80" w:type="dxa"/>
            <w:vAlign w:val="bottom"/>
            <w:tcBorders>
              <w:top w:val="single" w:sz="8" w:color="F0FFFF"/>
            </w:tcBorders>
            <w:shd w:val="clear" w:color="auto" w:fill="F0FFFF"/>
          </w:tcPr>
          <w:p>
            <w:pPr>
              <w:spacing w:after="0"/>
              <w:rPr>
                <w:sz w:val="11"/>
                <w:szCs w:val="11"/>
                <w:color w:val="auto"/>
              </w:rPr>
            </w:pPr>
          </w:p>
        </w:tc>
        <w:tc>
          <w:tcPr>
            <w:tcW w:w="260" w:type="dxa"/>
            <w:vAlign w:val="bottom"/>
            <w:tcBorders>
              <w:top w:val="single" w:sz="8" w:color="F0FFFF"/>
            </w:tcBorders>
            <w:shd w:val="clear" w:color="auto" w:fill="F0FFFF"/>
          </w:tcPr>
          <w:p>
            <w:pPr>
              <w:spacing w:after="0"/>
              <w:rPr>
                <w:sz w:val="11"/>
                <w:szCs w:val="11"/>
                <w:color w:val="auto"/>
              </w:rPr>
            </w:pPr>
          </w:p>
        </w:tc>
        <w:tc>
          <w:tcPr>
            <w:tcW w:w="460" w:type="dxa"/>
            <w:vAlign w:val="bottom"/>
            <w:tcBorders>
              <w:top w:val="single" w:sz="8" w:color="F0FFFF"/>
            </w:tcBorders>
            <w:shd w:val="clear" w:color="auto" w:fill="F0FFFF"/>
          </w:tcPr>
          <w:p>
            <w:pPr>
              <w:spacing w:after="0"/>
              <w:rPr>
                <w:sz w:val="11"/>
                <w:szCs w:val="11"/>
                <w:color w:val="auto"/>
              </w:rPr>
            </w:pPr>
          </w:p>
        </w:tc>
        <w:tc>
          <w:tcPr>
            <w:tcW w:w="280" w:type="dxa"/>
            <w:vAlign w:val="bottom"/>
            <w:tcBorders>
              <w:top w:val="single" w:sz="8" w:color="F0FFFF"/>
              <w:right w:val="single" w:sz="8" w:color="auto"/>
            </w:tcBorders>
            <w:shd w:val="clear" w:color="auto" w:fill="F0FFFF"/>
          </w:tcPr>
          <w:p>
            <w:pPr>
              <w:spacing w:after="0"/>
              <w:rPr>
                <w:sz w:val="11"/>
                <w:szCs w:val="11"/>
                <w:color w:val="auto"/>
              </w:rPr>
            </w:pPr>
          </w:p>
        </w:tc>
        <w:tc>
          <w:tcPr>
            <w:tcW w:w="1320" w:type="dxa"/>
            <w:vAlign w:val="bottom"/>
            <w:tcBorders>
              <w:top w:val="single" w:sz="8" w:color="F0FFFF"/>
              <w:right w:val="single" w:sz="8" w:color="auto"/>
            </w:tcBorders>
            <w:shd w:val="clear" w:color="auto" w:fill="F0FFFF"/>
          </w:tcPr>
          <w:p>
            <w:pPr>
              <w:spacing w:after="0"/>
              <w:rPr>
                <w:sz w:val="11"/>
                <w:szCs w:val="11"/>
                <w:color w:val="auto"/>
              </w:rPr>
            </w:pPr>
          </w:p>
        </w:tc>
        <w:tc>
          <w:tcPr>
            <w:tcW w:w="140" w:type="dxa"/>
            <w:vAlign w:val="bottom"/>
            <w:tcBorders>
              <w:top w:val="single" w:sz="8" w:color="F0FFFF"/>
            </w:tcBorders>
            <w:shd w:val="clear" w:color="auto" w:fill="F0FFFF"/>
          </w:tcPr>
          <w:p>
            <w:pPr>
              <w:spacing w:after="0"/>
              <w:rPr>
                <w:sz w:val="11"/>
                <w:szCs w:val="11"/>
                <w:color w:val="auto"/>
              </w:rPr>
            </w:pPr>
          </w:p>
        </w:tc>
        <w:tc>
          <w:tcPr>
            <w:tcW w:w="240" w:type="dxa"/>
            <w:vAlign w:val="bottom"/>
            <w:tcBorders>
              <w:top w:val="single" w:sz="8" w:color="F0FFFF"/>
              <w:left w:val="single" w:sz="8" w:color="F0FFFF"/>
            </w:tcBorders>
            <w:gridSpan w:val="3"/>
            <w:shd w:val="clear" w:color="auto" w:fill="F0FFFF"/>
          </w:tcPr>
          <w:p>
            <w:pPr>
              <w:spacing w:after="0" w:line="129" w:lineRule="exact"/>
              <w:rPr>
                <w:sz w:val="20"/>
                <w:szCs w:val="20"/>
                <w:color w:val="auto"/>
              </w:rPr>
            </w:pPr>
            <w:r>
              <w:rPr>
                <w:rFonts w:ascii="Times New Roman" w:cs="Times New Roman" w:eastAsia="Times New Roman" w:hAnsi="Times New Roman"/>
                <w:sz w:val="13"/>
                <w:szCs w:val="13"/>
                <w:color w:val="auto"/>
                <w:w w:val="94"/>
              </w:rPr>
              <w:t>Will</w:t>
            </w:r>
          </w:p>
        </w:tc>
        <w:tc>
          <w:tcPr>
            <w:tcW w:w="60" w:type="dxa"/>
            <w:vAlign w:val="bottom"/>
            <w:tcBorders>
              <w:top w:val="single" w:sz="8" w:color="auto"/>
              <w:right w:val="single" w:sz="8" w:color="F0FFFF"/>
            </w:tcBorders>
            <w:shd w:val="clear" w:color="auto" w:fill="F0FFFF"/>
          </w:tcPr>
          <w:p>
            <w:pPr>
              <w:spacing w:after="0"/>
              <w:rPr>
                <w:sz w:val="11"/>
                <w:szCs w:val="11"/>
                <w:color w:val="auto"/>
              </w:rPr>
            </w:pPr>
          </w:p>
        </w:tc>
        <w:tc>
          <w:tcPr>
            <w:tcW w:w="1280" w:type="dxa"/>
            <w:vAlign w:val="bottom"/>
            <w:tcBorders>
              <w:top w:val="single" w:sz="8" w:color="auto"/>
            </w:tcBorders>
            <w:gridSpan w:val="18"/>
            <w:shd w:val="clear" w:color="auto" w:fill="F0FFFF"/>
          </w:tcPr>
          <w:p>
            <w:pPr>
              <w:jc w:val="right"/>
              <w:ind w:right="58"/>
              <w:spacing w:after="0" w:line="129" w:lineRule="exact"/>
              <w:rPr>
                <w:sz w:val="20"/>
                <w:szCs w:val="20"/>
                <w:color w:val="auto"/>
              </w:rPr>
            </w:pPr>
            <w:r>
              <w:rPr>
                <w:rFonts w:ascii="Times New Roman" w:cs="Times New Roman" w:eastAsia="Times New Roman" w:hAnsi="Times New Roman"/>
                <w:sz w:val="13"/>
                <w:szCs w:val="13"/>
                <w:color w:val="auto"/>
                <w:w w:val="97"/>
              </w:rPr>
              <w:t>not participate in Index</w:t>
            </w:r>
          </w:p>
        </w:tc>
        <w:tc>
          <w:tcPr>
            <w:tcW w:w="20" w:type="dxa"/>
            <w:vAlign w:val="bottom"/>
            <w:tcBorders>
              <w:top w:val="single" w:sz="8" w:color="F0FFFF"/>
            </w:tcBorders>
            <w:shd w:val="clear" w:color="auto" w:fill="F0FFFF"/>
          </w:tcPr>
          <w:p>
            <w:pPr>
              <w:spacing w:after="0"/>
              <w:rPr>
                <w:sz w:val="11"/>
                <w:szCs w:val="11"/>
                <w:color w:val="auto"/>
              </w:rPr>
            </w:pPr>
          </w:p>
        </w:tc>
        <w:tc>
          <w:tcPr>
            <w:tcW w:w="20" w:type="dxa"/>
            <w:vAlign w:val="bottom"/>
            <w:tcBorders>
              <w:top w:val="single" w:sz="8" w:color="F0FFFF"/>
            </w:tcBorders>
            <w:shd w:val="clear" w:color="auto" w:fill="F0FFFF"/>
          </w:tcPr>
          <w:p>
            <w:pPr>
              <w:spacing w:after="0"/>
              <w:rPr>
                <w:sz w:val="11"/>
                <w:szCs w:val="11"/>
                <w:color w:val="auto"/>
              </w:rPr>
            </w:pPr>
          </w:p>
        </w:tc>
        <w:tc>
          <w:tcPr>
            <w:tcW w:w="140" w:type="dxa"/>
            <w:vAlign w:val="bottom"/>
            <w:tcBorders>
              <w:top w:val="single" w:sz="8" w:color="F0FFFF"/>
              <w:right w:val="single" w:sz="8" w:color="auto"/>
            </w:tcBorders>
            <w:gridSpan w:val="3"/>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020" w:type="dxa"/>
            <w:vAlign w:val="bottom"/>
            <w:tcBorders>
              <w:top w:val="single" w:sz="8" w:color="F0FFFF"/>
              <w:left w:val="single" w:sz="8" w:color="auto"/>
              <w:right w:val="single" w:sz="8" w:color="auto"/>
            </w:tcBorders>
            <w:shd w:val="clear" w:color="auto" w:fill="F0FFFF"/>
          </w:tcPr>
          <w:p>
            <w:pPr>
              <w:spacing w:after="0"/>
              <w:rPr>
                <w:sz w:val="10"/>
                <w:szCs w:val="10"/>
                <w:color w:val="auto"/>
              </w:rPr>
            </w:pPr>
          </w:p>
        </w:tc>
        <w:tc>
          <w:tcPr>
            <w:tcW w:w="20" w:type="dxa"/>
            <w:vAlign w:val="bottom"/>
            <w:tcBorders>
              <w:top w:val="single" w:sz="8" w:color="F0FFFF"/>
            </w:tcBorders>
            <w:shd w:val="clear" w:color="auto" w:fill="F0FFFF"/>
          </w:tcPr>
          <w:p>
            <w:pPr>
              <w:spacing w:after="0"/>
              <w:rPr>
                <w:sz w:val="10"/>
                <w:szCs w:val="10"/>
                <w:color w:val="auto"/>
              </w:rPr>
            </w:pPr>
          </w:p>
        </w:tc>
        <w:tc>
          <w:tcPr>
            <w:tcW w:w="260" w:type="dxa"/>
            <w:vAlign w:val="bottom"/>
            <w:tcBorders>
              <w:top w:val="single" w:sz="8" w:color="F0FFFF"/>
            </w:tcBorders>
            <w:shd w:val="clear" w:color="auto" w:fill="F0FFFF"/>
          </w:tcPr>
          <w:p>
            <w:pPr>
              <w:spacing w:after="0"/>
              <w:rPr>
                <w:sz w:val="10"/>
                <w:szCs w:val="10"/>
                <w:color w:val="auto"/>
              </w:rPr>
            </w:pPr>
          </w:p>
        </w:tc>
        <w:tc>
          <w:tcPr>
            <w:tcW w:w="480" w:type="dxa"/>
            <w:vAlign w:val="bottom"/>
            <w:tcBorders>
              <w:top w:val="single" w:sz="8" w:color="F0FFFF"/>
              <w:right w:val="single" w:sz="8" w:color="F0FFFF"/>
            </w:tcBorders>
            <w:shd w:val="clear" w:color="auto" w:fill="F0FFFF"/>
          </w:tcPr>
          <w:p>
            <w:pPr>
              <w:spacing w:after="0"/>
              <w:rPr>
                <w:sz w:val="10"/>
                <w:szCs w:val="10"/>
                <w:color w:val="auto"/>
              </w:rPr>
            </w:pPr>
          </w:p>
        </w:tc>
        <w:tc>
          <w:tcPr>
            <w:tcW w:w="80" w:type="dxa"/>
            <w:vAlign w:val="bottom"/>
            <w:tcBorders>
              <w:top w:val="single" w:sz="8" w:color="F0FFFF"/>
            </w:tcBorders>
            <w:shd w:val="clear" w:color="auto" w:fill="F0FFFF"/>
          </w:tcPr>
          <w:p>
            <w:pPr>
              <w:spacing w:after="0"/>
              <w:rPr>
                <w:sz w:val="10"/>
                <w:szCs w:val="10"/>
                <w:color w:val="auto"/>
              </w:rPr>
            </w:pPr>
          </w:p>
        </w:tc>
        <w:tc>
          <w:tcPr>
            <w:tcW w:w="260" w:type="dxa"/>
            <w:vAlign w:val="bottom"/>
            <w:tcBorders>
              <w:top w:val="single" w:sz="8" w:color="F0FFFF"/>
            </w:tcBorders>
            <w:shd w:val="clear" w:color="auto" w:fill="F0FFFF"/>
          </w:tcPr>
          <w:p>
            <w:pPr>
              <w:spacing w:after="0"/>
              <w:rPr>
                <w:sz w:val="10"/>
                <w:szCs w:val="10"/>
                <w:color w:val="auto"/>
              </w:rPr>
            </w:pPr>
          </w:p>
        </w:tc>
        <w:tc>
          <w:tcPr>
            <w:tcW w:w="460" w:type="dxa"/>
            <w:vAlign w:val="bottom"/>
            <w:tcBorders>
              <w:top w:val="single" w:sz="8" w:color="F0FFFF"/>
            </w:tcBorders>
            <w:shd w:val="clear" w:color="auto" w:fill="F0FFFF"/>
          </w:tcPr>
          <w:p>
            <w:pPr>
              <w:spacing w:after="0"/>
              <w:rPr>
                <w:sz w:val="10"/>
                <w:szCs w:val="10"/>
                <w:color w:val="auto"/>
              </w:rPr>
            </w:pPr>
          </w:p>
        </w:tc>
        <w:tc>
          <w:tcPr>
            <w:tcW w:w="280" w:type="dxa"/>
            <w:vAlign w:val="bottom"/>
            <w:tcBorders>
              <w:top w:val="single" w:sz="8" w:color="F0FFFF"/>
              <w:right w:val="single" w:sz="8" w:color="auto"/>
            </w:tcBorders>
            <w:shd w:val="clear" w:color="auto" w:fill="F0FFFF"/>
          </w:tcPr>
          <w:p>
            <w:pPr>
              <w:spacing w:after="0"/>
              <w:rPr>
                <w:sz w:val="10"/>
                <w:szCs w:val="10"/>
                <w:color w:val="auto"/>
              </w:rPr>
            </w:pPr>
          </w:p>
        </w:tc>
        <w:tc>
          <w:tcPr>
            <w:tcW w:w="1320" w:type="dxa"/>
            <w:vAlign w:val="bottom"/>
            <w:tcBorders>
              <w:top w:val="single" w:sz="8" w:color="F0FFFF"/>
              <w:right w:val="single" w:sz="8" w:color="auto"/>
            </w:tcBorders>
            <w:shd w:val="clear" w:color="auto" w:fill="F0FFFF"/>
          </w:tcPr>
          <w:p>
            <w:pPr>
              <w:spacing w:after="0"/>
              <w:rPr>
                <w:sz w:val="10"/>
                <w:szCs w:val="10"/>
                <w:color w:val="auto"/>
              </w:rPr>
            </w:pPr>
          </w:p>
        </w:tc>
        <w:tc>
          <w:tcPr>
            <w:tcW w:w="140" w:type="dxa"/>
            <w:vAlign w:val="bottom"/>
            <w:tcBorders>
              <w:top w:val="single" w:sz="8" w:color="F0FFFF"/>
            </w:tcBorders>
            <w:shd w:val="clear" w:color="auto" w:fill="F0FFFF"/>
          </w:tcPr>
          <w:p>
            <w:pPr>
              <w:spacing w:after="0"/>
              <w:rPr>
                <w:sz w:val="10"/>
                <w:szCs w:val="10"/>
                <w:color w:val="auto"/>
              </w:rPr>
            </w:pPr>
          </w:p>
        </w:tc>
        <w:tc>
          <w:tcPr>
            <w:tcW w:w="1220" w:type="dxa"/>
            <w:vAlign w:val="bottom"/>
            <w:tcBorders>
              <w:top w:val="single" w:sz="8" w:color="F0FFFF"/>
              <w:left w:val="single" w:sz="8" w:color="F0FFFF"/>
              <w:right w:val="single" w:sz="8" w:color="F0FFFF"/>
            </w:tcBorders>
            <w:gridSpan w:val="12"/>
            <w:shd w:val="clear" w:color="auto" w:fill="F0FFFF"/>
          </w:tcPr>
          <w:p>
            <w:pPr>
              <w:spacing w:after="0" w:line="126" w:lineRule="exact"/>
              <w:rPr>
                <w:sz w:val="20"/>
                <w:szCs w:val="20"/>
                <w:color w:val="auto"/>
              </w:rPr>
            </w:pPr>
            <w:r>
              <w:rPr>
                <w:rFonts w:ascii="Times New Roman" w:cs="Times New Roman" w:eastAsia="Times New Roman" w:hAnsi="Times New Roman"/>
                <w:sz w:val="13"/>
                <w:szCs w:val="13"/>
                <w:color w:val="auto"/>
              </w:rPr>
              <w:t>performance (positive</w:t>
            </w:r>
          </w:p>
        </w:tc>
        <w:tc>
          <w:tcPr>
            <w:tcW w:w="300" w:type="dxa"/>
            <w:vAlign w:val="bottom"/>
            <w:tcBorders>
              <w:top w:val="single" w:sz="8" w:color="auto"/>
              <w:left w:val="single" w:sz="8" w:color="F0FFFF"/>
            </w:tcBorders>
            <w:gridSpan w:val="8"/>
            <w:shd w:val="clear" w:color="auto" w:fill="F0FFFF"/>
          </w:tcPr>
          <w:p>
            <w:pPr>
              <w:jc w:val="right"/>
              <w:ind w:right="200"/>
              <w:spacing w:after="0" w:line="126" w:lineRule="exact"/>
              <w:rPr>
                <w:sz w:val="20"/>
                <w:szCs w:val="20"/>
                <w:color w:val="auto"/>
              </w:rPr>
            </w:pPr>
            <w:r>
              <w:rPr>
                <w:rFonts w:ascii="Times New Roman" w:cs="Times New Roman" w:eastAsia="Times New Roman" w:hAnsi="Times New Roman"/>
                <w:sz w:val="13"/>
                <w:szCs w:val="13"/>
                <w:color w:val="auto"/>
                <w:w w:val="73"/>
              </w:rPr>
              <w:t>or</w:t>
            </w:r>
          </w:p>
        </w:tc>
        <w:tc>
          <w:tcPr>
            <w:tcW w:w="40" w:type="dxa"/>
            <w:vAlign w:val="bottom"/>
            <w:tcBorders>
              <w:top w:val="single" w:sz="8" w:color="F0FFFF"/>
              <w:right w:val="single" w:sz="8" w:color="F0FFFF"/>
            </w:tcBorders>
            <w:shd w:val="clear" w:color="auto" w:fill="F0FFFF"/>
          </w:tcPr>
          <w:p>
            <w:pPr>
              <w:spacing w:after="0"/>
              <w:rPr>
                <w:sz w:val="10"/>
                <w:szCs w:val="10"/>
                <w:color w:val="auto"/>
              </w:rPr>
            </w:pPr>
          </w:p>
        </w:tc>
        <w:tc>
          <w:tcPr>
            <w:tcW w:w="40" w:type="dxa"/>
            <w:vAlign w:val="bottom"/>
            <w:tcBorders>
              <w:top w:val="single" w:sz="8" w:color="F0FFFF"/>
            </w:tcBorders>
            <w:gridSpan w:val="2"/>
            <w:shd w:val="clear" w:color="auto" w:fill="F0FFFF"/>
          </w:tcPr>
          <w:p>
            <w:pPr>
              <w:spacing w:after="0"/>
              <w:rPr>
                <w:sz w:val="10"/>
                <w:szCs w:val="10"/>
                <w:color w:val="auto"/>
              </w:rPr>
            </w:pPr>
          </w:p>
        </w:tc>
        <w:tc>
          <w:tcPr>
            <w:tcW w:w="20" w:type="dxa"/>
            <w:vAlign w:val="bottom"/>
            <w:tcBorders>
              <w:top w:val="single" w:sz="8" w:color="F0FFFF"/>
            </w:tcBorders>
            <w:shd w:val="clear" w:color="auto" w:fill="F0FFFF"/>
          </w:tcPr>
          <w:p>
            <w:pPr>
              <w:spacing w:after="0"/>
              <w:rPr>
                <w:sz w:val="10"/>
                <w:szCs w:val="10"/>
                <w:color w:val="auto"/>
              </w:rPr>
            </w:pPr>
          </w:p>
        </w:tc>
        <w:tc>
          <w:tcPr>
            <w:tcW w:w="140" w:type="dxa"/>
            <w:vAlign w:val="bottom"/>
            <w:tcBorders>
              <w:top w:val="single" w:sz="8" w:color="F0FFFF"/>
              <w:right w:val="single" w:sz="8" w:color="auto"/>
            </w:tcBorders>
            <w:gridSpan w:val="3"/>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20" w:type="dxa"/>
            <w:vAlign w:val="bottom"/>
            <w:tcBorders>
              <w:left w:val="single" w:sz="8" w:color="auto"/>
              <w:right w:val="single" w:sz="8" w:color="auto"/>
            </w:tcBorders>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480" w:type="dxa"/>
            <w:vAlign w:val="bottom"/>
            <w:tcBorders>
              <w:righ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460" w:type="dxa"/>
            <w:vAlign w:val="bottom"/>
            <w:shd w:val="clear" w:color="auto" w:fill="F0FFFF"/>
          </w:tcPr>
          <w:p>
            <w:pPr>
              <w:spacing w:after="0"/>
              <w:rPr>
                <w:sz w:val="12"/>
                <w:szCs w:val="12"/>
                <w:color w:val="auto"/>
              </w:rPr>
            </w:pPr>
          </w:p>
        </w:tc>
        <w:tc>
          <w:tcPr>
            <w:tcW w:w="280" w:type="dxa"/>
            <w:vAlign w:val="bottom"/>
            <w:tcBorders>
              <w:right w:val="single" w:sz="8" w:color="auto"/>
            </w:tcBorders>
            <w:shd w:val="clear" w:color="auto" w:fill="F0FFFF"/>
          </w:tcPr>
          <w:p>
            <w:pPr>
              <w:spacing w:after="0"/>
              <w:rPr>
                <w:sz w:val="12"/>
                <w:szCs w:val="12"/>
                <w:color w:val="auto"/>
              </w:rPr>
            </w:pPr>
          </w:p>
        </w:tc>
        <w:tc>
          <w:tcPr>
            <w:tcW w:w="1320" w:type="dxa"/>
            <w:vAlign w:val="bottom"/>
            <w:tcBorders>
              <w:right w:val="single" w:sz="8" w:color="auto"/>
            </w:tcBorders>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760" w:type="dxa"/>
            <w:vAlign w:val="bottom"/>
            <w:tcBorders>
              <w:left w:val="single" w:sz="8" w:color="F0FFFF"/>
              <w:right w:val="single" w:sz="8" w:color="auto"/>
            </w:tcBorders>
            <w:gridSpan w:val="27"/>
            <w:shd w:val="clear" w:color="auto" w:fill="F0FFFF"/>
          </w:tcPr>
          <w:p>
            <w:pPr>
              <w:spacing w:after="0"/>
              <w:rPr>
                <w:sz w:val="20"/>
                <w:szCs w:val="20"/>
                <w:color w:val="auto"/>
              </w:rPr>
            </w:pPr>
            <w:r>
              <w:rPr>
                <w:rFonts w:ascii="Times New Roman" w:cs="Times New Roman" w:eastAsia="Times New Roman" w:hAnsi="Times New Roman"/>
                <w:sz w:val="13"/>
                <w:szCs w:val="13"/>
                <w:color w:val="auto"/>
              </w:rPr>
              <w:t>negative) for the remainder of</w:t>
            </w:r>
          </w:p>
        </w:tc>
        <w:tc>
          <w:tcPr>
            <w:tcW w:w="0" w:type="dxa"/>
            <w:vAlign w:val="bottom"/>
          </w:tcPr>
          <w:p>
            <w:pPr>
              <w:spacing w:after="0"/>
              <w:rPr>
                <w:sz w:val="1"/>
                <w:szCs w:val="1"/>
                <w:color w:val="auto"/>
              </w:rPr>
            </w:pPr>
          </w:p>
        </w:tc>
      </w:tr>
      <w:tr>
        <w:trPr>
          <w:trHeight w:val="142"/>
        </w:trPr>
        <w:tc>
          <w:tcPr>
            <w:tcW w:w="1020" w:type="dxa"/>
            <w:vAlign w:val="bottom"/>
            <w:tcBorders>
              <w:left w:val="single" w:sz="8" w:color="auto"/>
              <w:right w:val="single" w:sz="8" w:color="auto"/>
            </w:tcBorders>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480" w:type="dxa"/>
            <w:vAlign w:val="bottom"/>
            <w:tcBorders>
              <w:righ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460" w:type="dxa"/>
            <w:vAlign w:val="bottom"/>
            <w:shd w:val="clear" w:color="auto" w:fill="F0FFFF"/>
          </w:tcPr>
          <w:p>
            <w:pPr>
              <w:spacing w:after="0"/>
              <w:rPr>
                <w:sz w:val="12"/>
                <w:szCs w:val="12"/>
                <w:color w:val="auto"/>
              </w:rPr>
            </w:pPr>
          </w:p>
        </w:tc>
        <w:tc>
          <w:tcPr>
            <w:tcW w:w="280" w:type="dxa"/>
            <w:vAlign w:val="bottom"/>
            <w:tcBorders>
              <w:right w:val="single" w:sz="8" w:color="auto"/>
            </w:tcBorders>
            <w:shd w:val="clear" w:color="auto" w:fill="F0FFFF"/>
          </w:tcPr>
          <w:p>
            <w:pPr>
              <w:spacing w:after="0"/>
              <w:rPr>
                <w:sz w:val="12"/>
                <w:szCs w:val="12"/>
                <w:color w:val="auto"/>
              </w:rPr>
            </w:pPr>
          </w:p>
        </w:tc>
        <w:tc>
          <w:tcPr>
            <w:tcW w:w="1320" w:type="dxa"/>
            <w:vAlign w:val="bottom"/>
            <w:tcBorders>
              <w:right w:val="single" w:sz="8" w:color="auto"/>
            </w:tcBorders>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760" w:type="dxa"/>
            <w:vAlign w:val="bottom"/>
            <w:tcBorders>
              <w:left w:val="single" w:sz="8" w:color="F0FFFF"/>
              <w:right w:val="single" w:sz="8" w:color="auto"/>
            </w:tcBorders>
            <w:gridSpan w:val="27"/>
            <w:shd w:val="clear" w:color="auto" w:fill="F0FFFF"/>
          </w:tcPr>
          <w:p>
            <w:pPr>
              <w:spacing w:after="0" w:line="142" w:lineRule="exact"/>
              <w:rPr>
                <w:sz w:val="20"/>
                <w:szCs w:val="20"/>
                <w:color w:val="auto"/>
              </w:rPr>
            </w:pPr>
            <w:r>
              <w:rPr>
                <w:rFonts w:ascii="Times New Roman" w:cs="Times New Roman" w:eastAsia="Times New Roman" w:hAnsi="Times New Roman"/>
                <w:sz w:val="13"/>
                <w:szCs w:val="13"/>
                <w:color w:val="auto"/>
              </w:rPr>
              <w:t>the Term, including the Term</w:t>
            </w:r>
          </w:p>
        </w:tc>
        <w:tc>
          <w:tcPr>
            <w:tcW w:w="0" w:type="dxa"/>
            <w:vAlign w:val="bottom"/>
          </w:tcPr>
          <w:p>
            <w:pPr>
              <w:spacing w:after="0"/>
              <w:rPr>
                <w:sz w:val="1"/>
                <w:szCs w:val="1"/>
                <w:color w:val="auto"/>
              </w:rPr>
            </w:pPr>
          </w:p>
        </w:tc>
      </w:tr>
      <w:tr>
        <w:trPr>
          <w:trHeight w:val="129"/>
        </w:trPr>
        <w:tc>
          <w:tcPr>
            <w:tcW w:w="1020" w:type="dxa"/>
            <w:vAlign w:val="bottom"/>
            <w:tcBorders>
              <w:top w:val="single" w:sz="8" w:color="F0FFFF"/>
              <w:left w:val="single" w:sz="8" w:color="auto"/>
              <w:right w:val="single" w:sz="8" w:color="auto"/>
            </w:tcBorders>
            <w:shd w:val="clear" w:color="auto" w:fill="F0FFFF"/>
          </w:tcPr>
          <w:p>
            <w:pPr>
              <w:spacing w:after="0"/>
              <w:rPr>
                <w:sz w:val="11"/>
                <w:szCs w:val="11"/>
                <w:color w:val="auto"/>
              </w:rPr>
            </w:pPr>
          </w:p>
        </w:tc>
        <w:tc>
          <w:tcPr>
            <w:tcW w:w="20" w:type="dxa"/>
            <w:vAlign w:val="bottom"/>
            <w:tcBorders>
              <w:top w:val="single" w:sz="8" w:color="F0FFFF"/>
            </w:tcBorders>
            <w:shd w:val="clear" w:color="auto" w:fill="F0FFFF"/>
          </w:tcPr>
          <w:p>
            <w:pPr>
              <w:spacing w:after="0"/>
              <w:rPr>
                <w:sz w:val="11"/>
                <w:szCs w:val="11"/>
                <w:color w:val="auto"/>
              </w:rPr>
            </w:pPr>
          </w:p>
        </w:tc>
        <w:tc>
          <w:tcPr>
            <w:tcW w:w="260" w:type="dxa"/>
            <w:vAlign w:val="bottom"/>
            <w:tcBorders>
              <w:top w:val="single" w:sz="8" w:color="F0FFFF"/>
            </w:tcBorders>
            <w:shd w:val="clear" w:color="auto" w:fill="F0FFFF"/>
          </w:tcPr>
          <w:p>
            <w:pPr>
              <w:spacing w:after="0"/>
              <w:rPr>
                <w:sz w:val="11"/>
                <w:szCs w:val="11"/>
                <w:color w:val="auto"/>
              </w:rPr>
            </w:pPr>
          </w:p>
        </w:tc>
        <w:tc>
          <w:tcPr>
            <w:tcW w:w="480" w:type="dxa"/>
            <w:vAlign w:val="bottom"/>
            <w:tcBorders>
              <w:top w:val="single" w:sz="8" w:color="F0FFFF"/>
              <w:right w:val="single" w:sz="8" w:color="F0FFFF"/>
            </w:tcBorders>
            <w:shd w:val="clear" w:color="auto" w:fill="F0FFFF"/>
          </w:tcPr>
          <w:p>
            <w:pPr>
              <w:spacing w:after="0"/>
              <w:rPr>
                <w:sz w:val="11"/>
                <w:szCs w:val="11"/>
                <w:color w:val="auto"/>
              </w:rPr>
            </w:pPr>
          </w:p>
        </w:tc>
        <w:tc>
          <w:tcPr>
            <w:tcW w:w="80" w:type="dxa"/>
            <w:vAlign w:val="bottom"/>
            <w:tcBorders>
              <w:top w:val="single" w:sz="8" w:color="F0FFFF"/>
            </w:tcBorders>
            <w:shd w:val="clear" w:color="auto" w:fill="F0FFFF"/>
          </w:tcPr>
          <w:p>
            <w:pPr>
              <w:spacing w:after="0"/>
              <w:rPr>
                <w:sz w:val="11"/>
                <w:szCs w:val="11"/>
                <w:color w:val="auto"/>
              </w:rPr>
            </w:pPr>
          </w:p>
        </w:tc>
        <w:tc>
          <w:tcPr>
            <w:tcW w:w="260" w:type="dxa"/>
            <w:vAlign w:val="bottom"/>
            <w:tcBorders>
              <w:top w:val="single" w:sz="8" w:color="F0FFFF"/>
            </w:tcBorders>
            <w:shd w:val="clear" w:color="auto" w:fill="F0FFFF"/>
          </w:tcPr>
          <w:p>
            <w:pPr>
              <w:spacing w:after="0"/>
              <w:rPr>
                <w:sz w:val="11"/>
                <w:szCs w:val="11"/>
                <w:color w:val="auto"/>
              </w:rPr>
            </w:pPr>
          </w:p>
        </w:tc>
        <w:tc>
          <w:tcPr>
            <w:tcW w:w="460" w:type="dxa"/>
            <w:vAlign w:val="bottom"/>
            <w:tcBorders>
              <w:top w:val="single" w:sz="8" w:color="F0FFFF"/>
            </w:tcBorders>
            <w:shd w:val="clear" w:color="auto" w:fill="F0FFFF"/>
          </w:tcPr>
          <w:p>
            <w:pPr>
              <w:spacing w:after="0"/>
              <w:rPr>
                <w:sz w:val="11"/>
                <w:szCs w:val="11"/>
                <w:color w:val="auto"/>
              </w:rPr>
            </w:pPr>
          </w:p>
        </w:tc>
        <w:tc>
          <w:tcPr>
            <w:tcW w:w="280" w:type="dxa"/>
            <w:vAlign w:val="bottom"/>
            <w:tcBorders>
              <w:top w:val="single" w:sz="8" w:color="F0FFFF"/>
              <w:right w:val="single" w:sz="8" w:color="auto"/>
            </w:tcBorders>
            <w:shd w:val="clear" w:color="auto" w:fill="F0FFFF"/>
          </w:tcPr>
          <w:p>
            <w:pPr>
              <w:spacing w:after="0"/>
              <w:rPr>
                <w:sz w:val="11"/>
                <w:szCs w:val="11"/>
                <w:color w:val="auto"/>
              </w:rPr>
            </w:pPr>
          </w:p>
        </w:tc>
        <w:tc>
          <w:tcPr>
            <w:tcW w:w="1320" w:type="dxa"/>
            <w:vAlign w:val="bottom"/>
            <w:tcBorders>
              <w:top w:val="single" w:sz="8" w:color="F0FFFF"/>
              <w:right w:val="single" w:sz="8" w:color="auto"/>
            </w:tcBorders>
            <w:shd w:val="clear" w:color="auto" w:fill="F0FFFF"/>
          </w:tcPr>
          <w:p>
            <w:pPr>
              <w:spacing w:after="0"/>
              <w:rPr>
                <w:sz w:val="11"/>
                <w:szCs w:val="11"/>
                <w:color w:val="auto"/>
              </w:rPr>
            </w:pPr>
          </w:p>
        </w:tc>
        <w:tc>
          <w:tcPr>
            <w:tcW w:w="140" w:type="dxa"/>
            <w:vAlign w:val="bottom"/>
            <w:tcBorders>
              <w:top w:val="single" w:sz="8" w:color="F0FFFF"/>
            </w:tcBorders>
            <w:shd w:val="clear" w:color="auto" w:fill="F0FFFF"/>
          </w:tcPr>
          <w:p>
            <w:pPr>
              <w:spacing w:after="0"/>
              <w:rPr>
                <w:sz w:val="11"/>
                <w:szCs w:val="11"/>
                <w:color w:val="auto"/>
              </w:rPr>
            </w:pPr>
          </w:p>
        </w:tc>
        <w:tc>
          <w:tcPr>
            <w:tcW w:w="200" w:type="dxa"/>
            <w:vAlign w:val="bottom"/>
            <w:tcBorders>
              <w:top w:val="single" w:sz="8" w:color="F0FFFF"/>
              <w:left w:val="single" w:sz="8" w:color="F0FFFF"/>
            </w:tcBorders>
            <w:shd w:val="clear" w:color="auto" w:fill="F0FFFF"/>
          </w:tcPr>
          <w:p>
            <w:pPr>
              <w:spacing w:after="0" w:line="129" w:lineRule="exact"/>
              <w:rPr>
                <w:sz w:val="20"/>
                <w:szCs w:val="20"/>
                <w:color w:val="auto"/>
              </w:rPr>
            </w:pPr>
            <w:r>
              <w:rPr>
                <w:rFonts w:ascii="Times New Roman" w:cs="Times New Roman" w:eastAsia="Times New Roman" w:hAnsi="Times New Roman"/>
                <w:sz w:val="13"/>
                <w:szCs w:val="13"/>
                <w:color w:val="auto"/>
                <w:w w:val="85"/>
              </w:rPr>
              <w:t>End</w:t>
            </w:r>
          </w:p>
        </w:tc>
        <w:tc>
          <w:tcPr>
            <w:tcW w:w="20" w:type="dxa"/>
            <w:vAlign w:val="bottom"/>
            <w:tcBorders>
              <w:top w:val="single" w:sz="8" w:color="auto"/>
            </w:tcBorders>
            <w:shd w:val="clear" w:color="auto" w:fill="F0FFFF"/>
          </w:tcPr>
          <w:p>
            <w:pPr>
              <w:spacing w:after="0"/>
              <w:rPr>
                <w:sz w:val="11"/>
                <w:szCs w:val="11"/>
                <w:color w:val="auto"/>
              </w:rPr>
            </w:pPr>
          </w:p>
        </w:tc>
        <w:tc>
          <w:tcPr>
            <w:tcW w:w="80" w:type="dxa"/>
            <w:vAlign w:val="bottom"/>
            <w:tcBorders>
              <w:top w:val="single" w:sz="8" w:color="auto"/>
              <w:right w:val="single" w:sz="8" w:color="F0FFFF"/>
            </w:tcBorders>
            <w:gridSpan w:val="2"/>
            <w:shd w:val="clear" w:color="auto" w:fill="F0FFFF"/>
          </w:tcPr>
          <w:p>
            <w:pPr>
              <w:spacing w:after="0"/>
              <w:rPr>
                <w:sz w:val="11"/>
                <w:szCs w:val="11"/>
                <w:color w:val="auto"/>
              </w:rPr>
            </w:pPr>
          </w:p>
        </w:tc>
        <w:tc>
          <w:tcPr>
            <w:tcW w:w="200" w:type="dxa"/>
            <w:vAlign w:val="bottom"/>
            <w:tcBorders>
              <w:top w:val="single" w:sz="8" w:color="auto"/>
              <w:right w:val="single" w:sz="8" w:color="F0FFFF"/>
            </w:tcBorders>
            <w:shd w:val="clear" w:color="auto" w:fill="F0FFFF"/>
          </w:tcPr>
          <w:p>
            <w:pPr>
              <w:spacing w:after="0" w:line="129" w:lineRule="exact"/>
              <w:rPr>
                <w:sz w:val="20"/>
                <w:szCs w:val="20"/>
                <w:color w:val="auto"/>
              </w:rPr>
            </w:pPr>
            <w:r>
              <w:rPr>
                <w:rFonts w:ascii="Times New Roman" w:cs="Times New Roman" w:eastAsia="Times New Roman" w:hAnsi="Times New Roman"/>
                <w:sz w:val="12"/>
                <w:szCs w:val="12"/>
                <w:color w:val="auto"/>
                <w:w w:val="70"/>
              </w:rPr>
              <w:t>Date</w:t>
            </w:r>
          </w:p>
        </w:tc>
        <w:tc>
          <w:tcPr>
            <w:tcW w:w="200" w:type="dxa"/>
            <w:vAlign w:val="bottom"/>
            <w:tcBorders>
              <w:top w:val="single" w:sz="8" w:color="F0FFFF"/>
              <w:left w:val="single" w:sz="8" w:color="F0FFFF"/>
              <w:right w:val="single" w:sz="8" w:color="F0FFFF"/>
            </w:tcBorders>
            <w:shd w:val="clear" w:color="auto" w:fill="F0FF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F0FFFF"/>
              <w:right w:val="single" w:sz="8" w:color="F0FFFF"/>
            </w:tcBorders>
            <w:gridSpan w:val="3"/>
            <w:shd w:val="clear" w:color="auto" w:fill="F0FFFF"/>
          </w:tcPr>
          <w:p>
            <w:pPr>
              <w:spacing w:after="0"/>
              <w:rPr>
                <w:sz w:val="11"/>
                <w:szCs w:val="11"/>
                <w:color w:val="auto"/>
              </w:rPr>
            </w:pPr>
          </w:p>
        </w:tc>
        <w:tc>
          <w:tcPr>
            <w:tcW w:w="120" w:type="dxa"/>
            <w:vAlign w:val="bottom"/>
            <w:tcBorders>
              <w:top w:val="single" w:sz="8" w:color="F0FFFF"/>
              <w:right w:val="single" w:sz="8" w:color="F0FFFF"/>
            </w:tcBorders>
            <w:gridSpan w:val="2"/>
            <w:shd w:val="clear" w:color="auto" w:fill="F0FFFF"/>
          </w:tcPr>
          <w:p>
            <w:pPr>
              <w:spacing w:after="0"/>
              <w:rPr>
                <w:sz w:val="11"/>
                <w:szCs w:val="11"/>
                <w:color w:val="auto"/>
              </w:rPr>
            </w:pPr>
          </w:p>
        </w:tc>
        <w:tc>
          <w:tcPr>
            <w:tcW w:w="280" w:type="dxa"/>
            <w:vAlign w:val="bottom"/>
            <w:tcBorders>
              <w:top w:val="single" w:sz="8" w:color="F0FFFF"/>
              <w:left w:val="single" w:sz="8" w:color="F0FFFF"/>
              <w:right w:val="single" w:sz="8" w:color="F0FFFF"/>
            </w:tcBorders>
            <w:shd w:val="clear" w:color="auto" w:fill="F0FFFF"/>
          </w:tcPr>
          <w:p>
            <w:pPr>
              <w:spacing w:after="0"/>
              <w:rPr>
                <w:sz w:val="11"/>
                <w:szCs w:val="11"/>
                <w:color w:val="auto"/>
              </w:rPr>
            </w:pPr>
          </w:p>
        </w:tc>
        <w:tc>
          <w:tcPr>
            <w:tcW w:w="120" w:type="dxa"/>
            <w:vAlign w:val="bottom"/>
            <w:tcBorders>
              <w:top w:val="single" w:sz="8" w:color="auto"/>
              <w:left w:val="single" w:sz="8" w:color="F0FFFF"/>
            </w:tcBorders>
            <w:gridSpan w:val="2"/>
            <w:shd w:val="clear" w:color="auto" w:fill="F0FFFF"/>
          </w:tcPr>
          <w:p>
            <w:pPr>
              <w:spacing w:after="0"/>
              <w:rPr>
                <w:sz w:val="11"/>
                <w:szCs w:val="11"/>
                <w:color w:val="auto"/>
              </w:rPr>
            </w:pPr>
          </w:p>
        </w:tc>
        <w:tc>
          <w:tcPr>
            <w:tcW w:w="20" w:type="dxa"/>
            <w:vAlign w:val="bottom"/>
            <w:tcBorders>
              <w:top w:val="single" w:sz="8" w:color="auto"/>
              <w:right w:val="single" w:sz="8" w:color="F0FFFF"/>
            </w:tcBorders>
            <w:shd w:val="clear" w:color="auto" w:fill="F0FFFF"/>
          </w:tcPr>
          <w:p>
            <w:pPr>
              <w:spacing w:after="0"/>
              <w:rPr>
                <w:sz w:val="11"/>
                <w:szCs w:val="11"/>
                <w:color w:val="auto"/>
              </w:rPr>
            </w:pPr>
          </w:p>
        </w:tc>
        <w:tc>
          <w:tcPr>
            <w:tcW w:w="40" w:type="dxa"/>
            <w:vAlign w:val="bottom"/>
            <w:tcBorders>
              <w:top w:val="single" w:sz="8" w:color="auto"/>
            </w:tcBorders>
            <w:gridSpan w:val="2"/>
            <w:shd w:val="clear" w:color="auto" w:fill="F0FFFF"/>
          </w:tcPr>
          <w:p>
            <w:pPr>
              <w:spacing w:after="0"/>
              <w:rPr>
                <w:sz w:val="11"/>
                <w:szCs w:val="11"/>
                <w:color w:val="auto"/>
              </w:rPr>
            </w:pPr>
          </w:p>
        </w:tc>
        <w:tc>
          <w:tcPr>
            <w:tcW w:w="100" w:type="dxa"/>
            <w:vAlign w:val="bottom"/>
            <w:tcBorders>
              <w:top w:val="single" w:sz="8" w:color="auto"/>
              <w:right w:val="single" w:sz="8" w:color="F0FFFF"/>
            </w:tcBorders>
            <w:gridSpan w:val="2"/>
            <w:shd w:val="clear" w:color="auto" w:fill="F0FFFF"/>
          </w:tcPr>
          <w:p>
            <w:pPr>
              <w:spacing w:after="0"/>
              <w:rPr>
                <w:sz w:val="11"/>
                <w:szCs w:val="11"/>
                <w:color w:val="auto"/>
              </w:rPr>
            </w:pPr>
          </w:p>
        </w:tc>
        <w:tc>
          <w:tcPr>
            <w:tcW w:w="60" w:type="dxa"/>
            <w:vAlign w:val="bottom"/>
            <w:tcBorders>
              <w:top w:val="single" w:sz="8" w:color="auto"/>
              <w:right w:val="single" w:sz="8" w:color="F0FFFF"/>
            </w:tcBorders>
            <w:gridSpan w:val="2"/>
            <w:shd w:val="clear" w:color="auto" w:fill="F0FFFF"/>
          </w:tcPr>
          <w:p>
            <w:pPr>
              <w:spacing w:after="0"/>
              <w:rPr>
                <w:sz w:val="11"/>
                <w:szCs w:val="11"/>
                <w:color w:val="auto"/>
              </w:rPr>
            </w:pPr>
          </w:p>
        </w:tc>
        <w:tc>
          <w:tcPr>
            <w:tcW w:w="40" w:type="dxa"/>
            <w:vAlign w:val="bottom"/>
            <w:tcBorders>
              <w:top w:val="single" w:sz="8" w:color="auto"/>
            </w:tcBorders>
            <w:gridSpan w:val="2"/>
            <w:shd w:val="clear" w:color="auto" w:fill="F0FFFF"/>
          </w:tcPr>
          <w:p>
            <w:pPr>
              <w:spacing w:after="0"/>
              <w:rPr>
                <w:sz w:val="11"/>
                <w:szCs w:val="11"/>
                <w:color w:val="auto"/>
              </w:rPr>
            </w:pPr>
          </w:p>
        </w:tc>
        <w:tc>
          <w:tcPr>
            <w:tcW w:w="20" w:type="dxa"/>
            <w:vAlign w:val="bottom"/>
            <w:tcBorders>
              <w:top w:val="single" w:sz="8" w:color="F0FFFF"/>
            </w:tcBorders>
            <w:shd w:val="clear" w:color="auto" w:fill="F0FFFF"/>
          </w:tcPr>
          <w:p>
            <w:pPr>
              <w:spacing w:after="0"/>
              <w:rPr>
                <w:sz w:val="11"/>
                <w:szCs w:val="11"/>
                <w:color w:val="auto"/>
              </w:rPr>
            </w:pPr>
          </w:p>
        </w:tc>
        <w:tc>
          <w:tcPr>
            <w:tcW w:w="140" w:type="dxa"/>
            <w:vAlign w:val="bottom"/>
            <w:tcBorders>
              <w:top w:val="single" w:sz="8" w:color="F0FFFF"/>
              <w:right w:val="single" w:sz="8" w:color="auto"/>
            </w:tcBorders>
            <w:gridSpan w:val="3"/>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48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460" w:type="dxa"/>
            <w:vAlign w:val="bottom"/>
            <w:shd w:val="clear" w:color="auto" w:fill="F0FFFF"/>
          </w:tcPr>
          <w:p>
            <w:pPr>
              <w:spacing w:after="0" w:line="20" w:lineRule="exact"/>
              <w:rPr>
                <w:sz w:val="1"/>
                <w:szCs w:val="1"/>
                <w:color w:val="auto"/>
              </w:rPr>
            </w:pPr>
          </w:p>
        </w:tc>
        <w:tc>
          <w:tcPr>
            <w:tcW w:w="280" w:type="dxa"/>
            <w:vAlign w:val="bottom"/>
            <w:tcBorders>
              <w:right w:val="single" w:sz="8" w:color="auto"/>
            </w:tcBorders>
            <w:shd w:val="clear" w:color="auto" w:fill="F0FFFF"/>
          </w:tcPr>
          <w:p>
            <w:pPr>
              <w:spacing w:after="0" w:line="20" w:lineRule="exact"/>
              <w:rPr>
                <w:sz w:val="1"/>
                <w:szCs w:val="1"/>
                <w:color w:val="auto"/>
              </w:rPr>
            </w:pPr>
          </w:p>
        </w:tc>
        <w:tc>
          <w:tcPr>
            <w:tcW w:w="1320" w:type="dxa"/>
            <w:vAlign w:val="bottom"/>
            <w:tcBorders>
              <w:right w:val="single" w:sz="8" w:color="auto"/>
            </w:tcBorders>
            <w:shd w:val="clear" w:color="auto" w:fill="F0FFFF"/>
          </w:tcPr>
          <w:p>
            <w:pPr>
              <w:spacing w:after="0" w:line="20" w:lineRule="exact"/>
              <w:rPr>
                <w:sz w:val="1"/>
                <w:szCs w:val="1"/>
                <w:color w:val="auto"/>
              </w:rPr>
            </w:pPr>
          </w:p>
        </w:tc>
        <w:tc>
          <w:tcPr>
            <w:tcW w:w="140" w:type="dxa"/>
            <w:vAlign w:val="bottom"/>
            <w:vMerge w:val="restart"/>
            <w:shd w:val="clear" w:color="auto" w:fill="F0FF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right w:val="single" w:sz="8" w:color="F0FFFF"/>
            </w:tcBorders>
            <w:shd w:val="clear" w:color="auto" w:fill="F0FFFF"/>
          </w:tcPr>
          <w:p>
            <w:pPr>
              <w:spacing w:after="0" w:line="20" w:lineRule="exact"/>
              <w:rPr>
                <w:sz w:val="1"/>
                <w:szCs w:val="1"/>
                <w:color w:val="auto"/>
              </w:rPr>
            </w:pPr>
          </w:p>
        </w:tc>
        <w:tc>
          <w:tcPr>
            <w:tcW w:w="120" w:type="dxa"/>
            <w:vAlign w:val="bottom"/>
            <w:tcBorders>
              <w:right w:val="single" w:sz="8" w:color="F0FFFF"/>
            </w:tcBorders>
            <w:gridSpan w:val="3"/>
            <w:shd w:val="clear" w:color="auto" w:fill="F0FFFF"/>
          </w:tcPr>
          <w:p>
            <w:pPr>
              <w:spacing w:after="0" w:line="20" w:lineRule="exact"/>
              <w:rPr>
                <w:sz w:val="1"/>
                <w:szCs w:val="1"/>
                <w:color w:val="auto"/>
              </w:rPr>
            </w:pPr>
          </w:p>
        </w:tc>
        <w:tc>
          <w:tcPr>
            <w:tcW w:w="120" w:type="dxa"/>
            <w:vAlign w:val="bottom"/>
            <w:tcBorders>
              <w:right w:val="single" w:sz="8" w:color="F0FFFF"/>
            </w:tcBorders>
            <w:gridSpan w:val="2"/>
            <w:shd w:val="clear" w:color="auto" w:fill="F0FFFF"/>
          </w:tcPr>
          <w:p>
            <w:pPr>
              <w:spacing w:after="0" w:line="20" w:lineRule="exact"/>
              <w:rPr>
                <w:sz w:val="1"/>
                <w:szCs w:val="1"/>
                <w:color w:val="auto"/>
              </w:rPr>
            </w:pPr>
          </w:p>
        </w:tc>
        <w:tc>
          <w:tcPr>
            <w:tcW w:w="28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120" w:type="dxa"/>
            <w:vAlign w:val="bottom"/>
            <w:tcBorders>
              <w:left w:val="single" w:sz="8" w:color="F0FFFF"/>
            </w:tcBorders>
            <w:gridSpan w:val="2"/>
            <w:shd w:val="clear" w:color="auto" w:fill="F0FFFF"/>
          </w:tcPr>
          <w:p>
            <w:pPr>
              <w:spacing w:after="0" w:line="20" w:lineRule="exact"/>
              <w:rPr>
                <w:sz w:val="1"/>
                <w:szCs w:val="1"/>
                <w:color w:val="auto"/>
              </w:rPr>
            </w:pPr>
          </w:p>
        </w:tc>
        <w:tc>
          <w:tcPr>
            <w:tcW w:w="20" w:type="dxa"/>
            <w:vAlign w:val="bottom"/>
            <w:tcBorders>
              <w:right w:val="single" w:sz="8" w:color="F0FFFF"/>
            </w:tcBorders>
            <w:shd w:val="clear" w:color="auto" w:fill="F0FFFF"/>
          </w:tcPr>
          <w:p>
            <w:pPr>
              <w:spacing w:after="0" w:line="20" w:lineRule="exact"/>
              <w:rPr>
                <w:sz w:val="1"/>
                <w:szCs w:val="1"/>
                <w:color w:val="auto"/>
              </w:rPr>
            </w:pPr>
          </w:p>
        </w:tc>
        <w:tc>
          <w:tcPr>
            <w:tcW w:w="40" w:type="dxa"/>
            <w:vAlign w:val="bottom"/>
            <w:gridSpan w:val="2"/>
            <w:shd w:val="clear" w:color="auto" w:fill="F0FFFF"/>
          </w:tcPr>
          <w:p>
            <w:pPr>
              <w:spacing w:after="0" w:line="20" w:lineRule="exact"/>
              <w:rPr>
                <w:sz w:val="1"/>
                <w:szCs w:val="1"/>
                <w:color w:val="auto"/>
              </w:rPr>
            </w:pPr>
          </w:p>
        </w:tc>
        <w:tc>
          <w:tcPr>
            <w:tcW w:w="100" w:type="dxa"/>
            <w:vAlign w:val="bottom"/>
            <w:tcBorders>
              <w:right w:val="single" w:sz="8" w:color="F0FFFF"/>
            </w:tcBorders>
            <w:gridSpan w:val="2"/>
            <w:shd w:val="clear" w:color="auto" w:fill="F0FFFF"/>
          </w:tcPr>
          <w:p>
            <w:pPr>
              <w:spacing w:after="0" w:line="20" w:lineRule="exact"/>
              <w:rPr>
                <w:sz w:val="1"/>
                <w:szCs w:val="1"/>
                <w:color w:val="auto"/>
              </w:rPr>
            </w:pPr>
          </w:p>
        </w:tc>
        <w:tc>
          <w:tcPr>
            <w:tcW w:w="60" w:type="dxa"/>
            <w:vAlign w:val="bottom"/>
            <w:tcBorders>
              <w:right w:val="single" w:sz="8" w:color="F0FFFF"/>
            </w:tcBorders>
            <w:gridSpan w:val="2"/>
            <w:shd w:val="clear" w:color="auto" w:fill="F0FFFF"/>
          </w:tcPr>
          <w:p>
            <w:pPr>
              <w:spacing w:after="0" w:line="20" w:lineRule="exact"/>
              <w:rPr>
                <w:sz w:val="1"/>
                <w:szCs w:val="1"/>
                <w:color w:val="auto"/>
              </w:rPr>
            </w:pPr>
          </w:p>
        </w:tc>
        <w:tc>
          <w:tcPr>
            <w:tcW w:w="60" w:type="dxa"/>
            <w:vAlign w:val="bottom"/>
            <w:gridSpan w:val="3"/>
            <w:shd w:val="clear" w:color="auto" w:fill="F0FFFF"/>
          </w:tcPr>
          <w:p>
            <w:pPr>
              <w:spacing w:after="0" w:line="20" w:lineRule="exact"/>
              <w:rPr>
                <w:sz w:val="1"/>
                <w:szCs w:val="1"/>
                <w:color w:val="auto"/>
              </w:rPr>
            </w:pPr>
          </w:p>
        </w:tc>
        <w:tc>
          <w:tcPr>
            <w:tcW w:w="140" w:type="dxa"/>
            <w:vAlign w:val="bottom"/>
            <w:tcBorders>
              <w:right w:val="single" w:sz="8" w:color="auto"/>
            </w:tcBorders>
            <w:gridSpan w:val="3"/>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20" w:type="dxa"/>
            <w:vAlign w:val="bottom"/>
            <w:tcBorders>
              <w:left w:val="single" w:sz="8" w:color="auto"/>
              <w:right w:val="single" w:sz="8" w:color="auto"/>
            </w:tcBorders>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260" w:type="dxa"/>
            <w:vAlign w:val="bottom"/>
            <w:shd w:val="clear" w:color="auto" w:fill="F0FFFF"/>
          </w:tcPr>
          <w:p>
            <w:pPr>
              <w:spacing w:after="0"/>
              <w:rPr>
                <w:sz w:val="11"/>
                <w:szCs w:val="11"/>
                <w:color w:val="auto"/>
              </w:rPr>
            </w:pPr>
          </w:p>
        </w:tc>
        <w:tc>
          <w:tcPr>
            <w:tcW w:w="480" w:type="dxa"/>
            <w:vAlign w:val="bottom"/>
            <w:tcBorders>
              <w:righ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260" w:type="dxa"/>
            <w:vAlign w:val="bottom"/>
            <w:shd w:val="clear" w:color="auto" w:fill="F0FFFF"/>
          </w:tcPr>
          <w:p>
            <w:pPr>
              <w:spacing w:after="0"/>
              <w:rPr>
                <w:sz w:val="11"/>
                <w:szCs w:val="11"/>
                <w:color w:val="auto"/>
              </w:rPr>
            </w:pPr>
          </w:p>
        </w:tc>
        <w:tc>
          <w:tcPr>
            <w:tcW w:w="460" w:type="dxa"/>
            <w:vAlign w:val="bottom"/>
            <w:shd w:val="clear" w:color="auto" w:fill="F0FFFF"/>
          </w:tcPr>
          <w:p>
            <w:pPr>
              <w:spacing w:after="0"/>
              <w:rPr>
                <w:sz w:val="11"/>
                <w:szCs w:val="11"/>
                <w:color w:val="auto"/>
              </w:rPr>
            </w:pPr>
          </w:p>
        </w:tc>
        <w:tc>
          <w:tcPr>
            <w:tcW w:w="280" w:type="dxa"/>
            <w:vAlign w:val="bottom"/>
            <w:tcBorders>
              <w:right w:val="single" w:sz="8" w:color="auto"/>
            </w:tcBorders>
            <w:shd w:val="clear" w:color="auto" w:fill="F0FFFF"/>
          </w:tcPr>
          <w:p>
            <w:pPr>
              <w:spacing w:after="0"/>
              <w:rPr>
                <w:sz w:val="11"/>
                <w:szCs w:val="11"/>
                <w:color w:val="auto"/>
              </w:rPr>
            </w:pPr>
          </w:p>
        </w:tc>
        <w:tc>
          <w:tcPr>
            <w:tcW w:w="1320" w:type="dxa"/>
            <w:vAlign w:val="bottom"/>
            <w:tcBorders>
              <w:right w:val="single" w:sz="8" w:color="auto"/>
            </w:tcBorders>
            <w:shd w:val="clear" w:color="auto" w:fill="F0FFFF"/>
          </w:tcPr>
          <w:p>
            <w:pPr>
              <w:spacing w:after="0"/>
              <w:rPr>
                <w:sz w:val="11"/>
                <w:szCs w:val="11"/>
                <w:color w:val="auto"/>
              </w:rPr>
            </w:pPr>
          </w:p>
        </w:tc>
        <w:tc>
          <w:tcPr>
            <w:tcW w:w="140" w:type="dxa"/>
            <w:vAlign w:val="bottom"/>
            <w:vMerge w:val="continue"/>
            <w:shd w:val="clear" w:color="auto" w:fill="F0FFFF"/>
          </w:tcPr>
          <w:p>
            <w:pPr>
              <w:spacing w:after="0"/>
              <w:rPr>
                <w:sz w:val="11"/>
                <w:szCs w:val="11"/>
                <w:color w:val="auto"/>
              </w:rPr>
            </w:pPr>
          </w:p>
        </w:tc>
        <w:tc>
          <w:tcPr>
            <w:tcW w:w="1760" w:type="dxa"/>
            <w:vAlign w:val="bottom"/>
            <w:tcBorders>
              <w:left w:val="single" w:sz="8" w:color="F0FFFF"/>
              <w:right w:val="single" w:sz="8" w:color="auto"/>
            </w:tcBorders>
            <w:gridSpan w:val="27"/>
            <w:shd w:val="clear" w:color="auto" w:fill="F0FFFF"/>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Shield Rate and Cap Rate, Step</w:t>
            </w:r>
          </w:p>
        </w:tc>
        <w:tc>
          <w:tcPr>
            <w:tcW w:w="0" w:type="dxa"/>
            <w:vAlign w:val="bottom"/>
          </w:tcPr>
          <w:p>
            <w:pPr>
              <w:spacing w:after="0"/>
              <w:rPr>
                <w:sz w:val="1"/>
                <w:szCs w:val="1"/>
                <w:color w:val="auto"/>
              </w:rPr>
            </w:pPr>
          </w:p>
        </w:tc>
      </w:tr>
      <w:tr>
        <w:trPr>
          <w:trHeight w:val="20"/>
        </w:trPr>
        <w:tc>
          <w:tcPr>
            <w:tcW w:w="102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48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460" w:type="dxa"/>
            <w:vAlign w:val="bottom"/>
            <w:shd w:val="clear" w:color="auto" w:fill="F0FFFF"/>
          </w:tcPr>
          <w:p>
            <w:pPr>
              <w:spacing w:after="0" w:line="20" w:lineRule="exact"/>
              <w:rPr>
                <w:sz w:val="1"/>
                <w:szCs w:val="1"/>
                <w:color w:val="auto"/>
              </w:rPr>
            </w:pPr>
          </w:p>
        </w:tc>
        <w:tc>
          <w:tcPr>
            <w:tcW w:w="280" w:type="dxa"/>
            <w:vAlign w:val="bottom"/>
            <w:tcBorders>
              <w:right w:val="single" w:sz="8" w:color="auto"/>
            </w:tcBorders>
            <w:shd w:val="clear" w:color="auto" w:fill="F0FFFF"/>
          </w:tcPr>
          <w:p>
            <w:pPr>
              <w:spacing w:after="0" w:line="20" w:lineRule="exact"/>
              <w:rPr>
                <w:sz w:val="1"/>
                <w:szCs w:val="1"/>
                <w:color w:val="auto"/>
              </w:rPr>
            </w:pPr>
          </w:p>
        </w:tc>
        <w:tc>
          <w:tcPr>
            <w:tcW w:w="1320" w:type="dxa"/>
            <w:vAlign w:val="bottom"/>
            <w:tcBorders>
              <w:right w:val="single" w:sz="8" w:color="auto"/>
            </w:tcBorders>
            <w:shd w:val="clear" w:color="auto" w:fill="F0FFFF"/>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220" w:type="dxa"/>
            <w:vAlign w:val="bottom"/>
            <w:tcBorders>
              <w:left w:val="single" w:sz="8" w:color="F0FFFF"/>
            </w:tcBorders>
            <w:gridSpan w:val="2"/>
            <w:shd w:val="clear" w:color="auto" w:fill="000000"/>
          </w:tcPr>
          <w:p>
            <w:pPr>
              <w:spacing w:after="0" w:line="20" w:lineRule="exact"/>
              <w:rPr>
                <w:sz w:val="1"/>
                <w:szCs w:val="1"/>
                <w:color w:val="auto"/>
              </w:rPr>
            </w:pPr>
          </w:p>
        </w:tc>
        <w:tc>
          <w:tcPr>
            <w:tcW w:w="8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F0FFFF"/>
            </w:tcBorders>
            <w:gridSpan w:val="3"/>
            <w:shd w:val="clear" w:color="auto" w:fill="F0FFFF"/>
          </w:tcPr>
          <w:p>
            <w:pPr>
              <w:spacing w:after="0" w:line="20" w:lineRule="exact"/>
              <w:rPr>
                <w:sz w:val="1"/>
                <w:szCs w:val="1"/>
                <w:color w:val="auto"/>
              </w:rPr>
            </w:pPr>
          </w:p>
        </w:tc>
        <w:tc>
          <w:tcPr>
            <w:tcW w:w="120" w:type="dxa"/>
            <w:vAlign w:val="bottom"/>
            <w:tcBorders>
              <w:right w:val="single" w:sz="8" w:color="auto"/>
            </w:tcBorders>
            <w:gridSpan w:val="2"/>
            <w:shd w:val="clear" w:color="auto" w:fill="F0FFFF"/>
          </w:tcPr>
          <w:p>
            <w:pPr>
              <w:spacing w:after="0" w:line="20" w:lineRule="exact"/>
              <w:rPr>
                <w:sz w:val="1"/>
                <w:szCs w:val="1"/>
                <w:color w:val="auto"/>
              </w:rPr>
            </w:pPr>
          </w:p>
        </w:tc>
        <w:tc>
          <w:tcPr>
            <w:tcW w:w="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gridSpan w:val="2"/>
            <w:shd w:val="clear" w:color="auto" w:fill="F0FFFF"/>
          </w:tcPr>
          <w:p>
            <w:pPr>
              <w:spacing w:after="0" w:line="20" w:lineRule="exact"/>
              <w:rPr>
                <w:sz w:val="1"/>
                <w:szCs w:val="1"/>
                <w:color w:val="auto"/>
              </w:rPr>
            </w:pPr>
          </w:p>
        </w:tc>
        <w:tc>
          <w:tcPr>
            <w:tcW w:w="6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gridSpan w:val="3"/>
            <w:shd w:val="clear" w:color="auto" w:fill="000000"/>
          </w:tcPr>
          <w:p>
            <w:pPr>
              <w:spacing w:after="0" w:line="20" w:lineRule="exact"/>
              <w:rPr>
                <w:sz w:val="1"/>
                <w:szCs w:val="1"/>
                <w:color w:val="auto"/>
              </w:rPr>
            </w:pPr>
          </w:p>
        </w:tc>
        <w:tc>
          <w:tcPr>
            <w:tcW w:w="140" w:type="dxa"/>
            <w:vAlign w:val="bottom"/>
            <w:tcBorders>
              <w:right w:val="single" w:sz="8" w:color="auto"/>
            </w:tcBorders>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20" w:type="dxa"/>
            <w:vAlign w:val="bottom"/>
            <w:tcBorders>
              <w:left w:val="single" w:sz="8" w:color="auto"/>
              <w:right w:val="single" w:sz="8" w:color="auto"/>
            </w:tcBorders>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260" w:type="dxa"/>
            <w:vAlign w:val="bottom"/>
            <w:shd w:val="clear" w:color="auto" w:fill="F0FFFF"/>
          </w:tcPr>
          <w:p>
            <w:pPr>
              <w:spacing w:after="0"/>
              <w:rPr>
                <w:sz w:val="11"/>
                <w:szCs w:val="11"/>
                <w:color w:val="auto"/>
              </w:rPr>
            </w:pPr>
          </w:p>
        </w:tc>
        <w:tc>
          <w:tcPr>
            <w:tcW w:w="480" w:type="dxa"/>
            <w:vAlign w:val="bottom"/>
            <w:tcBorders>
              <w:righ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260" w:type="dxa"/>
            <w:vAlign w:val="bottom"/>
            <w:shd w:val="clear" w:color="auto" w:fill="F0FFFF"/>
          </w:tcPr>
          <w:p>
            <w:pPr>
              <w:spacing w:after="0"/>
              <w:rPr>
                <w:sz w:val="11"/>
                <w:szCs w:val="11"/>
                <w:color w:val="auto"/>
              </w:rPr>
            </w:pPr>
          </w:p>
        </w:tc>
        <w:tc>
          <w:tcPr>
            <w:tcW w:w="460" w:type="dxa"/>
            <w:vAlign w:val="bottom"/>
            <w:shd w:val="clear" w:color="auto" w:fill="F0FFFF"/>
          </w:tcPr>
          <w:p>
            <w:pPr>
              <w:spacing w:after="0"/>
              <w:rPr>
                <w:sz w:val="11"/>
                <w:szCs w:val="11"/>
                <w:color w:val="auto"/>
              </w:rPr>
            </w:pPr>
          </w:p>
        </w:tc>
        <w:tc>
          <w:tcPr>
            <w:tcW w:w="280" w:type="dxa"/>
            <w:vAlign w:val="bottom"/>
            <w:tcBorders>
              <w:right w:val="single" w:sz="8" w:color="auto"/>
            </w:tcBorders>
            <w:shd w:val="clear" w:color="auto" w:fill="F0FFFF"/>
          </w:tcPr>
          <w:p>
            <w:pPr>
              <w:spacing w:after="0"/>
              <w:rPr>
                <w:sz w:val="11"/>
                <w:szCs w:val="11"/>
                <w:color w:val="auto"/>
              </w:rPr>
            </w:pPr>
          </w:p>
        </w:tc>
        <w:tc>
          <w:tcPr>
            <w:tcW w:w="1320" w:type="dxa"/>
            <w:vAlign w:val="bottom"/>
            <w:tcBorders>
              <w:right w:val="single" w:sz="8" w:color="auto"/>
            </w:tcBorders>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760" w:type="dxa"/>
            <w:vAlign w:val="bottom"/>
            <w:tcBorders>
              <w:left w:val="single" w:sz="8" w:color="F0FFFF"/>
              <w:right w:val="single" w:sz="8" w:color="auto"/>
            </w:tcBorders>
            <w:gridSpan w:val="27"/>
            <w:shd w:val="clear" w:color="auto" w:fill="F0FFFF"/>
          </w:tcPr>
          <w:p>
            <w:pPr>
              <w:ind w:left="20"/>
              <w:spacing w:after="0" w:line="129" w:lineRule="exact"/>
              <w:rPr>
                <w:sz w:val="20"/>
                <w:szCs w:val="20"/>
                <w:color w:val="auto"/>
              </w:rPr>
            </w:pPr>
            <w:r>
              <w:rPr>
                <w:rFonts w:ascii="Times New Roman" w:cs="Times New Roman" w:eastAsia="Times New Roman" w:hAnsi="Times New Roman"/>
                <w:sz w:val="13"/>
                <w:szCs w:val="13"/>
                <w:color w:val="auto"/>
              </w:rPr>
              <w:t>Rate, or Edge Rate will not</w:t>
            </w:r>
          </w:p>
        </w:tc>
        <w:tc>
          <w:tcPr>
            <w:tcW w:w="0" w:type="dxa"/>
            <w:vAlign w:val="bottom"/>
          </w:tcPr>
          <w:p>
            <w:pPr>
              <w:spacing w:after="0"/>
              <w:rPr>
                <w:sz w:val="1"/>
                <w:szCs w:val="1"/>
                <w:color w:val="auto"/>
              </w:rPr>
            </w:pPr>
          </w:p>
        </w:tc>
      </w:tr>
      <w:tr>
        <w:trPr>
          <w:trHeight w:val="129"/>
        </w:trPr>
        <w:tc>
          <w:tcPr>
            <w:tcW w:w="1020" w:type="dxa"/>
            <w:vAlign w:val="bottom"/>
            <w:tcBorders>
              <w:top w:val="single" w:sz="8" w:color="F0FFFF"/>
              <w:left w:val="single" w:sz="8" w:color="auto"/>
              <w:right w:val="single" w:sz="8" w:color="auto"/>
            </w:tcBorders>
            <w:shd w:val="clear" w:color="auto" w:fill="F0FFFF"/>
          </w:tcPr>
          <w:p>
            <w:pPr>
              <w:spacing w:after="0"/>
              <w:rPr>
                <w:sz w:val="11"/>
                <w:szCs w:val="11"/>
                <w:color w:val="auto"/>
              </w:rPr>
            </w:pPr>
          </w:p>
        </w:tc>
        <w:tc>
          <w:tcPr>
            <w:tcW w:w="20" w:type="dxa"/>
            <w:vAlign w:val="bottom"/>
            <w:tcBorders>
              <w:top w:val="single" w:sz="8" w:color="F0FFFF"/>
            </w:tcBorders>
            <w:shd w:val="clear" w:color="auto" w:fill="F0FFFF"/>
          </w:tcPr>
          <w:p>
            <w:pPr>
              <w:spacing w:after="0"/>
              <w:rPr>
                <w:sz w:val="11"/>
                <w:szCs w:val="11"/>
                <w:color w:val="auto"/>
              </w:rPr>
            </w:pPr>
          </w:p>
        </w:tc>
        <w:tc>
          <w:tcPr>
            <w:tcW w:w="260" w:type="dxa"/>
            <w:vAlign w:val="bottom"/>
            <w:tcBorders>
              <w:top w:val="single" w:sz="8" w:color="F0FFFF"/>
            </w:tcBorders>
            <w:shd w:val="clear" w:color="auto" w:fill="F0FFFF"/>
          </w:tcPr>
          <w:p>
            <w:pPr>
              <w:spacing w:after="0"/>
              <w:rPr>
                <w:sz w:val="11"/>
                <w:szCs w:val="11"/>
                <w:color w:val="auto"/>
              </w:rPr>
            </w:pPr>
          </w:p>
        </w:tc>
        <w:tc>
          <w:tcPr>
            <w:tcW w:w="480" w:type="dxa"/>
            <w:vAlign w:val="bottom"/>
            <w:tcBorders>
              <w:top w:val="single" w:sz="8" w:color="F0FFFF"/>
              <w:right w:val="single" w:sz="8" w:color="F0FFFF"/>
            </w:tcBorders>
            <w:shd w:val="clear" w:color="auto" w:fill="F0FFFF"/>
          </w:tcPr>
          <w:p>
            <w:pPr>
              <w:spacing w:after="0"/>
              <w:rPr>
                <w:sz w:val="11"/>
                <w:szCs w:val="11"/>
                <w:color w:val="auto"/>
              </w:rPr>
            </w:pPr>
          </w:p>
        </w:tc>
        <w:tc>
          <w:tcPr>
            <w:tcW w:w="80" w:type="dxa"/>
            <w:vAlign w:val="bottom"/>
            <w:tcBorders>
              <w:top w:val="single" w:sz="8" w:color="F0FFFF"/>
            </w:tcBorders>
            <w:shd w:val="clear" w:color="auto" w:fill="F0FFFF"/>
          </w:tcPr>
          <w:p>
            <w:pPr>
              <w:spacing w:after="0"/>
              <w:rPr>
                <w:sz w:val="11"/>
                <w:szCs w:val="11"/>
                <w:color w:val="auto"/>
              </w:rPr>
            </w:pPr>
          </w:p>
        </w:tc>
        <w:tc>
          <w:tcPr>
            <w:tcW w:w="260" w:type="dxa"/>
            <w:vAlign w:val="bottom"/>
            <w:tcBorders>
              <w:top w:val="single" w:sz="8" w:color="F0FFFF"/>
            </w:tcBorders>
            <w:shd w:val="clear" w:color="auto" w:fill="F0FFFF"/>
          </w:tcPr>
          <w:p>
            <w:pPr>
              <w:spacing w:after="0"/>
              <w:rPr>
                <w:sz w:val="11"/>
                <w:szCs w:val="11"/>
                <w:color w:val="auto"/>
              </w:rPr>
            </w:pPr>
          </w:p>
        </w:tc>
        <w:tc>
          <w:tcPr>
            <w:tcW w:w="460" w:type="dxa"/>
            <w:vAlign w:val="bottom"/>
            <w:tcBorders>
              <w:top w:val="single" w:sz="8" w:color="F0FFFF"/>
            </w:tcBorders>
            <w:shd w:val="clear" w:color="auto" w:fill="F0FFFF"/>
          </w:tcPr>
          <w:p>
            <w:pPr>
              <w:spacing w:after="0"/>
              <w:rPr>
                <w:sz w:val="11"/>
                <w:szCs w:val="11"/>
                <w:color w:val="auto"/>
              </w:rPr>
            </w:pPr>
          </w:p>
        </w:tc>
        <w:tc>
          <w:tcPr>
            <w:tcW w:w="280" w:type="dxa"/>
            <w:vAlign w:val="bottom"/>
            <w:tcBorders>
              <w:top w:val="single" w:sz="8" w:color="F0FFFF"/>
              <w:right w:val="single" w:sz="8" w:color="auto"/>
            </w:tcBorders>
            <w:shd w:val="clear" w:color="auto" w:fill="F0FFFF"/>
          </w:tcPr>
          <w:p>
            <w:pPr>
              <w:spacing w:after="0"/>
              <w:rPr>
                <w:sz w:val="11"/>
                <w:szCs w:val="11"/>
                <w:color w:val="auto"/>
              </w:rPr>
            </w:pPr>
          </w:p>
        </w:tc>
        <w:tc>
          <w:tcPr>
            <w:tcW w:w="1320" w:type="dxa"/>
            <w:vAlign w:val="bottom"/>
            <w:tcBorders>
              <w:top w:val="single" w:sz="8" w:color="F0FFFF"/>
              <w:right w:val="single" w:sz="8" w:color="auto"/>
            </w:tcBorders>
            <w:shd w:val="clear" w:color="auto" w:fill="F0FFFF"/>
          </w:tcPr>
          <w:p>
            <w:pPr>
              <w:spacing w:after="0"/>
              <w:rPr>
                <w:sz w:val="11"/>
                <w:szCs w:val="11"/>
                <w:color w:val="auto"/>
              </w:rPr>
            </w:pPr>
          </w:p>
        </w:tc>
        <w:tc>
          <w:tcPr>
            <w:tcW w:w="140" w:type="dxa"/>
            <w:vAlign w:val="bottom"/>
            <w:tcBorders>
              <w:top w:val="single" w:sz="8" w:color="F0FFFF"/>
            </w:tcBorders>
            <w:shd w:val="clear" w:color="auto" w:fill="F0FFFF"/>
          </w:tcPr>
          <w:p>
            <w:pPr>
              <w:spacing w:after="0"/>
              <w:rPr>
                <w:sz w:val="11"/>
                <w:szCs w:val="11"/>
                <w:color w:val="auto"/>
              </w:rPr>
            </w:pPr>
          </w:p>
        </w:tc>
        <w:tc>
          <w:tcPr>
            <w:tcW w:w="300" w:type="dxa"/>
            <w:vAlign w:val="bottom"/>
            <w:tcBorders>
              <w:top w:val="single" w:sz="8" w:color="auto"/>
              <w:left w:val="single" w:sz="8" w:color="F0FFFF"/>
              <w:right w:val="single" w:sz="8" w:color="F0FFFF"/>
            </w:tcBorders>
            <w:gridSpan w:val="4"/>
            <w:shd w:val="clear" w:color="auto" w:fill="F0FFFF"/>
          </w:tcPr>
          <w:p>
            <w:pPr>
              <w:spacing w:after="0" w:line="129" w:lineRule="exact"/>
              <w:rPr>
                <w:sz w:val="20"/>
                <w:szCs w:val="20"/>
                <w:color w:val="auto"/>
              </w:rPr>
            </w:pPr>
            <w:r>
              <w:rPr>
                <w:rFonts w:ascii="Times New Roman" w:cs="Times New Roman" w:eastAsia="Times New Roman" w:hAnsi="Times New Roman"/>
                <w:sz w:val="13"/>
                <w:szCs w:val="13"/>
                <w:color w:val="auto"/>
                <w:w w:val="89"/>
              </w:rPr>
              <w:t>apply</w:t>
            </w:r>
          </w:p>
        </w:tc>
        <w:tc>
          <w:tcPr>
            <w:tcW w:w="200" w:type="dxa"/>
            <w:vAlign w:val="bottom"/>
            <w:tcBorders>
              <w:top w:val="single" w:sz="8" w:color="F0FFFF"/>
              <w:right w:val="single" w:sz="8" w:color="F0FFFF"/>
            </w:tcBorders>
            <w:shd w:val="clear" w:color="auto" w:fill="F0FFFF"/>
          </w:tcPr>
          <w:p>
            <w:pPr>
              <w:ind w:left="40"/>
              <w:spacing w:after="0" w:line="129" w:lineRule="exact"/>
              <w:rPr>
                <w:sz w:val="20"/>
                <w:szCs w:val="20"/>
                <w:color w:val="auto"/>
              </w:rPr>
            </w:pPr>
            <w:r>
              <w:rPr>
                <w:rFonts w:ascii="Times New Roman" w:cs="Times New Roman" w:eastAsia="Times New Roman" w:hAnsi="Times New Roman"/>
                <w:sz w:val="13"/>
                <w:szCs w:val="13"/>
                <w:color w:val="auto"/>
                <w:w w:val="91"/>
              </w:rPr>
              <w:t>on</w:t>
            </w:r>
          </w:p>
        </w:tc>
        <w:tc>
          <w:tcPr>
            <w:tcW w:w="440" w:type="dxa"/>
            <w:vAlign w:val="bottom"/>
            <w:tcBorders>
              <w:top w:val="single" w:sz="8" w:color="auto"/>
              <w:left w:val="single" w:sz="8" w:color="F0FFFF"/>
              <w:right w:val="single" w:sz="8" w:color="F0FFFF"/>
            </w:tcBorders>
            <w:gridSpan w:val="6"/>
            <w:shd w:val="clear" w:color="auto" w:fill="F0FFFF"/>
          </w:tcPr>
          <w:p>
            <w:pPr>
              <w:spacing w:after="0" w:line="129" w:lineRule="exact"/>
              <w:rPr>
                <w:sz w:val="20"/>
                <w:szCs w:val="20"/>
                <w:color w:val="auto"/>
              </w:rPr>
            </w:pPr>
            <w:r>
              <w:rPr>
                <w:rFonts w:ascii="Times New Roman" w:cs="Times New Roman" w:eastAsia="Times New Roman" w:hAnsi="Times New Roman"/>
                <w:sz w:val="13"/>
                <w:szCs w:val="13"/>
                <w:color w:val="auto"/>
                <w:w w:val="84"/>
              </w:rPr>
              <w:t>the Term</w:t>
            </w:r>
          </w:p>
        </w:tc>
        <w:tc>
          <w:tcPr>
            <w:tcW w:w="820" w:type="dxa"/>
            <w:vAlign w:val="bottom"/>
            <w:tcBorders>
              <w:top w:val="single" w:sz="8" w:color="F0FFFF"/>
              <w:left w:val="single" w:sz="8" w:color="F0FFFF"/>
              <w:right w:val="single" w:sz="8" w:color="auto"/>
            </w:tcBorders>
            <w:gridSpan w:val="16"/>
            <w:shd w:val="clear" w:color="auto" w:fill="F0FFFF"/>
          </w:tcPr>
          <w:p>
            <w:pPr>
              <w:jc w:val="right"/>
              <w:ind w:right="260"/>
              <w:spacing w:after="0" w:line="129" w:lineRule="exact"/>
              <w:rPr>
                <w:sz w:val="20"/>
                <w:szCs w:val="20"/>
                <w:color w:val="auto"/>
              </w:rPr>
            </w:pPr>
            <w:r>
              <w:rPr>
                <w:rFonts w:ascii="Times New Roman" w:cs="Times New Roman" w:eastAsia="Times New Roman" w:hAnsi="Times New Roman"/>
                <w:sz w:val="13"/>
                <w:szCs w:val="13"/>
                <w:color w:val="auto"/>
              </w:rPr>
              <w:t>End Date</w:t>
            </w:r>
          </w:p>
        </w:tc>
        <w:tc>
          <w:tcPr>
            <w:tcW w:w="0" w:type="dxa"/>
            <w:vAlign w:val="bottom"/>
          </w:tcPr>
          <w:p>
            <w:pPr>
              <w:spacing w:after="0"/>
              <w:rPr>
                <w:sz w:val="1"/>
                <w:szCs w:val="1"/>
                <w:color w:val="auto"/>
              </w:rPr>
            </w:pPr>
          </w:p>
        </w:tc>
      </w:tr>
      <w:tr>
        <w:trPr>
          <w:trHeight w:val="20"/>
        </w:trPr>
        <w:tc>
          <w:tcPr>
            <w:tcW w:w="102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48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460" w:type="dxa"/>
            <w:vAlign w:val="bottom"/>
            <w:shd w:val="clear" w:color="auto" w:fill="F0FFFF"/>
          </w:tcPr>
          <w:p>
            <w:pPr>
              <w:spacing w:after="0" w:line="20" w:lineRule="exact"/>
              <w:rPr>
                <w:sz w:val="1"/>
                <w:szCs w:val="1"/>
                <w:color w:val="auto"/>
              </w:rPr>
            </w:pPr>
          </w:p>
        </w:tc>
        <w:tc>
          <w:tcPr>
            <w:tcW w:w="280" w:type="dxa"/>
            <w:vAlign w:val="bottom"/>
            <w:tcBorders>
              <w:right w:val="single" w:sz="8" w:color="auto"/>
            </w:tcBorders>
            <w:shd w:val="clear" w:color="auto" w:fill="F0FFFF"/>
          </w:tcPr>
          <w:p>
            <w:pPr>
              <w:spacing w:after="0" w:line="20" w:lineRule="exact"/>
              <w:rPr>
                <w:sz w:val="1"/>
                <w:szCs w:val="1"/>
                <w:color w:val="auto"/>
              </w:rPr>
            </w:pPr>
          </w:p>
        </w:tc>
        <w:tc>
          <w:tcPr>
            <w:tcW w:w="1320" w:type="dxa"/>
            <w:vAlign w:val="bottom"/>
            <w:tcBorders>
              <w:right w:val="single" w:sz="8" w:color="auto"/>
            </w:tcBorders>
            <w:shd w:val="clear" w:color="auto" w:fill="F0FFFF"/>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220" w:type="dxa"/>
            <w:vAlign w:val="bottom"/>
            <w:tcBorders>
              <w:left w:val="single" w:sz="8" w:color="F0FFFF"/>
            </w:tcBorders>
            <w:gridSpan w:val="2"/>
            <w:shd w:val="clear" w:color="auto" w:fill="F0FFFF"/>
          </w:tcPr>
          <w:p>
            <w:pPr>
              <w:spacing w:after="0" w:line="20" w:lineRule="exact"/>
              <w:rPr>
                <w:sz w:val="1"/>
                <w:szCs w:val="1"/>
                <w:color w:val="auto"/>
              </w:rPr>
            </w:pPr>
          </w:p>
        </w:tc>
        <w:tc>
          <w:tcPr>
            <w:tcW w:w="80" w:type="dxa"/>
            <w:vAlign w:val="bottom"/>
            <w:tcBorders>
              <w:right w:val="single" w:sz="8" w:color="F0FFFF"/>
            </w:tcBorders>
            <w:gridSpan w:val="2"/>
            <w:shd w:val="clear" w:color="auto" w:fill="F0FFFF"/>
          </w:tcPr>
          <w:p>
            <w:pPr>
              <w:spacing w:after="0" w:line="20" w:lineRule="exact"/>
              <w:rPr>
                <w:sz w:val="1"/>
                <w:szCs w:val="1"/>
                <w:color w:val="auto"/>
              </w:rPr>
            </w:pPr>
          </w:p>
        </w:tc>
        <w:tc>
          <w:tcPr>
            <w:tcW w:w="200" w:type="dxa"/>
            <w:vAlign w:val="bottom"/>
            <w:tcBorders>
              <w:right w:val="single" w:sz="8" w:color="F0FFFF"/>
            </w:tcBorders>
            <w:shd w:val="clear" w:color="auto" w:fill="F0FFFF"/>
          </w:tcPr>
          <w:p>
            <w:pPr>
              <w:spacing w:after="0" w:line="20" w:lineRule="exact"/>
              <w:rPr>
                <w:sz w:val="1"/>
                <w:szCs w:val="1"/>
                <w:color w:val="auto"/>
              </w:rPr>
            </w:pPr>
          </w:p>
        </w:tc>
        <w:tc>
          <w:tcPr>
            <w:tcW w:w="20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12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gridSpan w:val="4"/>
            <w:shd w:val="clear" w:color="auto" w:fill="000000"/>
          </w:tcPr>
          <w:p>
            <w:pPr>
              <w:spacing w:after="0" w:line="20" w:lineRule="exact"/>
              <w:rPr>
                <w:sz w:val="1"/>
                <w:szCs w:val="1"/>
                <w:color w:val="auto"/>
              </w:rPr>
            </w:pPr>
          </w:p>
        </w:tc>
        <w:tc>
          <w:tcPr>
            <w:tcW w:w="60" w:type="dxa"/>
            <w:vAlign w:val="bottom"/>
            <w:tcBorders>
              <w:right w:val="single" w:sz="8" w:color="F0FFFF"/>
            </w:tcBorders>
            <w:gridSpan w:val="2"/>
            <w:vMerge w:val="restart"/>
            <w:shd w:val="clear" w:color="auto" w:fill="F0FFFF"/>
          </w:tcPr>
          <w:p>
            <w:pPr>
              <w:spacing w:after="0" w:line="20" w:lineRule="exact"/>
              <w:rPr>
                <w:sz w:val="1"/>
                <w:szCs w:val="1"/>
                <w:color w:val="auto"/>
              </w:rPr>
            </w:pPr>
          </w:p>
        </w:tc>
        <w:tc>
          <w:tcPr>
            <w:tcW w:w="60" w:type="dxa"/>
            <w:vAlign w:val="bottom"/>
            <w:gridSpan w:val="3"/>
            <w:vMerge w:val="restart"/>
            <w:shd w:val="clear" w:color="auto" w:fill="F0FFFF"/>
          </w:tcPr>
          <w:p>
            <w:pPr>
              <w:spacing w:after="0" w:line="20" w:lineRule="exact"/>
              <w:rPr>
                <w:sz w:val="1"/>
                <w:szCs w:val="1"/>
                <w:color w:val="auto"/>
              </w:rPr>
            </w:pPr>
          </w:p>
        </w:tc>
        <w:tc>
          <w:tcPr>
            <w:tcW w:w="140" w:type="dxa"/>
            <w:vAlign w:val="bottom"/>
            <w:tcBorders>
              <w:right w:val="single" w:sz="8" w:color="auto"/>
            </w:tcBorders>
            <w:gridSpan w:val="3"/>
            <w:vMerge w:val="restart"/>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020" w:type="dxa"/>
            <w:vAlign w:val="bottom"/>
            <w:tcBorders>
              <w:left w:val="single" w:sz="8" w:color="auto"/>
              <w:right w:val="single" w:sz="8" w:color="auto"/>
            </w:tcBorders>
            <w:shd w:val="clear" w:color="auto" w:fill="F0FFFF"/>
          </w:tcPr>
          <w:p>
            <w:pPr>
              <w:spacing w:after="0"/>
              <w:rPr>
                <w:sz w:val="10"/>
                <w:szCs w:val="10"/>
                <w:color w:val="auto"/>
              </w:rPr>
            </w:pPr>
          </w:p>
        </w:tc>
        <w:tc>
          <w:tcPr>
            <w:tcW w:w="20" w:type="dxa"/>
            <w:vAlign w:val="bottom"/>
            <w:shd w:val="clear" w:color="auto" w:fill="F0FFFF"/>
          </w:tcPr>
          <w:p>
            <w:pPr>
              <w:spacing w:after="0"/>
              <w:rPr>
                <w:sz w:val="10"/>
                <w:szCs w:val="10"/>
                <w:color w:val="auto"/>
              </w:rPr>
            </w:pPr>
          </w:p>
        </w:tc>
        <w:tc>
          <w:tcPr>
            <w:tcW w:w="260" w:type="dxa"/>
            <w:vAlign w:val="bottom"/>
            <w:shd w:val="clear" w:color="auto" w:fill="F0FFFF"/>
          </w:tcPr>
          <w:p>
            <w:pPr>
              <w:spacing w:after="0"/>
              <w:rPr>
                <w:sz w:val="10"/>
                <w:szCs w:val="10"/>
                <w:color w:val="auto"/>
              </w:rPr>
            </w:pPr>
          </w:p>
        </w:tc>
        <w:tc>
          <w:tcPr>
            <w:tcW w:w="480" w:type="dxa"/>
            <w:vAlign w:val="bottom"/>
            <w:tcBorders>
              <w:right w:val="single" w:sz="8" w:color="F0FFFF"/>
            </w:tcBorders>
            <w:shd w:val="clear" w:color="auto" w:fill="F0FFFF"/>
          </w:tcPr>
          <w:p>
            <w:pPr>
              <w:spacing w:after="0"/>
              <w:rPr>
                <w:sz w:val="10"/>
                <w:szCs w:val="10"/>
                <w:color w:val="auto"/>
              </w:rPr>
            </w:pPr>
          </w:p>
        </w:tc>
        <w:tc>
          <w:tcPr>
            <w:tcW w:w="80" w:type="dxa"/>
            <w:vAlign w:val="bottom"/>
            <w:shd w:val="clear" w:color="auto" w:fill="F0FFFF"/>
          </w:tcPr>
          <w:p>
            <w:pPr>
              <w:spacing w:after="0"/>
              <w:rPr>
                <w:sz w:val="10"/>
                <w:szCs w:val="10"/>
                <w:color w:val="auto"/>
              </w:rPr>
            </w:pPr>
          </w:p>
        </w:tc>
        <w:tc>
          <w:tcPr>
            <w:tcW w:w="260" w:type="dxa"/>
            <w:vAlign w:val="bottom"/>
            <w:shd w:val="clear" w:color="auto" w:fill="F0FFFF"/>
          </w:tcPr>
          <w:p>
            <w:pPr>
              <w:spacing w:after="0"/>
              <w:rPr>
                <w:sz w:val="10"/>
                <w:szCs w:val="10"/>
                <w:color w:val="auto"/>
              </w:rPr>
            </w:pPr>
          </w:p>
        </w:tc>
        <w:tc>
          <w:tcPr>
            <w:tcW w:w="460" w:type="dxa"/>
            <w:vAlign w:val="bottom"/>
            <w:shd w:val="clear" w:color="auto" w:fill="F0FFFF"/>
          </w:tcPr>
          <w:p>
            <w:pPr>
              <w:spacing w:after="0"/>
              <w:rPr>
                <w:sz w:val="10"/>
                <w:szCs w:val="10"/>
                <w:color w:val="auto"/>
              </w:rPr>
            </w:pPr>
          </w:p>
        </w:tc>
        <w:tc>
          <w:tcPr>
            <w:tcW w:w="280" w:type="dxa"/>
            <w:vAlign w:val="bottom"/>
            <w:tcBorders>
              <w:right w:val="single" w:sz="8" w:color="auto"/>
            </w:tcBorders>
            <w:shd w:val="clear" w:color="auto" w:fill="F0FFFF"/>
          </w:tcPr>
          <w:p>
            <w:pPr>
              <w:spacing w:after="0"/>
              <w:rPr>
                <w:sz w:val="10"/>
                <w:szCs w:val="10"/>
                <w:color w:val="auto"/>
              </w:rPr>
            </w:pPr>
          </w:p>
        </w:tc>
        <w:tc>
          <w:tcPr>
            <w:tcW w:w="1320" w:type="dxa"/>
            <w:vAlign w:val="bottom"/>
            <w:tcBorders>
              <w:right w:val="single" w:sz="8" w:color="auto"/>
            </w:tcBorders>
            <w:shd w:val="clear" w:color="auto" w:fill="F0FFFF"/>
          </w:tcPr>
          <w:p>
            <w:pPr>
              <w:spacing w:after="0"/>
              <w:rPr>
                <w:sz w:val="10"/>
                <w:szCs w:val="10"/>
                <w:color w:val="auto"/>
              </w:rPr>
            </w:pPr>
          </w:p>
        </w:tc>
        <w:tc>
          <w:tcPr>
            <w:tcW w:w="140" w:type="dxa"/>
            <w:vAlign w:val="bottom"/>
            <w:shd w:val="clear" w:color="auto" w:fill="F0FFFF"/>
          </w:tcPr>
          <w:p>
            <w:pPr>
              <w:spacing w:after="0"/>
              <w:rPr>
                <w:sz w:val="10"/>
                <w:szCs w:val="10"/>
                <w:color w:val="auto"/>
              </w:rPr>
            </w:pPr>
          </w:p>
        </w:tc>
        <w:tc>
          <w:tcPr>
            <w:tcW w:w="1500" w:type="dxa"/>
            <w:vAlign w:val="bottom"/>
            <w:tcBorders>
              <w:left w:val="single" w:sz="8" w:color="F0FFFF"/>
              <w:right w:val="single" w:sz="8" w:color="F0FFFF"/>
            </w:tcBorders>
            <w:gridSpan w:val="19"/>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auto"/>
              </w:rPr>
              <w:t>after a Performance Lock is</w:t>
            </w:r>
          </w:p>
        </w:tc>
        <w:tc>
          <w:tcPr>
            <w:tcW w:w="60" w:type="dxa"/>
            <w:vAlign w:val="bottom"/>
            <w:tcBorders>
              <w:right w:val="single" w:sz="8" w:color="F0FFFF"/>
            </w:tcBorders>
            <w:gridSpan w:val="2"/>
            <w:vMerge w:val="continue"/>
            <w:shd w:val="clear" w:color="auto" w:fill="F0FFFF"/>
          </w:tcPr>
          <w:p>
            <w:pPr>
              <w:spacing w:after="0"/>
              <w:rPr>
                <w:sz w:val="10"/>
                <w:szCs w:val="10"/>
                <w:color w:val="auto"/>
              </w:rPr>
            </w:pPr>
          </w:p>
        </w:tc>
        <w:tc>
          <w:tcPr>
            <w:tcW w:w="60" w:type="dxa"/>
            <w:vAlign w:val="bottom"/>
            <w:gridSpan w:val="3"/>
            <w:vMerge w:val="continue"/>
            <w:shd w:val="clear" w:color="auto" w:fill="F0FFFF"/>
          </w:tcPr>
          <w:p>
            <w:pPr>
              <w:spacing w:after="0"/>
              <w:rPr>
                <w:sz w:val="10"/>
                <w:szCs w:val="10"/>
                <w:color w:val="auto"/>
              </w:rPr>
            </w:pPr>
          </w:p>
        </w:tc>
        <w:tc>
          <w:tcPr>
            <w:tcW w:w="140" w:type="dxa"/>
            <w:vAlign w:val="bottom"/>
            <w:tcBorders>
              <w:right w:val="single" w:sz="8" w:color="auto"/>
            </w:tcBorders>
            <w:gridSpan w:val="3"/>
            <w:vMerge w:val="continue"/>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2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48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460" w:type="dxa"/>
            <w:vAlign w:val="bottom"/>
            <w:shd w:val="clear" w:color="auto" w:fill="F0FFFF"/>
          </w:tcPr>
          <w:p>
            <w:pPr>
              <w:spacing w:after="0" w:line="20" w:lineRule="exact"/>
              <w:rPr>
                <w:sz w:val="1"/>
                <w:szCs w:val="1"/>
                <w:color w:val="auto"/>
              </w:rPr>
            </w:pPr>
          </w:p>
        </w:tc>
        <w:tc>
          <w:tcPr>
            <w:tcW w:w="280" w:type="dxa"/>
            <w:vAlign w:val="bottom"/>
            <w:tcBorders>
              <w:right w:val="single" w:sz="8" w:color="auto"/>
            </w:tcBorders>
            <w:shd w:val="clear" w:color="auto" w:fill="F0FFFF"/>
          </w:tcPr>
          <w:p>
            <w:pPr>
              <w:spacing w:after="0" w:line="20" w:lineRule="exact"/>
              <w:rPr>
                <w:sz w:val="1"/>
                <w:szCs w:val="1"/>
                <w:color w:val="auto"/>
              </w:rPr>
            </w:pPr>
          </w:p>
        </w:tc>
        <w:tc>
          <w:tcPr>
            <w:tcW w:w="1320" w:type="dxa"/>
            <w:vAlign w:val="bottom"/>
            <w:tcBorders>
              <w:right w:val="single" w:sz="8" w:color="auto"/>
            </w:tcBorders>
            <w:shd w:val="clear" w:color="auto" w:fill="F0FFFF"/>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220" w:type="dxa"/>
            <w:vAlign w:val="bottom"/>
            <w:tcBorders>
              <w:left w:val="single" w:sz="8" w:color="F0FFFF"/>
            </w:tcBorders>
            <w:gridSpan w:val="2"/>
            <w:shd w:val="clear" w:color="auto" w:fill="F0FFFF"/>
          </w:tcPr>
          <w:p>
            <w:pPr>
              <w:spacing w:after="0" w:line="20" w:lineRule="exact"/>
              <w:rPr>
                <w:sz w:val="1"/>
                <w:szCs w:val="1"/>
                <w:color w:val="auto"/>
              </w:rPr>
            </w:pPr>
          </w:p>
        </w:tc>
        <w:tc>
          <w:tcPr>
            <w:tcW w:w="80" w:type="dxa"/>
            <w:vAlign w:val="bottom"/>
            <w:tcBorders>
              <w:right w:val="single" w:sz="8" w:color="F0FFFF"/>
            </w:tcBorders>
            <w:gridSpan w:val="2"/>
            <w:shd w:val="clear" w:color="auto" w:fill="F0FFFF"/>
          </w:tcPr>
          <w:p>
            <w:pPr>
              <w:spacing w:after="0" w:line="20" w:lineRule="exact"/>
              <w:rPr>
                <w:sz w:val="1"/>
                <w:szCs w:val="1"/>
                <w:color w:val="auto"/>
              </w:rPr>
            </w:pPr>
          </w:p>
        </w:tc>
        <w:tc>
          <w:tcPr>
            <w:tcW w:w="200" w:type="dxa"/>
            <w:vAlign w:val="bottom"/>
            <w:tcBorders>
              <w:right w:val="single" w:sz="8" w:color="auto"/>
            </w:tcBorders>
            <w:shd w:val="clear" w:color="auto" w:fill="F0FFFF"/>
          </w:tcPr>
          <w:p>
            <w:pPr>
              <w:spacing w:after="0" w:line="20" w:lineRule="exact"/>
              <w:rPr>
                <w:sz w:val="1"/>
                <w:szCs w:val="1"/>
                <w:color w:val="auto"/>
              </w:rPr>
            </w:pPr>
          </w:p>
        </w:tc>
        <w:tc>
          <w:tcPr>
            <w:tcW w:w="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F0FFFF"/>
            </w:tcBorders>
            <w:gridSpan w:val="4"/>
            <w:vMerge w:val="restart"/>
            <w:shd w:val="clear" w:color="auto" w:fill="F0FFFF"/>
          </w:tcPr>
          <w:p>
            <w:pPr>
              <w:spacing w:after="0" w:line="20" w:lineRule="exact"/>
              <w:rPr>
                <w:sz w:val="1"/>
                <w:szCs w:val="1"/>
                <w:color w:val="auto"/>
              </w:rPr>
            </w:pPr>
          </w:p>
        </w:tc>
        <w:tc>
          <w:tcPr>
            <w:tcW w:w="60" w:type="dxa"/>
            <w:vAlign w:val="bottom"/>
            <w:tcBorders>
              <w:right w:val="single" w:sz="8" w:color="F0FFFF"/>
            </w:tcBorders>
            <w:gridSpan w:val="2"/>
            <w:vMerge w:val="restart"/>
            <w:shd w:val="clear" w:color="auto" w:fill="F0FFFF"/>
          </w:tcPr>
          <w:p>
            <w:pPr>
              <w:spacing w:after="0" w:line="20" w:lineRule="exact"/>
              <w:rPr>
                <w:sz w:val="1"/>
                <w:szCs w:val="1"/>
                <w:color w:val="auto"/>
              </w:rPr>
            </w:pPr>
          </w:p>
        </w:tc>
        <w:tc>
          <w:tcPr>
            <w:tcW w:w="60" w:type="dxa"/>
            <w:vAlign w:val="bottom"/>
            <w:gridSpan w:val="3"/>
            <w:vMerge w:val="restart"/>
            <w:shd w:val="clear" w:color="auto" w:fill="F0FFFF"/>
          </w:tcPr>
          <w:p>
            <w:pPr>
              <w:spacing w:after="0" w:line="20" w:lineRule="exact"/>
              <w:rPr>
                <w:sz w:val="1"/>
                <w:szCs w:val="1"/>
                <w:color w:val="auto"/>
              </w:rPr>
            </w:pPr>
          </w:p>
        </w:tc>
        <w:tc>
          <w:tcPr>
            <w:tcW w:w="140" w:type="dxa"/>
            <w:vAlign w:val="bottom"/>
            <w:tcBorders>
              <w:right w:val="single" w:sz="8" w:color="auto"/>
            </w:tcBorders>
            <w:gridSpan w:val="3"/>
            <w:vMerge w:val="restart"/>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020" w:type="dxa"/>
            <w:vAlign w:val="bottom"/>
            <w:tcBorders>
              <w:left w:val="single" w:sz="8" w:color="auto"/>
              <w:right w:val="single" w:sz="8" w:color="auto"/>
            </w:tcBorders>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260" w:type="dxa"/>
            <w:vAlign w:val="bottom"/>
            <w:shd w:val="clear" w:color="auto" w:fill="F0FFFF"/>
          </w:tcPr>
          <w:p>
            <w:pPr>
              <w:spacing w:after="0"/>
              <w:rPr>
                <w:sz w:val="11"/>
                <w:szCs w:val="11"/>
                <w:color w:val="auto"/>
              </w:rPr>
            </w:pPr>
          </w:p>
        </w:tc>
        <w:tc>
          <w:tcPr>
            <w:tcW w:w="480" w:type="dxa"/>
            <w:vAlign w:val="bottom"/>
            <w:tcBorders>
              <w:righ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260" w:type="dxa"/>
            <w:vAlign w:val="bottom"/>
            <w:shd w:val="clear" w:color="auto" w:fill="F0FFFF"/>
          </w:tcPr>
          <w:p>
            <w:pPr>
              <w:spacing w:after="0"/>
              <w:rPr>
                <w:sz w:val="11"/>
                <w:szCs w:val="11"/>
                <w:color w:val="auto"/>
              </w:rPr>
            </w:pPr>
          </w:p>
        </w:tc>
        <w:tc>
          <w:tcPr>
            <w:tcW w:w="460" w:type="dxa"/>
            <w:vAlign w:val="bottom"/>
            <w:shd w:val="clear" w:color="auto" w:fill="F0FFFF"/>
          </w:tcPr>
          <w:p>
            <w:pPr>
              <w:spacing w:after="0"/>
              <w:rPr>
                <w:sz w:val="11"/>
                <w:szCs w:val="11"/>
                <w:color w:val="auto"/>
              </w:rPr>
            </w:pPr>
          </w:p>
        </w:tc>
        <w:tc>
          <w:tcPr>
            <w:tcW w:w="280" w:type="dxa"/>
            <w:vAlign w:val="bottom"/>
            <w:tcBorders>
              <w:right w:val="single" w:sz="8" w:color="auto"/>
            </w:tcBorders>
            <w:shd w:val="clear" w:color="auto" w:fill="F0FFFF"/>
          </w:tcPr>
          <w:p>
            <w:pPr>
              <w:spacing w:after="0"/>
              <w:rPr>
                <w:sz w:val="11"/>
                <w:szCs w:val="11"/>
                <w:color w:val="auto"/>
              </w:rPr>
            </w:pPr>
          </w:p>
        </w:tc>
        <w:tc>
          <w:tcPr>
            <w:tcW w:w="1320" w:type="dxa"/>
            <w:vAlign w:val="bottom"/>
            <w:tcBorders>
              <w:right w:val="single" w:sz="8" w:color="auto"/>
            </w:tcBorders>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360" w:type="dxa"/>
            <w:vAlign w:val="bottom"/>
            <w:tcBorders>
              <w:left w:val="single" w:sz="8" w:color="F0FFFF"/>
              <w:right w:val="single" w:sz="8" w:color="F0FFFF"/>
            </w:tcBorders>
            <w:gridSpan w:val="15"/>
            <w:shd w:val="clear" w:color="auto" w:fill="F0FFFF"/>
          </w:tcPr>
          <w:p>
            <w:pPr>
              <w:spacing w:after="0" w:line="136" w:lineRule="exact"/>
              <w:rPr>
                <w:sz w:val="20"/>
                <w:szCs w:val="20"/>
                <w:color w:val="auto"/>
              </w:rPr>
            </w:pPr>
            <w:r>
              <w:rPr>
                <w:rFonts w:ascii="Times New Roman" w:cs="Times New Roman" w:eastAsia="Times New Roman" w:hAnsi="Times New Roman"/>
                <w:sz w:val="13"/>
                <w:szCs w:val="13"/>
                <w:color w:val="auto"/>
              </w:rPr>
              <w:t>exercised.</w:t>
            </w:r>
          </w:p>
        </w:tc>
        <w:tc>
          <w:tcPr>
            <w:tcW w:w="140" w:type="dxa"/>
            <w:vAlign w:val="bottom"/>
            <w:tcBorders>
              <w:right w:val="single" w:sz="8" w:color="F0FFFF"/>
            </w:tcBorders>
            <w:gridSpan w:val="4"/>
            <w:vMerge w:val="continue"/>
            <w:shd w:val="clear" w:color="auto" w:fill="F0FFFF"/>
          </w:tcPr>
          <w:p>
            <w:pPr>
              <w:spacing w:after="0"/>
              <w:rPr>
                <w:sz w:val="11"/>
                <w:szCs w:val="11"/>
                <w:color w:val="auto"/>
              </w:rPr>
            </w:pPr>
          </w:p>
        </w:tc>
        <w:tc>
          <w:tcPr>
            <w:tcW w:w="60" w:type="dxa"/>
            <w:vAlign w:val="bottom"/>
            <w:tcBorders>
              <w:right w:val="single" w:sz="8" w:color="F0FFFF"/>
            </w:tcBorders>
            <w:gridSpan w:val="2"/>
            <w:vMerge w:val="continue"/>
            <w:shd w:val="clear" w:color="auto" w:fill="F0FFFF"/>
          </w:tcPr>
          <w:p>
            <w:pPr>
              <w:spacing w:after="0"/>
              <w:rPr>
                <w:sz w:val="11"/>
                <w:szCs w:val="11"/>
                <w:color w:val="auto"/>
              </w:rPr>
            </w:pPr>
          </w:p>
        </w:tc>
        <w:tc>
          <w:tcPr>
            <w:tcW w:w="60" w:type="dxa"/>
            <w:vAlign w:val="bottom"/>
            <w:gridSpan w:val="3"/>
            <w:vMerge w:val="continue"/>
            <w:shd w:val="clear" w:color="auto" w:fill="F0FFFF"/>
          </w:tcPr>
          <w:p>
            <w:pPr>
              <w:spacing w:after="0"/>
              <w:rPr>
                <w:sz w:val="11"/>
                <w:szCs w:val="11"/>
                <w:color w:val="auto"/>
              </w:rPr>
            </w:pPr>
          </w:p>
        </w:tc>
        <w:tc>
          <w:tcPr>
            <w:tcW w:w="140" w:type="dxa"/>
            <w:vAlign w:val="bottom"/>
            <w:tcBorders>
              <w:right w:val="single" w:sz="8" w:color="auto"/>
            </w:tcBorders>
            <w:gridSpan w:val="3"/>
            <w:vMerge w:val="continue"/>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020" w:type="dxa"/>
            <w:vAlign w:val="bottom"/>
            <w:tcBorders>
              <w:left w:val="single" w:sz="8" w:color="auto"/>
              <w:right w:val="single" w:sz="8" w:color="auto"/>
            </w:tcBorders>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480" w:type="dxa"/>
            <w:vAlign w:val="bottom"/>
            <w:tcBorders>
              <w:righ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460" w:type="dxa"/>
            <w:vAlign w:val="bottom"/>
            <w:shd w:val="clear" w:color="auto" w:fill="F0FFFF"/>
          </w:tcPr>
          <w:p>
            <w:pPr>
              <w:spacing w:after="0"/>
              <w:rPr>
                <w:sz w:val="12"/>
                <w:szCs w:val="12"/>
                <w:color w:val="auto"/>
              </w:rPr>
            </w:pPr>
          </w:p>
        </w:tc>
        <w:tc>
          <w:tcPr>
            <w:tcW w:w="280" w:type="dxa"/>
            <w:vAlign w:val="bottom"/>
            <w:tcBorders>
              <w:right w:val="single" w:sz="8" w:color="auto"/>
            </w:tcBorders>
            <w:shd w:val="clear" w:color="auto" w:fill="F0FFFF"/>
          </w:tcPr>
          <w:p>
            <w:pPr>
              <w:spacing w:after="0"/>
              <w:rPr>
                <w:sz w:val="12"/>
                <w:szCs w:val="12"/>
                <w:color w:val="auto"/>
              </w:rPr>
            </w:pPr>
          </w:p>
        </w:tc>
        <w:tc>
          <w:tcPr>
            <w:tcW w:w="1320" w:type="dxa"/>
            <w:vAlign w:val="bottom"/>
            <w:tcBorders>
              <w:right w:val="single" w:sz="8" w:color="auto"/>
            </w:tcBorders>
            <w:shd w:val="clear" w:color="auto" w:fill="F0FFFF"/>
          </w:tcPr>
          <w:p>
            <w:pPr>
              <w:spacing w:after="0"/>
              <w:rPr>
                <w:sz w:val="12"/>
                <w:szCs w:val="12"/>
                <w:color w:val="auto"/>
              </w:rPr>
            </w:pPr>
          </w:p>
        </w:tc>
        <w:tc>
          <w:tcPr>
            <w:tcW w:w="1900" w:type="dxa"/>
            <w:vAlign w:val="bottom"/>
            <w:tcBorders>
              <w:right w:val="single" w:sz="8" w:color="auto"/>
            </w:tcBorders>
            <w:gridSpan w:val="28"/>
            <w:shd w:val="clear" w:color="auto" w:fill="F0FFFF"/>
          </w:tcPr>
          <w:p>
            <w:pPr>
              <w:ind w:left="20"/>
              <w:spacing w:after="0" w:line="139" w:lineRule="exact"/>
              <w:rPr>
                <w:sz w:val="20"/>
                <w:szCs w:val="20"/>
                <w:color w:val="auto"/>
              </w:rPr>
            </w:pPr>
            <w:r>
              <w:rPr>
                <w:rFonts w:ascii="Times New Roman" w:cs="Times New Roman" w:eastAsia="Times New Roman" w:hAnsi="Times New Roman"/>
                <w:sz w:val="13"/>
                <w:szCs w:val="13"/>
                <w:color w:val="auto"/>
              </w:rPr>
              <w:t>● Must be exercised for the full</w:t>
            </w:r>
          </w:p>
        </w:tc>
        <w:tc>
          <w:tcPr>
            <w:tcW w:w="0" w:type="dxa"/>
            <w:vAlign w:val="bottom"/>
          </w:tcPr>
          <w:p>
            <w:pPr>
              <w:spacing w:after="0"/>
              <w:rPr>
                <w:sz w:val="1"/>
                <w:szCs w:val="1"/>
                <w:color w:val="auto"/>
              </w:rPr>
            </w:pPr>
          </w:p>
        </w:tc>
      </w:tr>
      <w:tr>
        <w:trPr>
          <w:trHeight w:val="142"/>
        </w:trPr>
        <w:tc>
          <w:tcPr>
            <w:tcW w:w="1020" w:type="dxa"/>
            <w:vAlign w:val="bottom"/>
            <w:tcBorders>
              <w:left w:val="single" w:sz="8" w:color="auto"/>
              <w:right w:val="single" w:sz="8" w:color="auto"/>
            </w:tcBorders>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480" w:type="dxa"/>
            <w:vAlign w:val="bottom"/>
            <w:tcBorders>
              <w:righ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460" w:type="dxa"/>
            <w:vAlign w:val="bottom"/>
            <w:shd w:val="clear" w:color="auto" w:fill="F0FFFF"/>
          </w:tcPr>
          <w:p>
            <w:pPr>
              <w:spacing w:after="0"/>
              <w:rPr>
                <w:sz w:val="12"/>
                <w:szCs w:val="12"/>
                <w:color w:val="auto"/>
              </w:rPr>
            </w:pPr>
          </w:p>
        </w:tc>
        <w:tc>
          <w:tcPr>
            <w:tcW w:w="280" w:type="dxa"/>
            <w:vAlign w:val="bottom"/>
            <w:tcBorders>
              <w:right w:val="single" w:sz="8" w:color="auto"/>
            </w:tcBorders>
            <w:shd w:val="clear" w:color="auto" w:fill="F0FFFF"/>
          </w:tcPr>
          <w:p>
            <w:pPr>
              <w:spacing w:after="0"/>
              <w:rPr>
                <w:sz w:val="12"/>
                <w:szCs w:val="12"/>
                <w:color w:val="auto"/>
              </w:rPr>
            </w:pPr>
          </w:p>
        </w:tc>
        <w:tc>
          <w:tcPr>
            <w:tcW w:w="1320" w:type="dxa"/>
            <w:vAlign w:val="bottom"/>
            <w:tcBorders>
              <w:right w:val="single" w:sz="8" w:color="auto"/>
            </w:tcBorders>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760" w:type="dxa"/>
            <w:vAlign w:val="bottom"/>
            <w:tcBorders>
              <w:left w:val="single" w:sz="8" w:color="F0FFFF"/>
              <w:right w:val="single" w:sz="8" w:color="auto"/>
            </w:tcBorders>
            <w:gridSpan w:val="27"/>
            <w:shd w:val="clear" w:color="auto" w:fill="F0FFFF"/>
          </w:tcPr>
          <w:p>
            <w:pPr>
              <w:spacing w:after="0" w:line="142" w:lineRule="exact"/>
              <w:rPr>
                <w:sz w:val="20"/>
                <w:szCs w:val="20"/>
                <w:color w:val="auto"/>
              </w:rPr>
            </w:pPr>
            <w:r>
              <w:rPr>
                <w:rFonts w:ascii="Times New Roman" w:cs="Times New Roman" w:eastAsia="Times New Roman" w:hAnsi="Times New Roman"/>
                <w:sz w:val="13"/>
                <w:szCs w:val="13"/>
                <w:color w:val="auto"/>
              </w:rPr>
              <w:t>amount of the Shield Option</w:t>
            </w:r>
          </w:p>
        </w:tc>
        <w:tc>
          <w:tcPr>
            <w:tcW w:w="0" w:type="dxa"/>
            <w:vAlign w:val="bottom"/>
          </w:tcPr>
          <w:p>
            <w:pPr>
              <w:spacing w:after="0"/>
              <w:rPr>
                <w:sz w:val="1"/>
                <w:szCs w:val="1"/>
                <w:color w:val="auto"/>
              </w:rPr>
            </w:pPr>
          </w:p>
        </w:tc>
      </w:tr>
      <w:tr>
        <w:trPr>
          <w:trHeight w:val="20"/>
        </w:trPr>
        <w:tc>
          <w:tcPr>
            <w:tcW w:w="102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48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460" w:type="dxa"/>
            <w:vAlign w:val="bottom"/>
            <w:shd w:val="clear" w:color="auto" w:fill="F0FFFF"/>
          </w:tcPr>
          <w:p>
            <w:pPr>
              <w:spacing w:after="0" w:line="20" w:lineRule="exact"/>
              <w:rPr>
                <w:sz w:val="1"/>
                <w:szCs w:val="1"/>
                <w:color w:val="auto"/>
              </w:rPr>
            </w:pPr>
          </w:p>
        </w:tc>
        <w:tc>
          <w:tcPr>
            <w:tcW w:w="280" w:type="dxa"/>
            <w:vAlign w:val="bottom"/>
            <w:tcBorders>
              <w:right w:val="single" w:sz="8" w:color="auto"/>
            </w:tcBorders>
            <w:shd w:val="clear" w:color="auto" w:fill="F0FFFF"/>
          </w:tcPr>
          <w:p>
            <w:pPr>
              <w:spacing w:after="0" w:line="20" w:lineRule="exact"/>
              <w:rPr>
                <w:sz w:val="1"/>
                <w:szCs w:val="1"/>
                <w:color w:val="auto"/>
              </w:rPr>
            </w:pPr>
          </w:p>
        </w:tc>
        <w:tc>
          <w:tcPr>
            <w:tcW w:w="1320" w:type="dxa"/>
            <w:vAlign w:val="bottom"/>
            <w:tcBorders>
              <w:right w:val="single" w:sz="8" w:color="auto"/>
            </w:tcBorders>
            <w:shd w:val="clear" w:color="auto" w:fill="F0FFFF"/>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220" w:type="dxa"/>
            <w:vAlign w:val="bottom"/>
            <w:tcBorders>
              <w:left w:val="single" w:sz="8" w:color="F0FFFF"/>
            </w:tcBorders>
            <w:gridSpan w:val="2"/>
            <w:shd w:val="clear" w:color="auto" w:fill="F0FFFF"/>
          </w:tcPr>
          <w:p>
            <w:pPr>
              <w:spacing w:after="0" w:line="20" w:lineRule="exact"/>
              <w:rPr>
                <w:sz w:val="1"/>
                <w:szCs w:val="1"/>
                <w:color w:val="auto"/>
              </w:rPr>
            </w:pPr>
          </w:p>
        </w:tc>
        <w:tc>
          <w:tcPr>
            <w:tcW w:w="80" w:type="dxa"/>
            <w:vAlign w:val="bottom"/>
            <w:tcBorders>
              <w:right w:val="single" w:sz="8" w:color="F0FFFF"/>
            </w:tcBorders>
            <w:gridSpan w:val="2"/>
            <w:shd w:val="clear" w:color="auto" w:fill="F0FFFF"/>
          </w:tcPr>
          <w:p>
            <w:pPr>
              <w:spacing w:after="0" w:line="20" w:lineRule="exact"/>
              <w:rPr>
                <w:sz w:val="1"/>
                <w:szCs w:val="1"/>
                <w:color w:val="auto"/>
              </w:rPr>
            </w:pPr>
          </w:p>
        </w:tc>
        <w:tc>
          <w:tcPr>
            <w:tcW w:w="200" w:type="dxa"/>
            <w:vAlign w:val="bottom"/>
            <w:tcBorders>
              <w:right w:val="single" w:sz="8" w:color="F0FFFF"/>
            </w:tcBorders>
            <w:shd w:val="clear" w:color="auto" w:fill="F0FFFF"/>
          </w:tcPr>
          <w:p>
            <w:pPr>
              <w:spacing w:after="0" w:line="20" w:lineRule="exact"/>
              <w:rPr>
                <w:sz w:val="1"/>
                <w:szCs w:val="1"/>
                <w:color w:val="auto"/>
              </w:rPr>
            </w:pPr>
          </w:p>
        </w:tc>
        <w:tc>
          <w:tcPr>
            <w:tcW w:w="20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120" w:type="dxa"/>
            <w:vAlign w:val="bottom"/>
            <w:tcBorders>
              <w:right w:val="single" w:sz="8" w:color="auto"/>
            </w:tcBorders>
            <w:gridSpan w:val="3"/>
            <w:shd w:val="clear" w:color="auto" w:fill="F0FFFF"/>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Borders>
              <w:right w:val="single" w:sz="8" w:color="auto"/>
            </w:tcBorders>
            <w:gridSpan w:val="5"/>
            <w:shd w:val="clear" w:color="auto" w:fill="000000"/>
          </w:tcPr>
          <w:p>
            <w:pPr>
              <w:spacing w:after="0" w:line="20" w:lineRule="exact"/>
              <w:rPr>
                <w:sz w:val="1"/>
                <w:szCs w:val="1"/>
                <w:color w:val="auto"/>
              </w:rPr>
            </w:pPr>
          </w:p>
        </w:tc>
        <w:tc>
          <w:tcPr>
            <w:tcW w:w="60" w:type="dxa"/>
            <w:vAlign w:val="bottom"/>
            <w:tcBorders>
              <w:right w:val="single" w:sz="8" w:color="F0FFFF"/>
            </w:tcBorders>
            <w:gridSpan w:val="2"/>
            <w:shd w:val="clear" w:color="auto" w:fill="000000"/>
          </w:tcPr>
          <w:p>
            <w:pPr>
              <w:spacing w:after="0" w:line="20" w:lineRule="exact"/>
              <w:rPr>
                <w:sz w:val="1"/>
                <w:szCs w:val="1"/>
                <w:color w:val="auto"/>
              </w:rPr>
            </w:pPr>
          </w:p>
        </w:tc>
        <w:tc>
          <w:tcPr>
            <w:tcW w:w="60" w:type="dxa"/>
            <w:vAlign w:val="bottom"/>
            <w:gridSpan w:val="3"/>
            <w:vMerge w:val="restart"/>
            <w:shd w:val="clear" w:color="auto" w:fill="F0FFFF"/>
          </w:tcPr>
          <w:p>
            <w:pPr>
              <w:spacing w:after="0" w:line="20" w:lineRule="exact"/>
              <w:rPr>
                <w:sz w:val="1"/>
                <w:szCs w:val="1"/>
                <w:color w:val="auto"/>
              </w:rPr>
            </w:pPr>
          </w:p>
        </w:tc>
        <w:tc>
          <w:tcPr>
            <w:tcW w:w="140" w:type="dxa"/>
            <w:vAlign w:val="bottom"/>
            <w:tcBorders>
              <w:right w:val="single" w:sz="8" w:color="auto"/>
            </w:tcBorders>
            <w:gridSpan w:val="3"/>
            <w:vMerge w:val="restart"/>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20" w:type="dxa"/>
            <w:vAlign w:val="bottom"/>
            <w:tcBorders>
              <w:left w:val="single" w:sz="8" w:color="auto"/>
              <w:right w:val="single" w:sz="8" w:color="auto"/>
            </w:tcBorders>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260" w:type="dxa"/>
            <w:vAlign w:val="bottom"/>
            <w:shd w:val="clear" w:color="auto" w:fill="F0FFFF"/>
          </w:tcPr>
          <w:p>
            <w:pPr>
              <w:spacing w:after="0"/>
              <w:rPr>
                <w:sz w:val="11"/>
                <w:szCs w:val="11"/>
                <w:color w:val="auto"/>
              </w:rPr>
            </w:pPr>
          </w:p>
        </w:tc>
        <w:tc>
          <w:tcPr>
            <w:tcW w:w="480" w:type="dxa"/>
            <w:vAlign w:val="bottom"/>
            <w:tcBorders>
              <w:righ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260" w:type="dxa"/>
            <w:vAlign w:val="bottom"/>
            <w:shd w:val="clear" w:color="auto" w:fill="F0FFFF"/>
          </w:tcPr>
          <w:p>
            <w:pPr>
              <w:spacing w:after="0"/>
              <w:rPr>
                <w:sz w:val="11"/>
                <w:szCs w:val="11"/>
                <w:color w:val="auto"/>
              </w:rPr>
            </w:pPr>
          </w:p>
        </w:tc>
        <w:tc>
          <w:tcPr>
            <w:tcW w:w="460" w:type="dxa"/>
            <w:vAlign w:val="bottom"/>
            <w:shd w:val="clear" w:color="auto" w:fill="F0FFFF"/>
          </w:tcPr>
          <w:p>
            <w:pPr>
              <w:spacing w:after="0"/>
              <w:rPr>
                <w:sz w:val="11"/>
                <w:szCs w:val="11"/>
                <w:color w:val="auto"/>
              </w:rPr>
            </w:pPr>
          </w:p>
        </w:tc>
        <w:tc>
          <w:tcPr>
            <w:tcW w:w="280" w:type="dxa"/>
            <w:vAlign w:val="bottom"/>
            <w:tcBorders>
              <w:right w:val="single" w:sz="8" w:color="auto"/>
            </w:tcBorders>
            <w:shd w:val="clear" w:color="auto" w:fill="F0FFFF"/>
          </w:tcPr>
          <w:p>
            <w:pPr>
              <w:spacing w:after="0"/>
              <w:rPr>
                <w:sz w:val="11"/>
                <w:szCs w:val="11"/>
                <w:color w:val="auto"/>
              </w:rPr>
            </w:pPr>
          </w:p>
        </w:tc>
        <w:tc>
          <w:tcPr>
            <w:tcW w:w="1320" w:type="dxa"/>
            <w:vAlign w:val="bottom"/>
            <w:tcBorders>
              <w:right w:val="single" w:sz="8" w:color="auto"/>
            </w:tcBorders>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560" w:type="dxa"/>
            <w:vAlign w:val="bottom"/>
            <w:tcBorders>
              <w:left w:val="single" w:sz="8" w:color="F0FFFF"/>
              <w:right w:val="single" w:sz="8" w:color="F0FFFF"/>
            </w:tcBorders>
            <w:gridSpan w:val="21"/>
            <w:shd w:val="clear" w:color="auto" w:fill="F0FFFF"/>
          </w:tcPr>
          <w:p>
            <w:pPr>
              <w:spacing w:after="0" w:line="129" w:lineRule="exact"/>
              <w:rPr>
                <w:sz w:val="20"/>
                <w:szCs w:val="20"/>
                <w:color w:val="auto"/>
              </w:rPr>
            </w:pPr>
            <w:r>
              <w:rPr>
                <w:rFonts w:ascii="Times New Roman" w:cs="Times New Roman" w:eastAsia="Times New Roman" w:hAnsi="Times New Roman"/>
                <w:sz w:val="13"/>
                <w:szCs w:val="13"/>
                <w:color w:val="auto"/>
              </w:rPr>
              <w:t>Interim Value .</w:t>
            </w:r>
          </w:p>
        </w:tc>
        <w:tc>
          <w:tcPr>
            <w:tcW w:w="60" w:type="dxa"/>
            <w:vAlign w:val="bottom"/>
            <w:gridSpan w:val="3"/>
            <w:vMerge w:val="continue"/>
            <w:shd w:val="clear" w:color="auto" w:fill="F0FFFF"/>
          </w:tcPr>
          <w:p>
            <w:pPr>
              <w:spacing w:after="0"/>
              <w:rPr>
                <w:sz w:val="11"/>
                <w:szCs w:val="11"/>
                <w:color w:val="auto"/>
              </w:rPr>
            </w:pPr>
          </w:p>
        </w:tc>
        <w:tc>
          <w:tcPr>
            <w:tcW w:w="140" w:type="dxa"/>
            <w:vAlign w:val="bottom"/>
            <w:tcBorders>
              <w:right w:val="single" w:sz="8" w:color="auto"/>
            </w:tcBorders>
            <w:gridSpan w:val="3"/>
            <w:vMerge w:val="continue"/>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48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460" w:type="dxa"/>
            <w:vAlign w:val="bottom"/>
            <w:shd w:val="clear" w:color="auto" w:fill="F0FFFF"/>
          </w:tcPr>
          <w:p>
            <w:pPr>
              <w:spacing w:after="0" w:line="20" w:lineRule="exact"/>
              <w:rPr>
                <w:sz w:val="1"/>
                <w:szCs w:val="1"/>
                <w:color w:val="auto"/>
              </w:rPr>
            </w:pPr>
          </w:p>
        </w:tc>
        <w:tc>
          <w:tcPr>
            <w:tcW w:w="280" w:type="dxa"/>
            <w:vAlign w:val="bottom"/>
            <w:tcBorders>
              <w:right w:val="single" w:sz="8" w:color="auto"/>
            </w:tcBorders>
            <w:shd w:val="clear" w:color="auto" w:fill="F0FFFF"/>
          </w:tcPr>
          <w:p>
            <w:pPr>
              <w:spacing w:after="0" w:line="20" w:lineRule="exact"/>
              <w:rPr>
                <w:sz w:val="1"/>
                <w:szCs w:val="1"/>
                <w:color w:val="auto"/>
              </w:rPr>
            </w:pPr>
          </w:p>
        </w:tc>
        <w:tc>
          <w:tcPr>
            <w:tcW w:w="1320" w:type="dxa"/>
            <w:vAlign w:val="bottom"/>
            <w:tcBorders>
              <w:right w:val="single" w:sz="8" w:color="auto"/>
            </w:tcBorders>
            <w:shd w:val="clear" w:color="auto" w:fill="F0FFFF"/>
          </w:tcPr>
          <w:p>
            <w:pPr>
              <w:spacing w:after="0" w:line="20" w:lineRule="exact"/>
              <w:rPr>
                <w:sz w:val="1"/>
                <w:szCs w:val="1"/>
                <w:color w:val="auto"/>
              </w:rPr>
            </w:pPr>
          </w:p>
        </w:tc>
        <w:tc>
          <w:tcPr>
            <w:tcW w:w="140" w:type="dxa"/>
            <w:vAlign w:val="bottom"/>
            <w:vMerge w:val="restart"/>
            <w:shd w:val="clear" w:color="auto" w:fill="F0FFFF"/>
          </w:tcPr>
          <w:p>
            <w:pPr>
              <w:ind w:left="20"/>
              <w:spacing w:after="0" w:line="146"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F0FFFF"/>
            </w:tcBorders>
            <w:gridSpan w:val="3"/>
            <w:shd w:val="clear" w:color="auto" w:fill="000000"/>
          </w:tcPr>
          <w:p>
            <w:pPr>
              <w:spacing w:after="0" w:line="20" w:lineRule="exact"/>
              <w:rPr>
                <w:sz w:val="1"/>
                <w:szCs w:val="1"/>
                <w:color w:val="auto"/>
              </w:rPr>
            </w:pPr>
          </w:p>
        </w:tc>
        <w:tc>
          <w:tcPr>
            <w:tcW w:w="120" w:type="dxa"/>
            <w:vAlign w:val="bottom"/>
            <w:tcBorders>
              <w:right w:val="single" w:sz="8" w:color="F0FFFF"/>
            </w:tcBorders>
            <w:gridSpan w:val="2"/>
            <w:shd w:val="clear" w:color="auto" w:fill="F0FFFF"/>
          </w:tcPr>
          <w:p>
            <w:pPr>
              <w:spacing w:after="0" w:line="20" w:lineRule="exact"/>
              <w:rPr>
                <w:sz w:val="1"/>
                <w:szCs w:val="1"/>
                <w:color w:val="auto"/>
              </w:rPr>
            </w:pPr>
          </w:p>
        </w:tc>
        <w:tc>
          <w:tcPr>
            <w:tcW w:w="28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120" w:type="dxa"/>
            <w:vAlign w:val="bottom"/>
            <w:tcBorders>
              <w:left w:val="single" w:sz="8" w:color="F0FFFF"/>
            </w:tcBorders>
            <w:gridSpan w:val="2"/>
            <w:shd w:val="clear" w:color="auto" w:fill="F0FFFF"/>
          </w:tcPr>
          <w:p>
            <w:pPr>
              <w:spacing w:after="0" w:line="20" w:lineRule="exact"/>
              <w:rPr>
                <w:sz w:val="1"/>
                <w:szCs w:val="1"/>
                <w:color w:val="auto"/>
              </w:rPr>
            </w:pPr>
          </w:p>
        </w:tc>
        <w:tc>
          <w:tcPr>
            <w:tcW w:w="160" w:type="dxa"/>
            <w:vAlign w:val="bottom"/>
            <w:tcBorders>
              <w:right w:val="single" w:sz="8" w:color="F0FFFF"/>
            </w:tcBorders>
            <w:gridSpan w:val="5"/>
            <w:shd w:val="clear" w:color="auto" w:fill="F0FFFF"/>
          </w:tcPr>
          <w:p>
            <w:pPr>
              <w:spacing w:after="0" w:line="20" w:lineRule="exact"/>
              <w:rPr>
                <w:sz w:val="1"/>
                <w:szCs w:val="1"/>
                <w:color w:val="auto"/>
              </w:rPr>
            </w:pPr>
          </w:p>
        </w:tc>
        <w:tc>
          <w:tcPr>
            <w:tcW w:w="60" w:type="dxa"/>
            <w:vAlign w:val="bottom"/>
            <w:tcBorders>
              <w:right w:val="single" w:sz="8" w:color="F0FFFF"/>
            </w:tcBorders>
            <w:gridSpan w:val="2"/>
            <w:shd w:val="clear" w:color="auto" w:fill="F0FFFF"/>
          </w:tcPr>
          <w:p>
            <w:pPr>
              <w:spacing w:after="0" w:line="20" w:lineRule="exact"/>
              <w:rPr>
                <w:sz w:val="1"/>
                <w:szCs w:val="1"/>
                <w:color w:val="auto"/>
              </w:rPr>
            </w:pPr>
          </w:p>
        </w:tc>
        <w:tc>
          <w:tcPr>
            <w:tcW w:w="60" w:type="dxa"/>
            <w:vAlign w:val="bottom"/>
            <w:gridSpan w:val="3"/>
            <w:shd w:val="clear" w:color="auto" w:fill="F0FFFF"/>
          </w:tcPr>
          <w:p>
            <w:pPr>
              <w:spacing w:after="0" w:line="20" w:lineRule="exact"/>
              <w:rPr>
                <w:sz w:val="1"/>
                <w:szCs w:val="1"/>
                <w:color w:val="auto"/>
              </w:rPr>
            </w:pPr>
          </w:p>
        </w:tc>
        <w:tc>
          <w:tcPr>
            <w:tcW w:w="140" w:type="dxa"/>
            <w:vAlign w:val="bottom"/>
            <w:tcBorders>
              <w:right w:val="single" w:sz="8" w:color="auto"/>
            </w:tcBorders>
            <w:gridSpan w:val="3"/>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1020" w:type="dxa"/>
            <w:vAlign w:val="bottom"/>
            <w:tcBorders>
              <w:left w:val="single" w:sz="8" w:color="auto"/>
              <w:right w:val="single" w:sz="8" w:color="auto"/>
            </w:tcBorders>
            <w:shd w:val="clear" w:color="auto" w:fill="F0FFFF"/>
          </w:tcPr>
          <w:p>
            <w:pPr>
              <w:spacing w:after="0"/>
              <w:rPr>
                <w:sz w:val="10"/>
                <w:szCs w:val="10"/>
                <w:color w:val="auto"/>
              </w:rPr>
            </w:pPr>
          </w:p>
        </w:tc>
        <w:tc>
          <w:tcPr>
            <w:tcW w:w="20" w:type="dxa"/>
            <w:vAlign w:val="bottom"/>
            <w:shd w:val="clear" w:color="auto" w:fill="F0FFFF"/>
          </w:tcPr>
          <w:p>
            <w:pPr>
              <w:spacing w:after="0"/>
              <w:rPr>
                <w:sz w:val="10"/>
                <w:szCs w:val="10"/>
                <w:color w:val="auto"/>
              </w:rPr>
            </w:pPr>
          </w:p>
        </w:tc>
        <w:tc>
          <w:tcPr>
            <w:tcW w:w="260" w:type="dxa"/>
            <w:vAlign w:val="bottom"/>
            <w:shd w:val="clear" w:color="auto" w:fill="F0FFFF"/>
          </w:tcPr>
          <w:p>
            <w:pPr>
              <w:spacing w:after="0"/>
              <w:rPr>
                <w:sz w:val="10"/>
                <w:szCs w:val="10"/>
                <w:color w:val="auto"/>
              </w:rPr>
            </w:pPr>
          </w:p>
        </w:tc>
        <w:tc>
          <w:tcPr>
            <w:tcW w:w="480" w:type="dxa"/>
            <w:vAlign w:val="bottom"/>
            <w:tcBorders>
              <w:right w:val="single" w:sz="8" w:color="F0FFFF"/>
            </w:tcBorders>
            <w:shd w:val="clear" w:color="auto" w:fill="F0FFFF"/>
          </w:tcPr>
          <w:p>
            <w:pPr>
              <w:spacing w:after="0"/>
              <w:rPr>
                <w:sz w:val="10"/>
                <w:szCs w:val="10"/>
                <w:color w:val="auto"/>
              </w:rPr>
            </w:pPr>
          </w:p>
        </w:tc>
        <w:tc>
          <w:tcPr>
            <w:tcW w:w="80" w:type="dxa"/>
            <w:vAlign w:val="bottom"/>
            <w:shd w:val="clear" w:color="auto" w:fill="F0FFFF"/>
          </w:tcPr>
          <w:p>
            <w:pPr>
              <w:spacing w:after="0"/>
              <w:rPr>
                <w:sz w:val="10"/>
                <w:szCs w:val="10"/>
                <w:color w:val="auto"/>
              </w:rPr>
            </w:pPr>
          </w:p>
        </w:tc>
        <w:tc>
          <w:tcPr>
            <w:tcW w:w="260" w:type="dxa"/>
            <w:vAlign w:val="bottom"/>
            <w:shd w:val="clear" w:color="auto" w:fill="F0FFFF"/>
          </w:tcPr>
          <w:p>
            <w:pPr>
              <w:spacing w:after="0"/>
              <w:rPr>
                <w:sz w:val="10"/>
                <w:szCs w:val="10"/>
                <w:color w:val="auto"/>
              </w:rPr>
            </w:pPr>
          </w:p>
        </w:tc>
        <w:tc>
          <w:tcPr>
            <w:tcW w:w="460" w:type="dxa"/>
            <w:vAlign w:val="bottom"/>
            <w:shd w:val="clear" w:color="auto" w:fill="F0FFFF"/>
          </w:tcPr>
          <w:p>
            <w:pPr>
              <w:spacing w:after="0"/>
              <w:rPr>
                <w:sz w:val="10"/>
                <w:szCs w:val="10"/>
                <w:color w:val="auto"/>
              </w:rPr>
            </w:pPr>
          </w:p>
        </w:tc>
        <w:tc>
          <w:tcPr>
            <w:tcW w:w="280" w:type="dxa"/>
            <w:vAlign w:val="bottom"/>
            <w:tcBorders>
              <w:right w:val="single" w:sz="8" w:color="auto"/>
            </w:tcBorders>
            <w:shd w:val="clear" w:color="auto" w:fill="F0FFFF"/>
          </w:tcPr>
          <w:p>
            <w:pPr>
              <w:spacing w:after="0"/>
              <w:rPr>
                <w:sz w:val="10"/>
                <w:szCs w:val="10"/>
                <w:color w:val="auto"/>
              </w:rPr>
            </w:pPr>
          </w:p>
        </w:tc>
        <w:tc>
          <w:tcPr>
            <w:tcW w:w="1320" w:type="dxa"/>
            <w:vAlign w:val="bottom"/>
            <w:tcBorders>
              <w:right w:val="single" w:sz="8" w:color="auto"/>
            </w:tcBorders>
            <w:shd w:val="clear" w:color="auto" w:fill="F0FFFF"/>
          </w:tcPr>
          <w:p>
            <w:pPr>
              <w:spacing w:after="0"/>
              <w:rPr>
                <w:sz w:val="10"/>
                <w:szCs w:val="10"/>
                <w:color w:val="auto"/>
              </w:rPr>
            </w:pPr>
          </w:p>
        </w:tc>
        <w:tc>
          <w:tcPr>
            <w:tcW w:w="140" w:type="dxa"/>
            <w:vAlign w:val="bottom"/>
            <w:vMerge w:val="continue"/>
            <w:shd w:val="clear" w:color="auto" w:fill="F0FFFF"/>
          </w:tcPr>
          <w:p>
            <w:pPr>
              <w:spacing w:after="0"/>
              <w:rPr>
                <w:sz w:val="10"/>
                <w:szCs w:val="10"/>
                <w:color w:val="auto"/>
              </w:rPr>
            </w:pPr>
          </w:p>
        </w:tc>
        <w:tc>
          <w:tcPr>
            <w:tcW w:w="1760" w:type="dxa"/>
            <w:vAlign w:val="bottom"/>
            <w:tcBorders>
              <w:left w:val="single" w:sz="8" w:color="F0FFFF"/>
              <w:right w:val="single" w:sz="8" w:color="auto"/>
            </w:tcBorders>
            <w:gridSpan w:val="27"/>
            <w:shd w:val="clear" w:color="auto" w:fill="F0FFFF"/>
          </w:tcPr>
          <w:p>
            <w:pPr>
              <w:spacing w:after="0" w:line="126" w:lineRule="exact"/>
              <w:rPr>
                <w:sz w:val="20"/>
                <w:szCs w:val="20"/>
                <w:color w:val="auto"/>
              </w:rPr>
            </w:pPr>
            <w:r>
              <w:rPr>
                <w:rFonts w:ascii="Times New Roman" w:cs="Times New Roman" w:eastAsia="Times New Roman" w:hAnsi="Times New Roman"/>
                <w:sz w:val="13"/>
                <w:szCs w:val="13"/>
                <w:color w:val="auto"/>
              </w:rPr>
              <w:t>May be exercised once per</w:t>
            </w:r>
          </w:p>
        </w:tc>
        <w:tc>
          <w:tcPr>
            <w:tcW w:w="0" w:type="dxa"/>
            <w:vAlign w:val="bottom"/>
          </w:tcPr>
          <w:p>
            <w:pPr>
              <w:spacing w:after="0"/>
              <w:rPr>
                <w:sz w:val="1"/>
                <w:szCs w:val="1"/>
                <w:color w:val="auto"/>
              </w:rPr>
            </w:pPr>
          </w:p>
        </w:tc>
      </w:tr>
      <w:tr>
        <w:trPr>
          <w:trHeight w:val="142"/>
        </w:trPr>
        <w:tc>
          <w:tcPr>
            <w:tcW w:w="1020" w:type="dxa"/>
            <w:vAlign w:val="bottom"/>
            <w:tcBorders>
              <w:left w:val="single" w:sz="8" w:color="auto"/>
              <w:right w:val="single" w:sz="8" w:color="auto"/>
            </w:tcBorders>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480" w:type="dxa"/>
            <w:vAlign w:val="bottom"/>
            <w:tcBorders>
              <w:righ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460" w:type="dxa"/>
            <w:vAlign w:val="bottom"/>
            <w:shd w:val="clear" w:color="auto" w:fill="F0FFFF"/>
          </w:tcPr>
          <w:p>
            <w:pPr>
              <w:spacing w:after="0"/>
              <w:rPr>
                <w:sz w:val="12"/>
                <w:szCs w:val="12"/>
                <w:color w:val="auto"/>
              </w:rPr>
            </w:pPr>
          </w:p>
        </w:tc>
        <w:tc>
          <w:tcPr>
            <w:tcW w:w="280" w:type="dxa"/>
            <w:vAlign w:val="bottom"/>
            <w:tcBorders>
              <w:right w:val="single" w:sz="8" w:color="auto"/>
            </w:tcBorders>
            <w:shd w:val="clear" w:color="auto" w:fill="F0FFFF"/>
          </w:tcPr>
          <w:p>
            <w:pPr>
              <w:spacing w:after="0"/>
              <w:rPr>
                <w:sz w:val="12"/>
                <w:szCs w:val="12"/>
                <w:color w:val="auto"/>
              </w:rPr>
            </w:pPr>
          </w:p>
        </w:tc>
        <w:tc>
          <w:tcPr>
            <w:tcW w:w="1320" w:type="dxa"/>
            <w:vAlign w:val="bottom"/>
            <w:tcBorders>
              <w:right w:val="single" w:sz="8" w:color="auto"/>
            </w:tcBorders>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760" w:type="dxa"/>
            <w:vAlign w:val="bottom"/>
            <w:tcBorders>
              <w:left w:val="single" w:sz="8" w:color="F0FFFF"/>
              <w:right w:val="single" w:sz="8" w:color="auto"/>
            </w:tcBorders>
            <w:gridSpan w:val="27"/>
            <w:shd w:val="clear" w:color="auto" w:fill="F0FFFF"/>
          </w:tcPr>
          <w:p>
            <w:pPr>
              <w:spacing w:after="0" w:line="142" w:lineRule="exact"/>
              <w:rPr>
                <w:sz w:val="20"/>
                <w:szCs w:val="20"/>
                <w:color w:val="auto"/>
              </w:rPr>
            </w:pPr>
            <w:r>
              <w:rPr>
                <w:rFonts w:ascii="Times New Roman" w:cs="Times New Roman" w:eastAsia="Times New Roman" w:hAnsi="Times New Roman"/>
                <w:sz w:val="13"/>
                <w:szCs w:val="13"/>
                <w:color w:val="auto"/>
              </w:rPr>
              <w:t>Term for each Shield Option.</w:t>
            </w:r>
          </w:p>
        </w:tc>
        <w:tc>
          <w:tcPr>
            <w:tcW w:w="0" w:type="dxa"/>
            <w:vAlign w:val="bottom"/>
          </w:tcPr>
          <w:p>
            <w:pPr>
              <w:spacing w:after="0"/>
              <w:rPr>
                <w:sz w:val="1"/>
                <w:szCs w:val="1"/>
                <w:color w:val="auto"/>
              </w:rPr>
            </w:pPr>
          </w:p>
        </w:tc>
      </w:tr>
      <w:tr>
        <w:trPr>
          <w:trHeight w:val="20"/>
        </w:trPr>
        <w:tc>
          <w:tcPr>
            <w:tcW w:w="102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48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460" w:type="dxa"/>
            <w:vAlign w:val="bottom"/>
            <w:shd w:val="clear" w:color="auto" w:fill="F0FFFF"/>
          </w:tcPr>
          <w:p>
            <w:pPr>
              <w:spacing w:after="0" w:line="20" w:lineRule="exact"/>
              <w:rPr>
                <w:sz w:val="1"/>
                <w:szCs w:val="1"/>
                <w:color w:val="auto"/>
              </w:rPr>
            </w:pPr>
          </w:p>
        </w:tc>
        <w:tc>
          <w:tcPr>
            <w:tcW w:w="280" w:type="dxa"/>
            <w:vAlign w:val="bottom"/>
            <w:tcBorders>
              <w:right w:val="single" w:sz="8" w:color="auto"/>
            </w:tcBorders>
            <w:shd w:val="clear" w:color="auto" w:fill="F0FFFF"/>
          </w:tcPr>
          <w:p>
            <w:pPr>
              <w:spacing w:after="0" w:line="20" w:lineRule="exact"/>
              <w:rPr>
                <w:sz w:val="1"/>
                <w:szCs w:val="1"/>
                <w:color w:val="auto"/>
              </w:rPr>
            </w:pPr>
          </w:p>
        </w:tc>
        <w:tc>
          <w:tcPr>
            <w:tcW w:w="1320" w:type="dxa"/>
            <w:vAlign w:val="bottom"/>
            <w:tcBorders>
              <w:right w:val="single" w:sz="8" w:color="auto"/>
            </w:tcBorders>
            <w:shd w:val="clear" w:color="auto" w:fill="F0FFFF"/>
          </w:tcPr>
          <w:p>
            <w:pPr>
              <w:spacing w:after="0" w:line="20" w:lineRule="exact"/>
              <w:rPr>
                <w:sz w:val="1"/>
                <w:szCs w:val="1"/>
                <w:color w:val="auto"/>
              </w:rPr>
            </w:pPr>
          </w:p>
        </w:tc>
        <w:tc>
          <w:tcPr>
            <w:tcW w:w="140" w:type="dxa"/>
            <w:vAlign w:val="bottom"/>
            <w:vMerge w:val="restart"/>
            <w:shd w:val="clear" w:color="auto" w:fill="F0FF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tcBorders>
              <w:right w:val="single" w:sz="8" w:color="F0FFFF"/>
            </w:tcBorders>
            <w:shd w:val="clear" w:color="auto" w:fill="F0FFFF"/>
          </w:tcPr>
          <w:p>
            <w:pPr>
              <w:spacing w:after="0" w:line="20" w:lineRule="exact"/>
              <w:rPr>
                <w:sz w:val="1"/>
                <w:szCs w:val="1"/>
                <w:color w:val="auto"/>
              </w:rPr>
            </w:pPr>
          </w:p>
        </w:tc>
        <w:tc>
          <w:tcPr>
            <w:tcW w:w="20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120" w:type="dxa"/>
            <w:vAlign w:val="bottom"/>
            <w:tcBorders>
              <w:right w:val="single" w:sz="8" w:color="auto"/>
            </w:tcBorders>
            <w:gridSpan w:val="3"/>
            <w:shd w:val="clear" w:color="auto" w:fill="F0FFFF"/>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Borders>
              <w:right w:val="single" w:sz="8" w:color="auto"/>
            </w:tcBorders>
            <w:gridSpan w:val="5"/>
            <w:shd w:val="clear" w:color="auto" w:fill="000000"/>
          </w:tcPr>
          <w:p>
            <w:pPr>
              <w:spacing w:after="0" w:line="20" w:lineRule="exact"/>
              <w:rPr>
                <w:sz w:val="1"/>
                <w:szCs w:val="1"/>
                <w:color w:val="auto"/>
              </w:rPr>
            </w:pPr>
          </w:p>
        </w:tc>
        <w:tc>
          <w:tcPr>
            <w:tcW w:w="6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tcBorders>
              <w:right w:val="single" w:sz="8" w:color="auto"/>
            </w:tcBorders>
            <w:gridSpan w:val="6"/>
            <w:vMerge w:val="restart"/>
            <w:shd w:val="clear" w:color="auto" w:fill="F0FFFF"/>
          </w:tcPr>
          <w:p>
            <w:pPr>
              <w:jc w:val="right"/>
              <w:ind w:right="160"/>
              <w:spacing w:after="0"/>
              <w:rPr>
                <w:sz w:val="20"/>
                <w:szCs w:val="20"/>
                <w:color w:val="auto"/>
              </w:rPr>
            </w:pPr>
            <w:r>
              <w:rPr>
                <w:rFonts w:ascii="Times New Roman" w:cs="Times New Roman" w:eastAsia="Times New Roman" w:hAnsi="Times New Roman"/>
                <w:sz w:val="4"/>
                <w:szCs w:val="4"/>
                <w:color w:val="auto"/>
                <w:w w:val="73"/>
              </w:rPr>
              <w:t>is</w:t>
            </w:r>
          </w:p>
        </w:tc>
        <w:tc>
          <w:tcPr>
            <w:tcW w:w="0" w:type="dxa"/>
            <w:vAlign w:val="bottom"/>
          </w:tcPr>
          <w:p>
            <w:pPr>
              <w:spacing w:after="0" w:line="20" w:lineRule="exact"/>
              <w:rPr>
                <w:sz w:val="1"/>
                <w:szCs w:val="1"/>
                <w:color w:val="auto"/>
              </w:rPr>
            </w:pPr>
          </w:p>
        </w:tc>
      </w:tr>
      <w:tr>
        <w:trPr>
          <w:trHeight w:val="129"/>
        </w:trPr>
        <w:tc>
          <w:tcPr>
            <w:tcW w:w="1020" w:type="dxa"/>
            <w:vAlign w:val="bottom"/>
            <w:tcBorders>
              <w:left w:val="single" w:sz="8" w:color="auto"/>
              <w:right w:val="single" w:sz="8" w:color="auto"/>
            </w:tcBorders>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260" w:type="dxa"/>
            <w:vAlign w:val="bottom"/>
            <w:shd w:val="clear" w:color="auto" w:fill="F0FFFF"/>
          </w:tcPr>
          <w:p>
            <w:pPr>
              <w:spacing w:after="0"/>
              <w:rPr>
                <w:sz w:val="11"/>
                <w:szCs w:val="11"/>
                <w:color w:val="auto"/>
              </w:rPr>
            </w:pPr>
          </w:p>
        </w:tc>
        <w:tc>
          <w:tcPr>
            <w:tcW w:w="480" w:type="dxa"/>
            <w:vAlign w:val="bottom"/>
            <w:tcBorders>
              <w:righ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260" w:type="dxa"/>
            <w:vAlign w:val="bottom"/>
            <w:shd w:val="clear" w:color="auto" w:fill="F0FFFF"/>
          </w:tcPr>
          <w:p>
            <w:pPr>
              <w:spacing w:after="0"/>
              <w:rPr>
                <w:sz w:val="11"/>
                <w:szCs w:val="11"/>
                <w:color w:val="auto"/>
              </w:rPr>
            </w:pPr>
          </w:p>
        </w:tc>
        <w:tc>
          <w:tcPr>
            <w:tcW w:w="460" w:type="dxa"/>
            <w:vAlign w:val="bottom"/>
            <w:shd w:val="clear" w:color="auto" w:fill="F0FFFF"/>
          </w:tcPr>
          <w:p>
            <w:pPr>
              <w:spacing w:after="0"/>
              <w:rPr>
                <w:sz w:val="11"/>
                <w:szCs w:val="11"/>
                <w:color w:val="auto"/>
              </w:rPr>
            </w:pPr>
          </w:p>
        </w:tc>
        <w:tc>
          <w:tcPr>
            <w:tcW w:w="280" w:type="dxa"/>
            <w:vAlign w:val="bottom"/>
            <w:tcBorders>
              <w:right w:val="single" w:sz="8" w:color="auto"/>
            </w:tcBorders>
            <w:shd w:val="clear" w:color="auto" w:fill="F0FFFF"/>
          </w:tcPr>
          <w:p>
            <w:pPr>
              <w:spacing w:after="0"/>
              <w:rPr>
                <w:sz w:val="11"/>
                <w:szCs w:val="11"/>
                <w:color w:val="auto"/>
              </w:rPr>
            </w:pPr>
          </w:p>
        </w:tc>
        <w:tc>
          <w:tcPr>
            <w:tcW w:w="1320" w:type="dxa"/>
            <w:vAlign w:val="bottom"/>
            <w:tcBorders>
              <w:right w:val="single" w:sz="8" w:color="auto"/>
            </w:tcBorders>
            <w:shd w:val="clear" w:color="auto" w:fill="F0FFFF"/>
          </w:tcPr>
          <w:p>
            <w:pPr>
              <w:spacing w:after="0"/>
              <w:rPr>
                <w:sz w:val="11"/>
                <w:szCs w:val="11"/>
                <w:color w:val="auto"/>
              </w:rPr>
            </w:pPr>
          </w:p>
        </w:tc>
        <w:tc>
          <w:tcPr>
            <w:tcW w:w="140" w:type="dxa"/>
            <w:vAlign w:val="bottom"/>
            <w:vMerge w:val="continue"/>
            <w:shd w:val="clear" w:color="auto" w:fill="F0FFFF"/>
          </w:tcPr>
          <w:p>
            <w:pPr>
              <w:spacing w:after="0"/>
              <w:rPr>
                <w:sz w:val="11"/>
                <w:szCs w:val="11"/>
                <w:color w:val="auto"/>
              </w:rPr>
            </w:pPr>
          </w:p>
        </w:tc>
        <w:tc>
          <w:tcPr>
            <w:tcW w:w="300" w:type="dxa"/>
            <w:vAlign w:val="bottom"/>
            <w:tcBorders>
              <w:left w:val="single" w:sz="8" w:color="F0FFFF"/>
              <w:right w:val="single" w:sz="8" w:color="F0FFFF"/>
            </w:tcBorders>
            <w:gridSpan w:val="4"/>
            <w:shd w:val="clear" w:color="auto" w:fill="F0FFFF"/>
          </w:tcPr>
          <w:p>
            <w:pPr>
              <w:spacing w:after="0" w:line="129" w:lineRule="exact"/>
              <w:rPr>
                <w:sz w:val="20"/>
                <w:szCs w:val="20"/>
                <w:color w:val="auto"/>
              </w:rPr>
            </w:pPr>
            <w:r>
              <w:rPr>
                <w:rFonts w:ascii="Times New Roman" w:cs="Times New Roman" w:eastAsia="Times New Roman" w:hAnsi="Times New Roman"/>
                <w:sz w:val="13"/>
                <w:szCs w:val="13"/>
                <w:color w:val="auto"/>
                <w:w w:val="94"/>
              </w:rPr>
              <w:t>Once</w:t>
            </w:r>
          </w:p>
        </w:tc>
        <w:tc>
          <w:tcPr>
            <w:tcW w:w="1260" w:type="dxa"/>
            <w:vAlign w:val="bottom"/>
            <w:tcBorders>
              <w:right w:val="single" w:sz="8" w:color="F0FFFF"/>
            </w:tcBorders>
            <w:gridSpan w:val="17"/>
            <w:shd w:val="clear" w:color="auto" w:fill="F0FFFF"/>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the Performance Lock</w:t>
            </w:r>
          </w:p>
        </w:tc>
        <w:tc>
          <w:tcPr>
            <w:tcW w:w="200" w:type="dxa"/>
            <w:vAlign w:val="bottom"/>
            <w:tcBorders>
              <w:right w:val="single" w:sz="8" w:color="auto"/>
            </w:tcBorders>
            <w:gridSpan w:val="6"/>
            <w:vMerge w:val="continue"/>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20" w:type="dxa"/>
            <w:vAlign w:val="bottom"/>
            <w:tcBorders>
              <w:top w:val="single" w:sz="8" w:color="F0FFFF"/>
              <w:left w:val="single" w:sz="8" w:color="auto"/>
              <w:right w:val="single" w:sz="8" w:color="auto"/>
            </w:tcBorders>
            <w:shd w:val="clear" w:color="auto" w:fill="F0FFFF"/>
          </w:tcPr>
          <w:p>
            <w:pPr>
              <w:spacing w:after="0"/>
              <w:rPr>
                <w:sz w:val="11"/>
                <w:szCs w:val="11"/>
                <w:color w:val="auto"/>
              </w:rPr>
            </w:pPr>
          </w:p>
        </w:tc>
        <w:tc>
          <w:tcPr>
            <w:tcW w:w="20" w:type="dxa"/>
            <w:vAlign w:val="bottom"/>
            <w:tcBorders>
              <w:top w:val="single" w:sz="8" w:color="F0FFFF"/>
            </w:tcBorders>
            <w:shd w:val="clear" w:color="auto" w:fill="F0FFFF"/>
          </w:tcPr>
          <w:p>
            <w:pPr>
              <w:spacing w:after="0"/>
              <w:rPr>
                <w:sz w:val="11"/>
                <w:szCs w:val="11"/>
                <w:color w:val="auto"/>
              </w:rPr>
            </w:pPr>
          </w:p>
        </w:tc>
        <w:tc>
          <w:tcPr>
            <w:tcW w:w="260" w:type="dxa"/>
            <w:vAlign w:val="bottom"/>
            <w:tcBorders>
              <w:top w:val="single" w:sz="8" w:color="F0FFFF"/>
            </w:tcBorders>
            <w:shd w:val="clear" w:color="auto" w:fill="F0FFFF"/>
          </w:tcPr>
          <w:p>
            <w:pPr>
              <w:spacing w:after="0"/>
              <w:rPr>
                <w:sz w:val="11"/>
                <w:szCs w:val="11"/>
                <w:color w:val="auto"/>
              </w:rPr>
            </w:pPr>
          </w:p>
        </w:tc>
        <w:tc>
          <w:tcPr>
            <w:tcW w:w="480" w:type="dxa"/>
            <w:vAlign w:val="bottom"/>
            <w:tcBorders>
              <w:top w:val="single" w:sz="8" w:color="F0FFFF"/>
              <w:right w:val="single" w:sz="8" w:color="F0FFFF"/>
            </w:tcBorders>
            <w:shd w:val="clear" w:color="auto" w:fill="F0FFFF"/>
          </w:tcPr>
          <w:p>
            <w:pPr>
              <w:spacing w:after="0"/>
              <w:rPr>
                <w:sz w:val="11"/>
                <w:szCs w:val="11"/>
                <w:color w:val="auto"/>
              </w:rPr>
            </w:pPr>
          </w:p>
        </w:tc>
        <w:tc>
          <w:tcPr>
            <w:tcW w:w="80" w:type="dxa"/>
            <w:vAlign w:val="bottom"/>
            <w:tcBorders>
              <w:top w:val="single" w:sz="8" w:color="F0FFFF"/>
            </w:tcBorders>
            <w:shd w:val="clear" w:color="auto" w:fill="F0FFFF"/>
          </w:tcPr>
          <w:p>
            <w:pPr>
              <w:spacing w:after="0"/>
              <w:rPr>
                <w:sz w:val="11"/>
                <w:szCs w:val="11"/>
                <w:color w:val="auto"/>
              </w:rPr>
            </w:pPr>
          </w:p>
        </w:tc>
        <w:tc>
          <w:tcPr>
            <w:tcW w:w="260" w:type="dxa"/>
            <w:vAlign w:val="bottom"/>
            <w:tcBorders>
              <w:top w:val="single" w:sz="8" w:color="F0FFFF"/>
            </w:tcBorders>
            <w:shd w:val="clear" w:color="auto" w:fill="F0FFFF"/>
          </w:tcPr>
          <w:p>
            <w:pPr>
              <w:spacing w:after="0"/>
              <w:rPr>
                <w:sz w:val="11"/>
                <w:szCs w:val="11"/>
                <w:color w:val="auto"/>
              </w:rPr>
            </w:pPr>
          </w:p>
        </w:tc>
        <w:tc>
          <w:tcPr>
            <w:tcW w:w="460" w:type="dxa"/>
            <w:vAlign w:val="bottom"/>
            <w:tcBorders>
              <w:top w:val="single" w:sz="8" w:color="F0FFFF"/>
            </w:tcBorders>
            <w:shd w:val="clear" w:color="auto" w:fill="F0FFFF"/>
          </w:tcPr>
          <w:p>
            <w:pPr>
              <w:spacing w:after="0"/>
              <w:rPr>
                <w:sz w:val="11"/>
                <w:szCs w:val="11"/>
                <w:color w:val="auto"/>
              </w:rPr>
            </w:pPr>
          </w:p>
        </w:tc>
        <w:tc>
          <w:tcPr>
            <w:tcW w:w="280" w:type="dxa"/>
            <w:vAlign w:val="bottom"/>
            <w:tcBorders>
              <w:top w:val="single" w:sz="8" w:color="F0FFFF"/>
              <w:right w:val="single" w:sz="8" w:color="auto"/>
            </w:tcBorders>
            <w:shd w:val="clear" w:color="auto" w:fill="F0FFFF"/>
          </w:tcPr>
          <w:p>
            <w:pPr>
              <w:spacing w:after="0"/>
              <w:rPr>
                <w:sz w:val="11"/>
                <w:szCs w:val="11"/>
                <w:color w:val="auto"/>
              </w:rPr>
            </w:pPr>
          </w:p>
        </w:tc>
        <w:tc>
          <w:tcPr>
            <w:tcW w:w="1320" w:type="dxa"/>
            <w:vAlign w:val="bottom"/>
            <w:tcBorders>
              <w:top w:val="single" w:sz="8" w:color="F0FFFF"/>
              <w:right w:val="single" w:sz="8" w:color="auto"/>
            </w:tcBorders>
            <w:shd w:val="clear" w:color="auto" w:fill="F0FFFF"/>
          </w:tcPr>
          <w:p>
            <w:pPr>
              <w:spacing w:after="0"/>
              <w:rPr>
                <w:sz w:val="11"/>
                <w:szCs w:val="11"/>
                <w:color w:val="auto"/>
              </w:rPr>
            </w:pPr>
          </w:p>
        </w:tc>
        <w:tc>
          <w:tcPr>
            <w:tcW w:w="140" w:type="dxa"/>
            <w:vAlign w:val="bottom"/>
            <w:tcBorders>
              <w:top w:val="single" w:sz="8" w:color="F0FFFF"/>
            </w:tcBorders>
            <w:shd w:val="clear" w:color="auto" w:fill="F0FFFF"/>
          </w:tcPr>
          <w:p>
            <w:pPr>
              <w:spacing w:after="0"/>
              <w:rPr>
                <w:sz w:val="11"/>
                <w:szCs w:val="11"/>
                <w:color w:val="auto"/>
              </w:rPr>
            </w:pPr>
          </w:p>
        </w:tc>
        <w:tc>
          <w:tcPr>
            <w:tcW w:w="500" w:type="dxa"/>
            <w:vAlign w:val="bottom"/>
            <w:tcBorders>
              <w:top w:val="single" w:sz="8" w:color="F0FFFF"/>
              <w:left w:val="single" w:sz="8" w:color="F0FFFF"/>
              <w:right w:val="single" w:sz="8" w:color="F0FFFF"/>
            </w:tcBorders>
            <w:gridSpan w:val="5"/>
            <w:shd w:val="clear" w:color="auto" w:fill="F0FFFF"/>
          </w:tcPr>
          <w:p>
            <w:pPr>
              <w:spacing w:after="0" w:line="129" w:lineRule="exact"/>
              <w:rPr>
                <w:sz w:val="20"/>
                <w:szCs w:val="20"/>
                <w:color w:val="auto"/>
              </w:rPr>
            </w:pPr>
            <w:r>
              <w:rPr>
                <w:rFonts w:ascii="Times New Roman" w:cs="Times New Roman" w:eastAsia="Times New Roman" w:hAnsi="Times New Roman"/>
                <w:sz w:val="13"/>
                <w:szCs w:val="13"/>
                <w:color w:val="auto"/>
                <w:w w:val="93"/>
              </w:rPr>
              <w:t>exercised</w:t>
            </w:r>
          </w:p>
        </w:tc>
        <w:tc>
          <w:tcPr>
            <w:tcW w:w="1000" w:type="dxa"/>
            <w:vAlign w:val="bottom"/>
            <w:tcBorders>
              <w:top w:val="single" w:sz="8" w:color="auto"/>
              <w:left w:val="single" w:sz="8" w:color="F0FFFF"/>
              <w:right w:val="single" w:sz="8" w:color="F0FFFF"/>
            </w:tcBorders>
            <w:gridSpan w:val="14"/>
            <w:shd w:val="clear" w:color="auto" w:fill="F0FFFF"/>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w w:val="95"/>
              </w:rPr>
              <w:t>for a Shield Option</w:t>
            </w:r>
          </w:p>
        </w:tc>
        <w:tc>
          <w:tcPr>
            <w:tcW w:w="120" w:type="dxa"/>
            <w:vAlign w:val="bottom"/>
            <w:tcBorders>
              <w:top w:val="single" w:sz="8" w:color="F0FFFF"/>
            </w:tcBorders>
            <w:gridSpan w:val="5"/>
            <w:shd w:val="clear" w:color="auto" w:fill="F0FFFF"/>
          </w:tcPr>
          <w:p>
            <w:pPr>
              <w:spacing w:after="0"/>
              <w:rPr>
                <w:sz w:val="11"/>
                <w:szCs w:val="11"/>
                <w:color w:val="auto"/>
              </w:rPr>
            </w:pPr>
          </w:p>
        </w:tc>
        <w:tc>
          <w:tcPr>
            <w:tcW w:w="140" w:type="dxa"/>
            <w:vAlign w:val="bottom"/>
            <w:tcBorders>
              <w:top w:val="single" w:sz="8" w:color="F0FFFF"/>
              <w:right w:val="single" w:sz="8" w:color="auto"/>
            </w:tcBorders>
            <w:gridSpan w:val="3"/>
            <w:shd w:val="clear" w:color="auto" w:fill="F0FFFF"/>
          </w:tcPr>
          <w:p>
            <w:pPr>
              <w:jc w:val="right"/>
              <w:ind w:right="60"/>
              <w:spacing w:after="0"/>
              <w:rPr>
                <w:sz w:val="20"/>
                <w:szCs w:val="20"/>
                <w:color w:val="auto"/>
              </w:rPr>
            </w:pPr>
            <w:r>
              <w:rPr>
                <w:rFonts w:ascii="Times New Roman" w:cs="Times New Roman" w:eastAsia="Times New Roman" w:hAnsi="Times New Roman"/>
                <w:sz w:val="8"/>
                <w:szCs w:val="8"/>
                <w:color w:val="auto"/>
                <w:w w:val="70"/>
              </w:rPr>
              <w:t>, it</w:t>
            </w:r>
          </w:p>
        </w:tc>
        <w:tc>
          <w:tcPr>
            <w:tcW w:w="0" w:type="dxa"/>
            <w:vAlign w:val="bottom"/>
          </w:tcPr>
          <w:p>
            <w:pPr>
              <w:spacing w:after="0"/>
              <w:rPr>
                <w:sz w:val="1"/>
                <w:szCs w:val="1"/>
                <w:color w:val="auto"/>
              </w:rPr>
            </w:pPr>
          </w:p>
        </w:tc>
      </w:tr>
      <w:tr>
        <w:trPr>
          <w:trHeight w:val="20"/>
        </w:trPr>
        <w:tc>
          <w:tcPr>
            <w:tcW w:w="102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48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460" w:type="dxa"/>
            <w:vAlign w:val="bottom"/>
            <w:shd w:val="clear" w:color="auto" w:fill="F0FFFF"/>
          </w:tcPr>
          <w:p>
            <w:pPr>
              <w:spacing w:after="0" w:line="20" w:lineRule="exact"/>
              <w:rPr>
                <w:sz w:val="1"/>
                <w:szCs w:val="1"/>
                <w:color w:val="auto"/>
              </w:rPr>
            </w:pPr>
          </w:p>
        </w:tc>
        <w:tc>
          <w:tcPr>
            <w:tcW w:w="280" w:type="dxa"/>
            <w:vAlign w:val="bottom"/>
            <w:tcBorders>
              <w:right w:val="single" w:sz="8" w:color="auto"/>
            </w:tcBorders>
            <w:shd w:val="clear" w:color="auto" w:fill="F0FFFF"/>
          </w:tcPr>
          <w:p>
            <w:pPr>
              <w:spacing w:after="0" w:line="20" w:lineRule="exact"/>
              <w:rPr>
                <w:sz w:val="1"/>
                <w:szCs w:val="1"/>
                <w:color w:val="auto"/>
              </w:rPr>
            </w:pPr>
          </w:p>
        </w:tc>
        <w:tc>
          <w:tcPr>
            <w:tcW w:w="1320" w:type="dxa"/>
            <w:vAlign w:val="bottom"/>
            <w:tcBorders>
              <w:right w:val="single" w:sz="8" w:color="auto"/>
            </w:tcBorders>
            <w:shd w:val="clear" w:color="auto" w:fill="F0FFFF"/>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220" w:type="dxa"/>
            <w:vAlign w:val="bottom"/>
            <w:tcBorders>
              <w:left w:val="single" w:sz="8" w:color="F0FFFF"/>
            </w:tcBorders>
            <w:gridSpan w:val="2"/>
            <w:shd w:val="clear" w:color="auto" w:fill="F0FFFF"/>
          </w:tcPr>
          <w:p>
            <w:pPr>
              <w:spacing w:after="0" w:line="20" w:lineRule="exact"/>
              <w:rPr>
                <w:sz w:val="1"/>
                <w:szCs w:val="1"/>
                <w:color w:val="auto"/>
              </w:rPr>
            </w:pPr>
          </w:p>
        </w:tc>
        <w:tc>
          <w:tcPr>
            <w:tcW w:w="280" w:type="dxa"/>
            <w:vAlign w:val="bottom"/>
            <w:tcBorders>
              <w:right w:val="single" w:sz="8" w:color="F0FFFF"/>
            </w:tcBorders>
            <w:gridSpan w:val="3"/>
            <w:shd w:val="clear" w:color="auto" w:fill="F0FFFF"/>
          </w:tcPr>
          <w:p>
            <w:pPr>
              <w:spacing w:after="0" w:line="20" w:lineRule="exact"/>
              <w:rPr>
                <w:sz w:val="1"/>
                <w:szCs w:val="1"/>
                <w:color w:val="auto"/>
              </w:rPr>
            </w:pPr>
          </w:p>
        </w:tc>
        <w:tc>
          <w:tcPr>
            <w:tcW w:w="20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120" w:type="dxa"/>
            <w:vAlign w:val="bottom"/>
            <w:tcBorders>
              <w:right w:val="single" w:sz="8" w:color="F0FFFF"/>
            </w:tcBorders>
            <w:gridSpan w:val="3"/>
            <w:shd w:val="clear" w:color="auto" w:fill="F0FFFF"/>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Borders>
              <w:right w:val="single" w:sz="8" w:color="auto"/>
            </w:tcBorders>
            <w:gridSpan w:val="5"/>
            <w:shd w:val="clear" w:color="auto" w:fill="000000"/>
          </w:tcPr>
          <w:p>
            <w:pPr>
              <w:spacing w:after="0" w:line="20" w:lineRule="exact"/>
              <w:rPr>
                <w:sz w:val="1"/>
                <w:szCs w:val="1"/>
                <w:color w:val="auto"/>
              </w:rPr>
            </w:pPr>
          </w:p>
        </w:tc>
        <w:tc>
          <w:tcPr>
            <w:tcW w:w="120" w:type="dxa"/>
            <w:vAlign w:val="bottom"/>
            <w:gridSpan w:val="5"/>
            <w:shd w:val="clear" w:color="auto" w:fill="000000"/>
          </w:tcPr>
          <w:p>
            <w:pPr>
              <w:spacing w:after="0" w:line="20" w:lineRule="exact"/>
              <w:rPr>
                <w:sz w:val="1"/>
                <w:szCs w:val="1"/>
                <w:color w:val="auto"/>
              </w:rPr>
            </w:pPr>
          </w:p>
        </w:tc>
        <w:tc>
          <w:tcPr>
            <w:tcW w:w="140" w:type="dxa"/>
            <w:vAlign w:val="bottom"/>
            <w:tcBorders>
              <w:right w:val="single" w:sz="8" w:color="auto"/>
            </w:tcBorders>
            <w:gridSpan w:val="3"/>
            <w:vMerge w:val="restart"/>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1020" w:type="dxa"/>
            <w:vAlign w:val="bottom"/>
            <w:tcBorders>
              <w:left w:val="single" w:sz="8" w:color="auto"/>
              <w:right w:val="single" w:sz="8" w:color="auto"/>
            </w:tcBorders>
            <w:shd w:val="clear" w:color="auto" w:fill="F0FFFF"/>
          </w:tcPr>
          <w:p>
            <w:pPr>
              <w:spacing w:after="0"/>
              <w:rPr>
                <w:sz w:val="10"/>
                <w:szCs w:val="10"/>
                <w:color w:val="auto"/>
              </w:rPr>
            </w:pPr>
          </w:p>
        </w:tc>
        <w:tc>
          <w:tcPr>
            <w:tcW w:w="20" w:type="dxa"/>
            <w:vAlign w:val="bottom"/>
            <w:shd w:val="clear" w:color="auto" w:fill="F0FFFF"/>
          </w:tcPr>
          <w:p>
            <w:pPr>
              <w:spacing w:after="0"/>
              <w:rPr>
                <w:sz w:val="10"/>
                <w:szCs w:val="10"/>
                <w:color w:val="auto"/>
              </w:rPr>
            </w:pPr>
          </w:p>
        </w:tc>
        <w:tc>
          <w:tcPr>
            <w:tcW w:w="260" w:type="dxa"/>
            <w:vAlign w:val="bottom"/>
            <w:shd w:val="clear" w:color="auto" w:fill="F0FFFF"/>
          </w:tcPr>
          <w:p>
            <w:pPr>
              <w:spacing w:after="0"/>
              <w:rPr>
                <w:sz w:val="10"/>
                <w:szCs w:val="10"/>
                <w:color w:val="auto"/>
              </w:rPr>
            </w:pPr>
          </w:p>
        </w:tc>
        <w:tc>
          <w:tcPr>
            <w:tcW w:w="480" w:type="dxa"/>
            <w:vAlign w:val="bottom"/>
            <w:tcBorders>
              <w:right w:val="single" w:sz="8" w:color="F0FFFF"/>
            </w:tcBorders>
            <w:shd w:val="clear" w:color="auto" w:fill="F0FFFF"/>
          </w:tcPr>
          <w:p>
            <w:pPr>
              <w:spacing w:after="0"/>
              <w:rPr>
                <w:sz w:val="10"/>
                <w:szCs w:val="10"/>
                <w:color w:val="auto"/>
              </w:rPr>
            </w:pPr>
          </w:p>
        </w:tc>
        <w:tc>
          <w:tcPr>
            <w:tcW w:w="80" w:type="dxa"/>
            <w:vAlign w:val="bottom"/>
            <w:shd w:val="clear" w:color="auto" w:fill="F0FFFF"/>
          </w:tcPr>
          <w:p>
            <w:pPr>
              <w:spacing w:after="0"/>
              <w:rPr>
                <w:sz w:val="10"/>
                <w:szCs w:val="10"/>
                <w:color w:val="auto"/>
              </w:rPr>
            </w:pPr>
          </w:p>
        </w:tc>
        <w:tc>
          <w:tcPr>
            <w:tcW w:w="260" w:type="dxa"/>
            <w:vAlign w:val="bottom"/>
            <w:shd w:val="clear" w:color="auto" w:fill="F0FFFF"/>
          </w:tcPr>
          <w:p>
            <w:pPr>
              <w:spacing w:after="0"/>
              <w:rPr>
                <w:sz w:val="10"/>
                <w:szCs w:val="10"/>
                <w:color w:val="auto"/>
              </w:rPr>
            </w:pPr>
          </w:p>
        </w:tc>
        <w:tc>
          <w:tcPr>
            <w:tcW w:w="460" w:type="dxa"/>
            <w:vAlign w:val="bottom"/>
            <w:shd w:val="clear" w:color="auto" w:fill="F0FFFF"/>
          </w:tcPr>
          <w:p>
            <w:pPr>
              <w:spacing w:after="0"/>
              <w:rPr>
                <w:sz w:val="10"/>
                <w:szCs w:val="10"/>
                <w:color w:val="auto"/>
              </w:rPr>
            </w:pPr>
          </w:p>
        </w:tc>
        <w:tc>
          <w:tcPr>
            <w:tcW w:w="280" w:type="dxa"/>
            <w:vAlign w:val="bottom"/>
            <w:tcBorders>
              <w:right w:val="single" w:sz="8" w:color="auto"/>
            </w:tcBorders>
            <w:shd w:val="clear" w:color="auto" w:fill="F0FFFF"/>
          </w:tcPr>
          <w:p>
            <w:pPr>
              <w:spacing w:after="0"/>
              <w:rPr>
                <w:sz w:val="10"/>
                <w:szCs w:val="10"/>
                <w:color w:val="auto"/>
              </w:rPr>
            </w:pPr>
          </w:p>
        </w:tc>
        <w:tc>
          <w:tcPr>
            <w:tcW w:w="1320" w:type="dxa"/>
            <w:vAlign w:val="bottom"/>
            <w:tcBorders>
              <w:right w:val="single" w:sz="8" w:color="auto"/>
            </w:tcBorders>
            <w:shd w:val="clear" w:color="auto" w:fill="F0FFFF"/>
          </w:tcPr>
          <w:p>
            <w:pPr>
              <w:spacing w:after="0"/>
              <w:rPr>
                <w:sz w:val="10"/>
                <w:szCs w:val="10"/>
                <w:color w:val="auto"/>
              </w:rPr>
            </w:pPr>
          </w:p>
        </w:tc>
        <w:tc>
          <w:tcPr>
            <w:tcW w:w="140" w:type="dxa"/>
            <w:vAlign w:val="bottom"/>
            <w:shd w:val="clear" w:color="auto" w:fill="F0FFFF"/>
          </w:tcPr>
          <w:p>
            <w:pPr>
              <w:spacing w:after="0"/>
              <w:rPr>
                <w:sz w:val="10"/>
                <w:szCs w:val="10"/>
                <w:color w:val="auto"/>
              </w:rPr>
            </w:pPr>
          </w:p>
        </w:tc>
        <w:tc>
          <w:tcPr>
            <w:tcW w:w="1620" w:type="dxa"/>
            <w:vAlign w:val="bottom"/>
            <w:tcBorders>
              <w:left w:val="single" w:sz="8" w:color="F0FFFF"/>
            </w:tcBorders>
            <w:gridSpan w:val="24"/>
            <w:shd w:val="clear" w:color="auto" w:fill="F0FFFF"/>
          </w:tcPr>
          <w:p>
            <w:pPr>
              <w:spacing w:after="0" w:line="126" w:lineRule="exact"/>
              <w:rPr>
                <w:sz w:val="20"/>
                <w:szCs w:val="20"/>
                <w:color w:val="auto"/>
              </w:rPr>
            </w:pPr>
            <w:r>
              <w:rPr>
                <w:rFonts w:ascii="Times New Roman" w:cs="Times New Roman" w:eastAsia="Times New Roman" w:hAnsi="Times New Roman"/>
                <w:sz w:val="13"/>
                <w:szCs w:val="13"/>
                <w:color w:val="auto"/>
              </w:rPr>
              <w:t>is irrevocable for the</w:t>
            </w:r>
          </w:p>
        </w:tc>
        <w:tc>
          <w:tcPr>
            <w:tcW w:w="140" w:type="dxa"/>
            <w:vAlign w:val="bottom"/>
            <w:tcBorders>
              <w:right w:val="single" w:sz="8" w:color="auto"/>
            </w:tcBorders>
            <w:gridSpan w:val="3"/>
            <w:vMerge w:val="continue"/>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020" w:type="dxa"/>
            <w:vAlign w:val="bottom"/>
            <w:tcBorders>
              <w:left w:val="single" w:sz="8" w:color="auto"/>
              <w:right w:val="single" w:sz="8" w:color="auto"/>
            </w:tcBorders>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480" w:type="dxa"/>
            <w:vAlign w:val="bottom"/>
            <w:tcBorders>
              <w:righ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460" w:type="dxa"/>
            <w:vAlign w:val="bottom"/>
            <w:shd w:val="clear" w:color="auto" w:fill="F0FFFF"/>
          </w:tcPr>
          <w:p>
            <w:pPr>
              <w:spacing w:after="0"/>
              <w:rPr>
                <w:sz w:val="12"/>
                <w:szCs w:val="12"/>
                <w:color w:val="auto"/>
              </w:rPr>
            </w:pPr>
          </w:p>
        </w:tc>
        <w:tc>
          <w:tcPr>
            <w:tcW w:w="280" w:type="dxa"/>
            <w:vAlign w:val="bottom"/>
            <w:tcBorders>
              <w:right w:val="single" w:sz="8" w:color="auto"/>
            </w:tcBorders>
            <w:shd w:val="clear" w:color="auto" w:fill="F0FFFF"/>
          </w:tcPr>
          <w:p>
            <w:pPr>
              <w:spacing w:after="0"/>
              <w:rPr>
                <w:sz w:val="12"/>
                <w:szCs w:val="12"/>
                <w:color w:val="auto"/>
              </w:rPr>
            </w:pPr>
          </w:p>
        </w:tc>
        <w:tc>
          <w:tcPr>
            <w:tcW w:w="1320" w:type="dxa"/>
            <w:vAlign w:val="bottom"/>
            <w:tcBorders>
              <w:right w:val="single" w:sz="8" w:color="auto"/>
            </w:tcBorders>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760" w:type="dxa"/>
            <w:vAlign w:val="bottom"/>
            <w:tcBorders>
              <w:left w:val="single" w:sz="8" w:color="F0FFFF"/>
              <w:right w:val="single" w:sz="8" w:color="auto"/>
            </w:tcBorders>
            <w:gridSpan w:val="27"/>
            <w:shd w:val="clear" w:color="auto" w:fill="F0FFFF"/>
          </w:tcPr>
          <w:p>
            <w:pPr>
              <w:spacing w:after="0" w:line="142" w:lineRule="exact"/>
              <w:rPr>
                <w:sz w:val="20"/>
                <w:szCs w:val="20"/>
                <w:color w:val="auto"/>
              </w:rPr>
            </w:pPr>
            <w:r>
              <w:rPr>
                <w:rFonts w:ascii="Times New Roman" w:cs="Times New Roman" w:eastAsia="Times New Roman" w:hAnsi="Times New Roman"/>
                <w:sz w:val="13"/>
                <w:szCs w:val="13"/>
                <w:color w:val="auto"/>
              </w:rPr>
              <w:t>remainder of that Term.</w:t>
            </w:r>
          </w:p>
        </w:tc>
        <w:tc>
          <w:tcPr>
            <w:tcW w:w="0" w:type="dxa"/>
            <w:vAlign w:val="bottom"/>
          </w:tcPr>
          <w:p>
            <w:pPr>
              <w:spacing w:after="0"/>
              <w:rPr>
                <w:sz w:val="1"/>
                <w:szCs w:val="1"/>
                <w:color w:val="auto"/>
              </w:rPr>
            </w:pPr>
          </w:p>
        </w:tc>
      </w:tr>
      <w:tr>
        <w:trPr>
          <w:trHeight w:val="20"/>
        </w:trPr>
        <w:tc>
          <w:tcPr>
            <w:tcW w:w="102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48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460" w:type="dxa"/>
            <w:vAlign w:val="bottom"/>
            <w:shd w:val="clear" w:color="auto" w:fill="F0FFFF"/>
          </w:tcPr>
          <w:p>
            <w:pPr>
              <w:spacing w:after="0" w:line="20" w:lineRule="exact"/>
              <w:rPr>
                <w:sz w:val="1"/>
                <w:szCs w:val="1"/>
                <w:color w:val="auto"/>
              </w:rPr>
            </w:pPr>
          </w:p>
        </w:tc>
        <w:tc>
          <w:tcPr>
            <w:tcW w:w="280" w:type="dxa"/>
            <w:vAlign w:val="bottom"/>
            <w:tcBorders>
              <w:right w:val="single" w:sz="8" w:color="auto"/>
            </w:tcBorders>
            <w:shd w:val="clear" w:color="auto" w:fill="F0FFFF"/>
          </w:tcPr>
          <w:p>
            <w:pPr>
              <w:spacing w:after="0" w:line="20" w:lineRule="exact"/>
              <w:rPr>
                <w:sz w:val="1"/>
                <w:szCs w:val="1"/>
                <w:color w:val="auto"/>
              </w:rPr>
            </w:pPr>
          </w:p>
        </w:tc>
        <w:tc>
          <w:tcPr>
            <w:tcW w:w="1320" w:type="dxa"/>
            <w:vAlign w:val="bottom"/>
            <w:tcBorders>
              <w:right w:val="single" w:sz="8" w:color="auto"/>
            </w:tcBorders>
            <w:shd w:val="clear" w:color="auto" w:fill="F0FFFF"/>
          </w:tcPr>
          <w:p>
            <w:pPr>
              <w:spacing w:after="0" w:line="20" w:lineRule="exact"/>
              <w:rPr>
                <w:sz w:val="1"/>
                <w:szCs w:val="1"/>
                <w:color w:val="auto"/>
              </w:rPr>
            </w:pPr>
          </w:p>
        </w:tc>
        <w:tc>
          <w:tcPr>
            <w:tcW w:w="1080" w:type="dxa"/>
            <w:vAlign w:val="bottom"/>
            <w:tcBorders>
              <w:right w:val="single" w:sz="8" w:color="F0FFFF"/>
            </w:tcBorders>
            <w:gridSpan w:val="12"/>
            <w:vMerge w:val="restart"/>
            <w:shd w:val="clear" w:color="auto" w:fill="F0FFFF"/>
          </w:tcPr>
          <w:p>
            <w:pPr>
              <w:ind w:left="20"/>
              <w:spacing w:after="0" w:line="146" w:lineRule="exact"/>
              <w:rPr>
                <w:sz w:val="20"/>
                <w:szCs w:val="20"/>
                <w:color w:val="auto"/>
              </w:rPr>
            </w:pPr>
            <w:r>
              <w:rPr>
                <w:rFonts w:ascii="Times New Roman" w:cs="Times New Roman" w:eastAsia="Times New Roman" w:hAnsi="Times New Roman"/>
                <w:sz w:val="13"/>
                <w:szCs w:val="13"/>
                <w:color w:val="auto"/>
              </w:rPr>
              <w:t>● Upon exercising,</w:t>
            </w:r>
          </w:p>
        </w:tc>
        <w:tc>
          <w:tcPr>
            <w:tcW w:w="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F0FFFF"/>
            </w:tcBorders>
            <w:gridSpan w:val="2"/>
            <w:shd w:val="clear" w:color="auto" w:fill="F0FFFF"/>
          </w:tcPr>
          <w:p>
            <w:pPr>
              <w:spacing w:after="0" w:line="20" w:lineRule="exact"/>
              <w:rPr>
                <w:sz w:val="1"/>
                <w:szCs w:val="1"/>
                <w:color w:val="auto"/>
              </w:rPr>
            </w:pPr>
          </w:p>
        </w:tc>
        <w:tc>
          <w:tcPr>
            <w:tcW w:w="160" w:type="dxa"/>
            <w:vAlign w:val="bottom"/>
            <w:tcBorders>
              <w:right w:val="single" w:sz="8" w:color="F0FFFF"/>
            </w:tcBorders>
            <w:gridSpan w:val="5"/>
            <w:shd w:val="clear" w:color="auto" w:fill="F0FFFF"/>
          </w:tcPr>
          <w:p>
            <w:pPr>
              <w:spacing w:after="0" w:line="20" w:lineRule="exact"/>
              <w:rPr>
                <w:sz w:val="1"/>
                <w:szCs w:val="1"/>
                <w:color w:val="auto"/>
              </w:rPr>
            </w:pPr>
          </w:p>
        </w:tc>
        <w:tc>
          <w:tcPr>
            <w:tcW w:w="260" w:type="dxa"/>
            <w:vAlign w:val="bottom"/>
            <w:tcBorders>
              <w:right w:val="single" w:sz="8" w:color="auto"/>
            </w:tcBorders>
            <w:gridSpan w:val="8"/>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1020" w:type="dxa"/>
            <w:vAlign w:val="bottom"/>
            <w:tcBorders>
              <w:left w:val="single" w:sz="8" w:color="auto"/>
              <w:right w:val="single" w:sz="8" w:color="auto"/>
            </w:tcBorders>
            <w:shd w:val="clear" w:color="auto" w:fill="F0FFFF"/>
          </w:tcPr>
          <w:p>
            <w:pPr>
              <w:spacing w:after="0"/>
              <w:rPr>
                <w:sz w:val="10"/>
                <w:szCs w:val="10"/>
                <w:color w:val="auto"/>
              </w:rPr>
            </w:pPr>
          </w:p>
        </w:tc>
        <w:tc>
          <w:tcPr>
            <w:tcW w:w="20" w:type="dxa"/>
            <w:vAlign w:val="bottom"/>
            <w:shd w:val="clear" w:color="auto" w:fill="F0FFFF"/>
          </w:tcPr>
          <w:p>
            <w:pPr>
              <w:spacing w:after="0"/>
              <w:rPr>
                <w:sz w:val="10"/>
                <w:szCs w:val="10"/>
                <w:color w:val="auto"/>
              </w:rPr>
            </w:pPr>
          </w:p>
        </w:tc>
        <w:tc>
          <w:tcPr>
            <w:tcW w:w="260" w:type="dxa"/>
            <w:vAlign w:val="bottom"/>
            <w:shd w:val="clear" w:color="auto" w:fill="F0FFFF"/>
          </w:tcPr>
          <w:p>
            <w:pPr>
              <w:spacing w:after="0"/>
              <w:rPr>
                <w:sz w:val="10"/>
                <w:szCs w:val="10"/>
                <w:color w:val="auto"/>
              </w:rPr>
            </w:pPr>
          </w:p>
        </w:tc>
        <w:tc>
          <w:tcPr>
            <w:tcW w:w="480" w:type="dxa"/>
            <w:vAlign w:val="bottom"/>
            <w:tcBorders>
              <w:right w:val="single" w:sz="8" w:color="F0FFFF"/>
            </w:tcBorders>
            <w:shd w:val="clear" w:color="auto" w:fill="F0FFFF"/>
          </w:tcPr>
          <w:p>
            <w:pPr>
              <w:spacing w:after="0"/>
              <w:rPr>
                <w:sz w:val="10"/>
                <w:szCs w:val="10"/>
                <w:color w:val="auto"/>
              </w:rPr>
            </w:pPr>
          </w:p>
        </w:tc>
        <w:tc>
          <w:tcPr>
            <w:tcW w:w="80" w:type="dxa"/>
            <w:vAlign w:val="bottom"/>
            <w:shd w:val="clear" w:color="auto" w:fill="F0FFFF"/>
          </w:tcPr>
          <w:p>
            <w:pPr>
              <w:spacing w:after="0"/>
              <w:rPr>
                <w:sz w:val="10"/>
                <w:szCs w:val="10"/>
                <w:color w:val="auto"/>
              </w:rPr>
            </w:pPr>
          </w:p>
        </w:tc>
        <w:tc>
          <w:tcPr>
            <w:tcW w:w="260" w:type="dxa"/>
            <w:vAlign w:val="bottom"/>
            <w:shd w:val="clear" w:color="auto" w:fill="F0FFFF"/>
          </w:tcPr>
          <w:p>
            <w:pPr>
              <w:spacing w:after="0"/>
              <w:rPr>
                <w:sz w:val="10"/>
                <w:szCs w:val="10"/>
                <w:color w:val="auto"/>
              </w:rPr>
            </w:pPr>
          </w:p>
        </w:tc>
        <w:tc>
          <w:tcPr>
            <w:tcW w:w="460" w:type="dxa"/>
            <w:vAlign w:val="bottom"/>
            <w:shd w:val="clear" w:color="auto" w:fill="F0FFFF"/>
          </w:tcPr>
          <w:p>
            <w:pPr>
              <w:spacing w:after="0"/>
              <w:rPr>
                <w:sz w:val="10"/>
                <w:szCs w:val="10"/>
                <w:color w:val="auto"/>
              </w:rPr>
            </w:pPr>
          </w:p>
        </w:tc>
        <w:tc>
          <w:tcPr>
            <w:tcW w:w="280" w:type="dxa"/>
            <w:vAlign w:val="bottom"/>
            <w:tcBorders>
              <w:right w:val="single" w:sz="8" w:color="auto"/>
            </w:tcBorders>
            <w:shd w:val="clear" w:color="auto" w:fill="F0FFFF"/>
          </w:tcPr>
          <w:p>
            <w:pPr>
              <w:spacing w:after="0"/>
              <w:rPr>
                <w:sz w:val="10"/>
                <w:szCs w:val="10"/>
                <w:color w:val="auto"/>
              </w:rPr>
            </w:pPr>
          </w:p>
        </w:tc>
        <w:tc>
          <w:tcPr>
            <w:tcW w:w="1320" w:type="dxa"/>
            <w:vAlign w:val="bottom"/>
            <w:tcBorders>
              <w:right w:val="single" w:sz="8" w:color="auto"/>
            </w:tcBorders>
            <w:shd w:val="clear" w:color="auto" w:fill="F0FFFF"/>
          </w:tcPr>
          <w:p>
            <w:pPr>
              <w:spacing w:after="0"/>
              <w:rPr>
                <w:sz w:val="10"/>
                <w:szCs w:val="10"/>
                <w:color w:val="auto"/>
              </w:rPr>
            </w:pPr>
          </w:p>
        </w:tc>
        <w:tc>
          <w:tcPr>
            <w:tcW w:w="1080" w:type="dxa"/>
            <w:vAlign w:val="bottom"/>
            <w:tcBorders>
              <w:right w:val="single" w:sz="8" w:color="F0FFFF"/>
            </w:tcBorders>
            <w:gridSpan w:val="12"/>
            <w:vMerge w:val="continue"/>
            <w:shd w:val="clear" w:color="auto" w:fill="F0FFFF"/>
          </w:tcPr>
          <w:p>
            <w:pPr>
              <w:spacing w:after="0"/>
              <w:rPr>
                <w:sz w:val="10"/>
                <w:szCs w:val="10"/>
                <w:color w:val="auto"/>
              </w:rPr>
            </w:pPr>
          </w:p>
        </w:tc>
        <w:tc>
          <w:tcPr>
            <w:tcW w:w="820" w:type="dxa"/>
            <w:vAlign w:val="bottom"/>
            <w:tcBorders>
              <w:left w:val="single" w:sz="8" w:color="F0FFFF"/>
              <w:right w:val="single" w:sz="8" w:color="auto"/>
            </w:tcBorders>
            <w:gridSpan w:val="16"/>
            <w:shd w:val="clear" w:color="auto" w:fill="F0FFFF"/>
          </w:tcPr>
          <w:p>
            <w:pPr>
              <w:jc w:val="right"/>
              <w:ind w:right="420"/>
              <w:spacing w:after="0" w:line="126" w:lineRule="exact"/>
              <w:rPr>
                <w:sz w:val="20"/>
                <w:szCs w:val="20"/>
                <w:color w:val="auto"/>
              </w:rPr>
            </w:pPr>
            <w:r>
              <w:rPr>
                <w:rFonts w:ascii="Times New Roman" w:cs="Times New Roman" w:eastAsia="Times New Roman" w:hAnsi="Times New Roman"/>
                <w:sz w:val="13"/>
                <w:szCs w:val="13"/>
                <w:color w:val="auto"/>
                <w:w w:val="93"/>
              </w:rPr>
              <w:t>you can</w:t>
            </w:r>
          </w:p>
        </w:tc>
        <w:tc>
          <w:tcPr>
            <w:tcW w:w="0" w:type="dxa"/>
            <w:vAlign w:val="bottom"/>
          </w:tcPr>
          <w:p>
            <w:pPr>
              <w:spacing w:after="0"/>
              <w:rPr>
                <w:sz w:val="1"/>
                <w:szCs w:val="1"/>
                <w:color w:val="auto"/>
              </w:rPr>
            </w:pPr>
          </w:p>
        </w:tc>
      </w:tr>
      <w:tr>
        <w:trPr>
          <w:trHeight w:val="149"/>
        </w:trPr>
        <w:tc>
          <w:tcPr>
            <w:tcW w:w="1020" w:type="dxa"/>
            <w:vAlign w:val="bottom"/>
            <w:tcBorders>
              <w:left w:val="single" w:sz="8" w:color="auto"/>
              <w:right w:val="single" w:sz="8" w:color="auto"/>
            </w:tcBorders>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480" w:type="dxa"/>
            <w:vAlign w:val="bottom"/>
            <w:tcBorders>
              <w:righ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460" w:type="dxa"/>
            <w:vAlign w:val="bottom"/>
            <w:shd w:val="clear" w:color="auto" w:fill="F0FFFF"/>
          </w:tcPr>
          <w:p>
            <w:pPr>
              <w:spacing w:after="0"/>
              <w:rPr>
                <w:sz w:val="12"/>
                <w:szCs w:val="12"/>
                <w:color w:val="auto"/>
              </w:rPr>
            </w:pPr>
          </w:p>
        </w:tc>
        <w:tc>
          <w:tcPr>
            <w:tcW w:w="280" w:type="dxa"/>
            <w:vAlign w:val="bottom"/>
            <w:tcBorders>
              <w:right w:val="single" w:sz="8" w:color="auto"/>
            </w:tcBorders>
            <w:shd w:val="clear" w:color="auto" w:fill="F0FFFF"/>
          </w:tcPr>
          <w:p>
            <w:pPr>
              <w:spacing w:after="0"/>
              <w:rPr>
                <w:sz w:val="12"/>
                <w:szCs w:val="12"/>
                <w:color w:val="auto"/>
              </w:rPr>
            </w:pPr>
          </w:p>
        </w:tc>
        <w:tc>
          <w:tcPr>
            <w:tcW w:w="1320" w:type="dxa"/>
            <w:vAlign w:val="bottom"/>
            <w:tcBorders>
              <w:right w:val="single" w:sz="8" w:color="auto"/>
            </w:tcBorders>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760" w:type="dxa"/>
            <w:vAlign w:val="bottom"/>
            <w:tcBorders>
              <w:left w:val="single" w:sz="8" w:color="F0FFFF"/>
              <w:right w:val="single" w:sz="8" w:color="auto"/>
            </w:tcBorders>
            <w:gridSpan w:val="27"/>
            <w:shd w:val="clear" w:color="auto" w:fill="F0FFFF"/>
          </w:tcPr>
          <w:p>
            <w:pPr>
              <w:spacing w:after="0"/>
              <w:rPr>
                <w:sz w:val="20"/>
                <w:szCs w:val="20"/>
                <w:color w:val="auto"/>
              </w:rPr>
            </w:pPr>
            <w:r>
              <w:rPr>
                <w:rFonts w:ascii="Times New Roman" w:cs="Times New Roman" w:eastAsia="Times New Roman" w:hAnsi="Times New Roman"/>
                <w:sz w:val="13"/>
                <w:szCs w:val="13"/>
                <w:color w:val="auto"/>
              </w:rPr>
              <w:t>transfer the entire</w:t>
            </w:r>
          </w:p>
        </w:tc>
        <w:tc>
          <w:tcPr>
            <w:tcW w:w="0" w:type="dxa"/>
            <w:vAlign w:val="bottom"/>
          </w:tcPr>
          <w:p>
            <w:pPr>
              <w:spacing w:after="0"/>
              <w:rPr>
                <w:sz w:val="1"/>
                <w:szCs w:val="1"/>
                <w:color w:val="auto"/>
              </w:rPr>
            </w:pPr>
          </w:p>
        </w:tc>
      </w:tr>
      <w:tr>
        <w:trPr>
          <w:trHeight w:val="142"/>
        </w:trPr>
        <w:tc>
          <w:tcPr>
            <w:tcW w:w="1020" w:type="dxa"/>
            <w:vAlign w:val="bottom"/>
            <w:tcBorders>
              <w:left w:val="single" w:sz="8" w:color="auto"/>
              <w:right w:val="single" w:sz="8" w:color="auto"/>
            </w:tcBorders>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480" w:type="dxa"/>
            <w:vAlign w:val="bottom"/>
            <w:tcBorders>
              <w:righ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460" w:type="dxa"/>
            <w:vAlign w:val="bottom"/>
            <w:shd w:val="clear" w:color="auto" w:fill="F0FFFF"/>
          </w:tcPr>
          <w:p>
            <w:pPr>
              <w:spacing w:after="0"/>
              <w:rPr>
                <w:sz w:val="12"/>
                <w:szCs w:val="12"/>
                <w:color w:val="auto"/>
              </w:rPr>
            </w:pPr>
          </w:p>
        </w:tc>
        <w:tc>
          <w:tcPr>
            <w:tcW w:w="280" w:type="dxa"/>
            <w:vAlign w:val="bottom"/>
            <w:tcBorders>
              <w:right w:val="single" w:sz="8" w:color="auto"/>
            </w:tcBorders>
            <w:shd w:val="clear" w:color="auto" w:fill="F0FFFF"/>
          </w:tcPr>
          <w:p>
            <w:pPr>
              <w:spacing w:after="0"/>
              <w:rPr>
                <w:sz w:val="12"/>
                <w:szCs w:val="12"/>
                <w:color w:val="auto"/>
              </w:rPr>
            </w:pPr>
          </w:p>
        </w:tc>
        <w:tc>
          <w:tcPr>
            <w:tcW w:w="1320" w:type="dxa"/>
            <w:vAlign w:val="bottom"/>
            <w:tcBorders>
              <w:right w:val="single" w:sz="8" w:color="auto"/>
            </w:tcBorders>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760" w:type="dxa"/>
            <w:vAlign w:val="bottom"/>
            <w:tcBorders>
              <w:left w:val="single" w:sz="8" w:color="F0FFFF"/>
              <w:right w:val="single" w:sz="8" w:color="auto"/>
            </w:tcBorders>
            <w:gridSpan w:val="27"/>
            <w:shd w:val="clear" w:color="auto" w:fill="F0FFFF"/>
          </w:tcPr>
          <w:p>
            <w:pPr>
              <w:spacing w:after="0" w:line="142" w:lineRule="exact"/>
              <w:rPr>
                <w:sz w:val="20"/>
                <w:szCs w:val="20"/>
                <w:color w:val="auto"/>
              </w:rPr>
            </w:pPr>
            <w:r>
              <w:rPr>
                <w:rFonts w:ascii="Times New Roman" w:cs="Times New Roman" w:eastAsia="Times New Roman" w:hAnsi="Times New Roman"/>
                <w:sz w:val="13"/>
                <w:szCs w:val="13"/>
                <w:color w:val="auto"/>
              </w:rPr>
              <w:t>Performance Lock Value to any</w:t>
            </w:r>
          </w:p>
        </w:tc>
        <w:tc>
          <w:tcPr>
            <w:tcW w:w="0" w:type="dxa"/>
            <w:vAlign w:val="bottom"/>
          </w:tcPr>
          <w:p>
            <w:pPr>
              <w:spacing w:after="0"/>
              <w:rPr>
                <w:sz w:val="1"/>
                <w:szCs w:val="1"/>
                <w:color w:val="auto"/>
              </w:rPr>
            </w:pPr>
          </w:p>
        </w:tc>
      </w:tr>
      <w:tr>
        <w:trPr>
          <w:trHeight w:val="20"/>
        </w:trPr>
        <w:tc>
          <w:tcPr>
            <w:tcW w:w="102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48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460" w:type="dxa"/>
            <w:vAlign w:val="bottom"/>
            <w:shd w:val="clear" w:color="auto" w:fill="F0FFFF"/>
          </w:tcPr>
          <w:p>
            <w:pPr>
              <w:spacing w:after="0" w:line="20" w:lineRule="exact"/>
              <w:rPr>
                <w:sz w:val="1"/>
                <w:szCs w:val="1"/>
                <w:color w:val="auto"/>
              </w:rPr>
            </w:pPr>
          </w:p>
        </w:tc>
        <w:tc>
          <w:tcPr>
            <w:tcW w:w="280" w:type="dxa"/>
            <w:vAlign w:val="bottom"/>
            <w:tcBorders>
              <w:right w:val="single" w:sz="8" w:color="auto"/>
            </w:tcBorders>
            <w:shd w:val="clear" w:color="auto" w:fill="F0FFFF"/>
          </w:tcPr>
          <w:p>
            <w:pPr>
              <w:spacing w:after="0" w:line="20" w:lineRule="exact"/>
              <w:rPr>
                <w:sz w:val="1"/>
                <w:szCs w:val="1"/>
                <w:color w:val="auto"/>
              </w:rPr>
            </w:pPr>
          </w:p>
        </w:tc>
        <w:tc>
          <w:tcPr>
            <w:tcW w:w="1320" w:type="dxa"/>
            <w:vAlign w:val="bottom"/>
            <w:tcBorders>
              <w:right w:val="single" w:sz="8" w:color="auto"/>
            </w:tcBorders>
            <w:shd w:val="clear" w:color="auto" w:fill="F0FFFF"/>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tcBorders>
              <w:right w:val="single" w:sz="8" w:color="auto"/>
            </w:tcBorders>
            <w:gridSpan w:val="3"/>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gridSpan w:val="5"/>
            <w:shd w:val="clear" w:color="auto" w:fill="000000"/>
          </w:tcPr>
          <w:p>
            <w:pPr>
              <w:spacing w:after="0" w:line="20" w:lineRule="exact"/>
              <w:rPr>
                <w:sz w:val="1"/>
                <w:szCs w:val="1"/>
                <w:color w:val="auto"/>
              </w:rPr>
            </w:pPr>
          </w:p>
        </w:tc>
        <w:tc>
          <w:tcPr>
            <w:tcW w:w="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Borders>
              <w:right w:val="single" w:sz="8" w:color="F0FFFF"/>
            </w:tcBorders>
            <w:gridSpan w:val="5"/>
            <w:shd w:val="clear" w:color="auto" w:fill="F0FFFF"/>
          </w:tcPr>
          <w:p>
            <w:pPr>
              <w:spacing w:after="0" w:line="20" w:lineRule="exact"/>
              <w:rPr>
                <w:sz w:val="1"/>
                <w:szCs w:val="1"/>
                <w:color w:val="auto"/>
              </w:rPr>
            </w:pPr>
          </w:p>
        </w:tc>
        <w:tc>
          <w:tcPr>
            <w:tcW w:w="260" w:type="dxa"/>
            <w:vAlign w:val="bottom"/>
            <w:tcBorders>
              <w:right w:val="single" w:sz="8" w:color="auto"/>
            </w:tcBorders>
            <w:gridSpan w:val="8"/>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20" w:type="dxa"/>
            <w:vAlign w:val="bottom"/>
            <w:tcBorders>
              <w:left w:val="single" w:sz="8" w:color="auto"/>
              <w:right w:val="single" w:sz="8" w:color="auto"/>
            </w:tcBorders>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260" w:type="dxa"/>
            <w:vAlign w:val="bottom"/>
            <w:shd w:val="clear" w:color="auto" w:fill="F0FFFF"/>
          </w:tcPr>
          <w:p>
            <w:pPr>
              <w:spacing w:after="0"/>
              <w:rPr>
                <w:sz w:val="11"/>
                <w:szCs w:val="11"/>
                <w:color w:val="auto"/>
              </w:rPr>
            </w:pPr>
          </w:p>
        </w:tc>
        <w:tc>
          <w:tcPr>
            <w:tcW w:w="480" w:type="dxa"/>
            <w:vAlign w:val="bottom"/>
            <w:tcBorders>
              <w:righ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260" w:type="dxa"/>
            <w:vAlign w:val="bottom"/>
            <w:shd w:val="clear" w:color="auto" w:fill="F0FFFF"/>
          </w:tcPr>
          <w:p>
            <w:pPr>
              <w:spacing w:after="0"/>
              <w:rPr>
                <w:sz w:val="11"/>
                <w:szCs w:val="11"/>
                <w:color w:val="auto"/>
              </w:rPr>
            </w:pPr>
          </w:p>
        </w:tc>
        <w:tc>
          <w:tcPr>
            <w:tcW w:w="460" w:type="dxa"/>
            <w:vAlign w:val="bottom"/>
            <w:shd w:val="clear" w:color="auto" w:fill="F0FFFF"/>
          </w:tcPr>
          <w:p>
            <w:pPr>
              <w:spacing w:after="0"/>
              <w:rPr>
                <w:sz w:val="11"/>
                <w:szCs w:val="11"/>
                <w:color w:val="auto"/>
              </w:rPr>
            </w:pPr>
          </w:p>
        </w:tc>
        <w:tc>
          <w:tcPr>
            <w:tcW w:w="280" w:type="dxa"/>
            <w:vAlign w:val="bottom"/>
            <w:tcBorders>
              <w:right w:val="single" w:sz="8" w:color="auto"/>
            </w:tcBorders>
            <w:shd w:val="clear" w:color="auto" w:fill="F0FFFF"/>
          </w:tcPr>
          <w:p>
            <w:pPr>
              <w:spacing w:after="0"/>
              <w:rPr>
                <w:sz w:val="11"/>
                <w:szCs w:val="11"/>
                <w:color w:val="auto"/>
              </w:rPr>
            </w:pPr>
          </w:p>
        </w:tc>
        <w:tc>
          <w:tcPr>
            <w:tcW w:w="1320" w:type="dxa"/>
            <w:vAlign w:val="bottom"/>
            <w:tcBorders>
              <w:right w:val="single" w:sz="8" w:color="auto"/>
            </w:tcBorders>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760" w:type="dxa"/>
            <w:vAlign w:val="bottom"/>
            <w:tcBorders>
              <w:left w:val="single" w:sz="8" w:color="F0FFFF"/>
              <w:right w:val="single" w:sz="8" w:color="auto"/>
            </w:tcBorders>
            <w:gridSpan w:val="27"/>
            <w:shd w:val="clear" w:color="auto" w:fill="F0FFFF"/>
          </w:tcPr>
          <w:p>
            <w:pPr>
              <w:spacing w:after="0" w:line="129" w:lineRule="exact"/>
              <w:rPr>
                <w:sz w:val="20"/>
                <w:szCs w:val="20"/>
                <w:color w:val="auto"/>
              </w:rPr>
            </w:pPr>
            <w:r>
              <w:rPr>
                <w:rFonts w:ascii="Times New Roman" w:cs="Times New Roman" w:eastAsia="Times New Roman" w:hAnsi="Times New Roman"/>
                <w:sz w:val="13"/>
                <w:szCs w:val="13"/>
                <w:color w:val="auto"/>
              </w:rPr>
              <w:t>available Shield Option or to</w:t>
            </w:r>
          </w:p>
        </w:tc>
        <w:tc>
          <w:tcPr>
            <w:tcW w:w="0" w:type="dxa"/>
            <w:vAlign w:val="bottom"/>
          </w:tcPr>
          <w:p>
            <w:pPr>
              <w:spacing w:after="0"/>
              <w:rPr>
                <w:sz w:val="1"/>
                <w:szCs w:val="1"/>
                <w:color w:val="auto"/>
              </w:rPr>
            </w:pPr>
          </w:p>
        </w:tc>
      </w:tr>
      <w:tr>
        <w:trPr>
          <w:trHeight w:val="20"/>
        </w:trPr>
        <w:tc>
          <w:tcPr>
            <w:tcW w:w="102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48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460" w:type="dxa"/>
            <w:vAlign w:val="bottom"/>
            <w:shd w:val="clear" w:color="auto" w:fill="F0FFFF"/>
          </w:tcPr>
          <w:p>
            <w:pPr>
              <w:spacing w:after="0" w:line="20" w:lineRule="exact"/>
              <w:rPr>
                <w:sz w:val="1"/>
                <w:szCs w:val="1"/>
                <w:color w:val="auto"/>
              </w:rPr>
            </w:pPr>
          </w:p>
        </w:tc>
        <w:tc>
          <w:tcPr>
            <w:tcW w:w="280" w:type="dxa"/>
            <w:vAlign w:val="bottom"/>
            <w:tcBorders>
              <w:right w:val="single" w:sz="8" w:color="auto"/>
            </w:tcBorders>
            <w:shd w:val="clear" w:color="auto" w:fill="F0FFFF"/>
          </w:tcPr>
          <w:p>
            <w:pPr>
              <w:spacing w:after="0" w:line="20" w:lineRule="exact"/>
              <w:rPr>
                <w:sz w:val="1"/>
                <w:szCs w:val="1"/>
                <w:color w:val="auto"/>
              </w:rPr>
            </w:pPr>
          </w:p>
        </w:tc>
        <w:tc>
          <w:tcPr>
            <w:tcW w:w="1320" w:type="dxa"/>
            <w:vAlign w:val="bottom"/>
            <w:tcBorders>
              <w:right w:val="single" w:sz="8" w:color="auto"/>
            </w:tcBorders>
            <w:shd w:val="clear" w:color="auto" w:fill="F0FFFF"/>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500" w:type="dxa"/>
            <w:vAlign w:val="bottom"/>
            <w:tcBorders>
              <w:left w:val="single" w:sz="8" w:color="F0FFFF"/>
              <w:right w:val="single" w:sz="8" w:color="F0FFFF"/>
            </w:tcBorders>
            <w:gridSpan w:val="5"/>
            <w:vMerge w:val="restart"/>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w w:val="94"/>
              </w:rPr>
              <w:t>the Fixed</w:t>
            </w:r>
          </w:p>
        </w:tc>
        <w:tc>
          <w:tcPr>
            <w:tcW w:w="200" w:type="dxa"/>
            <w:vAlign w:val="bottom"/>
            <w:tcBorders>
              <w:left w:val="single" w:sz="8" w:color="F0FFFF"/>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gridSpan w:val="5"/>
            <w:shd w:val="clear" w:color="auto" w:fill="000000"/>
          </w:tcPr>
          <w:p>
            <w:pPr>
              <w:spacing w:after="0" w:line="20" w:lineRule="exact"/>
              <w:rPr>
                <w:sz w:val="1"/>
                <w:szCs w:val="1"/>
                <w:color w:val="auto"/>
              </w:rPr>
            </w:pPr>
          </w:p>
        </w:tc>
        <w:tc>
          <w:tcPr>
            <w:tcW w:w="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F0FFFF"/>
              <w:right w:val="single" w:sz="8" w:color="F0FFFF"/>
            </w:tcBorders>
            <w:gridSpan w:val="7"/>
            <w:shd w:val="clear" w:color="auto" w:fill="F0FFFF"/>
          </w:tcPr>
          <w:p>
            <w:pPr>
              <w:spacing w:after="0" w:line="20" w:lineRule="exact"/>
              <w:rPr>
                <w:sz w:val="1"/>
                <w:szCs w:val="1"/>
                <w:color w:val="auto"/>
              </w:rPr>
            </w:pPr>
          </w:p>
        </w:tc>
        <w:tc>
          <w:tcPr>
            <w:tcW w:w="260" w:type="dxa"/>
            <w:vAlign w:val="bottom"/>
            <w:tcBorders>
              <w:right w:val="single" w:sz="8" w:color="auto"/>
            </w:tcBorders>
            <w:gridSpan w:val="8"/>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020" w:type="dxa"/>
            <w:vAlign w:val="bottom"/>
            <w:tcBorders>
              <w:left w:val="single" w:sz="8" w:color="auto"/>
              <w:right w:val="single" w:sz="8" w:color="auto"/>
            </w:tcBorders>
            <w:shd w:val="clear" w:color="auto" w:fill="F0FFFF"/>
          </w:tcPr>
          <w:p>
            <w:pPr>
              <w:spacing w:after="0"/>
              <w:rPr>
                <w:sz w:val="10"/>
                <w:szCs w:val="10"/>
                <w:color w:val="auto"/>
              </w:rPr>
            </w:pPr>
          </w:p>
        </w:tc>
        <w:tc>
          <w:tcPr>
            <w:tcW w:w="20" w:type="dxa"/>
            <w:vAlign w:val="bottom"/>
            <w:shd w:val="clear" w:color="auto" w:fill="F0FFFF"/>
          </w:tcPr>
          <w:p>
            <w:pPr>
              <w:spacing w:after="0"/>
              <w:rPr>
                <w:sz w:val="10"/>
                <w:szCs w:val="10"/>
                <w:color w:val="auto"/>
              </w:rPr>
            </w:pPr>
          </w:p>
        </w:tc>
        <w:tc>
          <w:tcPr>
            <w:tcW w:w="260" w:type="dxa"/>
            <w:vAlign w:val="bottom"/>
            <w:shd w:val="clear" w:color="auto" w:fill="F0FFFF"/>
          </w:tcPr>
          <w:p>
            <w:pPr>
              <w:spacing w:after="0"/>
              <w:rPr>
                <w:sz w:val="10"/>
                <w:szCs w:val="10"/>
                <w:color w:val="auto"/>
              </w:rPr>
            </w:pPr>
          </w:p>
        </w:tc>
        <w:tc>
          <w:tcPr>
            <w:tcW w:w="480" w:type="dxa"/>
            <w:vAlign w:val="bottom"/>
            <w:tcBorders>
              <w:right w:val="single" w:sz="8" w:color="F0FFFF"/>
            </w:tcBorders>
            <w:shd w:val="clear" w:color="auto" w:fill="F0FFFF"/>
          </w:tcPr>
          <w:p>
            <w:pPr>
              <w:spacing w:after="0"/>
              <w:rPr>
                <w:sz w:val="10"/>
                <w:szCs w:val="10"/>
                <w:color w:val="auto"/>
              </w:rPr>
            </w:pPr>
          </w:p>
        </w:tc>
        <w:tc>
          <w:tcPr>
            <w:tcW w:w="80" w:type="dxa"/>
            <w:vAlign w:val="bottom"/>
            <w:shd w:val="clear" w:color="auto" w:fill="F0FFFF"/>
          </w:tcPr>
          <w:p>
            <w:pPr>
              <w:spacing w:after="0"/>
              <w:rPr>
                <w:sz w:val="10"/>
                <w:szCs w:val="10"/>
                <w:color w:val="auto"/>
              </w:rPr>
            </w:pPr>
          </w:p>
        </w:tc>
        <w:tc>
          <w:tcPr>
            <w:tcW w:w="260" w:type="dxa"/>
            <w:vAlign w:val="bottom"/>
            <w:shd w:val="clear" w:color="auto" w:fill="F0FFFF"/>
          </w:tcPr>
          <w:p>
            <w:pPr>
              <w:spacing w:after="0"/>
              <w:rPr>
                <w:sz w:val="10"/>
                <w:szCs w:val="10"/>
                <w:color w:val="auto"/>
              </w:rPr>
            </w:pPr>
          </w:p>
        </w:tc>
        <w:tc>
          <w:tcPr>
            <w:tcW w:w="460" w:type="dxa"/>
            <w:vAlign w:val="bottom"/>
            <w:shd w:val="clear" w:color="auto" w:fill="F0FFFF"/>
          </w:tcPr>
          <w:p>
            <w:pPr>
              <w:spacing w:after="0"/>
              <w:rPr>
                <w:sz w:val="10"/>
                <w:szCs w:val="10"/>
                <w:color w:val="auto"/>
              </w:rPr>
            </w:pPr>
          </w:p>
        </w:tc>
        <w:tc>
          <w:tcPr>
            <w:tcW w:w="280" w:type="dxa"/>
            <w:vAlign w:val="bottom"/>
            <w:tcBorders>
              <w:right w:val="single" w:sz="8" w:color="auto"/>
            </w:tcBorders>
            <w:shd w:val="clear" w:color="auto" w:fill="F0FFFF"/>
          </w:tcPr>
          <w:p>
            <w:pPr>
              <w:spacing w:after="0"/>
              <w:rPr>
                <w:sz w:val="10"/>
                <w:szCs w:val="10"/>
                <w:color w:val="auto"/>
              </w:rPr>
            </w:pPr>
          </w:p>
        </w:tc>
        <w:tc>
          <w:tcPr>
            <w:tcW w:w="1320" w:type="dxa"/>
            <w:vAlign w:val="bottom"/>
            <w:tcBorders>
              <w:right w:val="single" w:sz="8" w:color="auto"/>
            </w:tcBorders>
            <w:shd w:val="clear" w:color="auto" w:fill="F0FFFF"/>
          </w:tcPr>
          <w:p>
            <w:pPr>
              <w:spacing w:after="0"/>
              <w:rPr>
                <w:sz w:val="10"/>
                <w:szCs w:val="10"/>
                <w:color w:val="auto"/>
              </w:rPr>
            </w:pPr>
          </w:p>
        </w:tc>
        <w:tc>
          <w:tcPr>
            <w:tcW w:w="140" w:type="dxa"/>
            <w:vAlign w:val="bottom"/>
            <w:shd w:val="clear" w:color="auto" w:fill="F0FFFF"/>
          </w:tcPr>
          <w:p>
            <w:pPr>
              <w:spacing w:after="0"/>
              <w:rPr>
                <w:sz w:val="10"/>
                <w:szCs w:val="10"/>
                <w:color w:val="auto"/>
              </w:rPr>
            </w:pPr>
          </w:p>
        </w:tc>
        <w:tc>
          <w:tcPr>
            <w:tcW w:w="500" w:type="dxa"/>
            <w:vAlign w:val="bottom"/>
            <w:tcBorders>
              <w:left w:val="single" w:sz="8" w:color="F0FFFF"/>
              <w:right w:val="single" w:sz="8" w:color="F0FFFF"/>
            </w:tcBorders>
            <w:gridSpan w:val="5"/>
            <w:vMerge w:val="continue"/>
            <w:shd w:val="clear" w:color="auto" w:fill="F0FFFF"/>
          </w:tcPr>
          <w:p>
            <w:pPr>
              <w:spacing w:after="0"/>
              <w:rPr>
                <w:sz w:val="10"/>
                <w:szCs w:val="10"/>
                <w:color w:val="auto"/>
              </w:rPr>
            </w:pPr>
          </w:p>
        </w:tc>
        <w:tc>
          <w:tcPr>
            <w:tcW w:w="1260" w:type="dxa"/>
            <w:vAlign w:val="bottom"/>
            <w:tcBorders>
              <w:left w:val="single" w:sz="8" w:color="F0FFFF"/>
              <w:right w:val="single" w:sz="8" w:color="auto"/>
            </w:tcBorders>
            <w:gridSpan w:val="22"/>
            <w:shd w:val="clear" w:color="auto" w:fill="F0FFFF"/>
          </w:tcPr>
          <w:p>
            <w:pPr>
              <w:jc w:val="right"/>
              <w:ind w:right="400"/>
              <w:spacing w:after="0" w:line="119" w:lineRule="exact"/>
              <w:rPr>
                <w:sz w:val="20"/>
                <w:szCs w:val="20"/>
                <w:color w:val="auto"/>
              </w:rPr>
            </w:pPr>
            <w:r>
              <w:rPr>
                <w:rFonts w:ascii="Times New Roman" w:cs="Times New Roman" w:eastAsia="Times New Roman" w:hAnsi="Times New Roman"/>
                <w:sz w:val="13"/>
                <w:szCs w:val="13"/>
                <w:color w:val="auto"/>
              </w:rPr>
              <w:t>Account on any</w:t>
            </w:r>
          </w:p>
        </w:tc>
        <w:tc>
          <w:tcPr>
            <w:tcW w:w="0" w:type="dxa"/>
            <w:vAlign w:val="bottom"/>
          </w:tcPr>
          <w:p>
            <w:pPr>
              <w:spacing w:after="0"/>
              <w:rPr>
                <w:sz w:val="1"/>
                <w:szCs w:val="1"/>
                <w:color w:val="auto"/>
              </w:rPr>
            </w:pPr>
          </w:p>
        </w:tc>
      </w:tr>
      <w:tr>
        <w:trPr>
          <w:trHeight w:val="20"/>
        </w:trPr>
        <w:tc>
          <w:tcPr>
            <w:tcW w:w="102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48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460" w:type="dxa"/>
            <w:vAlign w:val="bottom"/>
            <w:shd w:val="clear" w:color="auto" w:fill="F0FFFF"/>
          </w:tcPr>
          <w:p>
            <w:pPr>
              <w:spacing w:after="0" w:line="20" w:lineRule="exact"/>
              <w:rPr>
                <w:sz w:val="1"/>
                <w:szCs w:val="1"/>
                <w:color w:val="auto"/>
              </w:rPr>
            </w:pPr>
          </w:p>
        </w:tc>
        <w:tc>
          <w:tcPr>
            <w:tcW w:w="280" w:type="dxa"/>
            <w:vAlign w:val="bottom"/>
            <w:tcBorders>
              <w:right w:val="single" w:sz="8" w:color="auto"/>
            </w:tcBorders>
            <w:shd w:val="clear" w:color="auto" w:fill="F0FFFF"/>
          </w:tcPr>
          <w:p>
            <w:pPr>
              <w:spacing w:after="0" w:line="20" w:lineRule="exact"/>
              <w:rPr>
                <w:sz w:val="1"/>
                <w:szCs w:val="1"/>
                <w:color w:val="auto"/>
              </w:rPr>
            </w:pPr>
          </w:p>
        </w:tc>
        <w:tc>
          <w:tcPr>
            <w:tcW w:w="1320" w:type="dxa"/>
            <w:vAlign w:val="bottom"/>
            <w:tcBorders>
              <w:right w:val="single" w:sz="8" w:color="auto"/>
            </w:tcBorders>
            <w:shd w:val="clear" w:color="auto" w:fill="F0FFFF"/>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220" w:type="dxa"/>
            <w:vAlign w:val="bottom"/>
            <w:tcBorders>
              <w:left w:val="single" w:sz="8" w:color="F0FFFF"/>
            </w:tcBorders>
            <w:gridSpan w:val="2"/>
            <w:shd w:val="clear" w:color="auto" w:fill="F0FFFF"/>
          </w:tcPr>
          <w:p>
            <w:pPr>
              <w:spacing w:after="0" w:line="20" w:lineRule="exact"/>
              <w:rPr>
                <w:sz w:val="1"/>
                <w:szCs w:val="1"/>
                <w:color w:val="auto"/>
              </w:rPr>
            </w:pPr>
          </w:p>
        </w:tc>
        <w:tc>
          <w:tcPr>
            <w:tcW w:w="480" w:type="dxa"/>
            <w:vAlign w:val="bottom"/>
            <w:tcBorders>
              <w:right w:val="single" w:sz="8" w:color="auto"/>
            </w:tcBorders>
            <w:gridSpan w:val="4"/>
            <w:shd w:val="clear" w:color="auto" w:fill="000000"/>
          </w:tcPr>
          <w:p>
            <w:pPr>
              <w:spacing w:after="0" w:line="20" w:lineRule="exact"/>
              <w:rPr>
                <w:sz w:val="1"/>
                <w:szCs w:val="1"/>
                <w:color w:val="auto"/>
              </w:rPr>
            </w:pPr>
          </w:p>
        </w:tc>
        <w:tc>
          <w:tcPr>
            <w:tcW w:w="240" w:type="dxa"/>
            <w:vAlign w:val="bottom"/>
            <w:tcBorders>
              <w:right w:val="single" w:sz="8" w:color="auto"/>
            </w:tcBorders>
            <w:gridSpan w:val="5"/>
            <w:shd w:val="clear" w:color="auto" w:fill="000000"/>
          </w:tcPr>
          <w:p>
            <w:pPr>
              <w:spacing w:after="0" w:line="20" w:lineRule="exact"/>
              <w:rPr>
                <w:sz w:val="1"/>
                <w:szCs w:val="1"/>
                <w:color w:val="auto"/>
              </w:rPr>
            </w:pPr>
          </w:p>
        </w:tc>
        <w:tc>
          <w:tcPr>
            <w:tcW w:w="28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280" w:type="dxa"/>
            <w:vAlign w:val="bottom"/>
            <w:tcBorders>
              <w:left w:val="single" w:sz="8" w:color="F0FFFF"/>
              <w:right w:val="single" w:sz="8" w:color="F0FFFF"/>
            </w:tcBorders>
            <w:gridSpan w:val="7"/>
            <w:shd w:val="clear" w:color="auto" w:fill="F0FFFF"/>
          </w:tcPr>
          <w:p>
            <w:pPr>
              <w:spacing w:after="0" w:line="20" w:lineRule="exact"/>
              <w:rPr>
                <w:sz w:val="1"/>
                <w:szCs w:val="1"/>
                <w:color w:val="auto"/>
              </w:rPr>
            </w:pPr>
          </w:p>
        </w:tc>
        <w:tc>
          <w:tcPr>
            <w:tcW w:w="260" w:type="dxa"/>
            <w:vAlign w:val="bottom"/>
            <w:tcBorders>
              <w:right w:val="single" w:sz="8" w:color="auto"/>
            </w:tcBorders>
            <w:gridSpan w:val="8"/>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20" w:type="dxa"/>
            <w:vAlign w:val="bottom"/>
            <w:tcBorders>
              <w:left w:val="single" w:sz="8" w:color="auto"/>
              <w:right w:val="single" w:sz="8" w:color="auto"/>
            </w:tcBorders>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260" w:type="dxa"/>
            <w:vAlign w:val="bottom"/>
            <w:shd w:val="clear" w:color="auto" w:fill="F0FFFF"/>
          </w:tcPr>
          <w:p>
            <w:pPr>
              <w:spacing w:after="0"/>
              <w:rPr>
                <w:sz w:val="11"/>
                <w:szCs w:val="11"/>
                <w:color w:val="auto"/>
              </w:rPr>
            </w:pPr>
          </w:p>
        </w:tc>
        <w:tc>
          <w:tcPr>
            <w:tcW w:w="480" w:type="dxa"/>
            <w:vAlign w:val="bottom"/>
            <w:tcBorders>
              <w:righ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260" w:type="dxa"/>
            <w:vAlign w:val="bottom"/>
            <w:shd w:val="clear" w:color="auto" w:fill="F0FFFF"/>
          </w:tcPr>
          <w:p>
            <w:pPr>
              <w:spacing w:after="0"/>
              <w:rPr>
                <w:sz w:val="11"/>
                <w:szCs w:val="11"/>
                <w:color w:val="auto"/>
              </w:rPr>
            </w:pPr>
          </w:p>
        </w:tc>
        <w:tc>
          <w:tcPr>
            <w:tcW w:w="460" w:type="dxa"/>
            <w:vAlign w:val="bottom"/>
            <w:shd w:val="clear" w:color="auto" w:fill="F0FFFF"/>
          </w:tcPr>
          <w:p>
            <w:pPr>
              <w:spacing w:after="0"/>
              <w:rPr>
                <w:sz w:val="11"/>
                <w:szCs w:val="11"/>
                <w:color w:val="auto"/>
              </w:rPr>
            </w:pPr>
          </w:p>
        </w:tc>
        <w:tc>
          <w:tcPr>
            <w:tcW w:w="280" w:type="dxa"/>
            <w:vAlign w:val="bottom"/>
            <w:tcBorders>
              <w:right w:val="single" w:sz="8" w:color="auto"/>
            </w:tcBorders>
            <w:shd w:val="clear" w:color="auto" w:fill="F0FFFF"/>
          </w:tcPr>
          <w:p>
            <w:pPr>
              <w:spacing w:after="0"/>
              <w:rPr>
                <w:sz w:val="11"/>
                <w:szCs w:val="11"/>
                <w:color w:val="auto"/>
              </w:rPr>
            </w:pPr>
          </w:p>
        </w:tc>
        <w:tc>
          <w:tcPr>
            <w:tcW w:w="1320" w:type="dxa"/>
            <w:vAlign w:val="bottom"/>
            <w:tcBorders>
              <w:right w:val="single" w:sz="8" w:color="auto"/>
            </w:tcBorders>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760" w:type="dxa"/>
            <w:vAlign w:val="bottom"/>
            <w:tcBorders>
              <w:left w:val="single" w:sz="8" w:color="F0FFFF"/>
              <w:right w:val="single" w:sz="8" w:color="auto"/>
            </w:tcBorders>
            <w:gridSpan w:val="27"/>
            <w:shd w:val="clear" w:color="auto" w:fill="F0FFFF"/>
          </w:tcPr>
          <w:p>
            <w:pPr>
              <w:spacing w:after="0" w:line="129" w:lineRule="exact"/>
              <w:rPr>
                <w:sz w:val="20"/>
                <w:szCs w:val="20"/>
                <w:color w:val="auto"/>
              </w:rPr>
            </w:pPr>
            <w:r>
              <w:rPr>
                <w:rFonts w:ascii="Times New Roman" w:cs="Times New Roman" w:eastAsia="Times New Roman" w:hAnsi="Times New Roman"/>
                <w:sz w:val="13"/>
                <w:szCs w:val="13"/>
                <w:color w:val="auto"/>
              </w:rPr>
              <w:t>Contract Anniversary occurring</w:t>
            </w:r>
          </w:p>
        </w:tc>
        <w:tc>
          <w:tcPr>
            <w:tcW w:w="0" w:type="dxa"/>
            <w:vAlign w:val="bottom"/>
          </w:tcPr>
          <w:p>
            <w:pPr>
              <w:spacing w:after="0"/>
              <w:rPr>
                <w:sz w:val="1"/>
                <w:szCs w:val="1"/>
                <w:color w:val="auto"/>
              </w:rPr>
            </w:pPr>
          </w:p>
        </w:tc>
      </w:tr>
      <w:tr>
        <w:trPr>
          <w:trHeight w:val="129"/>
        </w:trPr>
        <w:tc>
          <w:tcPr>
            <w:tcW w:w="1020" w:type="dxa"/>
            <w:vAlign w:val="bottom"/>
            <w:tcBorders>
              <w:top w:val="single" w:sz="8" w:color="F0FFFF"/>
              <w:left w:val="single" w:sz="8" w:color="auto"/>
              <w:right w:val="single" w:sz="8" w:color="auto"/>
            </w:tcBorders>
            <w:shd w:val="clear" w:color="auto" w:fill="F0FFFF"/>
          </w:tcPr>
          <w:p>
            <w:pPr>
              <w:spacing w:after="0"/>
              <w:rPr>
                <w:sz w:val="11"/>
                <w:szCs w:val="11"/>
                <w:color w:val="auto"/>
              </w:rPr>
            </w:pPr>
          </w:p>
        </w:tc>
        <w:tc>
          <w:tcPr>
            <w:tcW w:w="20" w:type="dxa"/>
            <w:vAlign w:val="bottom"/>
            <w:tcBorders>
              <w:top w:val="single" w:sz="8" w:color="F0FFFF"/>
            </w:tcBorders>
            <w:shd w:val="clear" w:color="auto" w:fill="F0FFFF"/>
          </w:tcPr>
          <w:p>
            <w:pPr>
              <w:spacing w:after="0"/>
              <w:rPr>
                <w:sz w:val="11"/>
                <w:szCs w:val="11"/>
                <w:color w:val="auto"/>
              </w:rPr>
            </w:pPr>
          </w:p>
        </w:tc>
        <w:tc>
          <w:tcPr>
            <w:tcW w:w="260" w:type="dxa"/>
            <w:vAlign w:val="bottom"/>
            <w:tcBorders>
              <w:top w:val="single" w:sz="8" w:color="F0FFFF"/>
            </w:tcBorders>
            <w:shd w:val="clear" w:color="auto" w:fill="F0FFFF"/>
          </w:tcPr>
          <w:p>
            <w:pPr>
              <w:spacing w:after="0"/>
              <w:rPr>
                <w:sz w:val="11"/>
                <w:szCs w:val="11"/>
                <w:color w:val="auto"/>
              </w:rPr>
            </w:pPr>
          </w:p>
        </w:tc>
        <w:tc>
          <w:tcPr>
            <w:tcW w:w="480" w:type="dxa"/>
            <w:vAlign w:val="bottom"/>
            <w:tcBorders>
              <w:top w:val="single" w:sz="8" w:color="F0FFFF"/>
              <w:right w:val="single" w:sz="8" w:color="F0FFFF"/>
            </w:tcBorders>
            <w:shd w:val="clear" w:color="auto" w:fill="F0FFFF"/>
          </w:tcPr>
          <w:p>
            <w:pPr>
              <w:spacing w:after="0"/>
              <w:rPr>
                <w:sz w:val="11"/>
                <w:szCs w:val="11"/>
                <w:color w:val="auto"/>
              </w:rPr>
            </w:pPr>
          </w:p>
        </w:tc>
        <w:tc>
          <w:tcPr>
            <w:tcW w:w="80" w:type="dxa"/>
            <w:vAlign w:val="bottom"/>
            <w:tcBorders>
              <w:top w:val="single" w:sz="8" w:color="F0FFFF"/>
            </w:tcBorders>
            <w:shd w:val="clear" w:color="auto" w:fill="F0FFFF"/>
          </w:tcPr>
          <w:p>
            <w:pPr>
              <w:spacing w:after="0"/>
              <w:rPr>
                <w:sz w:val="11"/>
                <w:szCs w:val="11"/>
                <w:color w:val="auto"/>
              </w:rPr>
            </w:pPr>
          </w:p>
        </w:tc>
        <w:tc>
          <w:tcPr>
            <w:tcW w:w="260" w:type="dxa"/>
            <w:vAlign w:val="bottom"/>
            <w:tcBorders>
              <w:top w:val="single" w:sz="8" w:color="F0FFFF"/>
            </w:tcBorders>
            <w:shd w:val="clear" w:color="auto" w:fill="F0FFFF"/>
          </w:tcPr>
          <w:p>
            <w:pPr>
              <w:spacing w:after="0"/>
              <w:rPr>
                <w:sz w:val="11"/>
                <w:szCs w:val="11"/>
                <w:color w:val="auto"/>
              </w:rPr>
            </w:pPr>
          </w:p>
        </w:tc>
        <w:tc>
          <w:tcPr>
            <w:tcW w:w="460" w:type="dxa"/>
            <w:vAlign w:val="bottom"/>
            <w:tcBorders>
              <w:top w:val="single" w:sz="8" w:color="F0FFFF"/>
            </w:tcBorders>
            <w:shd w:val="clear" w:color="auto" w:fill="F0FFFF"/>
          </w:tcPr>
          <w:p>
            <w:pPr>
              <w:spacing w:after="0"/>
              <w:rPr>
                <w:sz w:val="11"/>
                <w:szCs w:val="11"/>
                <w:color w:val="auto"/>
              </w:rPr>
            </w:pPr>
          </w:p>
        </w:tc>
        <w:tc>
          <w:tcPr>
            <w:tcW w:w="280" w:type="dxa"/>
            <w:vAlign w:val="bottom"/>
            <w:tcBorders>
              <w:top w:val="single" w:sz="8" w:color="F0FFFF"/>
              <w:right w:val="single" w:sz="8" w:color="auto"/>
            </w:tcBorders>
            <w:shd w:val="clear" w:color="auto" w:fill="F0FFFF"/>
          </w:tcPr>
          <w:p>
            <w:pPr>
              <w:spacing w:after="0"/>
              <w:rPr>
                <w:sz w:val="11"/>
                <w:szCs w:val="11"/>
                <w:color w:val="auto"/>
              </w:rPr>
            </w:pPr>
          </w:p>
        </w:tc>
        <w:tc>
          <w:tcPr>
            <w:tcW w:w="1320" w:type="dxa"/>
            <w:vAlign w:val="bottom"/>
            <w:tcBorders>
              <w:top w:val="single" w:sz="8" w:color="F0FFFF"/>
              <w:right w:val="single" w:sz="8" w:color="auto"/>
            </w:tcBorders>
            <w:shd w:val="clear" w:color="auto" w:fill="F0FFFF"/>
          </w:tcPr>
          <w:p>
            <w:pPr>
              <w:spacing w:after="0"/>
              <w:rPr>
                <w:sz w:val="11"/>
                <w:szCs w:val="11"/>
                <w:color w:val="auto"/>
              </w:rPr>
            </w:pPr>
          </w:p>
        </w:tc>
        <w:tc>
          <w:tcPr>
            <w:tcW w:w="140" w:type="dxa"/>
            <w:vAlign w:val="bottom"/>
            <w:tcBorders>
              <w:top w:val="single" w:sz="8" w:color="F0FFFF"/>
            </w:tcBorders>
            <w:shd w:val="clear" w:color="auto" w:fill="F0FFFF"/>
          </w:tcPr>
          <w:p>
            <w:pPr>
              <w:spacing w:after="0"/>
              <w:rPr>
                <w:sz w:val="11"/>
                <w:szCs w:val="11"/>
                <w:color w:val="auto"/>
              </w:rPr>
            </w:pPr>
          </w:p>
        </w:tc>
        <w:tc>
          <w:tcPr>
            <w:tcW w:w="1220" w:type="dxa"/>
            <w:vAlign w:val="bottom"/>
            <w:tcBorders>
              <w:top w:val="single" w:sz="8" w:color="auto"/>
              <w:left w:val="single" w:sz="8" w:color="F0FFFF"/>
              <w:right w:val="single" w:sz="8" w:color="F0FFFF"/>
            </w:tcBorders>
            <w:gridSpan w:val="12"/>
            <w:shd w:val="clear" w:color="auto" w:fill="F0FFFF"/>
          </w:tcPr>
          <w:p>
            <w:pPr>
              <w:spacing w:after="0" w:line="129" w:lineRule="exact"/>
              <w:rPr>
                <w:sz w:val="20"/>
                <w:szCs w:val="20"/>
                <w:color w:val="auto"/>
              </w:rPr>
            </w:pPr>
            <w:r>
              <w:rPr>
                <w:rFonts w:ascii="Times New Roman" w:cs="Times New Roman" w:eastAsia="Times New Roman" w:hAnsi="Times New Roman"/>
                <w:sz w:val="13"/>
                <w:szCs w:val="13"/>
                <w:color w:val="auto"/>
              </w:rPr>
              <w:t>prior to the Term End</w:t>
            </w:r>
          </w:p>
        </w:tc>
        <w:tc>
          <w:tcPr>
            <w:tcW w:w="540" w:type="dxa"/>
            <w:vAlign w:val="bottom"/>
            <w:tcBorders>
              <w:top w:val="single" w:sz="8" w:color="F0FFFF"/>
              <w:left w:val="single" w:sz="8" w:color="F0FFFF"/>
              <w:right w:val="single" w:sz="8" w:color="auto"/>
            </w:tcBorders>
            <w:gridSpan w:val="15"/>
            <w:shd w:val="clear" w:color="auto" w:fill="F0FFFF"/>
          </w:tcPr>
          <w:p>
            <w:pPr>
              <w:jc w:val="right"/>
              <w:ind w:right="300"/>
              <w:spacing w:after="0" w:line="129" w:lineRule="exact"/>
              <w:rPr>
                <w:sz w:val="20"/>
                <w:szCs w:val="20"/>
                <w:color w:val="auto"/>
              </w:rPr>
            </w:pPr>
            <w:r>
              <w:rPr>
                <w:rFonts w:ascii="Times New Roman" w:cs="Times New Roman" w:eastAsia="Times New Roman" w:hAnsi="Times New Roman"/>
                <w:sz w:val="13"/>
                <w:szCs w:val="13"/>
                <w:color w:val="auto"/>
                <w:w w:val="78"/>
              </w:rPr>
              <w:t>Date.</w:t>
            </w:r>
          </w:p>
        </w:tc>
        <w:tc>
          <w:tcPr>
            <w:tcW w:w="0" w:type="dxa"/>
            <w:vAlign w:val="bottom"/>
          </w:tcPr>
          <w:p>
            <w:pPr>
              <w:spacing w:after="0"/>
              <w:rPr>
                <w:sz w:val="1"/>
                <w:szCs w:val="1"/>
                <w:color w:val="auto"/>
              </w:rPr>
            </w:pPr>
          </w:p>
        </w:tc>
      </w:tr>
      <w:tr>
        <w:trPr>
          <w:trHeight w:val="397"/>
        </w:trPr>
        <w:tc>
          <w:tcPr>
            <w:tcW w:w="1020" w:type="dxa"/>
            <w:vAlign w:val="bottom"/>
            <w:tcBorders>
              <w:top w:val="single" w:sz="8" w:color="F0FFFF"/>
              <w:left w:val="single" w:sz="8" w:color="auto"/>
              <w:bottom w:val="single" w:sz="8" w:color="auto"/>
              <w:right w:val="single" w:sz="8" w:color="auto"/>
            </w:tcBorders>
            <w:shd w:val="clear" w:color="auto" w:fill="F0FFFF"/>
          </w:tcPr>
          <w:p>
            <w:pPr>
              <w:spacing w:after="0"/>
              <w:rPr>
                <w:sz w:val="24"/>
                <w:szCs w:val="24"/>
                <w:color w:val="auto"/>
              </w:rPr>
            </w:pPr>
          </w:p>
        </w:tc>
        <w:tc>
          <w:tcPr>
            <w:tcW w:w="20" w:type="dxa"/>
            <w:vAlign w:val="bottom"/>
            <w:tcBorders>
              <w:top w:val="single" w:sz="8" w:color="F0FFFF"/>
              <w:bottom w:val="single" w:sz="8" w:color="auto"/>
            </w:tcBorders>
            <w:shd w:val="clear" w:color="auto" w:fill="F0FFFF"/>
          </w:tcPr>
          <w:p>
            <w:pPr>
              <w:spacing w:after="0"/>
              <w:rPr>
                <w:sz w:val="24"/>
                <w:szCs w:val="24"/>
                <w:color w:val="auto"/>
              </w:rPr>
            </w:pPr>
          </w:p>
        </w:tc>
        <w:tc>
          <w:tcPr>
            <w:tcW w:w="260" w:type="dxa"/>
            <w:vAlign w:val="bottom"/>
            <w:tcBorders>
              <w:top w:val="single" w:sz="8" w:color="F0FFFF"/>
              <w:bottom w:val="single" w:sz="8" w:color="auto"/>
            </w:tcBorders>
            <w:shd w:val="clear" w:color="auto" w:fill="F0FFFF"/>
          </w:tcPr>
          <w:p>
            <w:pPr>
              <w:spacing w:after="0"/>
              <w:rPr>
                <w:sz w:val="24"/>
                <w:szCs w:val="24"/>
                <w:color w:val="auto"/>
              </w:rPr>
            </w:pPr>
          </w:p>
        </w:tc>
        <w:tc>
          <w:tcPr>
            <w:tcW w:w="480" w:type="dxa"/>
            <w:vAlign w:val="bottom"/>
            <w:tcBorders>
              <w:top w:val="single" w:sz="8" w:color="F0FFFF"/>
              <w:bottom w:val="single" w:sz="8" w:color="auto"/>
              <w:right w:val="single" w:sz="8" w:color="F0FFFF"/>
            </w:tcBorders>
            <w:shd w:val="clear" w:color="auto" w:fill="F0FFFF"/>
          </w:tcPr>
          <w:p>
            <w:pPr>
              <w:spacing w:after="0"/>
              <w:rPr>
                <w:sz w:val="24"/>
                <w:szCs w:val="24"/>
                <w:color w:val="auto"/>
              </w:rPr>
            </w:pPr>
          </w:p>
        </w:tc>
        <w:tc>
          <w:tcPr>
            <w:tcW w:w="80" w:type="dxa"/>
            <w:vAlign w:val="bottom"/>
            <w:tcBorders>
              <w:top w:val="single" w:sz="8" w:color="F0FFFF"/>
              <w:bottom w:val="single" w:sz="8" w:color="auto"/>
            </w:tcBorders>
            <w:shd w:val="clear" w:color="auto" w:fill="F0FFFF"/>
          </w:tcPr>
          <w:p>
            <w:pPr>
              <w:spacing w:after="0"/>
              <w:rPr>
                <w:sz w:val="24"/>
                <w:szCs w:val="24"/>
                <w:color w:val="auto"/>
              </w:rPr>
            </w:pPr>
          </w:p>
        </w:tc>
        <w:tc>
          <w:tcPr>
            <w:tcW w:w="260" w:type="dxa"/>
            <w:vAlign w:val="bottom"/>
            <w:tcBorders>
              <w:top w:val="single" w:sz="8" w:color="F0FFFF"/>
              <w:bottom w:val="single" w:sz="8" w:color="auto"/>
            </w:tcBorders>
            <w:shd w:val="clear" w:color="auto" w:fill="F0FFFF"/>
          </w:tcPr>
          <w:p>
            <w:pPr>
              <w:spacing w:after="0"/>
              <w:rPr>
                <w:sz w:val="24"/>
                <w:szCs w:val="24"/>
                <w:color w:val="auto"/>
              </w:rPr>
            </w:pPr>
          </w:p>
        </w:tc>
        <w:tc>
          <w:tcPr>
            <w:tcW w:w="460" w:type="dxa"/>
            <w:vAlign w:val="bottom"/>
            <w:tcBorders>
              <w:top w:val="single" w:sz="8" w:color="F0FFFF"/>
              <w:bottom w:val="single" w:sz="8" w:color="auto"/>
            </w:tcBorders>
            <w:shd w:val="clear" w:color="auto" w:fill="F0FFFF"/>
          </w:tcPr>
          <w:p>
            <w:pPr>
              <w:spacing w:after="0"/>
              <w:rPr>
                <w:sz w:val="24"/>
                <w:szCs w:val="24"/>
                <w:color w:val="auto"/>
              </w:rPr>
            </w:pPr>
          </w:p>
        </w:tc>
        <w:tc>
          <w:tcPr>
            <w:tcW w:w="280" w:type="dxa"/>
            <w:vAlign w:val="bottom"/>
            <w:tcBorders>
              <w:top w:val="single" w:sz="8" w:color="F0FFFF"/>
              <w:bottom w:val="single" w:sz="8" w:color="auto"/>
              <w:right w:val="single" w:sz="8" w:color="auto"/>
            </w:tcBorders>
            <w:shd w:val="clear" w:color="auto" w:fill="F0FFFF"/>
          </w:tcPr>
          <w:p>
            <w:pPr>
              <w:spacing w:after="0"/>
              <w:rPr>
                <w:sz w:val="24"/>
                <w:szCs w:val="24"/>
                <w:color w:val="auto"/>
              </w:rPr>
            </w:pPr>
          </w:p>
        </w:tc>
        <w:tc>
          <w:tcPr>
            <w:tcW w:w="1320" w:type="dxa"/>
            <w:vAlign w:val="bottom"/>
            <w:tcBorders>
              <w:top w:val="single" w:sz="8" w:color="F0FFFF"/>
              <w:bottom w:val="single" w:sz="8" w:color="auto"/>
              <w:right w:val="single" w:sz="8" w:color="auto"/>
            </w:tcBorders>
            <w:shd w:val="clear" w:color="auto" w:fill="F0FFFF"/>
          </w:tcPr>
          <w:p>
            <w:pPr>
              <w:spacing w:after="0"/>
              <w:rPr>
                <w:sz w:val="24"/>
                <w:szCs w:val="24"/>
                <w:color w:val="auto"/>
              </w:rPr>
            </w:pPr>
          </w:p>
        </w:tc>
        <w:tc>
          <w:tcPr>
            <w:tcW w:w="140" w:type="dxa"/>
            <w:vAlign w:val="bottom"/>
            <w:tcBorders>
              <w:top w:val="single" w:sz="8" w:color="F0FFFF"/>
              <w:bottom w:val="single" w:sz="8" w:color="auto"/>
            </w:tcBorders>
            <w:shd w:val="clear" w:color="auto" w:fill="F0FFFF"/>
          </w:tcPr>
          <w:p>
            <w:pPr>
              <w:spacing w:after="0"/>
              <w:rPr>
                <w:sz w:val="24"/>
                <w:szCs w:val="24"/>
                <w:color w:val="auto"/>
              </w:rPr>
            </w:pPr>
          </w:p>
        </w:tc>
        <w:tc>
          <w:tcPr>
            <w:tcW w:w="200" w:type="dxa"/>
            <w:vAlign w:val="bottom"/>
            <w:tcBorders>
              <w:top w:val="single" w:sz="8" w:color="F0FFFF"/>
              <w:left w:val="single" w:sz="8" w:color="F0FFFF"/>
              <w:bottom w:val="single" w:sz="8" w:color="auto"/>
            </w:tcBorders>
            <w:shd w:val="clear" w:color="auto" w:fill="F0FFFF"/>
          </w:tcPr>
          <w:p>
            <w:pPr>
              <w:spacing w:after="0"/>
              <w:rPr>
                <w:sz w:val="24"/>
                <w:szCs w:val="24"/>
                <w:color w:val="auto"/>
              </w:rPr>
            </w:pPr>
          </w:p>
        </w:tc>
        <w:tc>
          <w:tcPr>
            <w:tcW w:w="20" w:type="dxa"/>
            <w:vAlign w:val="bottom"/>
            <w:tcBorders>
              <w:top w:val="single" w:sz="8" w:color="F0FFFF"/>
              <w:bottom w:val="single" w:sz="8" w:color="auto"/>
            </w:tcBorders>
            <w:shd w:val="clear" w:color="auto" w:fill="F0FFFF"/>
          </w:tcPr>
          <w:p>
            <w:pPr>
              <w:spacing w:after="0"/>
              <w:rPr>
                <w:sz w:val="24"/>
                <w:szCs w:val="24"/>
                <w:color w:val="auto"/>
              </w:rPr>
            </w:pPr>
          </w:p>
        </w:tc>
        <w:tc>
          <w:tcPr>
            <w:tcW w:w="20" w:type="dxa"/>
            <w:vAlign w:val="bottom"/>
            <w:tcBorders>
              <w:top w:val="single" w:sz="8" w:color="F0FFFF"/>
              <w:bottom w:val="single" w:sz="8" w:color="auto"/>
            </w:tcBorders>
            <w:shd w:val="clear" w:color="auto" w:fill="F0FFFF"/>
          </w:tcPr>
          <w:p>
            <w:pPr>
              <w:spacing w:after="0"/>
              <w:rPr>
                <w:sz w:val="24"/>
                <w:szCs w:val="24"/>
                <w:color w:val="auto"/>
              </w:rPr>
            </w:pPr>
          </w:p>
        </w:tc>
        <w:tc>
          <w:tcPr>
            <w:tcW w:w="60" w:type="dxa"/>
            <w:vAlign w:val="bottom"/>
            <w:tcBorders>
              <w:top w:val="single" w:sz="8" w:color="F0FFFF"/>
              <w:bottom w:val="single" w:sz="8" w:color="auto"/>
              <w:right w:val="single" w:sz="8" w:color="F0FFFF"/>
            </w:tcBorders>
            <w:shd w:val="clear" w:color="auto" w:fill="F0FFFF"/>
          </w:tcPr>
          <w:p>
            <w:pPr>
              <w:spacing w:after="0"/>
              <w:rPr>
                <w:sz w:val="24"/>
                <w:szCs w:val="24"/>
                <w:color w:val="auto"/>
              </w:rPr>
            </w:pPr>
          </w:p>
        </w:tc>
        <w:tc>
          <w:tcPr>
            <w:tcW w:w="200" w:type="dxa"/>
            <w:vAlign w:val="bottom"/>
            <w:tcBorders>
              <w:top w:val="single" w:sz="8" w:color="F0FFFF"/>
              <w:bottom w:val="single" w:sz="8" w:color="auto"/>
              <w:right w:val="single" w:sz="8" w:color="F0FFFF"/>
            </w:tcBorders>
            <w:shd w:val="clear" w:color="auto" w:fill="F0FFFF"/>
          </w:tcPr>
          <w:p>
            <w:pPr>
              <w:spacing w:after="0"/>
              <w:rPr>
                <w:sz w:val="24"/>
                <w:szCs w:val="24"/>
                <w:color w:val="auto"/>
              </w:rPr>
            </w:pPr>
          </w:p>
        </w:tc>
        <w:tc>
          <w:tcPr>
            <w:tcW w:w="200" w:type="dxa"/>
            <w:vAlign w:val="bottom"/>
            <w:tcBorders>
              <w:top w:val="single" w:sz="8" w:color="F0FFFF"/>
              <w:left w:val="single" w:sz="8" w:color="F0FFFF"/>
              <w:bottom w:val="single" w:sz="8" w:color="auto"/>
              <w:right w:val="single" w:sz="8" w:color="F0FFFF"/>
            </w:tcBorders>
            <w:shd w:val="clear" w:color="auto" w:fill="F0FFFF"/>
          </w:tcPr>
          <w:p>
            <w:pPr>
              <w:spacing w:after="0"/>
              <w:rPr>
                <w:sz w:val="24"/>
                <w:szCs w:val="24"/>
                <w:color w:val="auto"/>
              </w:rPr>
            </w:pPr>
          </w:p>
        </w:tc>
        <w:tc>
          <w:tcPr>
            <w:tcW w:w="20" w:type="dxa"/>
            <w:vAlign w:val="bottom"/>
            <w:tcBorders>
              <w:top w:val="single" w:sz="8" w:color="auto"/>
              <w:bottom w:val="single" w:sz="8" w:color="auto"/>
            </w:tcBorders>
            <w:shd w:val="clear" w:color="auto" w:fill="F0FFFF"/>
          </w:tcPr>
          <w:p>
            <w:pPr>
              <w:spacing w:after="0"/>
              <w:rPr>
                <w:sz w:val="24"/>
                <w:szCs w:val="24"/>
                <w:color w:val="auto"/>
              </w:rPr>
            </w:pPr>
          </w:p>
        </w:tc>
        <w:tc>
          <w:tcPr>
            <w:tcW w:w="20" w:type="dxa"/>
            <w:vAlign w:val="bottom"/>
            <w:tcBorders>
              <w:top w:val="single" w:sz="8" w:color="auto"/>
              <w:bottom w:val="single" w:sz="8" w:color="auto"/>
            </w:tcBorders>
            <w:shd w:val="clear" w:color="auto" w:fill="F0FFFF"/>
          </w:tcPr>
          <w:p>
            <w:pPr>
              <w:spacing w:after="0"/>
              <w:rPr>
                <w:sz w:val="24"/>
                <w:szCs w:val="24"/>
                <w:color w:val="auto"/>
              </w:rPr>
            </w:pPr>
          </w:p>
        </w:tc>
        <w:tc>
          <w:tcPr>
            <w:tcW w:w="80" w:type="dxa"/>
            <w:vAlign w:val="bottom"/>
            <w:tcBorders>
              <w:top w:val="single" w:sz="8" w:color="auto"/>
              <w:bottom w:val="single" w:sz="8" w:color="auto"/>
              <w:right w:val="single" w:sz="8" w:color="F0FFFF"/>
            </w:tcBorders>
            <w:shd w:val="clear" w:color="auto" w:fill="F0FFFF"/>
          </w:tcPr>
          <w:p>
            <w:pPr>
              <w:spacing w:after="0"/>
              <w:rPr>
                <w:sz w:val="24"/>
                <w:szCs w:val="24"/>
                <w:color w:val="auto"/>
              </w:rPr>
            </w:pPr>
          </w:p>
        </w:tc>
        <w:tc>
          <w:tcPr>
            <w:tcW w:w="80" w:type="dxa"/>
            <w:vAlign w:val="bottom"/>
            <w:tcBorders>
              <w:top w:val="single" w:sz="8" w:color="auto"/>
              <w:bottom w:val="single" w:sz="8" w:color="auto"/>
            </w:tcBorders>
            <w:shd w:val="clear" w:color="auto" w:fill="F0FFFF"/>
          </w:tcPr>
          <w:p>
            <w:pPr>
              <w:spacing w:after="0"/>
              <w:rPr>
                <w:sz w:val="24"/>
                <w:szCs w:val="24"/>
                <w:color w:val="auto"/>
              </w:rPr>
            </w:pPr>
          </w:p>
        </w:tc>
        <w:tc>
          <w:tcPr>
            <w:tcW w:w="40" w:type="dxa"/>
            <w:vAlign w:val="bottom"/>
            <w:tcBorders>
              <w:top w:val="single" w:sz="8" w:color="auto"/>
              <w:bottom w:val="single" w:sz="8" w:color="auto"/>
              <w:right w:val="single" w:sz="8" w:color="F0FFFF"/>
            </w:tcBorders>
            <w:shd w:val="clear" w:color="auto" w:fill="F0FFFF"/>
          </w:tcPr>
          <w:p>
            <w:pPr>
              <w:spacing w:after="0"/>
              <w:rPr>
                <w:sz w:val="24"/>
                <w:szCs w:val="24"/>
                <w:color w:val="auto"/>
              </w:rPr>
            </w:pPr>
          </w:p>
        </w:tc>
        <w:tc>
          <w:tcPr>
            <w:tcW w:w="280" w:type="dxa"/>
            <w:vAlign w:val="bottom"/>
            <w:tcBorders>
              <w:top w:val="single" w:sz="8" w:color="auto"/>
              <w:left w:val="single" w:sz="8" w:color="F0FFFF"/>
              <w:bottom w:val="single" w:sz="8" w:color="auto"/>
              <w:right w:val="single" w:sz="8" w:color="F0FFFF"/>
            </w:tcBorders>
            <w:shd w:val="clear" w:color="auto" w:fill="F0FFFF"/>
          </w:tcPr>
          <w:p>
            <w:pPr>
              <w:spacing w:after="0"/>
              <w:rPr>
                <w:sz w:val="24"/>
                <w:szCs w:val="24"/>
                <w:color w:val="auto"/>
              </w:rPr>
            </w:pPr>
          </w:p>
        </w:tc>
        <w:tc>
          <w:tcPr>
            <w:tcW w:w="100" w:type="dxa"/>
            <w:vAlign w:val="bottom"/>
            <w:tcBorders>
              <w:top w:val="single" w:sz="8" w:color="auto"/>
              <w:left w:val="single" w:sz="8" w:color="F0FFFF"/>
              <w:bottom w:val="single" w:sz="8" w:color="auto"/>
            </w:tcBorders>
            <w:shd w:val="clear" w:color="auto" w:fill="F0FFFF"/>
          </w:tcPr>
          <w:p>
            <w:pPr>
              <w:spacing w:after="0"/>
              <w:rPr>
                <w:sz w:val="24"/>
                <w:szCs w:val="24"/>
                <w:color w:val="auto"/>
              </w:rPr>
            </w:pPr>
          </w:p>
        </w:tc>
        <w:tc>
          <w:tcPr>
            <w:tcW w:w="20" w:type="dxa"/>
            <w:vAlign w:val="bottom"/>
            <w:tcBorders>
              <w:top w:val="single" w:sz="8" w:color="auto"/>
              <w:bottom w:val="single" w:sz="8" w:color="auto"/>
            </w:tcBorders>
            <w:shd w:val="clear" w:color="auto" w:fill="F0FFFF"/>
          </w:tcPr>
          <w:p>
            <w:pPr>
              <w:spacing w:after="0"/>
              <w:rPr>
                <w:sz w:val="24"/>
                <w:szCs w:val="24"/>
                <w:color w:val="auto"/>
              </w:rPr>
            </w:pPr>
          </w:p>
        </w:tc>
        <w:tc>
          <w:tcPr>
            <w:tcW w:w="20" w:type="dxa"/>
            <w:vAlign w:val="bottom"/>
            <w:tcBorders>
              <w:top w:val="single" w:sz="8" w:color="auto"/>
              <w:bottom w:val="single" w:sz="8" w:color="auto"/>
              <w:right w:val="single" w:sz="8" w:color="F0FFFF"/>
            </w:tcBorders>
            <w:shd w:val="clear" w:color="auto" w:fill="F0FFFF"/>
          </w:tcPr>
          <w:p>
            <w:pPr>
              <w:spacing w:after="0"/>
              <w:rPr>
                <w:sz w:val="24"/>
                <w:szCs w:val="24"/>
                <w:color w:val="auto"/>
              </w:rPr>
            </w:pPr>
          </w:p>
        </w:tc>
        <w:tc>
          <w:tcPr>
            <w:tcW w:w="20" w:type="dxa"/>
            <w:vAlign w:val="bottom"/>
            <w:tcBorders>
              <w:top w:val="single" w:sz="8" w:color="auto"/>
              <w:bottom w:val="single" w:sz="8" w:color="auto"/>
            </w:tcBorders>
            <w:shd w:val="clear" w:color="auto" w:fill="F0FFFF"/>
          </w:tcPr>
          <w:p>
            <w:pPr>
              <w:spacing w:after="0"/>
              <w:rPr>
                <w:sz w:val="24"/>
                <w:szCs w:val="24"/>
                <w:color w:val="auto"/>
              </w:rPr>
            </w:pPr>
          </w:p>
        </w:tc>
        <w:tc>
          <w:tcPr>
            <w:tcW w:w="20" w:type="dxa"/>
            <w:vAlign w:val="bottom"/>
            <w:tcBorders>
              <w:top w:val="single" w:sz="8" w:color="auto"/>
              <w:bottom w:val="single" w:sz="8" w:color="auto"/>
            </w:tcBorders>
            <w:shd w:val="clear" w:color="auto" w:fill="F0FFFF"/>
          </w:tcPr>
          <w:p>
            <w:pPr>
              <w:spacing w:after="0"/>
              <w:rPr>
                <w:sz w:val="24"/>
                <w:szCs w:val="24"/>
                <w:color w:val="auto"/>
              </w:rPr>
            </w:pPr>
          </w:p>
        </w:tc>
        <w:tc>
          <w:tcPr>
            <w:tcW w:w="20" w:type="dxa"/>
            <w:vAlign w:val="bottom"/>
            <w:tcBorders>
              <w:top w:val="single" w:sz="8" w:color="auto"/>
              <w:bottom w:val="single" w:sz="8" w:color="auto"/>
            </w:tcBorders>
            <w:shd w:val="clear" w:color="auto" w:fill="F0FFFF"/>
          </w:tcPr>
          <w:p>
            <w:pPr>
              <w:spacing w:after="0"/>
              <w:rPr>
                <w:sz w:val="24"/>
                <w:szCs w:val="24"/>
                <w:color w:val="auto"/>
              </w:rPr>
            </w:pPr>
          </w:p>
        </w:tc>
        <w:tc>
          <w:tcPr>
            <w:tcW w:w="80" w:type="dxa"/>
            <w:vAlign w:val="bottom"/>
            <w:tcBorders>
              <w:top w:val="single" w:sz="8" w:color="auto"/>
              <w:bottom w:val="single" w:sz="8" w:color="auto"/>
              <w:right w:val="single" w:sz="8" w:color="F0FFFF"/>
            </w:tcBorders>
            <w:shd w:val="clear" w:color="auto" w:fill="F0FFFF"/>
          </w:tcPr>
          <w:p>
            <w:pPr>
              <w:spacing w:after="0"/>
              <w:rPr>
                <w:sz w:val="24"/>
                <w:szCs w:val="24"/>
                <w:color w:val="auto"/>
              </w:rPr>
            </w:pPr>
          </w:p>
        </w:tc>
        <w:tc>
          <w:tcPr>
            <w:tcW w:w="20" w:type="dxa"/>
            <w:vAlign w:val="bottom"/>
            <w:tcBorders>
              <w:top w:val="single" w:sz="8" w:color="F0FFFF"/>
              <w:bottom w:val="single" w:sz="8" w:color="auto"/>
            </w:tcBorders>
            <w:shd w:val="clear" w:color="auto" w:fill="F0FFFF"/>
          </w:tcPr>
          <w:p>
            <w:pPr>
              <w:spacing w:after="0"/>
              <w:rPr>
                <w:sz w:val="24"/>
                <w:szCs w:val="24"/>
                <w:color w:val="auto"/>
              </w:rPr>
            </w:pPr>
          </w:p>
        </w:tc>
        <w:tc>
          <w:tcPr>
            <w:tcW w:w="40" w:type="dxa"/>
            <w:vAlign w:val="bottom"/>
            <w:tcBorders>
              <w:top w:val="single" w:sz="8" w:color="F0FFFF"/>
              <w:bottom w:val="single" w:sz="8" w:color="auto"/>
              <w:right w:val="single" w:sz="8" w:color="F0FFFF"/>
            </w:tcBorders>
            <w:shd w:val="clear" w:color="auto" w:fill="F0FFFF"/>
          </w:tcPr>
          <w:p>
            <w:pPr>
              <w:spacing w:after="0"/>
              <w:rPr>
                <w:sz w:val="24"/>
                <w:szCs w:val="24"/>
                <w:color w:val="auto"/>
              </w:rPr>
            </w:pPr>
          </w:p>
        </w:tc>
        <w:tc>
          <w:tcPr>
            <w:tcW w:w="20" w:type="dxa"/>
            <w:vAlign w:val="bottom"/>
            <w:tcBorders>
              <w:top w:val="single" w:sz="8" w:color="F0FFFF"/>
              <w:bottom w:val="single" w:sz="8" w:color="auto"/>
            </w:tcBorders>
            <w:shd w:val="clear" w:color="auto" w:fill="F0FFFF"/>
          </w:tcPr>
          <w:p>
            <w:pPr>
              <w:spacing w:after="0"/>
              <w:rPr>
                <w:sz w:val="24"/>
                <w:szCs w:val="24"/>
                <w:color w:val="auto"/>
              </w:rPr>
            </w:pPr>
          </w:p>
        </w:tc>
        <w:tc>
          <w:tcPr>
            <w:tcW w:w="20" w:type="dxa"/>
            <w:vAlign w:val="bottom"/>
            <w:tcBorders>
              <w:top w:val="single" w:sz="8" w:color="F0FFFF"/>
              <w:bottom w:val="single" w:sz="8" w:color="auto"/>
            </w:tcBorders>
            <w:shd w:val="clear" w:color="auto" w:fill="F0FFFF"/>
          </w:tcPr>
          <w:p>
            <w:pPr>
              <w:spacing w:after="0"/>
              <w:rPr>
                <w:sz w:val="24"/>
                <w:szCs w:val="24"/>
                <w:color w:val="auto"/>
              </w:rPr>
            </w:pPr>
          </w:p>
        </w:tc>
        <w:tc>
          <w:tcPr>
            <w:tcW w:w="20" w:type="dxa"/>
            <w:vAlign w:val="bottom"/>
            <w:tcBorders>
              <w:top w:val="single" w:sz="8" w:color="F0FFFF"/>
              <w:bottom w:val="single" w:sz="8" w:color="auto"/>
            </w:tcBorders>
            <w:shd w:val="clear" w:color="auto" w:fill="F0FFFF"/>
          </w:tcPr>
          <w:p>
            <w:pPr>
              <w:spacing w:after="0"/>
              <w:rPr>
                <w:sz w:val="24"/>
                <w:szCs w:val="24"/>
                <w:color w:val="auto"/>
              </w:rPr>
            </w:pPr>
          </w:p>
        </w:tc>
        <w:tc>
          <w:tcPr>
            <w:tcW w:w="20" w:type="dxa"/>
            <w:vAlign w:val="bottom"/>
            <w:tcBorders>
              <w:top w:val="single" w:sz="8" w:color="F0FFFF"/>
              <w:bottom w:val="single" w:sz="8" w:color="auto"/>
            </w:tcBorders>
            <w:shd w:val="clear" w:color="auto" w:fill="F0FFFF"/>
          </w:tcPr>
          <w:p>
            <w:pPr>
              <w:spacing w:after="0"/>
              <w:rPr>
                <w:sz w:val="24"/>
                <w:szCs w:val="24"/>
                <w:color w:val="auto"/>
              </w:rPr>
            </w:pPr>
          </w:p>
        </w:tc>
        <w:tc>
          <w:tcPr>
            <w:tcW w:w="20" w:type="dxa"/>
            <w:vAlign w:val="bottom"/>
            <w:tcBorders>
              <w:top w:val="single" w:sz="8" w:color="F0FFFF"/>
              <w:bottom w:val="single" w:sz="8" w:color="auto"/>
            </w:tcBorders>
            <w:shd w:val="clear" w:color="auto" w:fill="F0FFFF"/>
          </w:tcPr>
          <w:p>
            <w:pPr>
              <w:spacing w:after="0"/>
              <w:rPr>
                <w:sz w:val="24"/>
                <w:szCs w:val="24"/>
                <w:color w:val="auto"/>
              </w:rPr>
            </w:pPr>
          </w:p>
        </w:tc>
        <w:tc>
          <w:tcPr>
            <w:tcW w:w="100" w:type="dxa"/>
            <w:vAlign w:val="bottom"/>
            <w:tcBorders>
              <w:top w:val="single" w:sz="8" w:color="F0FFFF"/>
              <w:bottom w:val="single" w:sz="8" w:color="auto"/>
              <w:right w:val="single" w:sz="8" w:color="auto"/>
            </w:tcBorders>
            <w:shd w:val="clear" w:color="auto" w:fill="F0FF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93915" cy="381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-4758690</wp:posOffset>
            </wp:positionV>
            <wp:extent cx="3842385" cy="2330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842385" cy="23304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-2125345</wp:posOffset>
            </wp:positionV>
            <wp:extent cx="25400"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5400" cy="6350"/>
                    </a:xfrm>
                    <a:prstGeom prst="rect">
                      <a:avLst/>
                    </a:prstGeom>
                    <a:noFill/>
                  </pic:spPr>
                </pic:pic>
              </a:graphicData>
            </a:graphic>
          </wp:anchor>
        </w:drawing>
      </w:r>
    </w:p>
    <w:p>
      <w:pPr>
        <w:spacing w:after="0" w:line="198"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3"/>
          <w:szCs w:val="13"/>
          <w:b w:val="1"/>
          <w:bCs w:val="1"/>
          <w:color w:val="auto"/>
        </w:rPr>
        <w:t>DEATH BENEFIT</w:t>
      </w:r>
    </w:p>
    <w:p>
      <w:pPr>
        <w:spacing w:after="0" w:line="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If you die during the Accumulation Period, we will pay a death benefit to your Beneficiary (or Beneficiaries).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standard death benefit for your Contract is described below.</w:t>
      </w:r>
    </w:p>
    <w:p>
      <w:pPr>
        <w:spacing w:after="0" w:line="76" w:lineRule="exact"/>
        <w:rPr>
          <w:sz w:val="20"/>
          <w:szCs w:val="20"/>
          <w:color w:val="auto"/>
        </w:rPr>
      </w:pPr>
    </w:p>
    <w:p>
      <w:pPr>
        <w:jc w:val="both"/>
        <w:ind w:right="3179" w:firstLine="265"/>
        <w:spacing w:after="0" w:line="263" w:lineRule="auto"/>
        <w:rPr>
          <w:sz w:val="20"/>
          <w:szCs w:val="20"/>
          <w:color w:val="auto"/>
        </w:rPr>
      </w:pPr>
      <w:r>
        <w:rPr>
          <w:rFonts w:ascii="Times New Roman" w:cs="Times New Roman" w:eastAsia="Times New Roman" w:hAnsi="Times New Roman"/>
          <w:sz w:val="13"/>
          <w:szCs w:val="13"/>
          <w:color w:val="auto"/>
        </w:rPr>
        <w:t>Please check your Contract and riders for the specific provisions applicable to you. We will require both due proof of death and an acceptable election for the payment method before any death benefit is paid. Our obligations are subject to all payments made and actions taken by us before our receipt of Notice of due proof of death. Any death benefit will be paid in accordance with applicable law or regulations governing death benefit payments. (See “General Death Benefit Provisions” below.)</w:t>
      </w:r>
    </w:p>
    <w:p>
      <w:pPr>
        <w:spacing w:after="0" w:line="23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color w:val="auto"/>
        </w:rPr>
        <w:t>54</w:t>
      </w:r>
    </w:p>
    <w:p>
      <w:pPr>
        <w:sectPr>
          <w:pgSz w:w="11900" w:h="16838" w:orient="portrait"/>
          <w:cols w:equalWidth="0" w:num="1">
            <w:col w:w="9259"/>
          </w:cols>
          <w:pgMar w:left="1200" w:top="1037"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93915" cy="38100"/>
                    </a:xfrm>
                    <a:prstGeom prst="rect">
                      <a:avLst/>
                    </a:prstGeom>
                    <a:noFill/>
                  </pic:spPr>
                </pic:pic>
              </a:graphicData>
            </a:graphic>
          </wp:anchor>
        </w:drawing>
        <w:t>Standard Death Benefit</w:t>
      </w:r>
    </w:p>
    <w:p>
      <w:pPr>
        <w:spacing w:after="0" w:line="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If you are age 81 or older at the Issue Date of your Contract, the standard death benefit is the Account Value.</w:t>
      </w:r>
    </w:p>
    <w:p>
      <w:pPr>
        <w:spacing w:after="0" w:line="99" w:lineRule="exact"/>
        <w:rPr>
          <w:sz w:val="20"/>
          <w:szCs w:val="20"/>
          <w:color w:val="auto"/>
        </w:rPr>
      </w:pPr>
    </w:p>
    <w:p>
      <w:pPr>
        <w:ind w:right="3199" w:firstLine="265"/>
        <w:spacing w:after="0" w:line="290" w:lineRule="auto"/>
        <w:rPr>
          <w:sz w:val="20"/>
          <w:szCs w:val="20"/>
          <w:color w:val="auto"/>
        </w:rPr>
      </w:pPr>
      <w:r>
        <w:rPr>
          <w:rFonts w:ascii="Times New Roman" w:cs="Times New Roman" w:eastAsia="Times New Roman" w:hAnsi="Times New Roman"/>
          <w:sz w:val="13"/>
          <w:szCs w:val="13"/>
          <w:color w:val="auto"/>
        </w:rPr>
        <w:t>If you are age 80 or younger at the Issue Date of your Contract, the standard death benefit will be the Return of Premium death benefit which is the greater of:</w:t>
      </w:r>
    </w:p>
    <w:p>
      <w:pPr>
        <w:spacing w:after="0" w:line="65" w:lineRule="exact"/>
        <w:rPr>
          <w:sz w:val="20"/>
          <w:szCs w:val="20"/>
          <w:color w:val="auto"/>
        </w:rPr>
      </w:pPr>
    </w:p>
    <w:p>
      <w:pPr>
        <w:ind w:left="780" w:hanging="517"/>
        <w:spacing w:after="0"/>
        <w:tabs>
          <w:tab w:leader="none" w:pos="78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your Account Value (which may be based on the Interim Values of the Shield Options); or</w:t>
      </w:r>
    </w:p>
    <w:p>
      <w:pPr>
        <w:spacing w:after="0" w:line="108" w:lineRule="exact"/>
        <w:rPr>
          <w:rFonts w:ascii="Times New Roman" w:cs="Times New Roman" w:eastAsia="Times New Roman" w:hAnsi="Times New Roman"/>
          <w:sz w:val="13"/>
          <w:szCs w:val="13"/>
          <w:color w:val="auto"/>
        </w:rPr>
      </w:pPr>
    </w:p>
    <w:p>
      <w:pPr>
        <w:ind w:left="780" w:right="3259" w:hanging="517"/>
        <w:spacing w:after="0" w:line="265" w:lineRule="auto"/>
        <w:tabs>
          <w:tab w:leader="none" w:pos="78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your Purchase Payment, reduced proportionally by the percentage reduction in Account Value of the Shield</w:t>
      </w:r>
    </w:p>
    <w:p>
      <w:pPr>
        <w:ind w:left="260"/>
        <w:spacing w:after="0"/>
        <w:rPr>
          <w:sz w:val="20"/>
          <w:szCs w:val="20"/>
          <w:color w:val="auto"/>
        </w:rPr>
      </w:pPr>
      <w:r>
        <w:rPr>
          <w:rFonts w:ascii="Times New Roman" w:cs="Times New Roman" w:eastAsia="Times New Roman" w:hAnsi="Times New Roman"/>
          <w:sz w:val="13"/>
          <w:szCs w:val="13"/>
          <w:color w:val="auto"/>
        </w:rPr>
        <w:t>Option(s), the Fixed Account, and the Holding Account for each partial withdrawal (including any</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applicable Withdrawal</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Charge).</w:t>
      </w:r>
    </w:p>
    <w:p>
      <w:pPr>
        <w:spacing w:after="0" w:line="85" w:lineRule="exact"/>
        <w:rPr>
          <w:sz w:val="20"/>
          <w:szCs w:val="20"/>
          <w:color w:val="auto"/>
        </w:rPr>
      </w:pPr>
    </w:p>
    <w:p>
      <w:pPr>
        <w:jc w:val="both"/>
        <w:ind w:right="3199" w:firstLine="265"/>
        <w:spacing w:after="0" w:line="272" w:lineRule="auto"/>
        <w:rPr>
          <w:sz w:val="20"/>
          <w:szCs w:val="20"/>
          <w:color w:val="auto"/>
        </w:rPr>
      </w:pPr>
      <w:r>
        <w:rPr>
          <w:rFonts w:ascii="Times New Roman" w:cs="Times New Roman" w:eastAsia="Times New Roman" w:hAnsi="Times New Roman"/>
          <w:sz w:val="13"/>
          <w:szCs w:val="13"/>
          <w:color w:val="auto"/>
        </w:rPr>
        <w:t>If a non-natural person owns the Contract, then the Annuitant will be deemed to be the Owner for purposes of determining the Death Benefit Amount. If Joint Owners are named, the age of the oldest Joint Owner will be used to determine the Death Benefit.</w:t>
      </w:r>
    </w:p>
    <w:p>
      <w:pPr>
        <w:spacing w:after="0" w:line="57" w:lineRule="exact"/>
        <w:rPr>
          <w:sz w:val="20"/>
          <w:szCs w:val="20"/>
          <w:color w:val="auto"/>
        </w:rPr>
      </w:pPr>
    </w:p>
    <w:p>
      <w:pPr>
        <w:jc w:val="both"/>
        <w:ind w:right="3199" w:firstLine="265"/>
        <w:spacing w:after="0" w:line="262" w:lineRule="auto"/>
        <w:rPr>
          <w:sz w:val="20"/>
          <w:szCs w:val="20"/>
          <w:color w:val="auto"/>
        </w:rPr>
      </w:pPr>
      <w:r>
        <w:rPr>
          <w:rFonts w:ascii="Times New Roman" w:cs="Times New Roman" w:eastAsia="Times New Roman" w:hAnsi="Times New Roman"/>
          <w:sz w:val="13"/>
          <w:szCs w:val="13"/>
          <w:color w:val="auto"/>
        </w:rPr>
        <w:t>If the Owner is a natural person and the Owner is changed to someone other than a spouse, the Death Benefit Amount will be determined as defined above; however, for the Return of Premium death benefit, subsection (2) will be changed to provide as follows: “the Account Value as of the effective date of the change of Owner, reduced proportionally by the percentage reduction in Account Value of the Shield Option(s), the Fixed Account, and the Holding Account for each partial withdrawal (including any applicable Withdrawal Charge) made after such date.”</w:t>
      </w:r>
    </w:p>
    <w:p>
      <w:pPr>
        <w:spacing w:after="0" w:line="216" w:lineRule="exact"/>
        <w:rPr>
          <w:sz w:val="20"/>
          <w:szCs w:val="20"/>
          <w:color w:val="auto"/>
        </w:rPr>
      </w:pPr>
    </w:p>
    <w:p>
      <w:pPr>
        <w:jc w:val="both"/>
        <w:ind w:right="3199" w:firstLine="265"/>
        <w:spacing w:after="0" w:line="272" w:lineRule="auto"/>
        <w:rPr>
          <w:sz w:val="20"/>
          <w:szCs w:val="20"/>
          <w:color w:val="auto"/>
        </w:rPr>
      </w:pPr>
      <w:r>
        <w:rPr>
          <w:rFonts w:ascii="Times New Roman" w:cs="Times New Roman" w:eastAsia="Times New Roman" w:hAnsi="Times New Roman"/>
          <w:sz w:val="13"/>
          <w:szCs w:val="13"/>
          <w:color w:val="auto"/>
        </w:rPr>
        <w:t>In the event that a Beneficiary who is the spouse of the Owner elects to continue the Contract in his or her name after the Owner dies, the Death Benefit Amount for the Return of Premium death benefit, will be determined in accordance with (1) or (2) above.</w:t>
      </w:r>
    </w:p>
    <w:p>
      <w:pPr>
        <w:spacing w:after="0" w:line="57" w:lineRule="exact"/>
        <w:rPr>
          <w:sz w:val="20"/>
          <w:szCs w:val="20"/>
          <w:color w:val="auto"/>
        </w:rPr>
      </w:pPr>
    </w:p>
    <w:p>
      <w:pPr>
        <w:jc w:val="both"/>
        <w:ind w:right="3199" w:firstLine="265"/>
        <w:spacing w:after="0" w:line="290" w:lineRule="auto"/>
        <w:rPr>
          <w:sz w:val="20"/>
          <w:szCs w:val="20"/>
          <w:color w:val="auto"/>
        </w:rPr>
      </w:pPr>
      <w:r>
        <w:rPr>
          <w:rFonts w:ascii="Times New Roman" w:cs="Times New Roman" w:eastAsia="Times New Roman" w:hAnsi="Times New Roman"/>
          <w:sz w:val="13"/>
          <w:szCs w:val="13"/>
          <w:color w:val="auto"/>
        </w:rPr>
        <w:t>The Death Benefit Amount cannot be withdrawn as a lump sum prior to the death of the Owner (or Annuitant where the Owner is a non-natural person).</w:t>
      </w:r>
    </w:p>
    <w:p>
      <w:pPr>
        <w:spacing w:after="0" w:line="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The current Death Benefit Amount will appear on any reports that are sent to you.</w:t>
      </w:r>
    </w:p>
    <w:p>
      <w:pPr>
        <w:spacing w:after="0" w:line="99" w:lineRule="exact"/>
        <w:rPr>
          <w:sz w:val="20"/>
          <w:szCs w:val="20"/>
          <w:color w:val="auto"/>
        </w:rPr>
      </w:pPr>
    </w:p>
    <w:p>
      <w:pPr>
        <w:jc w:val="both"/>
        <w:ind w:right="3199" w:firstLine="265"/>
        <w:spacing w:after="0" w:line="290" w:lineRule="auto"/>
        <w:rPr>
          <w:sz w:val="20"/>
          <w:szCs w:val="20"/>
          <w:color w:val="auto"/>
        </w:rPr>
      </w:pPr>
      <w:r>
        <w:rPr>
          <w:rFonts w:ascii="Times New Roman" w:cs="Times New Roman" w:eastAsia="Times New Roman" w:hAnsi="Times New Roman"/>
          <w:sz w:val="13"/>
          <w:szCs w:val="13"/>
          <w:color w:val="auto"/>
        </w:rPr>
        <w:t>The death benefit terminates (a) upon termination of the Contract; (b) when the entire Account Value is applied to an Annuity Option; or (c) when the Account Value is reduced to zero.</w:t>
      </w:r>
    </w:p>
    <w:p>
      <w:pPr>
        <w:spacing w:after="0" w:line="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See Appendix D for examples of the Return of Premium death benefit.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General Death Benefit Provisions</w:t>
      </w:r>
    </w:p>
    <w:p>
      <w:pPr>
        <w:spacing w:after="0" w:line="91" w:lineRule="exact"/>
        <w:rPr>
          <w:sz w:val="20"/>
          <w:szCs w:val="20"/>
          <w:color w:val="auto"/>
        </w:rPr>
      </w:pPr>
    </w:p>
    <w:p>
      <w:pPr>
        <w:jc w:val="both"/>
        <w:ind w:right="3199" w:firstLine="265"/>
        <w:spacing w:after="0" w:line="263" w:lineRule="auto"/>
        <w:rPr>
          <w:sz w:val="20"/>
          <w:szCs w:val="20"/>
          <w:color w:val="auto"/>
        </w:rPr>
      </w:pPr>
      <w:r>
        <w:rPr>
          <w:rFonts w:ascii="Times New Roman" w:cs="Times New Roman" w:eastAsia="Times New Roman" w:hAnsi="Times New Roman"/>
          <w:sz w:val="13"/>
          <w:szCs w:val="13"/>
          <w:color w:val="auto"/>
        </w:rPr>
        <w:t>If the Beneficiary under a Qualified Contract is the Annuitant’s spouse, the tax law generally allows distributions to begin by the year in which the Annuitant would have been required to begin taking distributions (which may be more or less than ten years after the Annuitant’s death). (See “FEDERAL TAX CONSIDERATIONS” for a discussion of the tax law requirements applicable to distributions from Qualified Contracts).</w:t>
      </w:r>
    </w:p>
    <w:p>
      <w:pPr>
        <w:spacing w:after="0" w:line="54" w:lineRule="exact"/>
        <w:rPr>
          <w:sz w:val="20"/>
          <w:szCs w:val="20"/>
          <w:color w:val="auto"/>
        </w:rPr>
      </w:pPr>
    </w:p>
    <w:p>
      <w:pPr>
        <w:jc w:val="both"/>
        <w:ind w:right="3199" w:firstLine="265"/>
        <w:spacing w:after="0" w:line="259" w:lineRule="auto"/>
        <w:rPr>
          <w:sz w:val="20"/>
          <w:szCs w:val="20"/>
          <w:color w:val="auto"/>
        </w:rPr>
      </w:pPr>
      <w:r>
        <w:rPr>
          <w:rFonts w:ascii="Times New Roman" w:cs="Times New Roman" w:eastAsia="Times New Roman" w:hAnsi="Times New Roman"/>
          <w:sz w:val="13"/>
          <w:szCs w:val="13"/>
          <w:color w:val="auto"/>
        </w:rPr>
        <w:t>The Death Benefit Amount is determined as of the end of the Business Day on which we receive both due proof of death and an acceptable election for the payment method. Where there are multiple Beneficiaries, the death benefit will be determined as of the time the first Beneficiary submits the necessary documentation in Good Order. The Death Benefit Amount remains in the Contract until each of the other Beneficiaries submits the necessary documentation in Good Order to claim his/her death benefit. Any Death Benefit Amounts held in the Contract on behalf of the remaining Beneficiaries will remain in the existing Shield Options and/or the Fixed Account and are subject to fluctuation in value. This risk is borne by the Beneficiaries. There is no additional death benefit guarantee.</w:t>
      </w:r>
    </w:p>
    <w:p>
      <w:pPr>
        <w:spacing w:after="0" w:line="59" w:lineRule="exact"/>
        <w:rPr>
          <w:sz w:val="20"/>
          <w:szCs w:val="20"/>
          <w:color w:val="auto"/>
        </w:rPr>
      </w:pPr>
    </w:p>
    <w:p>
      <w:pPr>
        <w:jc w:val="both"/>
        <w:ind w:right="3199" w:firstLine="265"/>
        <w:spacing w:after="0" w:line="266" w:lineRule="auto"/>
        <w:rPr>
          <w:sz w:val="20"/>
          <w:szCs w:val="20"/>
          <w:color w:val="auto"/>
        </w:rPr>
      </w:pPr>
      <w:r>
        <w:rPr>
          <w:rFonts w:ascii="Times New Roman" w:cs="Times New Roman" w:eastAsia="Times New Roman" w:hAnsi="Times New Roman"/>
          <w:sz w:val="13"/>
          <w:szCs w:val="13"/>
          <w:color w:val="auto"/>
        </w:rPr>
        <w:t>For the Return of Premium death benefit, if the Beneficiary chooses to continue the Contract, any excess of the Death Benefit Amount over the Account Value will be allocated to the Fixed Account. If the Fixed Account is not available, any excess amount of the Death Benefit Amount over the Account Value will be allocated into the Holding Account, unless otherwise instructed by the Beneficiary.</w:t>
      </w:r>
    </w:p>
    <w:p>
      <w:pPr>
        <w:spacing w:after="0" w:line="52" w:lineRule="exact"/>
        <w:rPr>
          <w:sz w:val="20"/>
          <w:szCs w:val="20"/>
          <w:color w:val="auto"/>
        </w:rPr>
      </w:pPr>
    </w:p>
    <w:p>
      <w:pPr>
        <w:jc w:val="both"/>
        <w:ind w:right="3199" w:firstLine="265"/>
        <w:spacing w:after="0" w:line="290" w:lineRule="auto"/>
        <w:rPr>
          <w:sz w:val="20"/>
          <w:szCs w:val="20"/>
          <w:color w:val="auto"/>
        </w:rPr>
      </w:pPr>
      <w:r>
        <w:rPr>
          <w:rFonts w:ascii="Times New Roman" w:cs="Times New Roman" w:eastAsia="Times New Roman" w:hAnsi="Times New Roman"/>
          <w:sz w:val="13"/>
          <w:szCs w:val="13"/>
          <w:color w:val="auto"/>
        </w:rPr>
        <w:t>Upon the death of either Owner, the surviving Joint Owner will be the primary Beneficiary. Any other Beneficiary designation will be treated as a contingent Beneficiary, unless instructed otherwise.</w:t>
      </w:r>
    </w:p>
    <w:p>
      <w:pPr>
        <w:spacing w:after="0" w:line="36" w:lineRule="exact"/>
        <w:rPr>
          <w:sz w:val="20"/>
          <w:szCs w:val="20"/>
          <w:color w:val="auto"/>
        </w:rPr>
      </w:pPr>
    </w:p>
    <w:p>
      <w:pPr>
        <w:jc w:val="both"/>
        <w:ind w:right="3199" w:firstLine="265"/>
        <w:spacing w:after="0" w:line="272" w:lineRule="auto"/>
        <w:rPr>
          <w:sz w:val="20"/>
          <w:szCs w:val="20"/>
          <w:color w:val="auto"/>
        </w:rPr>
      </w:pPr>
      <w:r>
        <w:rPr>
          <w:rFonts w:ascii="Times New Roman" w:cs="Times New Roman" w:eastAsia="Times New Roman" w:hAnsi="Times New Roman"/>
          <w:sz w:val="13"/>
          <w:szCs w:val="13"/>
          <w:color w:val="auto"/>
        </w:rPr>
        <w:t>If we are presented with Notice of your death before any requested transaction is completed, we will cancel the request. As described above, the death benefit will be determined when we receive both due proof of death and an election for the payment method.</w:t>
      </w:r>
    </w:p>
    <w:p>
      <w:pPr>
        <w:spacing w:after="0" w:line="47" w:lineRule="exact"/>
        <w:rPr>
          <w:sz w:val="20"/>
          <w:szCs w:val="20"/>
          <w:color w:val="auto"/>
        </w:rPr>
      </w:pPr>
    </w:p>
    <w:p>
      <w:pPr>
        <w:jc w:val="both"/>
        <w:ind w:right="3199" w:firstLine="265"/>
        <w:spacing w:after="0" w:line="290" w:lineRule="auto"/>
        <w:rPr>
          <w:sz w:val="20"/>
          <w:szCs w:val="20"/>
          <w:color w:val="auto"/>
        </w:rPr>
      </w:pPr>
      <w:r>
        <w:rPr>
          <w:rFonts w:ascii="Times New Roman" w:cs="Times New Roman" w:eastAsia="Times New Roman" w:hAnsi="Times New Roman"/>
          <w:sz w:val="13"/>
          <w:szCs w:val="13"/>
          <w:color w:val="auto"/>
        </w:rPr>
        <w:t>We will pay interest on any delayed death benefit payments in accordance with the laws and regulations in effect under the applicable state law.</w:t>
      </w:r>
    </w:p>
    <w:p>
      <w:pPr>
        <w:spacing w:after="0" w:line="16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color w:val="auto"/>
        </w:rPr>
        <w:t>55</w:t>
      </w:r>
    </w:p>
    <w:p>
      <w:pPr>
        <w:sectPr>
          <w:pgSz w:w="11900" w:h="16838" w:orient="portrait"/>
          <w:cols w:equalWidth="0" w:num="1">
            <w:col w:w="9259"/>
          </w:cols>
          <w:pgMar w:left="1200" w:top="1047"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93915" cy="38100"/>
                    </a:xfrm>
                    <a:prstGeom prst="rect">
                      <a:avLst/>
                    </a:prstGeom>
                    <a:noFill/>
                  </pic:spPr>
                </pic:pic>
              </a:graphicData>
            </a:graphic>
          </wp:anchor>
        </w:drawing>
        <w:t>Controlled Payout</w:t>
      </w:r>
    </w:p>
    <w:p>
      <w:pPr>
        <w:spacing w:after="0" w:line="101" w:lineRule="exact"/>
        <w:rPr>
          <w:sz w:val="20"/>
          <w:szCs w:val="20"/>
          <w:color w:val="auto"/>
        </w:rPr>
      </w:pPr>
    </w:p>
    <w:p>
      <w:pPr>
        <w:jc w:val="both"/>
        <w:ind w:right="3199" w:firstLine="265"/>
        <w:spacing w:after="0" w:line="263" w:lineRule="auto"/>
        <w:rPr>
          <w:sz w:val="20"/>
          <w:szCs w:val="20"/>
          <w:color w:val="auto"/>
        </w:rPr>
      </w:pPr>
      <w:r>
        <w:rPr>
          <w:rFonts w:ascii="Times New Roman" w:cs="Times New Roman" w:eastAsia="Times New Roman" w:hAnsi="Times New Roman"/>
          <w:sz w:val="13"/>
          <w:szCs w:val="13"/>
          <w:color w:val="auto"/>
        </w:rPr>
        <w:t>You may elect to have the death benefit proceeds paid to your Beneficiary in the form of Annuity Payments for life or over a period of time that does not exceed your Beneficiary’s life expectancy, subject to applicable tax law requirements. This election must be in writing in a form acceptable to us. You may revoke the election only in writing and only in a form acceptable to us. Upon your death, the Beneficiary cannot revoke or modify your election. The Controlled Payout is only available to Non-Qualified Contracts.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Death of Owner During the Accumulation Period</w:t>
      </w:r>
    </w:p>
    <w:p>
      <w:pPr>
        <w:spacing w:after="0" w:line="101" w:lineRule="exact"/>
        <w:rPr>
          <w:sz w:val="20"/>
          <w:szCs w:val="20"/>
          <w:color w:val="auto"/>
        </w:rPr>
      </w:pPr>
    </w:p>
    <w:p>
      <w:pPr>
        <w:jc w:val="both"/>
        <w:ind w:right="3199" w:firstLine="265"/>
        <w:spacing w:after="0" w:line="272" w:lineRule="auto"/>
        <w:rPr>
          <w:sz w:val="20"/>
          <w:szCs w:val="20"/>
          <w:color w:val="auto"/>
        </w:rPr>
      </w:pPr>
      <w:r>
        <w:rPr>
          <w:rFonts w:ascii="Times New Roman" w:cs="Times New Roman" w:eastAsia="Times New Roman" w:hAnsi="Times New Roman"/>
          <w:sz w:val="13"/>
          <w:szCs w:val="13"/>
          <w:color w:val="auto"/>
        </w:rPr>
        <w:t>The death benefit will be paid to your Beneficiary(ies) upon your death, or the first death of a Joint Owner. If the Contract is owned by a non-natural person, the Annuitant will be deemed the Owner in determining the death benefit. If there are Joint Owners, the age of the older Owner will be used to determine the death benefit.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Death of Annuitant During the Accumulation Period</w:t>
      </w:r>
    </w:p>
    <w:p>
      <w:pPr>
        <w:spacing w:after="0" w:line="91" w:lineRule="exact"/>
        <w:rPr>
          <w:sz w:val="20"/>
          <w:szCs w:val="20"/>
          <w:color w:val="auto"/>
        </w:rPr>
      </w:pPr>
    </w:p>
    <w:p>
      <w:pPr>
        <w:jc w:val="both"/>
        <w:ind w:right="3199" w:firstLine="265"/>
        <w:spacing w:after="0" w:line="263" w:lineRule="auto"/>
        <w:rPr>
          <w:sz w:val="20"/>
          <w:szCs w:val="20"/>
          <w:color w:val="auto"/>
        </w:rPr>
      </w:pPr>
      <w:r>
        <w:rPr>
          <w:rFonts w:ascii="Times New Roman" w:cs="Times New Roman" w:eastAsia="Times New Roman" w:hAnsi="Times New Roman"/>
          <w:sz w:val="13"/>
          <w:szCs w:val="13"/>
          <w:color w:val="auto"/>
        </w:rPr>
        <w:t>Upon the death of an Annuitant, who is not the Owner or Joint Owner, the Owner (or Oldest Joint Owner) automatically becomes the Annuitant, unless the Owner, subject to our underwriting requirements in effect at the time of the request, chooses a new Annuitant. If the Owner is a non-natural person, the death of the Annuitant will be treated as the death of an Owner, and a new Annuitant may not be named. (See “Death of Owner During the Accumulation Period” above).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Death Benefit Options</w:t>
      </w:r>
    </w:p>
    <w:p>
      <w:pPr>
        <w:spacing w:after="0" w:line="101" w:lineRule="exact"/>
        <w:rPr>
          <w:sz w:val="20"/>
          <w:szCs w:val="20"/>
          <w:color w:val="auto"/>
        </w:rPr>
      </w:pPr>
    </w:p>
    <w:p>
      <w:pPr>
        <w:jc w:val="both"/>
        <w:ind w:right="3199" w:firstLine="265"/>
        <w:spacing w:after="0" w:line="266" w:lineRule="auto"/>
        <w:rPr>
          <w:sz w:val="20"/>
          <w:szCs w:val="20"/>
          <w:color w:val="auto"/>
        </w:rPr>
      </w:pPr>
      <w:r>
        <w:rPr>
          <w:rFonts w:ascii="Times New Roman" w:cs="Times New Roman" w:eastAsia="Times New Roman" w:hAnsi="Times New Roman"/>
          <w:sz w:val="13"/>
          <w:szCs w:val="13"/>
          <w:color w:val="auto"/>
        </w:rPr>
        <w:t>In the event an Owner (or the Annuitant, where the Owner is not a natural person) dies during the Accumulation Period, a Beneficiary must choose payment of the death benefit under one of the options below (unless the Owner has previously made the election or due to the requirements of the Code). The death benefit options available under the Contract include the following and any other options acceptable to you and us:</w:t>
      </w:r>
    </w:p>
    <w:p>
      <w:pPr>
        <w:spacing w:after="0" w:line="71" w:lineRule="exact"/>
        <w:rPr>
          <w:sz w:val="20"/>
          <w:szCs w:val="20"/>
          <w:color w:val="auto"/>
        </w:rPr>
      </w:pPr>
    </w:p>
    <w:p>
      <w:pPr>
        <w:ind w:left="780" w:hanging="517"/>
        <w:spacing w:after="0"/>
        <w:tabs>
          <w:tab w:leader="none" w:pos="78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Option 1—lump sum payment in cash; or</w:t>
      </w:r>
    </w:p>
    <w:p>
      <w:pPr>
        <w:spacing w:after="0" w:line="118" w:lineRule="exact"/>
        <w:rPr>
          <w:rFonts w:ascii="Times New Roman" w:cs="Times New Roman" w:eastAsia="Times New Roman" w:hAnsi="Times New Roman"/>
          <w:sz w:val="13"/>
          <w:szCs w:val="13"/>
          <w:color w:val="auto"/>
        </w:rPr>
      </w:pPr>
    </w:p>
    <w:p>
      <w:pPr>
        <w:ind w:left="780" w:right="3259" w:hanging="517"/>
        <w:spacing w:after="0" w:line="265" w:lineRule="auto"/>
        <w:tabs>
          <w:tab w:leader="none" w:pos="78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Option 2—payment of death benefit under an Annuity Option or other periodic payment option acceptable to</w:t>
      </w:r>
    </w:p>
    <w:p>
      <w:pPr>
        <w:jc w:val="both"/>
        <w:ind w:left="260" w:right="3259"/>
        <w:spacing w:after="0" w:line="254" w:lineRule="auto"/>
        <w:rPr>
          <w:sz w:val="20"/>
          <w:szCs w:val="20"/>
          <w:color w:val="auto"/>
        </w:rPr>
      </w:pPr>
      <w:r>
        <w:rPr>
          <w:rFonts w:ascii="Times New Roman" w:cs="Times New Roman" w:eastAsia="Times New Roman" w:hAnsi="Times New Roman"/>
          <w:sz w:val="13"/>
          <w:szCs w:val="13"/>
          <w:color w:val="auto"/>
        </w:rPr>
        <w:t>us (if permitted by the Code) in substantially equal periodic payments (made at least annually) over the lifetime of the</w:t>
      </w:r>
    </w:p>
    <w:p>
      <w:pPr>
        <w:spacing w:after="0" w:line="1" w:lineRule="exact"/>
        <w:rPr>
          <w:sz w:val="20"/>
          <w:szCs w:val="20"/>
          <w:color w:val="auto"/>
        </w:rPr>
      </w:pPr>
    </w:p>
    <w:p>
      <w:pPr>
        <w:jc w:val="both"/>
        <w:ind w:left="260" w:right="3259"/>
        <w:spacing w:after="0" w:line="254" w:lineRule="auto"/>
        <w:rPr>
          <w:sz w:val="20"/>
          <w:szCs w:val="20"/>
          <w:color w:val="auto"/>
        </w:rPr>
      </w:pPr>
      <w:r>
        <w:rPr>
          <w:rFonts w:ascii="Times New Roman" w:cs="Times New Roman" w:eastAsia="Times New Roman" w:hAnsi="Times New Roman"/>
          <w:sz w:val="13"/>
          <w:szCs w:val="13"/>
          <w:color w:val="auto"/>
        </w:rPr>
        <w:t>Beneficiary or over a period not extending beyond the life expectancy of the Beneficiary with distribution beginning</w:t>
      </w:r>
    </w:p>
    <w:p>
      <w:pPr>
        <w:spacing w:after="0" w:line="1" w:lineRule="exact"/>
        <w:rPr>
          <w:sz w:val="20"/>
          <w:szCs w:val="20"/>
          <w:color w:val="auto"/>
        </w:rPr>
      </w:pPr>
    </w:p>
    <w:p>
      <w:pPr>
        <w:jc w:val="both"/>
        <w:ind w:left="260" w:right="3259"/>
        <w:spacing w:after="0" w:line="262" w:lineRule="auto"/>
        <w:rPr>
          <w:sz w:val="20"/>
          <w:szCs w:val="20"/>
          <w:color w:val="auto"/>
        </w:rPr>
      </w:pPr>
      <w:r>
        <w:rPr>
          <w:rFonts w:ascii="Times New Roman" w:cs="Times New Roman" w:eastAsia="Times New Roman" w:hAnsi="Times New Roman"/>
          <w:sz w:val="13"/>
          <w:szCs w:val="13"/>
          <w:color w:val="auto"/>
        </w:rPr>
        <w:t>within one (1) year of the date of death of the Owner or the first Joint Owner to die. Any portion of the death benefit not applied within one (1) year of the date of the Owner’s or Joint Owner’s death must be distributed within five (5) years of the date of death.</w:t>
      </w:r>
    </w:p>
    <w:p>
      <w:pPr>
        <w:spacing w:after="0" w:line="63" w:lineRule="exact"/>
        <w:rPr>
          <w:sz w:val="20"/>
          <w:szCs w:val="20"/>
          <w:color w:val="auto"/>
        </w:rPr>
      </w:pPr>
    </w:p>
    <w:p>
      <w:pPr>
        <w:jc w:val="both"/>
        <w:ind w:right="3199" w:firstLine="265"/>
        <w:spacing w:after="0" w:line="290" w:lineRule="auto"/>
        <w:rPr>
          <w:sz w:val="20"/>
          <w:szCs w:val="20"/>
          <w:color w:val="auto"/>
        </w:rPr>
      </w:pPr>
      <w:r>
        <w:rPr>
          <w:rFonts w:ascii="Times New Roman" w:cs="Times New Roman" w:eastAsia="Times New Roman" w:hAnsi="Times New Roman"/>
          <w:sz w:val="13"/>
          <w:szCs w:val="13"/>
          <w:color w:val="auto"/>
        </w:rPr>
        <w:t>For Non-Qualified Contracts, payment must begin within one year of the date of death. For Qualified Contracts, payment must begin no later than the end of the calendar year immediately following the year of death.</w:t>
      </w:r>
    </w:p>
    <w:p>
      <w:pPr>
        <w:spacing w:after="0" w:line="45" w:lineRule="exact"/>
        <w:rPr>
          <w:sz w:val="20"/>
          <w:szCs w:val="20"/>
          <w:color w:val="auto"/>
        </w:rPr>
      </w:pPr>
    </w:p>
    <w:p>
      <w:pPr>
        <w:jc w:val="both"/>
        <w:ind w:right="3199" w:firstLine="265"/>
        <w:spacing w:after="0" w:line="259" w:lineRule="auto"/>
        <w:rPr>
          <w:sz w:val="20"/>
          <w:szCs w:val="20"/>
          <w:color w:val="auto"/>
        </w:rPr>
      </w:pPr>
      <w:r>
        <w:rPr>
          <w:rFonts w:ascii="Times New Roman" w:cs="Times New Roman" w:eastAsia="Times New Roman" w:hAnsi="Times New Roman"/>
          <w:sz w:val="13"/>
          <w:szCs w:val="13"/>
          <w:color w:val="auto"/>
        </w:rPr>
        <w:t>We may also offer a payment option, for both Non-Qualified Contracts and certain Qualified Contracts, under which your Beneficiary may receive payments, over a period not extending beyond his or her life expectancy, under a method of distribution similar to the distribution of RMDs that are taken as withdrawals from Individual Retirement Accounts. Such payment option may be limited to certain categories of beneficiaries. If this option is elected, we will issue a new contract to your Beneficiary in order to facilitate the distribution of payments. Upon the death of your Beneficiary, the death benefit would be required to be distributed in accordance with applicable tax law requirements. In some cases, this will require that the proceeds be distributed more rapidly than the method of distribution in effect at the time of your Beneficiary’s death. (See “FEDERAL TAX CONSIDERATIONS.”)</w:t>
      </w:r>
    </w:p>
    <w:p>
      <w:pPr>
        <w:spacing w:after="0" w:line="217" w:lineRule="exact"/>
        <w:rPr>
          <w:sz w:val="20"/>
          <w:szCs w:val="20"/>
          <w:color w:val="auto"/>
        </w:rPr>
      </w:pPr>
    </w:p>
    <w:p>
      <w:pPr>
        <w:jc w:val="both"/>
        <w:ind w:right="3199" w:firstLine="265"/>
        <w:spacing w:after="0" w:line="290" w:lineRule="auto"/>
        <w:rPr>
          <w:sz w:val="20"/>
          <w:szCs w:val="20"/>
          <w:color w:val="auto"/>
        </w:rPr>
      </w:pPr>
      <w:r>
        <w:rPr>
          <w:rFonts w:ascii="Times New Roman" w:cs="Times New Roman" w:eastAsia="Times New Roman" w:hAnsi="Times New Roman"/>
          <w:sz w:val="13"/>
          <w:szCs w:val="13"/>
          <w:color w:val="auto"/>
        </w:rPr>
        <w:t>If a lump sum payment is elected and all the necessary requirements are met, the payment will be made within seven (7) days.</w:t>
      </w:r>
    </w:p>
    <w:p>
      <w:pPr>
        <w:spacing w:after="0" w:line="45" w:lineRule="exact"/>
        <w:rPr>
          <w:sz w:val="20"/>
          <w:szCs w:val="20"/>
          <w:color w:val="auto"/>
        </w:rPr>
      </w:pPr>
    </w:p>
    <w:p>
      <w:pPr>
        <w:jc w:val="both"/>
        <w:ind w:right="3199" w:firstLine="265"/>
        <w:spacing w:after="0" w:line="266" w:lineRule="auto"/>
        <w:rPr>
          <w:sz w:val="20"/>
          <w:szCs w:val="20"/>
          <w:color w:val="auto"/>
        </w:rPr>
      </w:pPr>
      <w:r>
        <w:rPr>
          <w:rFonts w:ascii="Times New Roman" w:cs="Times New Roman" w:eastAsia="Times New Roman" w:hAnsi="Times New Roman"/>
          <w:sz w:val="13"/>
          <w:szCs w:val="13"/>
          <w:color w:val="auto"/>
        </w:rPr>
        <w:t>All options must comply with applicable federal income tax rules. The tax rules are complex and differ for Non-Qualified Contracts and Qualified Contracts. As a general matter, the entire death benefit must be paid within five (5) years (or in some cases 10 years for Qualified Contracts) of the Owner’s date of death unless an exception applies. You should consult your tax adviser about the tax rules applicable to your situation.</w:t>
      </w:r>
    </w:p>
    <w:p>
      <w:pPr>
        <w:spacing w:after="0" w:line="57" w:lineRule="exact"/>
        <w:rPr>
          <w:sz w:val="20"/>
          <w:szCs w:val="20"/>
          <w:color w:val="auto"/>
        </w:rPr>
      </w:pPr>
    </w:p>
    <w:p>
      <w:pPr>
        <w:jc w:val="both"/>
        <w:ind w:right="3199" w:firstLine="265"/>
        <w:spacing w:after="0" w:line="263" w:lineRule="auto"/>
        <w:rPr>
          <w:sz w:val="20"/>
          <w:szCs w:val="20"/>
          <w:color w:val="auto"/>
        </w:rPr>
      </w:pPr>
      <w:r>
        <w:rPr>
          <w:rFonts w:ascii="Times New Roman" w:cs="Times New Roman" w:eastAsia="Times New Roman" w:hAnsi="Times New Roman"/>
          <w:sz w:val="13"/>
          <w:szCs w:val="13"/>
          <w:b w:val="1"/>
          <w:bCs w:val="1"/>
          <w:i w:val="1"/>
          <w:iCs w:val="1"/>
          <w:color w:val="auto"/>
        </w:rPr>
        <w:t>Beneficiary Continuation Options.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We offer two types of Beneficiary Continuation Options during the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Accumulation Period: the Spousal Continuation and Non-Spousal Beneficiary Continuation Options described below. We must receive Notice of the election of one of these Beneficiary Continuation Options by the end of the 90th day after we receive Notice of due proof of death. If the surviving spouse qualifies for Spousal Continuation and has not chosen one of the death benefit options above by the end of the 90 day period, the Spousal Continuation Option will be automatically applied on the 90th day. If a</w:t>
      </w:r>
    </w:p>
    <w:p>
      <w:pPr>
        <w:spacing w:after="0" w:line="18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color w:val="auto"/>
        </w:rPr>
        <w:t>56</w:t>
      </w:r>
    </w:p>
    <w:p>
      <w:pPr>
        <w:sectPr>
          <w:pgSz w:w="11900" w:h="16838" w:orient="portrait"/>
          <w:cols w:equalWidth="0" w:num="1">
            <w:col w:w="9259"/>
          </w:cols>
          <w:pgMar w:left="1200" w:top="1047" w:right="1440" w:bottom="1440" w:gutter="0" w:footer="0" w:header="0"/>
        </w:sectPr>
      </w:pPr>
    </w:p>
    <w:bookmarkStart w:id="58" w:name="page59"/>
    <w:bookmarkEnd w:id="58"/>
    <w:p>
      <w:pPr>
        <w:jc w:val="both"/>
        <w:ind w:right="3199"/>
        <w:spacing w:after="0" w:line="27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93915" cy="38100"/>
                    </a:xfrm>
                    <a:prstGeom prst="rect">
                      <a:avLst/>
                    </a:prstGeom>
                    <a:noFill/>
                  </pic:spPr>
                </pic:pic>
              </a:graphicData>
            </a:graphic>
          </wp:anchor>
        </w:drawing>
        <w:t>Non-Spousal Beneficiary qualifies for Non-Spousal Beneficiary Continuation and has not chosen one of the death benefit options above by the end of the 90 day period, the Non-Spousal Beneficiary Continuation Option will be automatically applied on the 90th day.</w:t>
      </w:r>
    </w:p>
    <w:p>
      <w:pPr>
        <w:spacing w:after="0" w:line="55" w:lineRule="exact"/>
        <w:rPr>
          <w:sz w:val="20"/>
          <w:szCs w:val="20"/>
          <w:color w:val="auto"/>
        </w:rPr>
      </w:pPr>
    </w:p>
    <w:p>
      <w:pPr>
        <w:jc w:val="both"/>
        <w:ind w:right="3179" w:firstLine="265"/>
        <w:spacing w:after="0" w:line="261" w:lineRule="auto"/>
        <w:rPr>
          <w:sz w:val="20"/>
          <w:szCs w:val="20"/>
          <w:color w:val="auto"/>
        </w:rPr>
      </w:pPr>
      <w:r>
        <w:rPr>
          <w:rFonts w:ascii="Times New Roman" w:cs="Times New Roman" w:eastAsia="Times New Roman" w:hAnsi="Times New Roman"/>
          <w:sz w:val="13"/>
          <w:szCs w:val="13"/>
          <w:b w:val="1"/>
          <w:bCs w:val="1"/>
          <w:color w:val="auto"/>
        </w:rPr>
        <w:t xml:space="preserve">Spousal Continuation.  </w:t>
      </w:r>
      <w:r>
        <w:rPr>
          <w:rFonts w:ascii="Times New Roman" w:cs="Times New Roman" w:eastAsia="Times New Roman" w:hAnsi="Times New Roman"/>
          <w:sz w:val="13"/>
          <w:szCs w:val="13"/>
          <w:color w:val="auto"/>
        </w:rPr>
        <w:t>If the Owner dies during the Accumulation Period, the spouse may choose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continue the Contract in his or her own name, to the extent permitted by law, and exercise all of the Owner’s rights under the Contract. Upon such election the Account Value will be adjusted to an amount equal to the Death Benefit Amount determined upon such election and receipt of due proof of death of the Owner. Any excess of the Death Benefit Amount over the Account Value will be allocated to the Fixed Account. If the Fixed Account is not available, any excess amount of the Death Benefit Amount over the Account Value will be allocated into the Holding Account, unless otherwise elected by the spouse.</w:t>
      </w:r>
    </w:p>
    <w:p>
      <w:pPr>
        <w:spacing w:after="0" w:line="54" w:lineRule="exact"/>
        <w:rPr>
          <w:sz w:val="20"/>
          <w:szCs w:val="20"/>
          <w:color w:val="auto"/>
        </w:rPr>
      </w:pPr>
    </w:p>
    <w:p>
      <w:pPr>
        <w:jc w:val="both"/>
        <w:ind w:right="3199" w:firstLine="265"/>
        <w:spacing w:after="0" w:line="290" w:lineRule="auto"/>
        <w:rPr>
          <w:sz w:val="20"/>
          <w:szCs w:val="20"/>
          <w:color w:val="auto"/>
        </w:rPr>
      </w:pPr>
      <w:r>
        <w:rPr>
          <w:rFonts w:ascii="Times New Roman" w:cs="Times New Roman" w:eastAsia="Times New Roman" w:hAnsi="Times New Roman"/>
          <w:sz w:val="13"/>
          <w:szCs w:val="13"/>
          <w:color w:val="auto"/>
        </w:rPr>
        <w:t>Spousal continuation will not satisfy minimum required distribution rules for Qualified Contracts other than IRAs. (See “FEDERAL TAX CONSIDERATIONS.”)</w:t>
      </w:r>
    </w:p>
    <w:p>
      <w:pPr>
        <w:spacing w:after="0" w:line="43" w:lineRule="exact"/>
        <w:rPr>
          <w:sz w:val="20"/>
          <w:szCs w:val="20"/>
          <w:color w:val="auto"/>
        </w:rPr>
      </w:pPr>
    </w:p>
    <w:p>
      <w:pPr>
        <w:jc w:val="both"/>
        <w:ind w:right="3199" w:firstLine="265"/>
        <w:spacing w:after="0" w:line="260" w:lineRule="auto"/>
        <w:rPr>
          <w:sz w:val="20"/>
          <w:szCs w:val="20"/>
          <w:color w:val="auto"/>
        </w:rPr>
      </w:pPr>
      <w:r>
        <w:rPr>
          <w:rFonts w:ascii="Times New Roman" w:cs="Times New Roman" w:eastAsia="Times New Roman" w:hAnsi="Times New Roman"/>
          <w:sz w:val="13"/>
          <w:szCs w:val="13"/>
          <w:b w:val="1"/>
          <w:bCs w:val="1"/>
          <w:color w:val="auto"/>
        </w:rPr>
        <w:t xml:space="preserve">Non-Spousal Beneficiary Continuation.  </w:t>
      </w:r>
      <w:r>
        <w:rPr>
          <w:rFonts w:ascii="Times New Roman" w:cs="Times New Roman" w:eastAsia="Times New Roman" w:hAnsi="Times New Roman"/>
          <w:sz w:val="13"/>
          <w:szCs w:val="13"/>
          <w:color w:val="auto"/>
        </w:rPr>
        <w:t>A Beneficiary who is not a spouse generally can choose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continue a Non-Qualified Contract until the fifth anniversary of the Owner’s death, and a Qualified Contract generally until the tenth anniversary of the Owner’s death. The Contract can be continued by a Beneficiary only if his or her share of the death benefit is at least equal to the Minimum Account Value. If the Beneficiary continues the Contract under this provision his or her share will not be paid. It will instead be continued in the Contract on the date we determine the Death Benefit Amount. Such Beneficiary will have the right to make partial and full withdrawals of his/her share of the Contract, not subject to Withdrawal Charges. Such Beneficiary will also have the right to make transfers at the Term End Date or the Fixed Account Term End Date.</w:t>
      </w:r>
    </w:p>
    <w:p>
      <w:pPr>
        <w:spacing w:after="0" w:line="66" w:lineRule="exact"/>
        <w:rPr>
          <w:sz w:val="20"/>
          <w:szCs w:val="20"/>
          <w:color w:val="auto"/>
        </w:rPr>
      </w:pPr>
    </w:p>
    <w:p>
      <w:pPr>
        <w:jc w:val="both"/>
        <w:ind w:right="3199" w:firstLine="265"/>
        <w:spacing w:after="0" w:line="266" w:lineRule="auto"/>
        <w:rPr>
          <w:sz w:val="20"/>
          <w:szCs w:val="20"/>
          <w:color w:val="auto"/>
        </w:rPr>
      </w:pPr>
      <w:r>
        <w:rPr>
          <w:rFonts w:ascii="Times New Roman" w:cs="Times New Roman" w:eastAsia="Times New Roman" w:hAnsi="Times New Roman"/>
          <w:sz w:val="13"/>
          <w:szCs w:val="13"/>
          <w:color w:val="auto"/>
        </w:rPr>
        <w:t>During the continuation period the Beneficiary can choose to receive his/her share of the Contract in a single lump sum payment or, to the extent permitted by the Code, apply it to an Annuity Option or other option acceptable to us that must be payable for the life of the Beneficiary or for a term no longer than the life expectancy of the Beneficiary starting within one (1) year after the death of the Owner.</w:t>
      </w:r>
    </w:p>
    <w:p>
      <w:pPr>
        <w:spacing w:after="0" w:line="52" w:lineRule="exact"/>
        <w:rPr>
          <w:sz w:val="20"/>
          <w:szCs w:val="20"/>
          <w:color w:val="auto"/>
        </w:rPr>
      </w:pPr>
    </w:p>
    <w:p>
      <w:pPr>
        <w:jc w:val="both"/>
        <w:ind w:right="3199" w:firstLine="265"/>
        <w:spacing w:after="0" w:line="266" w:lineRule="auto"/>
        <w:rPr>
          <w:sz w:val="20"/>
          <w:szCs w:val="20"/>
          <w:color w:val="auto"/>
        </w:rPr>
      </w:pPr>
      <w:r>
        <w:rPr>
          <w:rFonts w:ascii="Times New Roman" w:cs="Times New Roman" w:eastAsia="Times New Roman" w:hAnsi="Times New Roman"/>
          <w:sz w:val="13"/>
          <w:szCs w:val="13"/>
          <w:color w:val="auto"/>
        </w:rPr>
        <w:t>On the fifth anniversary of the death of a Non-Qualified Contract Owner, (or generally the tenth anniversary of the death of a Qualified Contract Owner), any Beneficiary will be paid his/her share of the Account Value that has not been applied to an Annuity Option or other settlement option permissible under the Code, in a single lump sum payment and the Contract will terminate.</w:t>
      </w:r>
    </w:p>
    <w:p>
      <w:pPr>
        <w:spacing w:after="0" w:line="21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3"/>
          <w:szCs w:val="13"/>
          <w:b w:val="1"/>
          <w:bCs w:val="1"/>
          <w:color w:val="auto"/>
        </w:rPr>
        <w:t>ANNUITY PAYMENTS (THE ANNUITY PERIOD)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Annuity Date</w:t>
      </w:r>
    </w:p>
    <w:p>
      <w:pPr>
        <w:spacing w:after="0" w:line="91" w:lineRule="exact"/>
        <w:rPr>
          <w:sz w:val="20"/>
          <w:szCs w:val="20"/>
          <w:color w:val="auto"/>
        </w:rPr>
      </w:pPr>
    </w:p>
    <w:p>
      <w:pPr>
        <w:jc w:val="both"/>
        <w:ind w:right="3199" w:firstLine="265"/>
        <w:spacing w:after="0" w:line="260" w:lineRule="auto"/>
        <w:rPr>
          <w:sz w:val="20"/>
          <w:szCs w:val="20"/>
          <w:color w:val="auto"/>
        </w:rPr>
      </w:pPr>
      <w:r>
        <w:rPr>
          <w:rFonts w:ascii="Times New Roman" w:cs="Times New Roman" w:eastAsia="Times New Roman" w:hAnsi="Times New Roman"/>
          <w:sz w:val="13"/>
          <w:szCs w:val="13"/>
          <w:color w:val="auto"/>
        </w:rPr>
        <w:t>Under the Contract you can receive regular Annuity Payments. You can choose the month and year in which those payments begin (the “Annuity Date”). The Annuity Date must not be less than thirteen (13) months from the Issue Date and will be the first day of the calendar month unless, subject to our current established administrative procedures, we allow you to select another day of the month as your Annuity Date. You can change the Annuity Date at any time before the Annuity Date, subject to certain limitations and restrictions that may apply in New York state. Annuity Payments must begin on, or before, the Maturity Date. Please note that in the Contract, the Annuity Date and Maturity Date are the same date.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Maturity Date</w:t>
      </w:r>
    </w:p>
    <w:p>
      <w:pPr>
        <w:spacing w:after="0" w:line="101" w:lineRule="exact"/>
        <w:rPr>
          <w:sz w:val="20"/>
          <w:szCs w:val="20"/>
          <w:color w:val="auto"/>
        </w:rPr>
      </w:pPr>
    </w:p>
    <w:p>
      <w:pPr>
        <w:jc w:val="both"/>
        <w:ind w:right="3199" w:firstLine="265"/>
        <w:spacing w:after="0" w:line="246" w:lineRule="auto"/>
        <w:rPr>
          <w:sz w:val="20"/>
          <w:szCs w:val="20"/>
          <w:color w:val="auto"/>
        </w:rPr>
      </w:pPr>
      <w:r>
        <w:rPr>
          <w:rFonts w:ascii="Times New Roman" w:cs="Times New Roman" w:eastAsia="Times New Roman" w:hAnsi="Times New Roman"/>
          <w:sz w:val="13"/>
          <w:szCs w:val="13"/>
          <w:color w:val="auto"/>
        </w:rPr>
        <w:t>The Maturity Date is specified in your Contract at purchase and is the Contract Anniversary after the oldest Owner’s 90</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3"/>
          <w:szCs w:val="13"/>
          <w:color w:val="auto"/>
        </w:rPr>
        <w:t xml:space="preserve"> birthday or 10 years from the date we issue your Contract, whichever is later. If Annuity Payments do not begin on, or before, the Maturity Date, the Contract will be annuitized at the Maturity Date under the Contract’s default Annuity Option, or you can make a complete withdrawal of your Account Value.</w:t>
      </w:r>
    </w:p>
    <w:p>
      <w:pPr>
        <w:spacing w:after="0" w:line="64" w:lineRule="exact"/>
        <w:rPr>
          <w:sz w:val="20"/>
          <w:szCs w:val="20"/>
          <w:color w:val="auto"/>
        </w:rPr>
      </w:pPr>
    </w:p>
    <w:p>
      <w:pPr>
        <w:jc w:val="both"/>
        <w:ind w:right="3199" w:firstLine="265"/>
        <w:spacing w:after="0" w:line="262" w:lineRule="auto"/>
        <w:rPr>
          <w:sz w:val="20"/>
          <w:szCs w:val="20"/>
          <w:color w:val="auto"/>
        </w:rPr>
      </w:pPr>
      <w:r>
        <w:rPr>
          <w:rFonts w:ascii="Times New Roman" w:cs="Times New Roman" w:eastAsia="Times New Roman" w:hAnsi="Times New Roman"/>
          <w:sz w:val="13"/>
          <w:szCs w:val="13"/>
          <w:color w:val="auto"/>
        </w:rPr>
        <w:t xml:space="preserve">You can change or extend your Maturity Date at any time before the Maturity Date with thirty (30) days prior notice to us (subject to restrictions that may apply in New York state, restrictions imposed by your selling firm and our current established administrative procedures.) The latest date we will allow you to extend to must be based on the Owner’s age and not the Annuitant’s age. You must contact us at our Annuity Service Office to make this election. This requirement may be changed by us. </w:t>
      </w:r>
      <w:r>
        <w:rPr>
          <w:rFonts w:ascii="Times New Roman" w:cs="Times New Roman" w:eastAsia="Times New Roman" w:hAnsi="Times New Roman"/>
          <w:sz w:val="13"/>
          <w:szCs w:val="13"/>
          <w:b w:val="1"/>
          <w:bCs w:val="1"/>
          <w:color w:val="auto"/>
        </w:rPr>
        <w:t>Please be aware that once your Contract is annuitized, your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beneficiaries are ineligible to receive any death benefit.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Annuity Payments</w:t>
      </w:r>
    </w:p>
    <w:p>
      <w:pPr>
        <w:spacing w:after="0" w:line="101" w:lineRule="exact"/>
        <w:rPr>
          <w:sz w:val="20"/>
          <w:szCs w:val="20"/>
          <w:color w:val="auto"/>
        </w:rPr>
      </w:pPr>
    </w:p>
    <w:p>
      <w:pPr>
        <w:jc w:val="both"/>
        <w:ind w:right="3199" w:firstLine="265"/>
        <w:spacing w:after="0" w:line="272" w:lineRule="auto"/>
        <w:rPr>
          <w:sz w:val="20"/>
          <w:szCs w:val="20"/>
          <w:color w:val="auto"/>
        </w:rPr>
      </w:pPr>
      <w:r>
        <w:rPr>
          <w:rFonts w:ascii="Times New Roman" w:cs="Times New Roman" w:eastAsia="Times New Roman" w:hAnsi="Times New Roman"/>
          <w:sz w:val="13"/>
          <w:szCs w:val="13"/>
          <w:color w:val="auto"/>
        </w:rPr>
        <w:t>You (unless another payee is named) will receive Annuity Payments during the Annuity Period. The Annuitant is the natural person(s) whose life we look to in the determination of Annuity Payments. All Annuity Payments are fixed as to amount.</w:t>
      </w:r>
    </w:p>
    <w:p>
      <w:pPr>
        <w:spacing w:after="0" w:line="17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color w:val="auto"/>
        </w:rPr>
        <w:t>57</w:t>
      </w:r>
    </w:p>
    <w:p>
      <w:pPr>
        <w:sectPr>
          <w:pgSz w:w="11900" w:h="16838" w:orient="portrait"/>
          <w:cols w:equalWidth="0" w:num="1">
            <w:col w:w="9259"/>
          </w:cols>
          <w:pgMar w:left="1200" w:top="1049" w:right="1440" w:bottom="1440" w:gutter="0" w:footer="0" w:header="0"/>
        </w:sectPr>
      </w:pPr>
    </w:p>
    <w:bookmarkStart w:id="59" w:name="page60"/>
    <w:bookmarkEnd w:id="59"/>
    <w:p>
      <w:pPr>
        <w:jc w:val="both"/>
        <w:ind w:right="3199" w:firstLine="265"/>
        <w:spacing w:after="0" w:line="26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93915" cy="38100"/>
                    </a:xfrm>
                    <a:prstGeom prst="rect">
                      <a:avLst/>
                    </a:prstGeom>
                    <a:noFill/>
                  </pic:spPr>
                </pic:pic>
              </a:graphicData>
            </a:graphic>
          </wp:anchor>
        </w:drawing>
        <w:t>The Account Value, less any applicable Premium Taxes on the day immediately preceding the Annuity Date will be used to determine the Annuity Payment amount. The amount of each Annuity Payment will be based upon the Annuity Option elected, the Annuitant’s age, the Annuitant’s sex (where permitted by law), and the appropriate Annuity Option table. Your annuity rates will not be less than those guaranteed in your Contract at the time of purchase. If, as of the annuity calculation date, the then current Annuity Option rates applicable to this class of contracts provide an Annuity Payment greater than that which is guaranteed under the same Annuity Option under the Contract, the greater payment will be made.</w:t>
      </w:r>
    </w:p>
    <w:p>
      <w:pPr>
        <w:spacing w:after="0" w:line="67" w:lineRule="exact"/>
        <w:rPr>
          <w:sz w:val="20"/>
          <w:szCs w:val="20"/>
          <w:color w:val="auto"/>
        </w:rPr>
      </w:pPr>
    </w:p>
    <w:p>
      <w:pPr>
        <w:jc w:val="both"/>
        <w:ind w:right="3199" w:firstLine="265"/>
        <w:spacing w:after="0" w:line="263" w:lineRule="auto"/>
        <w:rPr>
          <w:sz w:val="20"/>
          <w:szCs w:val="20"/>
          <w:color w:val="auto"/>
        </w:rPr>
      </w:pPr>
      <w:r>
        <w:rPr>
          <w:rFonts w:ascii="Times New Roman" w:cs="Times New Roman" w:eastAsia="Times New Roman" w:hAnsi="Times New Roman"/>
          <w:sz w:val="13"/>
          <w:szCs w:val="13"/>
          <w:color w:val="auto"/>
        </w:rPr>
        <w:t>Annuity Payments will be paid as monthly installments or at any frequency acceptable to you and us. If the amount of the Account Value to be applied under an Annuity Option is less than $5,000, we reserve the right to make one lump sum payment equal to the then current Account Value in lieu of Annuity Payments. If the amount of the Annuity Payment would be less than $100, we may reduce the frequency of payments to an interval which will result in the payment being at least $100, but with a frequency of no less than annually.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Annuity Options</w:t>
      </w:r>
    </w:p>
    <w:p>
      <w:pPr>
        <w:spacing w:after="0" w:line="91" w:lineRule="exact"/>
        <w:rPr>
          <w:sz w:val="20"/>
          <w:szCs w:val="20"/>
          <w:color w:val="auto"/>
        </w:rPr>
      </w:pPr>
    </w:p>
    <w:p>
      <w:pPr>
        <w:jc w:val="both"/>
        <w:ind w:right="3199" w:firstLine="265"/>
        <w:spacing w:after="0" w:line="290" w:lineRule="auto"/>
        <w:rPr>
          <w:sz w:val="20"/>
          <w:szCs w:val="20"/>
          <w:color w:val="auto"/>
        </w:rPr>
      </w:pPr>
      <w:r>
        <w:rPr>
          <w:rFonts w:ascii="Times New Roman" w:cs="Times New Roman" w:eastAsia="Times New Roman" w:hAnsi="Times New Roman"/>
          <w:sz w:val="13"/>
          <w:szCs w:val="13"/>
          <w:color w:val="auto"/>
        </w:rPr>
        <w:t>You can choose among annuity plans (the “Annuity Options”). You can change it at any time before the death benefit becomes payable or the Annuity Date.</w:t>
      </w:r>
    </w:p>
    <w:p>
      <w:pPr>
        <w:spacing w:after="0" w:line="36" w:lineRule="exact"/>
        <w:rPr>
          <w:sz w:val="20"/>
          <w:szCs w:val="20"/>
          <w:color w:val="auto"/>
        </w:rPr>
      </w:pPr>
    </w:p>
    <w:p>
      <w:pPr>
        <w:jc w:val="both"/>
        <w:ind w:right="3199" w:firstLine="265"/>
        <w:spacing w:after="0" w:line="290" w:lineRule="auto"/>
        <w:rPr>
          <w:sz w:val="20"/>
          <w:szCs w:val="20"/>
          <w:color w:val="auto"/>
        </w:rPr>
      </w:pPr>
      <w:r>
        <w:rPr>
          <w:rFonts w:ascii="Times New Roman" w:cs="Times New Roman" w:eastAsia="Times New Roman" w:hAnsi="Times New Roman"/>
          <w:sz w:val="13"/>
          <w:szCs w:val="13"/>
          <w:color w:val="auto"/>
        </w:rPr>
        <w:t>If you do not choose an Annuity Option before the Contract is annuitized, Option 1, which provides a life annuity with 10 years of guaranteed Annuity Payments, will automatically be applied.</w:t>
      </w:r>
    </w:p>
    <w:p>
      <w:pPr>
        <w:spacing w:after="0" w:line="36" w:lineRule="exact"/>
        <w:rPr>
          <w:sz w:val="20"/>
          <w:szCs w:val="20"/>
          <w:color w:val="auto"/>
        </w:rPr>
      </w:pPr>
    </w:p>
    <w:p>
      <w:pPr>
        <w:jc w:val="both"/>
        <w:ind w:right="3199" w:firstLine="265"/>
        <w:spacing w:after="0" w:line="290" w:lineRule="auto"/>
        <w:rPr>
          <w:sz w:val="20"/>
          <w:szCs w:val="20"/>
          <w:color w:val="auto"/>
        </w:rPr>
      </w:pPr>
      <w:r>
        <w:rPr>
          <w:rFonts w:ascii="Times New Roman" w:cs="Times New Roman" w:eastAsia="Times New Roman" w:hAnsi="Times New Roman"/>
          <w:sz w:val="13"/>
          <w:szCs w:val="13"/>
          <w:color w:val="auto"/>
        </w:rPr>
        <w:t>You can choose one of the following Annuity Options or any other Annuity Option acceptable to us. After Annuity Payments begin, you cannot change the Annuity Option, subject to the requirements of the Code.</w:t>
      </w:r>
    </w:p>
    <w:p>
      <w:pPr>
        <w:spacing w:after="0" w:line="36" w:lineRule="exact"/>
        <w:rPr>
          <w:sz w:val="20"/>
          <w:szCs w:val="20"/>
          <w:color w:val="auto"/>
        </w:rPr>
      </w:pPr>
    </w:p>
    <w:p>
      <w:pPr>
        <w:jc w:val="both"/>
        <w:ind w:right="3199" w:firstLine="265"/>
        <w:spacing w:after="0" w:line="272" w:lineRule="auto"/>
        <w:rPr>
          <w:sz w:val="20"/>
          <w:szCs w:val="20"/>
          <w:color w:val="auto"/>
        </w:rPr>
      </w:pPr>
      <w:r>
        <w:rPr>
          <w:rFonts w:ascii="Times New Roman" w:cs="Times New Roman" w:eastAsia="Times New Roman" w:hAnsi="Times New Roman"/>
          <w:sz w:val="13"/>
          <w:szCs w:val="13"/>
          <w:color w:val="auto"/>
        </w:rPr>
        <w:t>If more than one frequency is permitted under your Contract, choosing less frequent payments will result in each Annuity Payment being larger. For Annuity Options with a designated period, choosing a shorter designated period will result in each Annuity Payment being larger.</w:t>
      </w:r>
    </w:p>
    <w:p>
      <w:pPr>
        <w:spacing w:after="0" w:line="45" w:lineRule="exact"/>
        <w:rPr>
          <w:sz w:val="20"/>
          <w:szCs w:val="20"/>
          <w:color w:val="auto"/>
        </w:rPr>
      </w:pPr>
    </w:p>
    <w:p>
      <w:pPr>
        <w:jc w:val="both"/>
        <w:ind w:right="3199" w:firstLine="265"/>
        <w:spacing w:after="0" w:line="267" w:lineRule="auto"/>
        <w:rPr>
          <w:sz w:val="20"/>
          <w:szCs w:val="20"/>
          <w:color w:val="auto"/>
        </w:rPr>
      </w:pPr>
      <w:r>
        <w:rPr>
          <w:rFonts w:ascii="Times New Roman" w:cs="Times New Roman" w:eastAsia="Times New Roman" w:hAnsi="Times New Roman"/>
          <w:sz w:val="13"/>
          <w:szCs w:val="13"/>
          <w:b w:val="1"/>
          <w:bCs w:val="1"/>
          <w:color w:val="auto"/>
        </w:rPr>
        <w:t xml:space="preserve">Option 1. Life Annuity With 10 Years of Annuity Payments Guaranteed.  </w:t>
      </w:r>
      <w:r>
        <w:rPr>
          <w:rFonts w:ascii="Times New Roman" w:cs="Times New Roman" w:eastAsia="Times New Roman" w:hAnsi="Times New Roman"/>
          <w:sz w:val="13"/>
          <w:szCs w:val="13"/>
          <w:color w:val="auto"/>
        </w:rPr>
        <w:t>Under this option, we will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make Annuity Payments so long as the Annuitant is alive. If, when the Annuitant dies, we have made Annuity Payments for less than ten years, we will then continue to make Annuity Payments to the Beneficiary for the rest of the 10 year period.</w:t>
      </w:r>
    </w:p>
    <w:p>
      <w:pPr>
        <w:spacing w:after="0" w:line="49" w:lineRule="exact"/>
        <w:rPr>
          <w:sz w:val="20"/>
          <w:szCs w:val="20"/>
          <w:color w:val="auto"/>
        </w:rPr>
      </w:pPr>
    </w:p>
    <w:p>
      <w:pPr>
        <w:jc w:val="both"/>
        <w:ind w:right="3199" w:firstLine="265"/>
        <w:spacing w:after="0" w:line="263" w:lineRule="auto"/>
        <w:rPr>
          <w:sz w:val="20"/>
          <w:szCs w:val="20"/>
          <w:color w:val="auto"/>
        </w:rPr>
      </w:pPr>
      <w:r>
        <w:rPr>
          <w:rFonts w:ascii="Times New Roman" w:cs="Times New Roman" w:eastAsia="Times New Roman" w:hAnsi="Times New Roman"/>
          <w:sz w:val="13"/>
          <w:szCs w:val="13"/>
          <w:b w:val="1"/>
          <w:bCs w:val="1"/>
          <w:color w:val="auto"/>
        </w:rPr>
        <w:t xml:space="preserve">Option 2. Joint and Last Survivor Annuity with 10 Years of Annuity Payments Guaranteed.  </w:t>
      </w:r>
      <w:r>
        <w:rPr>
          <w:rFonts w:ascii="Times New Roman" w:cs="Times New Roman" w:eastAsia="Times New Roman" w:hAnsi="Times New Roman"/>
          <w:sz w:val="13"/>
          <w:szCs w:val="13"/>
          <w:color w:val="auto"/>
        </w:rPr>
        <w:t>Under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this option, we will make Annuity Payments so long as the Annuitant and a second person (joint Annuitant) are both alive. When either Annuitant dies, we will continue to make Annuity Payments, so long as the survivor continues to live. If, at the last death of the Annuitant and the joint Annuitant, we have made Annuity Payments for less than ten years, we will then continue to make Annuity Payments to the Beneficiary for the rest of the 10 year period.</w:t>
      </w:r>
    </w:p>
    <w:p>
      <w:pPr>
        <w:spacing w:after="0" w:line="215" w:lineRule="exact"/>
        <w:rPr>
          <w:sz w:val="20"/>
          <w:szCs w:val="20"/>
          <w:color w:val="auto"/>
        </w:rPr>
      </w:pPr>
    </w:p>
    <w:p>
      <w:pPr>
        <w:jc w:val="both"/>
        <w:ind w:right="3199" w:firstLine="265"/>
        <w:spacing w:after="0" w:line="263" w:lineRule="auto"/>
        <w:rPr>
          <w:sz w:val="20"/>
          <w:szCs w:val="20"/>
          <w:color w:val="auto"/>
        </w:rPr>
      </w:pPr>
      <w:r>
        <w:rPr>
          <w:rFonts w:ascii="Times New Roman" w:cs="Times New Roman" w:eastAsia="Times New Roman" w:hAnsi="Times New Roman"/>
          <w:sz w:val="13"/>
          <w:szCs w:val="13"/>
          <w:color w:val="auto"/>
        </w:rPr>
        <w:t>We may require proof of the age or sex of an Annuitant before making any Annuity Payments under the Contract that are measured by the Annuitant’s life. If the age or sex of the Annuitant has been misstated, the amount payable will be the amount that the Account Value would have provided at the correct age or sex. Once Annuity Payments have begun, the amount of any overpayments or underpayments, with interest at 6% per annum, will be, as applicable, deducted from, or added to, the payment or payments made after the adjustment.</w:t>
      </w:r>
    </w:p>
    <w:p>
      <w:pPr>
        <w:spacing w:after="0" w:line="54" w:lineRule="exact"/>
        <w:rPr>
          <w:sz w:val="20"/>
          <w:szCs w:val="20"/>
          <w:color w:val="auto"/>
        </w:rPr>
      </w:pPr>
    </w:p>
    <w:p>
      <w:pPr>
        <w:jc w:val="both"/>
        <w:ind w:right="3199" w:firstLine="265"/>
        <w:spacing w:after="0" w:line="272" w:lineRule="auto"/>
        <w:rPr>
          <w:sz w:val="20"/>
          <w:szCs w:val="20"/>
          <w:color w:val="auto"/>
        </w:rPr>
      </w:pPr>
      <w:r>
        <w:rPr>
          <w:rFonts w:ascii="Times New Roman" w:cs="Times New Roman" w:eastAsia="Times New Roman" w:hAnsi="Times New Roman"/>
          <w:sz w:val="13"/>
          <w:szCs w:val="13"/>
          <w:color w:val="auto"/>
        </w:rPr>
        <w:t>Upon the death of the last surviving Annuitant, the Beneficiary may choose to continue receiving Annuity Payments (if permitted by the Code) or to receive the commuted value of the remaining guaranteed payments. The calculation of the commuted value will be done using the then current Annuity Option rates.</w:t>
      </w:r>
    </w:p>
    <w:p>
      <w:pPr>
        <w:spacing w:after="0" w:line="47" w:lineRule="exact"/>
        <w:rPr>
          <w:sz w:val="20"/>
          <w:szCs w:val="20"/>
          <w:color w:val="auto"/>
        </w:rPr>
      </w:pPr>
    </w:p>
    <w:p>
      <w:pPr>
        <w:jc w:val="both"/>
        <w:ind w:right="3199" w:firstLine="265"/>
        <w:spacing w:after="0" w:line="290" w:lineRule="auto"/>
        <w:rPr>
          <w:sz w:val="20"/>
          <w:szCs w:val="20"/>
          <w:color w:val="auto"/>
        </w:rPr>
      </w:pPr>
      <w:r>
        <w:rPr>
          <w:rFonts w:ascii="Times New Roman" w:cs="Times New Roman" w:eastAsia="Times New Roman" w:hAnsi="Times New Roman"/>
          <w:sz w:val="13"/>
          <w:szCs w:val="13"/>
          <w:color w:val="auto"/>
        </w:rPr>
        <w:t>Due to underwriting, administrative or Code considerations, there may be limitations on payments to the survivor under Option 2 and/or the duration of the guarantee period under Options 1 and 2.</w:t>
      </w:r>
    </w:p>
    <w:p>
      <w:pPr>
        <w:spacing w:after="0" w:line="36" w:lineRule="exact"/>
        <w:rPr>
          <w:sz w:val="20"/>
          <w:szCs w:val="20"/>
          <w:color w:val="auto"/>
        </w:rPr>
      </w:pPr>
    </w:p>
    <w:p>
      <w:pPr>
        <w:jc w:val="both"/>
        <w:ind w:right="3199" w:firstLine="265"/>
        <w:spacing w:after="0" w:line="283" w:lineRule="auto"/>
        <w:rPr>
          <w:sz w:val="20"/>
          <w:szCs w:val="20"/>
          <w:color w:val="auto"/>
        </w:rPr>
      </w:pPr>
      <w:r>
        <w:rPr>
          <w:rFonts w:ascii="Times New Roman" w:cs="Times New Roman" w:eastAsia="Times New Roman" w:hAnsi="Times New Roman"/>
          <w:sz w:val="13"/>
          <w:szCs w:val="13"/>
          <w:color w:val="auto"/>
        </w:rPr>
        <w:t>Tax rules with respect to decedent contracts may prohibit the election of Joint and Last Survivor Annuity Options (or annuity types) and may also prohibit payments for as long as the Owner’s life in certain circumstances.</w:t>
      </w:r>
    </w:p>
    <w:p>
      <w:pPr>
        <w:spacing w:after="0" w:line="203" w:lineRule="exact"/>
        <w:rPr>
          <w:sz w:val="20"/>
          <w:szCs w:val="20"/>
          <w:color w:val="auto"/>
        </w:rPr>
      </w:pPr>
    </w:p>
    <w:p>
      <w:pPr>
        <w:jc w:val="both"/>
        <w:ind w:right="3199" w:firstLine="265"/>
        <w:spacing w:after="0" w:line="258" w:lineRule="auto"/>
        <w:rPr>
          <w:sz w:val="20"/>
          <w:szCs w:val="20"/>
          <w:color w:val="auto"/>
        </w:rPr>
      </w:pPr>
      <w:r>
        <w:rPr>
          <w:rFonts w:ascii="Times New Roman" w:cs="Times New Roman" w:eastAsia="Times New Roman" w:hAnsi="Times New Roman"/>
          <w:sz w:val="13"/>
          <w:szCs w:val="13"/>
          <w:color w:val="auto"/>
        </w:rPr>
        <w:t>In addition to the Annuity Options described above, we may offer an additional payment option that would allow your Beneficiary to take distribution of the Account Value over a period not extending beyond his or her life expectancy. Under this option, annual distributions would not be made in the form of an annuity, but would be calculated in a manner similar to the calculation of RMDs from IRAs. (See “FEDERAL TAX CONSIDERATIONS.”) We generally intend to make this payment option available to both Qualified Contracts and Non-Qualified Contracts, to the extent allowed under the Code; however, such payment option may be limited to certain categories of beneficiaries. In the event that you purchased the Contract as a Qualified Contract, you must take distribution of the Account Value in accordance with the minimum required distribution rules set forth in applicable tax law. (See “FEDERAL TAX CONSIDERATIONS.”) Under certain circumstances, you may satisfy those requirements by electing an Annuity Option. Upon your death, if Annuity Payments have already begun under a Qualified Contract, applicable tax law may require that any remaining Annuity Payments be paid over a shorter period than originally</w:t>
      </w:r>
    </w:p>
    <w:p>
      <w:pPr>
        <w:spacing w:after="0" w:line="18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color w:val="auto"/>
        </w:rPr>
        <w:t>58</w:t>
      </w:r>
    </w:p>
    <w:p>
      <w:pPr>
        <w:sectPr>
          <w:pgSz w:w="11900" w:h="16838" w:orient="portrait"/>
          <w:cols w:equalWidth="0" w:num="1">
            <w:col w:w="9259"/>
          </w:cols>
          <w:pgMar w:left="1200" w:top="1049" w:right="1440" w:bottom="1440" w:gutter="0" w:footer="0" w:header="0"/>
        </w:sectPr>
      </w:pPr>
    </w:p>
    <w:bookmarkStart w:id="60" w:name="page61"/>
    <w:bookmarkEnd w:id="60"/>
    <w:p>
      <w:pPr>
        <w:jc w:val="both"/>
        <w:ind w:right="3199"/>
        <w:spacing w:after="0" w:line="263"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93915" cy="38100"/>
                    </a:xfrm>
                    <a:prstGeom prst="rect">
                      <a:avLst/>
                    </a:prstGeom>
                    <a:noFill/>
                  </pic:spPr>
                </pic:pic>
              </a:graphicData>
            </a:graphic>
          </wp:anchor>
        </w:drawing>
        <w:t>elected or otherwise adjusted to comply with the tax law. If you purchased the Contract as a Non-Qualified Contract, the tax rules that apply upon your death are similar to the tax rules for Qualified Contracts, but differ in some material respects. For example, if you die after Annuity Payments have already begun under a Non-Qualified Contract, any remaining Annuity Payments can continue to be paid, provided that they are paid at least as rapidly as under the method of distribution in effect at the time of your death.</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Death of Owner During the Annuity Period</w:t>
      </w:r>
    </w:p>
    <w:p>
      <w:pPr>
        <w:spacing w:after="0" w:line="91" w:lineRule="exact"/>
        <w:rPr>
          <w:sz w:val="20"/>
          <w:szCs w:val="20"/>
          <w:color w:val="auto"/>
        </w:rPr>
      </w:pPr>
    </w:p>
    <w:p>
      <w:pPr>
        <w:jc w:val="both"/>
        <w:ind w:right="3199" w:firstLine="265"/>
        <w:spacing w:after="0" w:line="259" w:lineRule="auto"/>
        <w:rPr>
          <w:sz w:val="20"/>
          <w:szCs w:val="20"/>
          <w:color w:val="auto"/>
        </w:rPr>
      </w:pPr>
      <w:r>
        <w:rPr>
          <w:rFonts w:ascii="Times New Roman" w:cs="Times New Roman" w:eastAsia="Times New Roman" w:hAnsi="Times New Roman"/>
          <w:sz w:val="13"/>
          <w:szCs w:val="13"/>
          <w:color w:val="auto"/>
        </w:rPr>
        <w:t>If the Owner (or a Joint Owner), is not the Annuitant, and dies during the Annuity Period, any remaining guaranteed payments under the Annuity Option elected will continue at least as rapidly as under the method of distribution in effect at the time of the Owner’s (or Joint Owner’s) death, but in all events in accordance with applicable tax law requirements. Upon the death of the Owner (or a Joint Owner) during the Annuity Period, the Beneficiary becomes entitled to exercise the rights of the Owner. If an Owner (or Joint Owner) is the Annuitant and dies during the Annuity Period, any remaining Annuity Payments will be as specified in the Annuity Option chosen and will continue at least as rapidly as under the method of distribution in effect at the time of the Owner’s (or Joint Owner’s) death, but in all events in accordance with applicable tax law requirements.</w:t>
      </w:r>
    </w:p>
    <w:p>
      <w:pPr>
        <w:spacing w:after="0" w:line="2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3"/>
          <w:szCs w:val="13"/>
          <w:b w:val="1"/>
          <w:bCs w:val="1"/>
          <w:color w:val="auto"/>
        </w:rPr>
        <w:t>FEDERAL TAX CONSIDERATIONS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Introduction</w:t>
      </w:r>
    </w:p>
    <w:p>
      <w:pPr>
        <w:spacing w:after="0" w:line="91" w:lineRule="exact"/>
        <w:rPr>
          <w:sz w:val="20"/>
          <w:szCs w:val="20"/>
          <w:color w:val="auto"/>
        </w:rPr>
      </w:pPr>
    </w:p>
    <w:p>
      <w:pPr>
        <w:jc w:val="both"/>
        <w:ind w:right="3199" w:firstLine="265"/>
        <w:spacing w:after="0" w:line="260" w:lineRule="auto"/>
        <w:rPr>
          <w:sz w:val="20"/>
          <w:szCs w:val="20"/>
          <w:color w:val="auto"/>
        </w:rPr>
      </w:pPr>
      <w:r>
        <w:rPr>
          <w:rFonts w:ascii="Times New Roman" w:cs="Times New Roman" w:eastAsia="Times New Roman" w:hAnsi="Times New Roman"/>
          <w:sz w:val="13"/>
          <w:szCs w:val="13"/>
          <w:color w:val="auto"/>
        </w:rPr>
        <w:t>The following information on taxes is a general discussion of the subject. It is not intended as tax advice. The provisions of the Code that govern the Contract are complex and subject to change. The applicability of Federal income tax rules may vary with your particular circumstances. This discussion does not include all the Federal income tax rules that may affect you and your Contract. Nor does this discussion address other Federal tax consequences (such as estate and gift taxes, sales to foreign individuals or entities), or state or local tax consequences, which may affect your investment in the Contract. As a result, you should always consult a tax adviser for complete information and advice applicable to your individual situation.</w:t>
      </w:r>
    </w:p>
    <w:p>
      <w:pPr>
        <w:spacing w:after="0" w:line="57" w:lineRule="exact"/>
        <w:rPr>
          <w:sz w:val="20"/>
          <w:szCs w:val="20"/>
          <w:color w:val="auto"/>
        </w:rPr>
      </w:pPr>
    </w:p>
    <w:p>
      <w:pPr>
        <w:jc w:val="both"/>
        <w:ind w:right="3199" w:firstLine="265"/>
        <w:spacing w:after="0" w:line="290" w:lineRule="auto"/>
        <w:rPr>
          <w:sz w:val="20"/>
          <w:szCs w:val="20"/>
          <w:color w:val="auto"/>
        </w:rPr>
      </w:pPr>
      <w:r>
        <w:rPr>
          <w:rFonts w:ascii="Times New Roman" w:cs="Times New Roman" w:eastAsia="Times New Roman" w:hAnsi="Times New Roman"/>
          <w:sz w:val="13"/>
          <w:szCs w:val="13"/>
          <w:color w:val="auto"/>
        </w:rPr>
        <w:t>You are responsible for determining whether your purchase of a Contract, withdrawals, Annuity Payments and any other transactions under your Contract satisfy applicable tax law.</w:t>
      </w:r>
    </w:p>
    <w:p>
      <w:pPr>
        <w:spacing w:after="0" w:line="36" w:lineRule="exact"/>
        <w:rPr>
          <w:sz w:val="20"/>
          <w:szCs w:val="20"/>
          <w:color w:val="auto"/>
        </w:rPr>
      </w:pPr>
    </w:p>
    <w:p>
      <w:pPr>
        <w:jc w:val="both"/>
        <w:ind w:right="3199" w:firstLine="265"/>
        <w:spacing w:after="0" w:line="272" w:lineRule="auto"/>
        <w:rPr>
          <w:sz w:val="20"/>
          <w:szCs w:val="20"/>
          <w:color w:val="auto"/>
        </w:rPr>
      </w:pPr>
      <w:r>
        <w:rPr>
          <w:rFonts w:ascii="Times New Roman" w:cs="Times New Roman" w:eastAsia="Times New Roman" w:hAnsi="Times New Roman"/>
          <w:sz w:val="13"/>
          <w:szCs w:val="13"/>
          <w:color w:val="auto"/>
        </w:rPr>
        <w:t>For Federal tax purposes, the term “spouse” refers to the person to whom you are lawfully married, regardless of sex. The term “spouse” generally will not include individuals who are in a registered domestic partnership or civil union not denominated as marriage under state or other applicable law.</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Non-Qualified Annuity Contracts</w:t>
      </w:r>
    </w:p>
    <w:p>
      <w:pPr>
        <w:spacing w:after="0" w:line="91" w:lineRule="exact"/>
        <w:rPr>
          <w:sz w:val="20"/>
          <w:szCs w:val="20"/>
          <w:color w:val="auto"/>
        </w:rPr>
      </w:pPr>
    </w:p>
    <w:p>
      <w:pPr>
        <w:jc w:val="both"/>
        <w:ind w:right="3199" w:firstLine="265"/>
        <w:spacing w:after="0" w:line="263" w:lineRule="auto"/>
        <w:rPr>
          <w:sz w:val="20"/>
          <w:szCs w:val="20"/>
          <w:color w:val="auto"/>
        </w:rPr>
      </w:pPr>
      <w:r>
        <w:rPr>
          <w:rFonts w:ascii="Times New Roman" w:cs="Times New Roman" w:eastAsia="Times New Roman" w:hAnsi="Times New Roman"/>
          <w:sz w:val="13"/>
          <w:szCs w:val="13"/>
          <w:color w:val="auto"/>
        </w:rPr>
        <w:t>This discussion assumes the Contract is a “non-qualified” annuity Contract for Federal income tax purposes, that is not held in a tax qualified “plan.” Tax qualified plans include arrangements described in Code Sections 401(a), 401(k), 403(a), 403(b) or tax sheltered annuities (“TSA”), 408 or “IRAs” (including SEP and SIMPLE IRAs), 408A or “Roth IRAs” and 457(b) plans. Contracts owned through such plans are referred to below as “qualified” contracts.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Non-Qualified Annuity Contracts Owned by Corporations and Other Legal Entities</w:t>
      </w:r>
    </w:p>
    <w:p>
      <w:pPr>
        <w:spacing w:after="0" w:line="91" w:lineRule="exact"/>
        <w:rPr>
          <w:sz w:val="20"/>
          <w:szCs w:val="20"/>
          <w:color w:val="auto"/>
        </w:rPr>
      </w:pPr>
    </w:p>
    <w:p>
      <w:pPr>
        <w:jc w:val="both"/>
        <w:ind w:right="3199" w:firstLine="265"/>
        <w:spacing w:after="0" w:line="272" w:lineRule="auto"/>
        <w:rPr>
          <w:sz w:val="20"/>
          <w:szCs w:val="20"/>
          <w:color w:val="auto"/>
        </w:rPr>
      </w:pPr>
      <w:r>
        <w:rPr>
          <w:rFonts w:ascii="Times New Roman" w:cs="Times New Roman" w:eastAsia="Times New Roman" w:hAnsi="Times New Roman"/>
          <w:sz w:val="13"/>
          <w:szCs w:val="13"/>
          <w:color w:val="auto"/>
        </w:rPr>
        <w:t>Taxes on earnings are deferred until you take money out. Non-qualified annuity Contracts owned by a non-natural person, such as corporations or certain other legal entities (other than a trust that holds the Contract as an agent for a natural person), do not receive tax deferral on earnings.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Accumulation</w:t>
      </w:r>
    </w:p>
    <w:p>
      <w:pPr>
        <w:spacing w:after="0" w:line="91" w:lineRule="exact"/>
        <w:rPr>
          <w:sz w:val="20"/>
          <w:szCs w:val="20"/>
          <w:color w:val="auto"/>
        </w:rPr>
      </w:pPr>
    </w:p>
    <w:p>
      <w:pPr>
        <w:jc w:val="both"/>
        <w:ind w:right="3199" w:firstLine="265"/>
        <w:spacing w:after="0" w:line="263" w:lineRule="auto"/>
        <w:rPr>
          <w:sz w:val="20"/>
          <w:szCs w:val="20"/>
          <w:color w:val="auto"/>
        </w:rPr>
      </w:pPr>
      <w:r>
        <w:rPr>
          <w:rFonts w:ascii="Times New Roman" w:cs="Times New Roman" w:eastAsia="Times New Roman" w:hAnsi="Times New Roman"/>
          <w:sz w:val="13"/>
          <w:szCs w:val="13"/>
          <w:color w:val="auto"/>
        </w:rPr>
        <w:t>Generally, an owner of a non-qualified annuity Contract is not taxed on increases in the value of the Contract until there is a distribution from the Contract, i.e. Surrender, partial withdrawal Annuity Payments or commutation. This deferral of taxation on accumulated value in the Contract is limited to Contracts owned by or held for the benefit of “natural persons.” A Contract will be treated as held by a natural person even if the nominal owner is a trust or other entity which holds the Contract as an agent for the exclusive benefit of a natural person.</w:t>
      </w:r>
    </w:p>
    <w:p>
      <w:pPr>
        <w:spacing w:after="0" w:line="54" w:lineRule="exact"/>
        <w:rPr>
          <w:sz w:val="20"/>
          <w:szCs w:val="20"/>
          <w:color w:val="auto"/>
        </w:rPr>
      </w:pPr>
    </w:p>
    <w:p>
      <w:pPr>
        <w:jc w:val="both"/>
        <w:ind w:right="3199" w:firstLine="265"/>
        <w:spacing w:after="0" w:line="272" w:lineRule="auto"/>
        <w:rPr>
          <w:sz w:val="20"/>
          <w:szCs w:val="20"/>
          <w:color w:val="auto"/>
        </w:rPr>
      </w:pPr>
      <w:r>
        <w:rPr>
          <w:rFonts w:ascii="Times New Roman" w:cs="Times New Roman" w:eastAsia="Times New Roman" w:hAnsi="Times New Roman"/>
          <w:sz w:val="13"/>
          <w:szCs w:val="13"/>
          <w:color w:val="auto"/>
        </w:rPr>
        <w:t>In contrast, a Contract owned by other than a “natural person,” such as a corporation, partnership, trust or other entity (other than a trust holding the Contract as an agent for a natural person), will be taxed currently on the increase in accumulated value in the Contract in the year earned.</w:t>
      </w:r>
    </w:p>
    <w:p>
      <w:pPr>
        <w:spacing w:after="0" w:line="26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color w:val="auto"/>
        </w:rPr>
        <w:t>59</w:t>
      </w:r>
    </w:p>
    <w:p>
      <w:pPr>
        <w:sectPr>
          <w:pgSz w:w="11900" w:h="16838" w:orient="portrait"/>
          <w:cols w:equalWidth="0" w:num="1">
            <w:col w:w="9259"/>
          </w:cols>
          <w:pgMar w:left="1200" w:top="1049"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93915" cy="38100"/>
                    </a:xfrm>
                    <a:prstGeom prst="rect">
                      <a:avLst/>
                    </a:prstGeom>
                    <a:noFill/>
                  </pic:spPr>
                </pic:pic>
              </a:graphicData>
            </a:graphic>
          </wp:anchor>
        </w:drawing>
        <w:t>Surrenders or Withdrawals—Early Distribution</w:t>
      </w:r>
    </w:p>
    <w:p>
      <w:pPr>
        <w:spacing w:after="0" w:line="101" w:lineRule="exact"/>
        <w:rPr>
          <w:sz w:val="20"/>
          <w:szCs w:val="20"/>
          <w:color w:val="auto"/>
        </w:rPr>
      </w:pPr>
    </w:p>
    <w:p>
      <w:pPr>
        <w:jc w:val="both"/>
        <w:ind w:right="3199" w:firstLine="265"/>
        <w:spacing w:after="0" w:line="260" w:lineRule="auto"/>
        <w:rPr>
          <w:sz w:val="20"/>
          <w:szCs w:val="20"/>
          <w:color w:val="auto"/>
        </w:rPr>
      </w:pPr>
      <w:r>
        <w:rPr>
          <w:rFonts w:ascii="Times New Roman" w:cs="Times New Roman" w:eastAsia="Times New Roman" w:hAnsi="Times New Roman"/>
          <w:sz w:val="13"/>
          <w:szCs w:val="13"/>
          <w:color w:val="auto"/>
        </w:rPr>
        <w:t>If you take a withdrawal from your Contract, or Surrender your Contract prior to the date you commence taking annuity or “income” payments (the “Annuity Starting Date”), the amount you receive will generally be treated first as coming from earnings, if any, (and thus subject to income tax) and then from your purchase payments (which are not subject to income tax). If the accumulated value is less than your purchase payments upon Surrender of your Contract, your ability to claim any unrecovered purchase payments on your Federal income tax return as a miscellaneous itemized deduction is suspended under the 2017 Tax Cuts and Job Act effective for tax years beginning after December 31, 2017 and before January 1, 2026.</w:t>
      </w:r>
    </w:p>
    <w:p>
      <w:pPr>
        <w:spacing w:after="0" w:line="57" w:lineRule="exact"/>
        <w:rPr>
          <w:sz w:val="20"/>
          <w:szCs w:val="20"/>
          <w:color w:val="auto"/>
        </w:rPr>
      </w:pPr>
    </w:p>
    <w:p>
      <w:pPr>
        <w:jc w:val="both"/>
        <w:ind w:right="3199" w:firstLine="265"/>
        <w:spacing w:after="0" w:line="266" w:lineRule="auto"/>
        <w:rPr>
          <w:sz w:val="20"/>
          <w:szCs w:val="20"/>
          <w:color w:val="auto"/>
        </w:rPr>
      </w:pPr>
      <w:r>
        <w:rPr>
          <w:rFonts w:ascii="Times New Roman" w:cs="Times New Roman" w:eastAsia="Times New Roman" w:hAnsi="Times New Roman"/>
          <w:sz w:val="13"/>
          <w:szCs w:val="13"/>
          <w:color w:val="auto"/>
        </w:rPr>
        <w:t>The portion of any withdrawal from an annuity Contract that is subject to income tax (including to pay fees and expenses associated with a fee-based program) may also be subject to a 10% Federal income tax penalty for “early” distribution if such withdrawal is taken prior to you reaching age 59½, unless an exception applies. Exceptions include distributions made:</w:t>
      </w:r>
    </w:p>
    <w:p>
      <w:pPr>
        <w:spacing w:after="0" w:line="81" w:lineRule="exact"/>
        <w:rPr>
          <w:sz w:val="20"/>
          <w:szCs w:val="20"/>
          <w:color w:val="auto"/>
        </w:rPr>
      </w:pPr>
    </w:p>
    <w:p>
      <w:pPr>
        <w:ind w:left="780" w:hanging="517"/>
        <w:spacing w:after="0"/>
        <w:tabs>
          <w:tab w:leader="none" w:pos="78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account of your death or disability;</w:t>
      </w:r>
    </w:p>
    <w:p>
      <w:pPr>
        <w:spacing w:after="0" w:line="118" w:lineRule="exact"/>
        <w:rPr>
          <w:rFonts w:ascii="Times New Roman" w:cs="Times New Roman" w:eastAsia="Times New Roman" w:hAnsi="Times New Roman"/>
          <w:sz w:val="13"/>
          <w:szCs w:val="13"/>
          <w:color w:val="auto"/>
        </w:rPr>
      </w:pPr>
    </w:p>
    <w:p>
      <w:pPr>
        <w:ind w:left="780" w:right="3259" w:hanging="517"/>
        <w:spacing w:after="0" w:line="265" w:lineRule="auto"/>
        <w:tabs>
          <w:tab w:leader="none" w:pos="78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part of a series of substantially equal periodic payments made at least annually payable for your life (or life</w:t>
      </w:r>
    </w:p>
    <w:p>
      <w:pPr>
        <w:ind w:left="260"/>
        <w:spacing w:after="0"/>
        <w:rPr>
          <w:sz w:val="20"/>
          <w:szCs w:val="20"/>
          <w:color w:val="auto"/>
        </w:rPr>
      </w:pPr>
      <w:r>
        <w:rPr>
          <w:rFonts w:ascii="Times New Roman" w:cs="Times New Roman" w:eastAsia="Times New Roman" w:hAnsi="Times New Roman"/>
          <w:sz w:val="13"/>
          <w:szCs w:val="13"/>
          <w:color w:val="auto"/>
        </w:rPr>
        <w:t>expectancy) or joint lives (or joint life expectancies) of you and your designated beneficiary; or</w:t>
      </w:r>
    </w:p>
    <w:p>
      <w:pPr>
        <w:spacing w:after="0" w:line="105" w:lineRule="exact"/>
        <w:rPr>
          <w:sz w:val="20"/>
          <w:szCs w:val="20"/>
          <w:color w:val="auto"/>
        </w:rPr>
      </w:pPr>
    </w:p>
    <w:p>
      <w:pPr>
        <w:ind w:left="780" w:hanging="517"/>
        <w:spacing w:after="0"/>
        <w:tabs>
          <w:tab w:leader="none" w:pos="78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under certain immediate income annuities.</w:t>
      </w:r>
    </w:p>
    <w:p>
      <w:pPr>
        <w:spacing w:after="0" w:line="99" w:lineRule="exact"/>
        <w:rPr>
          <w:sz w:val="20"/>
          <w:szCs w:val="20"/>
          <w:color w:val="auto"/>
        </w:rPr>
      </w:pPr>
    </w:p>
    <w:p>
      <w:pPr>
        <w:jc w:val="both"/>
        <w:ind w:right="3199" w:firstLine="265"/>
        <w:spacing w:after="0" w:line="262" w:lineRule="auto"/>
        <w:rPr>
          <w:sz w:val="20"/>
          <w:szCs w:val="20"/>
          <w:color w:val="auto"/>
        </w:rPr>
      </w:pPr>
      <w:r>
        <w:rPr>
          <w:rFonts w:ascii="Times New Roman" w:cs="Times New Roman" w:eastAsia="Times New Roman" w:hAnsi="Times New Roman"/>
          <w:sz w:val="13"/>
          <w:szCs w:val="13"/>
          <w:color w:val="auto"/>
        </w:rPr>
        <w:t>If you receive systematic payments that you intend to qualify for the “substantially equal periodic payments” exception noted above, any modifications (except due to death or disability) to your payment before age 59½ or within five years after beginning these payments, whichever is later, will result in the retroactive imposition of the 10% Federal income tax penalty with interest. Such modifications may include but are not limited to additional purchase payments to the Contract (including tax-free transfers or rollovers) or additional withdrawals from the Contract.</w:t>
      </w:r>
    </w:p>
    <w:p>
      <w:pPr>
        <w:spacing w:after="0" w:line="53" w:lineRule="exact"/>
        <w:rPr>
          <w:sz w:val="20"/>
          <w:szCs w:val="20"/>
          <w:color w:val="auto"/>
        </w:rPr>
      </w:pPr>
    </w:p>
    <w:p>
      <w:pPr>
        <w:jc w:val="both"/>
        <w:ind w:right="3199" w:firstLine="265"/>
        <w:spacing w:after="0" w:line="290" w:lineRule="auto"/>
        <w:rPr>
          <w:sz w:val="20"/>
          <w:szCs w:val="20"/>
          <w:color w:val="auto"/>
        </w:rPr>
      </w:pPr>
      <w:r>
        <w:rPr>
          <w:rFonts w:ascii="Times New Roman" w:cs="Times New Roman" w:eastAsia="Times New Roman" w:hAnsi="Times New Roman"/>
          <w:sz w:val="13"/>
          <w:szCs w:val="13"/>
          <w:color w:val="auto"/>
        </w:rPr>
        <w:t>Amounts received as a partial withdrawal may be fully includable in taxable income to the extent of gain in the Contract.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Aggregation</w:t>
      </w:r>
    </w:p>
    <w:p>
      <w:pPr>
        <w:spacing w:after="0" w:line="101" w:lineRule="exact"/>
        <w:rPr>
          <w:sz w:val="20"/>
          <w:szCs w:val="20"/>
          <w:color w:val="auto"/>
        </w:rPr>
      </w:pPr>
    </w:p>
    <w:p>
      <w:pPr>
        <w:jc w:val="both"/>
        <w:ind w:right="3199" w:firstLine="265"/>
        <w:spacing w:after="0" w:line="259" w:lineRule="auto"/>
        <w:rPr>
          <w:sz w:val="20"/>
          <w:szCs w:val="20"/>
          <w:color w:val="auto"/>
        </w:rPr>
      </w:pPr>
      <w:r>
        <w:rPr>
          <w:rFonts w:ascii="Times New Roman" w:cs="Times New Roman" w:eastAsia="Times New Roman" w:hAnsi="Times New Roman"/>
          <w:sz w:val="13"/>
          <w:szCs w:val="13"/>
          <w:color w:val="auto"/>
        </w:rPr>
        <w:t>If you purchase two or more deferred annuity Contracts after October 21, 1988, from BLNY (or its affiliates) during the same calendar year, the law requires that all such Contracts must be treated as a single Contract for purposes of determining whether any payments not received as an annuity (e.g., withdrawals) will be includible in income. Aggregation could affect the amount of a withdrawal that is taxable and subject to the 10% Federal income tax penalty described above. Since the IRS may require aggregation in other circumstances as well, you should consult a tax adviser if you are purchasing more than one annuity Contract from the same insurance company in a single calendar year. Aggregation does not affect distributions paid in the form of an annuity (See “Taxation of Payments in Annuity Form” below).</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Exchanges/Transfers</w:t>
      </w:r>
    </w:p>
    <w:p>
      <w:pPr>
        <w:spacing w:after="0" w:line="91" w:lineRule="exact"/>
        <w:rPr>
          <w:sz w:val="20"/>
          <w:szCs w:val="20"/>
          <w:color w:val="auto"/>
        </w:rPr>
      </w:pPr>
    </w:p>
    <w:p>
      <w:pPr>
        <w:jc w:val="both"/>
        <w:ind w:right="3199" w:firstLine="265"/>
        <w:spacing w:after="0" w:line="257" w:lineRule="auto"/>
        <w:rPr>
          <w:sz w:val="20"/>
          <w:szCs w:val="20"/>
          <w:color w:val="auto"/>
        </w:rPr>
      </w:pPr>
      <w:r>
        <w:rPr>
          <w:rFonts w:ascii="Times New Roman" w:cs="Times New Roman" w:eastAsia="Times New Roman" w:hAnsi="Times New Roman"/>
          <w:sz w:val="13"/>
          <w:szCs w:val="13"/>
          <w:color w:val="auto"/>
        </w:rPr>
        <w:t>The annuity Contract may be exchanged in whole or in part for another annuity contract or a long-term care insurance policy. An exchange in whole of an annuity for another annuity or for a qualified long-term care insurance policy will generally be a tax-free transaction under Section 1035 of the Code. The partial exchange of an annuity contract may be a tax-free transaction provided that, among other prescribed IRS conditions, no amounts are distributed from either contract involved in the exchange for 180 days following the date of the exchange—other than annuity payments made for life, joint lives, or for a term of 10 years or more. If a distribution is made from either contract within the 180-day period after the exchange or the exchange otherwise fails to satisfy other IRS prescriptions, the IRS reserves the right to characterize the exchange in a manner consistent with its substance, based on general tax principles and all the facts and circumstances. For instance, such distribution from either contract may be taxable to the extent of the combined gain attributable to both contracts, or only to the extent of your gain in the contract from which the distribution is paid. Some of the ramifications of a partial exchange remain unclear. You should consult your tax adviser concerning potential tax consequences prior to any partial exchange or split of annuity contracts.</w:t>
      </w:r>
    </w:p>
    <w:p>
      <w:pPr>
        <w:spacing w:after="0" w:line="62" w:lineRule="exact"/>
        <w:rPr>
          <w:sz w:val="20"/>
          <w:szCs w:val="20"/>
          <w:color w:val="auto"/>
        </w:rPr>
      </w:pPr>
    </w:p>
    <w:p>
      <w:pPr>
        <w:jc w:val="both"/>
        <w:ind w:right="3199" w:firstLine="265"/>
        <w:spacing w:after="0" w:line="272" w:lineRule="auto"/>
        <w:rPr>
          <w:sz w:val="20"/>
          <w:szCs w:val="20"/>
          <w:color w:val="auto"/>
        </w:rPr>
      </w:pPr>
      <w:r>
        <w:rPr>
          <w:rFonts w:ascii="Times New Roman" w:cs="Times New Roman" w:eastAsia="Times New Roman" w:hAnsi="Times New Roman"/>
          <w:sz w:val="13"/>
          <w:szCs w:val="13"/>
          <w:color w:val="auto"/>
        </w:rPr>
        <w:t>A transfer of ownership of the Contract, or the designation of an annuitant or other beneficiary who is not also the Contract owner, may result in income or gift tax consequences to the Contract owner. You should consult your tax adviser if you are considering such a transfer or assignment.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Death Benefit</w:t>
      </w:r>
    </w:p>
    <w:p>
      <w:pPr>
        <w:spacing w:after="0" w:line="91" w:lineRule="exact"/>
        <w:rPr>
          <w:sz w:val="20"/>
          <w:szCs w:val="20"/>
          <w:color w:val="auto"/>
        </w:rPr>
      </w:pPr>
    </w:p>
    <w:p>
      <w:pPr>
        <w:jc w:val="both"/>
        <w:ind w:right="3199" w:firstLine="265"/>
        <w:spacing w:after="0" w:line="263" w:lineRule="auto"/>
        <w:rPr>
          <w:sz w:val="20"/>
          <w:szCs w:val="20"/>
          <w:color w:val="auto"/>
        </w:rPr>
      </w:pPr>
      <w:r>
        <w:rPr>
          <w:rFonts w:ascii="Times New Roman" w:cs="Times New Roman" w:eastAsia="Times New Roman" w:hAnsi="Times New Roman"/>
          <w:sz w:val="13"/>
          <w:szCs w:val="13"/>
          <w:color w:val="auto"/>
        </w:rPr>
        <w:t>For non-qualified Contracts, the death benefit is taxable to the recipient in the same manner as if paid to the Contract owner (under the rules for withdrawals or Annuity Payments, whichever is applicable). After your death, any death benefit determined under the Contract must be distributed according to certain rules. The method of distribution that is required depends on whether you die before or after the Annuity Starting Date. If you die on or after the Annuity Starting Date, the</w:t>
      </w:r>
    </w:p>
    <w:p>
      <w:pPr>
        <w:spacing w:after="0" w:line="193"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color w:val="auto"/>
        </w:rPr>
        <w:t>60</w:t>
      </w:r>
    </w:p>
    <w:p>
      <w:pPr>
        <w:sectPr>
          <w:pgSz w:w="11900" w:h="16838" w:orient="portrait"/>
          <w:cols w:equalWidth="0" w:num="1">
            <w:col w:w="9259"/>
          </w:cols>
          <w:pgMar w:left="1200" w:top="1047" w:right="1440" w:bottom="1440" w:gutter="0" w:footer="0" w:header="0"/>
        </w:sectPr>
      </w:pPr>
    </w:p>
    <w:bookmarkStart w:id="62" w:name="page63"/>
    <w:bookmarkEnd w:id="62"/>
    <w:p>
      <w:pPr>
        <w:jc w:val="both"/>
        <w:ind w:left="1" w:right="3199"/>
        <w:spacing w:after="0" w:line="25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93915" cy="38100"/>
                    </a:xfrm>
                    <a:prstGeom prst="rect">
                      <a:avLst/>
                    </a:prstGeom>
                    <a:noFill/>
                  </pic:spPr>
                </pic:pic>
              </a:graphicData>
            </a:graphic>
          </wp:anchor>
        </w:drawing>
        <w:t>remaining portion of the interest in the Contract must be distributed at least as rapidly as under the method of distribution being used as of the date of death. If you die before the Annuity Starting Date, the entire interest in the Contract must be distributed within five (5) years after the date of death, or as periodic payments over a period not extending beyond the life or life expectancy of the designated beneficiary (provided such payments begin within one year of your death) and the beneficiary must be a natural person. Additionally, if the annuity is payable to (or for the benefit of) your surviving spouse, that portion of the Contract may be continued with your spouse as the owner. For Contracts owned by a non-natural person, the required distribution rules apply upon the death of the annuitant. If there is more than one annuitant of a Contract held by a non-natural person, then such required distributions will be triggered by the death of the first co-annuitant.</w:t>
      </w:r>
    </w:p>
    <w:p>
      <w:pPr>
        <w:spacing w:after="0" w:line="13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Taxation of Payments in Annuity Form</w:t>
      </w:r>
    </w:p>
    <w:p>
      <w:pPr>
        <w:spacing w:after="0" w:line="91" w:lineRule="exact"/>
        <w:rPr>
          <w:sz w:val="20"/>
          <w:szCs w:val="20"/>
          <w:color w:val="auto"/>
        </w:rPr>
      </w:pPr>
    </w:p>
    <w:p>
      <w:pPr>
        <w:jc w:val="both"/>
        <w:ind w:left="1" w:right="3199" w:firstLine="265"/>
        <w:spacing w:after="0" w:line="258" w:lineRule="auto"/>
        <w:rPr>
          <w:sz w:val="20"/>
          <w:szCs w:val="20"/>
          <w:color w:val="auto"/>
        </w:rPr>
      </w:pPr>
      <w:r>
        <w:rPr>
          <w:rFonts w:ascii="Times New Roman" w:cs="Times New Roman" w:eastAsia="Times New Roman" w:hAnsi="Times New Roman"/>
          <w:sz w:val="13"/>
          <w:szCs w:val="13"/>
          <w:color w:val="auto"/>
        </w:rPr>
        <w:t>Payments received from the Contract in the form of an annuity, are taxable as ordinary income to the extent they exceed the portion of the payment determined by applying the exclusion ratio to the entire payment. The exclusion ratio is determined at the time the Contract is annuitized (i.e. accumulated value is converted to an annuity form of distribution). Generally, the applicable exclusion ratio is your investment in the Contract divided by the total payments you expect to receive based on IRS factors, such as the form of annuity and mortality. The excludable portion of each annuity payment is the return of investment in the Contract and it is excludable from your taxable income until your investment in the Contract is fully recovered. We will make this calculation for you. However, it is possible that the IRS could conclude that the taxable portion of Annuity Payments under a non-qualified Contract is an amount greater—or less—than the taxable amount determined by us and reported by us to you and the IRS.</w:t>
      </w:r>
    </w:p>
    <w:p>
      <w:pPr>
        <w:spacing w:after="0" w:line="60" w:lineRule="exact"/>
        <w:rPr>
          <w:sz w:val="20"/>
          <w:szCs w:val="20"/>
          <w:color w:val="auto"/>
        </w:rPr>
      </w:pPr>
    </w:p>
    <w:p>
      <w:pPr>
        <w:jc w:val="both"/>
        <w:ind w:left="1" w:right="3199" w:firstLine="265"/>
        <w:spacing w:after="0" w:line="272" w:lineRule="auto"/>
        <w:rPr>
          <w:sz w:val="20"/>
          <w:szCs w:val="20"/>
          <w:color w:val="auto"/>
        </w:rPr>
      </w:pPr>
      <w:r>
        <w:rPr>
          <w:rFonts w:ascii="Times New Roman" w:cs="Times New Roman" w:eastAsia="Times New Roman" w:hAnsi="Times New Roman"/>
          <w:sz w:val="13"/>
          <w:szCs w:val="13"/>
          <w:color w:val="auto"/>
        </w:rPr>
        <w:t>Once you have recovered the investment in the Contract, further annuity payments are fully taxable. If you die before your investment in the Contract is fully recovered, the balance may be deducted on your last tax return, or if annuity payments continue after your death, the balance may be deducted by your beneficiary.</w:t>
      </w:r>
    </w:p>
    <w:p>
      <w:pPr>
        <w:spacing w:after="0" w:line="47" w:lineRule="exact"/>
        <w:rPr>
          <w:sz w:val="20"/>
          <w:szCs w:val="20"/>
          <w:color w:val="auto"/>
        </w:rPr>
      </w:pPr>
    </w:p>
    <w:p>
      <w:pPr>
        <w:jc w:val="both"/>
        <w:ind w:left="1" w:right="3199" w:firstLine="265"/>
        <w:spacing w:after="0" w:line="263" w:lineRule="auto"/>
        <w:rPr>
          <w:sz w:val="20"/>
          <w:szCs w:val="20"/>
          <w:color w:val="auto"/>
        </w:rPr>
      </w:pPr>
      <w:r>
        <w:rPr>
          <w:rFonts w:ascii="Times New Roman" w:cs="Times New Roman" w:eastAsia="Times New Roman" w:hAnsi="Times New Roman"/>
          <w:sz w:val="13"/>
          <w:szCs w:val="13"/>
          <w:color w:val="auto"/>
        </w:rPr>
        <w:t>The IRS has not furnished explicit guidance as to how the excludable amount is to be determined each year under variable income annuities that permit transfers between a fixed annuity option and variable investment options, as well as transfers between investment options after the Annuity Starting Date. Once annuity payments have commenced, you may not be able to transfer to another non-qualified annuity contract or a long-term care contract as part of a tax-free exchange.</w:t>
      </w:r>
    </w:p>
    <w:p>
      <w:pPr>
        <w:spacing w:after="0" w:line="54" w:lineRule="exact"/>
        <w:rPr>
          <w:sz w:val="20"/>
          <w:szCs w:val="20"/>
          <w:color w:val="auto"/>
        </w:rPr>
      </w:pPr>
    </w:p>
    <w:p>
      <w:pPr>
        <w:jc w:val="both"/>
        <w:ind w:left="1" w:right="3199" w:firstLine="265"/>
        <w:spacing w:after="0" w:line="265" w:lineRule="auto"/>
        <w:rPr>
          <w:sz w:val="20"/>
          <w:szCs w:val="20"/>
          <w:color w:val="auto"/>
        </w:rPr>
      </w:pPr>
      <w:r>
        <w:rPr>
          <w:rFonts w:ascii="Times New Roman" w:cs="Times New Roman" w:eastAsia="Times New Roman" w:hAnsi="Times New Roman"/>
          <w:sz w:val="13"/>
          <w:szCs w:val="13"/>
          <w:color w:val="auto"/>
        </w:rPr>
        <w:t>If you receive payments that you intend to qualify for the “substantially equal periodic payments” exception noted above, any modifications (except due to death or disability) to your payment before age 59½ or within five</w:t>
      </w:r>
    </w:p>
    <w:p>
      <w:pPr>
        <w:jc w:val="both"/>
        <w:ind w:left="1" w:right="3199" w:hanging="1"/>
        <w:spacing w:after="0" w:line="262" w:lineRule="auto"/>
        <w:tabs>
          <w:tab w:leader="none" w:pos="199"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years after beginning these payments, whichever is later, will result in the retroactive imposition of the 10% Federal income tax penalty with interest. Such modifications may include additional purchase payments or withdrawals (including tax-free transfers or rollovers of Annuity Payments) from the Contract.</w:t>
      </w:r>
    </w:p>
    <w:p>
      <w:pPr>
        <w:spacing w:after="0" w:line="53" w:lineRule="exact"/>
        <w:rPr>
          <w:sz w:val="20"/>
          <w:szCs w:val="20"/>
          <w:color w:val="auto"/>
        </w:rPr>
      </w:pPr>
    </w:p>
    <w:p>
      <w:pPr>
        <w:jc w:val="both"/>
        <w:ind w:left="1" w:right="3199" w:firstLine="265"/>
        <w:spacing w:after="0" w:line="263" w:lineRule="auto"/>
        <w:rPr>
          <w:sz w:val="20"/>
          <w:szCs w:val="20"/>
          <w:color w:val="auto"/>
        </w:rPr>
      </w:pPr>
      <w:r>
        <w:rPr>
          <w:rFonts w:ascii="Times New Roman" w:cs="Times New Roman" w:eastAsia="Times New Roman" w:hAnsi="Times New Roman"/>
          <w:sz w:val="13"/>
          <w:szCs w:val="13"/>
          <w:color w:val="auto"/>
        </w:rPr>
        <w:t>If the Contract allows, you may elect to convert less than the full value of your Contract to an annuity form of pay-out (i.e., “partial annuitization.”) In this case, your investment in the Contract will be pro-rated between the annuitized portion of the Contract and the deferred portion. An exclusion ratio will apply to the annuity payments as described above, provided the annuity form you elect is payable for at least 10 years or for the life of one or more individuals.</w:t>
      </w:r>
    </w:p>
    <w:p>
      <w:pPr>
        <w:spacing w:after="0" w:line="13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3.8% Tax on Net Investment Income</w:t>
      </w:r>
    </w:p>
    <w:p>
      <w:pPr>
        <w:spacing w:after="0" w:line="91" w:lineRule="exact"/>
        <w:rPr>
          <w:sz w:val="20"/>
          <w:szCs w:val="20"/>
          <w:color w:val="auto"/>
        </w:rPr>
      </w:pPr>
    </w:p>
    <w:p>
      <w:pPr>
        <w:ind w:left="261"/>
        <w:spacing w:after="0"/>
        <w:rPr>
          <w:sz w:val="20"/>
          <w:szCs w:val="20"/>
          <w:color w:val="auto"/>
        </w:rPr>
      </w:pPr>
      <w:r>
        <w:rPr>
          <w:rFonts w:ascii="Times New Roman" w:cs="Times New Roman" w:eastAsia="Times New Roman" w:hAnsi="Times New Roman"/>
          <w:sz w:val="13"/>
          <w:szCs w:val="13"/>
          <w:color w:val="auto"/>
        </w:rPr>
        <w:t>Federal tax law imposes a 3.8% Net Investment Income tax on the lesser of:</w:t>
      </w:r>
    </w:p>
    <w:p>
      <w:pPr>
        <w:spacing w:after="0" w:line="118" w:lineRule="exact"/>
        <w:rPr>
          <w:sz w:val="20"/>
          <w:szCs w:val="20"/>
          <w:color w:val="auto"/>
        </w:rPr>
      </w:pPr>
    </w:p>
    <w:p>
      <w:pPr>
        <w:ind w:left="781" w:right="3259" w:hanging="517"/>
        <w:spacing w:after="0" w:line="265" w:lineRule="auto"/>
        <w:tabs>
          <w:tab w:leader="none" w:pos="781"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taxpayer’s “net investment income,” (from non-qualified annuities, interest, dividends, and other</w:t>
      </w:r>
    </w:p>
    <w:p>
      <w:pPr>
        <w:ind w:left="261"/>
        <w:spacing w:after="0"/>
        <w:rPr>
          <w:sz w:val="20"/>
          <w:szCs w:val="20"/>
          <w:color w:val="auto"/>
        </w:rPr>
      </w:pPr>
      <w:r>
        <w:rPr>
          <w:rFonts w:ascii="Times New Roman" w:cs="Times New Roman" w:eastAsia="Times New Roman" w:hAnsi="Times New Roman"/>
          <w:sz w:val="13"/>
          <w:szCs w:val="13"/>
          <w:color w:val="auto"/>
        </w:rPr>
        <w:t>investments, offset by specified allowable deductions); or</w:t>
      </w:r>
    </w:p>
    <w:p>
      <w:pPr>
        <w:spacing w:after="0" w:line="105" w:lineRule="exact"/>
        <w:rPr>
          <w:sz w:val="20"/>
          <w:szCs w:val="20"/>
          <w:color w:val="auto"/>
        </w:rPr>
      </w:pPr>
    </w:p>
    <w:p>
      <w:pPr>
        <w:ind w:left="781" w:right="3259" w:hanging="517"/>
        <w:spacing w:after="0" w:line="265" w:lineRule="auto"/>
        <w:tabs>
          <w:tab w:leader="none" w:pos="781"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taxpayer’s modified adjusted gross income in excess of a specified income threshold ($250,000 for</w:t>
      </w:r>
    </w:p>
    <w:p>
      <w:pPr>
        <w:ind w:left="261" w:right="3259"/>
        <w:spacing w:after="0" w:line="254" w:lineRule="auto"/>
        <w:rPr>
          <w:sz w:val="20"/>
          <w:szCs w:val="20"/>
          <w:color w:val="auto"/>
        </w:rPr>
      </w:pPr>
      <w:r>
        <w:rPr>
          <w:rFonts w:ascii="Times New Roman" w:cs="Times New Roman" w:eastAsia="Times New Roman" w:hAnsi="Times New Roman"/>
          <w:sz w:val="13"/>
          <w:szCs w:val="13"/>
          <w:color w:val="auto"/>
        </w:rPr>
        <w:t>married couples filing jointly and qualifying surviving spouses, $125,000 for married couples filing separately, and</w:t>
      </w:r>
    </w:p>
    <w:p>
      <w:pPr>
        <w:spacing w:after="0" w:line="1" w:lineRule="exact"/>
        <w:rPr>
          <w:sz w:val="20"/>
          <w:szCs w:val="20"/>
          <w:color w:val="auto"/>
        </w:rPr>
      </w:pPr>
    </w:p>
    <w:p>
      <w:pPr>
        <w:ind w:left="261"/>
        <w:spacing w:after="0"/>
        <w:rPr>
          <w:sz w:val="20"/>
          <w:szCs w:val="20"/>
          <w:color w:val="auto"/>
        </w:rPr>
      </w:pPr>
      <w:r>
        <w:rPr>
          <w:rFonts w:ascii="Times New Roman" w:cs="Times New Roman" w:eastAsia="Times New Roman" w:hAnsi="Times New Roman"/>
          <w:sz w:val="13"/>
          <w:szCs w:val="13"/>
          <w:color w:val="auto"/>
        </w:rPr>
        <w:t>$200,000 for single filers).</w:t>
      </w:r>
    </w:p>
    <w:p>
      <w:pPr>
        <w:spacing w:after="0" w:line="76" w:lineRule="exact"/>
        <w:rPr>
          <w:sz w:val="20"/>
          <w:szCs w:val="20"/>
          <w:color w:val="auto"/>
        </w:rPr>
      </w:pPr>
    </w:p>
    <w:p>
      <w:pPr>
        <w:jc w:val="both"/>
        <w:ind w:left="1" w:right="3199" w:firstLine="265"/>
        <w:spacing w:after="0" w:line="272" w:lineRule="auto"/>
        <w:rPr>
          <w:sz w:val="20"/>
          <w:szCs w:val="20"/>
          <w:color w:val="auto"/>
        </w:rPr>
      </w:pPr>
      <w:r>
        <w:rPr>
          <w:rFonts w:ascii="Times New Roman" w:cs="Times New Roman" w:eastAsia="Times New Roman" w:hAnsi="Times New Roman"/>
          <w:sz w:val="13"/>
          <w:szCs w:val="13"/>
          <w:color w:val="auto"/>
        </w:rPr>
        <w:t>“Net investment income” in Item 1 above does not include distributions from tax qualified plans, (i.e., arrangements described in Code Sections 401(a), 403(a), 403(b), 408, 408A or 457(b)), but such income will increase modified adjusted gross income in Item 2 above.</w:t>
      </w:r>
    </w:p>
    <w:p>
      <w:pPr>
        <w:spacing w:after="0" w:line="47" w:lineRule="exact"/>
        <w:rPr>
          <w:sz w:val="20"/>
          <w:szCs w:val="20"/>
          <w:color w:val="auto"/>
        </w:rPr>
      </w:pPr>
    </w:p>
    <w:p>
      <w:pPr>
        <w:jc w:val="both"/>
        <w:ind w:left="1" w:right="3199" w:firstLine="265"/>
        <w:spacing w:after="0" w:line="290" w:lineRule="auto"/>
        <w:rPr>
          <w:sz w:val="20"/>
          <w:szCs w:val="20"/>
          <w:color w:val="auto"/>
        </w:rPr>
      </w:pPr>
      <w:r>
        <w:rPr>
          <w:rFonts w:ascii="Times New Roman" w:cs="Times New Roman" w:eastAsia="Times New Roman" w:hAnsi="Times New Roman"/>
          <w:sz w:val="13"/>
          <w:szCs w:val="13"/>
          <w:color w:val="auto"/>
        </w:rPr>
        <w:t>You should consult your tax adviser regarding the applicability of this tax to income under your annuity Contract.</w:t>
      </w:r>
    </w:p>
    <w:p>
      <w:pPr>
        <w:spacing w:after="0" w:line="165" w:lineRule="exact"/>
        <w:rPr>
          <w:sz w:val="20"/>
          <w:szCs w:val="20"/>
          <w:color w:val="auto"/>
        </w:rPr>
      </w:pPr>
    </w:p>
    <w:p>
      <w:pPr>
        <w:ind w:left="2981"/>
        <w:spacing w:after="0"/>
        <w:rPr>
          <w:sz w:val="20"/>
          <w:szCs w:val="20"/>
          <w:color w:val="auto"/>
        </w:rPr>
      </w:pPr>
      <w:r>
        <w:rPr>
          <w:rFonts w:ascii="Times New Roman" w:cs="Times New Roman" w:eastAsia="Times New Roman" w:hAnsi="Times New Roman"/>
          <w:sz w:val="13"/>
          <w:szCs w:val="13"/>
          <w:color w:val="auto"/>
        </w:rPr>
        <w:t>61</w:t>
      </w:r>
    </w:p>
    <w:p>
      <w:pPr>
        <w:sectPr>
          <w:pgSz w:w="11900" w:h="16838" w:orient="portrait"/>
          <w:cols w:equalWidth="0" w:num="1">
            <w:col w:w="9261"/>
          </w:cols>
          <w:pgMar w:left="1199" w:top="1049"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93915" cy="38100"/>
                    </a:xfrm>
                    <a:prstGeom prst="rect">
                      <a:avLst/>
                    </a:prstGeom>
                    <a:noFill/>
                  </pic:spPr>
                </pic:pic>
              </a:graphicData>
            </a:graphic>
          </wp:anchor>
        </w:drawing>
        <w:t>Qualified Annuity Contracts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Introduction</w:t>
      </w:r>
    </w:p>
    <w:p>
      <w:pPr>
        <w:spacing w:after="0" w:line="91" w:lineRule="exact"/>
        <w:rPr>
          <w:sz w:val="20"/>
          <w:szCs w:val="20"/>
          <w:color w:val="auto"/>
        </w:rPr>
      </w:pPr>
    </w:p>
    <w:p>
      <w:pPr>
        <w:jc w:val="both"/>
        <w:ind w:right="3199" w:firstLine="265"/>
        <w:spacing w:after="0" w:line="259" w:lineRule="auto"/>
        <w:rPr>
          <w:sz w:val="20"/>
          <w:szCs w:val="20"/>
          <w:color w:val="auto"/>
        </w:rPr>
      </w:pPr>
      <w:r>
        <w:rPr>
          <w:rFonts w:ascii="Times New Roman" w:cs="Times New Roman" w:eastAsia="Times New Roman" w:hAnsi="Times New Roman"/>
          <w:sz w:val="13"/>
          <w:szCs w:val="13"/>
          <w:color w:val="auto"/>
        </w:rPr>
        <w:t>Currently, the Contract is available for use in connection with Non-Qualified Plans, Traditional IRAs and Roth IRAs. In general, annuity contracts purchased through certain types of retirement plans receive favorable treatment under the Code (“tax qualified plans" or “qualified plans”). Tax-qualified plans include arrangements described in Code Sections 401(a), 401(k), 403(a), 403(b) or tax sheltered annuities (“TSA”), 408 or “IRAs” (including SEP and SIMPLE IRAs), 408A or “Roth IRAs” and 457(b) plans. Extensive special tax rules apply to qualified plans and to the annuity Contracts used in connection with these plans. Therefore, the following discussion provides only general information about the use of the Contract with the various types of qualified plans. Adverse tax consequences may result if you do not ensure that contributions, distributions and other transactions with respect to the Contract comply with the law.</w:t>
      </w:r>
    </w:p>
    <w:p>
      <w:pPr>
        <w:spacing w:after="0" w:line="56" w:lineRule="exact"/>
        <w:rPr>
          <w:sz w:val="20"/>
          <w:szCs w:val="20"/>
          <w:color w:val="auto"/>
        </w:rPr>
      </w:pPr>
    </w:p>
    <w:p>
      <w:pPr>
        <w:jc w:val="both"/>
        <w:ind w:right="3199" w:firstLine="265"/>
        <w:spacing w:after="0" w:line="290" w:lineRule="auto"/>
        <w:rPr>
          <w:sz w:val="20"/>
          <w:szCs w:val="20"/>
          <w:color w:val="auto"/>
        </w:rPr>
      </w:pPr>
      <w:r>
        <w:rPr>
          <w:rFonts w:ascii="Times New Roman" w:cs="Times New Roman" w:eastAsia="Times New Roman" w:hAnsi="Times New Roman"/>
          <w:sz w:val="13"/>
          <w:szCs w:val="13"/>
          <w:color w:val="auto"/>
        </w:rPr>
        <w:t>The rights to any benefit under the plan will be subject to the terms and conditions of the plan itself as well as the terms and conditions of the Contract.</w:t>
      </w:r>
    </w:p>
    <w:p>
      <w:pPr>
        <w:spacing w:after="0" w:line="36" w:lineRule="exact"/>
        <w:rPr>
          <w:sz w:val="20"/>
          <w:szCs w:val="20"/>
          <w:color w:val="auto"/>
        </w:rPr>
      </w:pPr>
    </w:p>
    <w:p>
      <w:pPr>
        <w:jc w:val="both"/>
        <w:ind w:right="3199" w:firstLine="265"/>
        <w:spacing w:after="0" w:line="272" w:lineRule="auto"/>
        <w:rPr>
          <w:sz w:val="20"/>
          <w:szCs w:val="20"/>
          <w:color w:val="auto"/>
        </w:rPr>
      </w:pPr>
      <w:r>
        <w:rPr>
          <w:rFonts w:ascii="Times New Roman" w:cs="Times New Roman" w:eastAsia="Times New Roman" w:hAnsi="Times New Roman"/>
          <w:sz w:val="13"/>
          <w:szCs w:val="13"/>
          <w:color w:val="auto"/>
        </w:rPr>
        <w:t>We exercise no control over whether a particular retirement plan or a particular contribution to the plan satisfies the applicable requirements of the Code, or whether a particular individual is entitled to participate or benefit under a plan.</w:t>
      </w:r>
    </w:p>
    <w:p>
      <w:pPr>
        <w:spacing w:after="0" w:line="47" w:lineRule="exact"/>
        <w:rPr>
          <w:sz w:val="20"/>
          <w:szCs w:val="20"/>
          <w:color w:val="auto"/>
        </w:rPr>
      </w:pPr>
    </w:p>
    <w:p>
      <w:pPr>
        <w:jc w:val="both"/>
        <w:ind w:right="3199" w:firstLine="265"/>
        <w:spacing w:after="0" w:line="266" w:lineRule="auto"/>
        <w:rPr>
          <w:sz w:val="20"/>
          <w:szCs w:val="20"/>
          <w:color w:val="auto"/>
        </w:rPr>
      </w:pPr>
      <w:r>
        <w:rPr>
          <w:rFonts w:ascii="Times New Roman" w:cs="Times New Roman" w:eastAsia="Times New Roman" w:hAnsi="Times New Roman"/>
          <w:sz w:val="13"/>
          <w:szCs w:val="13"/>
          <w:color w:val="auto"/>
        </w:rPr>
        <w:t>All qualified plans and arrangements receive tax deferral under the Code. Since there are no additional tax benefits in funding such retirement arrangements with an annuity, there should be reasons other than tax deferral for acquiring the annuity within the plan. Such non-tax benefits may include additional insurance benefits, such as the availability of a guaranteed income for life.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Accumulation</w:t>
      </w:r>
    </w:p>
    <w:p>
      <w:pPr>
        <w:spacing w:after="0" w:line="91" w:lineRule="exact"/>
        <w:rPr>
          <w:sz w:val="20"/>
          <w:szCs w:val="20"/>
          <w:color w:val="auto"/>
        </w:rPr>
      </w:pPr>
    </w:p>
    <w:p>
      <w:pPr>
        <w:jc w:val="both"/>
        <w:ind w:right="3199" w:firstLine="265"/>
        <w:spacing w:after="0" w:line="272" w:lineRule="auto"/>
        <w:rPr>
          <w:sz w:val="20"/>
          <w:szCs w:val="20"/>
          <w:color w:val="auto"/>
        </w:rPr>
      </w:pPr>
      <w:r>
        <w:rPr>
          <w:rFonts w:ascii="Times New Roman" w:cs="Times New Roman" w:eastAsia="Times New Roman" w:hAnsi="Times New Roman"/>
          <w:sz w:val="13"/>
          <w:szCs w:val="13"/>
          <w:color w:val="auto"/>
        </w:rPr>
        <w:t>The tax rules applicable to qualified plans vary according to the type of plan and the terms and conditions of the plan itself. Both the amount of the contribution that may be made and the tax deduction or exclusion that you may claim for that contribution under qualified plans are limited under the Code.</w:t>
      </w:r>
    </w:p>
    <w:p>
      <w:pPr>
        <w:spacing w:after="0" w:line="47" w:lineRule="exact"/>
        <w:rPr>
          <w:sz w:val="20"/>
          <w:szCs w:val="20"/>
          <w:color w:val="auto"/>
        </w:rPr>
      </w:pPr>
    </w:p>
    <w:p>
      <w:pPr>
        <w:jc w:val="both"/>
        <w:ind w:right="3199" w:firstLine="265"/>
        <w:spacing w:after="0" w:line="263" w:lineRule="auto"/>
        <w:rPr>
          <w:sz w:val="20"/>
          <w:szCs w:val="20"/>
          <w:color w:val="auto"/>
        </w:rPr>
      </w:pPr>
      <w:r>
        <w:rPr>
          <w:rFonts w:ascii="Times New Roman" w:cs="Times New Roman" w:eastAsia="Times New Roman" w:hAnsi="Times New Roman"/>
          <w:sz w:val="13"/>
          <w:szCs w:val="13"/>
          <w:color w:val="auto"/>
        </w:rPr>
        <w:t>Purchase payments or contributions to IRAs or tax qualified retirement plans of an employer may be taken from current income on a before tax basis or after tax basis. Purchase payments made on a “before tax” basis entitle you to a tax deduction or are not subject to current income tax. Purchase payments made on an “after tax” basis do not reduce your taxable income or give you a tax deduction. Contributions may also consist of transfers or rollovers as described below and are not subject to the annual limitations on contributions.</w:t>
      </w:r>
    </w:p>
    <w:p>
      <w:pPr>
        <w:spacing w:after="0" w:line="54" w:lineRule="exact"/>
        <w:rPr>
          <w:sz w:val="20"/>
          <w:szCs w:val="20"/>
          <w:color w:val="auto"/>
        </w:rPr>
      </w:pPr>
    </w:p>
    <w:p>
      <w:pPr>
        <w:jc w:val="both"/>
        <w:ind w:right="3199" w:firstLine="265"/>
        <w:spacing w:after="0" w:line="263" w:lineRule="auto"/>
        <w:rPr>
          <w:sz w:val="20"/>
          <w:szCs w:val="20"/>
          <w:color w:val="auto"/>
        </w:rPr>
      </w:pPr>
      <w:r>
        <w:rPr>
          <w:rFonts w:ascii="Times New Roman" w:cs="Times New Roman" w:eastAsia="Times New Roman" w:hAnsi="Times New Roman"/>
          <w:sz w:val="13"/>
          <w:szCs w:val="13"/>
          <w:color w:val="auto"/>
        </w:rPr>
        <w:t>An IRA Contract will accept as a single purchase payment a transfer or rollover from another IRA (including a SEP or SIMPLE IRA) or rollover from an eligible retirement plan of an employer (i.e., 401(a), 401(k), 403(a), 403(b) or governmental 457(b) plans.) A rollover or transfer from a SIMPLE IRA is allowed provided that the taxpayer has participated in such arrangement for at least two years. As part of the single purchase payment, the IRA Contract will also accept an IRA contribution subject to the Code limits for the year of purchase.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Taxation of Annuity Distributions</w:t>
      </w:r>
    </w:p>
    <w:p>
      <w:pPr>
        <w:spacing w:after="0" w:line="91" w:lineRule="exact"/>
        <w:rPr>
          <w:sz w:val="20"/>
          <w:szCs w:val="20"/>
          <w:color w:val="auto"/>
        </w:rPr>
      </w:pPr>
    </w:p>
    <w:p>
      <w:pPr>
        <w:jc w:val="both"/>
        <w:ind w:right="3179" w:firstLine="265"/>
        <w:spacing w:after="0" w:line="262" w:lineRule="auto"/>
        <w:rPr>
          <w:sz w:val="20"/>
          <w:szCs w:val="20"/>
          <w:color w:val="auto"/>
        </w:rPr>
      </w:pPr>
      <w:r>
        <w:rPr>
          <w:rFonts w:ascii="Times New Roman" w:cs="Times New Roman" w:eastAsia="Times New Roman" w:hAnsi="Times New Roman"/>
          <w:sz w:val="13"/>
          <w:szCs w:val="13"/>
          <w:color w:val="auto"/>
        </w:rPr>
        <w:t>If contributions are made on a “before tax” basis, you generally pay income taxes on the full amount of money you receive under the Contract. Withdrawals attributable to any after-tax contributions are your basis in the Contract and not subject to income tax (except for the portion of the withdrawal allocable to earnings if any). Under current Federal income tax rules, the taxable portion of distributions under annuity contracts and qualified plans (including IRAs) is not eligible for the reduced tax rate applicable to long-term capital gains and qualifying dividends.</w:t>
      </w:r>
    </w:p>
    <w:p>
      <w:pPr>
        <w:spacing w:after="0" w:line="2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If you meet certain requirements, your Roth IRA earnings can be received free of Federal income taxes.</w:t>
      </w:r>
    </w:p>
    <w:p>
      <w:pPr>
        <w:spacing w:after="0" w:line="89" w:lineRule="exact"/>
        <w:rPr>
          <w:sz w:val="20"/>
          <w:szCs w:val="20"/>
          <w:color w:val="auto"/>
        </w:rPr>
      </w:pPr>
    </w:p>
    <w:p>
      <w:pPr>
        <w:jc w:val="both"/>
        <w:ind w:right="3199" w:firstLine="265"/>
        <w:spacing w:after="0" w:line="290" w:lineRule="auto"/>
        <w:rPr>
          <w:sz w:val="20"/>
          <w:szCs w:val="20"/>
          <w:color w:val="auto"/>
        </w:rPr>
      </w:pPr>
      <w:r>
        <w:rPr>
          <w:rFonts w:ascii="Times New Roman" w:cs="Times New Roman" w:eastAsia="Times New Roman" w:hAnsi="Times New Roman"/>
          <w:sz w:val="13"/>
          <w:szCs w:val="13"/>
          <w:color w:val="auto"/>
        </w:rPr>
        <w:t>With respect to IRA Contracts, we will withhold a portion of the taxable amount of your withdrawal for income taxes, unless you elect otherwise. The amount we will withhold is determined by the Code.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Withdrawals Prior to Age 59½</w:t>
      </w:r>
    </w:p>
    <w:p>
      <w:pPr>
        <w:spacing w:after="0" w:line="91" w:lineRule="exact"/>
        <w:rPr>
          <w:sz w:val="20"/>
          <w:szCs w:val="20"/>
          <w:color w:val="auto"/>
        </w:rPr>
      </w:pPr>
    </w:p>
    <w:p>
      <w:pPr>
        <w:jc w:val="both"/>
        <w:ind w:right="3199" w:firstLine="265"/>
        <w:spacing w:after="0" w:line="272" w:lineRule="auto"/>
        <w:rPr>
          <w:sz w:val="20"/>
          <w:szCs w:val="20"/>
          <w:color w:val="auto"/>
        </w:rPr>
      </w:pPr>
      <w:r>
        <w:rPr>
          <w:rFonts w:ascii="Times New Roman" w:cs="Times New Roman" w:eastAsia="Times New Roman" w:hAnsi="Times New Roman"/>
          <w:sz w:val="13"/>
          <w:szCs w:val="13"/>
          <w:color w:val="auto"/>
        </w:rPr>
        <w:t>A taxable withdrawal from a qualified Contract which is subject to income tax may also be subject to a 10% Federal income tax penalty for “early” distribution if taken prior to age 59½, unless an exception described below applies.</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Exceptions to the early distribution penalty for qualified plans include withdrawals or distributions made:</w:t>
      </w:r>
    </w:p>
    <w:p>
      <w:pPr>
        <w:spacing w:after="0" w:line="118" w:lineRule="exact"/>
        <w:rPr>
          <w:sz w:val="20"/>
          <w:szCs w:val="20"/>
          <w:color w:val="auto"/>
        </w:rPr>
      </w:pPr>
    </w:p>
    <w:p>
      <w:pPr>
        <w:ind w:left="780" w:hanging="517"/>
        <w:spacing w:after="0"/>
        <w:tabs>
          <w:tab w:leader="none" w:pos="78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account of your death or disability,</w:t>
      </w:r>
    </w:p>
    <w:p>
      <w:pPr>
        <w:spacing w:after="0" w:line="22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color w:val="auto"/>
        </w:rPr>
        <w:t>62</w:t>
      </w:r>
    </w:p>
    <w:p>
      <w:pPr>
        <w:sectPr>
          <w:pgSz w:w="11900" w:h="16838" w:orient="portrait"/>
          <w:cols w:equalWidth="0" w:num="1">
            <w:col w:w="9259"/>
          </w:cols>
          <w:pgMar w:left="1200" w:top="1047" w:right="1440" w:bottom="1440" w:gutter="0" w:footer="0" w:header="0"/>
        </w:sectPr>
      </w:pPr>
    </w:p>
    <w:bookmarkStart w:id="64" w:name="page65"/>
    <w:bookmarkEnd w:id="64"/>
    <w:p>
      <w:pPr>
        <w:ind w:left="780" w:right="3259" w:hanging="517"/>
        <w:spacing w:after="0" w:line="265" w:lineRule="auto"/>
        <w:tabs>
          <w:tab w:leader="none" w:pos="78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93915" cy="38100"/>
                    </a:xfrm>
                    <a:prstGeom prst="rect">
                      <a:avLst/>
                    </a:prstGeom>
                    <a:noFill/>
                  </pic:spPr>
                </pic:pic>
              </a:graphicData>
            </a:graphic>
          </wp:anchor>
        </w:drawing>
        <w:t>as part of a series of substantially equal periodic payments payable for your life (or life expectancy) or joint</w:t>
      </w:r>
    </w:p>
    <w:p>
      <w:pPr>
        <w:ind w:left="260" w:right="3259"/>
        <w:spacing w:after="0" w:line="254" w:lineRule="auto"/>
        <w:rPr>
          <w:sz w:val="20"/>
          <w:szCs w:val="20"/>
          <w:color w:val="auto"/>
        </w:rPr>
      </w:pPr>
      <w:r>
        <w:rPr>
          <w:rFonts w:ascii="Times New Roman" w:cs="Times New Roman" w:eastAsia="Times New Roman" w:hAnsi="Times New Roman"/>
          <w:sz w:val="13"/>
          <w:szCs w:val="13"/>
          <w:color w:val="auto"/>
        </w:rPr>
        <w:t>lives (or joint life expectancies) of you and your designated beneficiary and (in the case of certain employer-sponsored</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qualified plans) you are separated from employment,</w:t>
      </w:r>
    </w:p>
    <w:p>
      <w:pPr>
        <w:spacing w:after="0" w:line="105" w:lineRule="exact"/>
        <w:rPr>
          <w:sz w:val="20"/>
          <w:szCs w:val="20"/>
          <w:color w:val="auto"/>
        </w:rPr>
      </w:pPr>
    </w:p>
    <w:p>
      <w:pPr>
        <w:ind w:left="780" w:right="3519" w:hanging="517"/>
        <w:spacing w:after="0" w:line="290" w:lineRule="auto"/>
        <w:tabs>
          <w:tab w:leader="none" w:pos="78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separation from service after age 55. This rule does not apply to IRAs (including SEPs and SIMPLE IRAs),</w:t>
      </w:r>
    </w:p>
    <w:p>
      <w:pPr>
        <w:spacing w:after="0" w:line="65" w:lineRule="exact"/>
        <w:rPr>
          <w:rFonts w:ascii="Times New Roman" w:cs="Times New Roman" w:eastAsia="Times New Roman" w:hAnsi="Times New Roman"/>
          <w:sz w:val="13"/>
          <w:szCs w:val="13"/>
          <w:color w:val="auto"/>
        </w:rPr>
      </w:pPr>
    </w:p>
    <w:p>
      <w:pPr>
        <w:ind w:left="780" w:right="3259" w:hanging="517"/>
        <w:spacing w:after="0" w:line="265" w:lineRule="auto"/>
        <w:tabs>
          <w:tab w:leader="none" w:pos="78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pursuant to a qualified domestic relations order (“QDRO”). This rule does not apply to IRAs (including SEPs</w:t>
      </w:r>
    </w:p>
    <w:p>
      <w:pPr>
        <w:ind w:left="260"/>
        <w:spacing w:after="0"/>
        <w:rPr>
          <w:sz w:val="20"/>
          <w:szCs w:val="20"/>
          <w:color w:val="auto"/>
        </w:rPr>
      </w:pPr>
      <w:r>
        <w:rPr>
          <w:rFonts w:ascii="Times New Roman" w:cs="Times New Roman" w:eastAsia="Times New Roman" w:hAnsi="Times New Roman"/>
          <w:sz w:val="13"/>
          <w:szCs w:val="13"/>
          <w:color w:val="auto"/>
        </w:rPr>
        <w:t>and SIMPLE IRAs),</w:t>
      </w:r>
    </w:p>
    <w:p>
      <w:pPr>
        <w:spacing w:after="0" w:line="105" w:lineRule="exact"/>
        <w:rPr>
          <w:sz w:val="20"/>
          <w:szCs w:val="20"/>
          <w:color w:val="auto"/>
        </w:rPr>
      </w:pPr>
    </w:p>
    <w:p>
      <w:pPr>
        <w:ind w:left="780" w:hanging="517"/>
        <w:spacing w:after="0"/>
        <w:tabs>
          <w:tab w:leader="none" w:pos="78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pay IRS levies (and made after December 31, 1999),</w:t>
      </w:r>
    </w:p>
    <w:p>
      <w:pPr>
        <w:spacing w:after="0" w:line="108" w:lineRule="exact"/>
        <w:rPr>
          <w:rFonts w:ascii="Times New Roman" w:cs="Times New Roman" w:eastAsia="Times New Roman" w:hAnsi="Times New Roman"/>
          <w:sz w:val="13"/>
          <w:szCs w:val="13"/>
          <w:color w:val="auto"/>
        </w:rPr>
      </w:pPr>
    </w:p>
    <w:p>
      <w:pPr>
        <w:ind w:left="780" w:hanging="517"/>
        <w:spacing w:after="0"/>
        <w:tabs>
          <w:tab w:leader="none" w:pos="78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pay deductible medical expenses, or</w:t>
      </w:r>
    </w:p>
    <w:p>
      <w:pPr>
        <w:spacing w:after="0" w:line="118" w:lineRule="exact"/>
        <w:rPr>
          <w:rFonts w:ascii="Times New Roman" w:cs="Times New Roman" w:eastAsia="Times New Roman" w:hAnsi="Times New Roman"/>
          <w:sz w:val="13"/>
          <w:szCs w:val="13"/>
          <w:color w:val="auto"/>
        </w:rPr>
      </w:pPr>
    </w:p>
    <w:p>
      <w:pPr>
        <w:ind w:left="780" w:right="3259" w:hanging="517"/>
        <w:spacing w:after="0" w:line="265" w:lineRule="auto"/>
        <w:tabs>
          <w:tab w:leader="none" w:pos="78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case of IRAs only, to pay for medical insurance (if you are unemployed), qualified higher education</w:t>
      </w:r>
    </w:p>
    <w:p>
      <w:pPr>
        <w:ind w:left="260"/>
        <w:spacing w:after="0"/>
        <w:rPr>
          <w:sz w:val="20"/>
          <w:szCs w:val="20"/>
          <w:color w:val="auto"/>
        </w:rPr>
      </w:pPr>
      <w:r>
        <w:rPr>
          <w:rFonts w:ascii="Times New Roman" w:cs="Times New Roman" w:eastAsia="Times New Roman" w:hAnsi="Times New Roman"/>
          <w:sz w:val="13"/>
          <w:szCs w:val="13"/>
          <w:color w:val="auto"/>
        </w:rPr>
        <w:t>expenses, or for a qualified first time home purchase up to $10,000.</w:t>
      </w:r>
    </w:p>
    <w:p>
      <w:pPr>
        <w:spacing w:after="0" w:line="85" w:lineRule="exact"/>
        <w:rPr>
          <w:sz w:val="20"/>
          <w:szCs w:val="20"/>
          <w:color w:val="auto"/>
        </w:rPr>
      </w:pPr>
    </w:p>
    <w:p>
      <w:pPr>
        <w:jc w:val="both"/>
        <w:ind w:right="3199" w:firstLine="265"/>
        <w:spacing w:after="0" w:line="263" w:lineRule="auto"/>
        <w:rPr>
          <w:sz w:val="20"/>
          <w:szCs w:val="20"/>
          <w:color w:val="auto"/>
        </w:rPr>
      </w:pPr>
      <w:r>
        <w:rPr>
          <w:rFonts w:ascii="Times New Roman" w:cs="Times New Roman" w:eastAsia="Times New Roman" w:hAnsi="Times New Roman"/>
          <w:sz w:val="13"/>
          <w:szCs w:val="13"/>
          <w:color w:val="auto"/>
        </w:rPr>
        <w:t>Other exceptions may be applicable under certain circumstances and special rules apply or may become applicable in connection with the exceptions enumerated above. Other exceptions include certain provisions under the SECURE 2.0 Act of 2022 which may provide the ability to recontribute an “early” distribution to an IRA or employer sponsored qualified plan (subject to the provisions of the Code, the qualified plan/IRA, the Contract and our administrative rules.) You should consult your tax adviser to confirm whether an exception applies.</w:t>
      </w:r>
    </w:p>
    <w:p>
      <w:pPr>
        <w:spacing w:after="0" w:line="64" w:lineRule="exact"/>
        <w:rPr>
          <w:sz w:val="20"/>
          <w:szCs w:val="20"/>
          <w:color w:val="auto"/>
        </w:rPr>
      </w:pPr>
    </w:p>
    <w:p>
      <w:pPr>
        <w:jc w:val="both"/>
        <w:ind w:right="3179" w:firstLine="265"/>
        <w:spacing w:after="0" w:line="262" w:lineRule="auto"/>
        <w:rPr>
          <w:sz w:val="20"/>
          <w:szCs w:val="20"/>
          <w:color w:val="auto"/>
        </w:rPr>
      </w:pPr>
      <w:r>
        <w:rPr>
          <w:rFonts w:ascii="Times New Roman" w:cs="Times New Roman" w:eastAsia="Times New Roman" w:hAnsi="Times New Roman"/>
          <w:sz w:val="13"/>
          <w:szCs w:val="13"/>
          <w:color w:val="auto"/>
        </w:rPr>
        <w:t>If you receive systematic payments or any other payments that you intend to qualify for the “substantially equal periodic payments” exception noted above, any modifications (except due to death or disability) to your payment before age 59½ or within five years after beginning these payments, whichever is later, will result in the retroactive imposition of the 10% Federal income tax penalty with interest. Such modifications may include but are not limited to additional purchase payments to the Contract (including tax-free transfers or rollovers) and additional withdrawals from the Contract.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Rollovers and Transfers</w:t>
      </w:r>
    </w:p>
    <w:p>
      <w:pPr>
        <w:spacing w:after="0" w:line="101" w:lineRule="exact"/>
        <w:rPr>
          <w:sz w:val="20"/>
          <w:szCs w:val="20"/>
          <w:color w:val="auto"/>
        </w:rPr>
      </w:pPr>
    </w:p>
    <w:p>
      <w:pPr>
        <w:jc w:val="both"/>
        <w:ind w:right="3199" w:firstLine="265"/>
        <w:spacing w:after="0" w:line="290" w:lineRule="auto"/>
        <w:rPr>
          <w:sz w:val="20"/>
          <w:szCs w:val="20"/>
          <w:color w:val="auto"/>
        </w:rPr>
      </w:pPr>
      <w:r>
        <w:rPr>
          <w:rFonts w:ascii="Times New Roman" w:cs="Times New Roman" w:eastAsia="Times New Roman" w:hAnsi="Times New Roman"/>
          <w:sz w:val="13"/>
          <w:szCs w:val="13"/>
          <w:color w:val="auto"/>
        </w:rPr>
        <w:t>Your Contract is non-forfeitable (i.e., not subject to the claims of your creditors) and non-transferable (i.e., you may not transfer it to someone else).</w:t>
      </w:r>
    </w:p>
    <w:p>
      <w:pPr>
        <w:spacing w:after="0" w:line="36" w:lineRule="exact"/>
        <w:rPr>
          <w:sz w:val="20"/>
          <w:szCs w:val="20"/>
          <w:color w:val="auto"/>
        </w:rPr>
      </w:pPr>
    </w:p>
    <w:p>
      <w:pPr>
        <w:jc w:val="both"/>
        <w:ind w:right="3199" w:firstLine="265"/>
        <w:spacing w:after="0" w:line="290" w:lineRule="auto"/>
        <w:rPr>
          <w:sz w:val="20"/>
          <w:szCs w:val="20"/>
          <w:color w:val="auto"/>
        </w:rPr>
      </w:pPr>
      <w:r>
        <w:rPr>
          <w:rFonts w:ascii="Times New Roman" w:cs="Times New Roman" w:eastAsia="Times New Roman" w:hAnsi="Times New Roman"/>
          <w:sz w:val="13"/>
          <w:szCs w:val="13"/>
          <w:color w:val="auto"/>
        </w:rPr>
        <w:t>Under certain circumstances, you may be able to transfer amounts distributed from your Contract to another eligible retirement plan or IRA.</w:t>
      </w:r>
    </w:p>
    <w:p>
      <w:pPr>
        <w:spacing w:after="0" w:line="36" w:lineRule="exact"/>
        <w:rPr>
          <w:sz w:val="20"/>
          <w:szCs w:val="20"/>
          <w:color w:val="auto"/>
        </w:rPr>
      </w:pPr>
    </w:p>
    <w:p>
      <w:pPr>
        <w:jc w:val="both"/>
        <w:ind w:right="3199" w:firstLine="265"/>
        <w:spacing w:after="0" w:line="290" w:lineRule="auto"/>
        <w:rPr>
          <w:sz w:val="20"/>
          <w:szCs w:val="20"/>
          <w:color w:val="auto"/>
        </w:rPr>
      </w:pPr>
      <w:r>
        <w:rPr>
          <w:rFonts w:ascii="Times New Roman" w:cs="Times New Roman" w:eastAsia="Times New Roman" w:hAnsi="Times New Roman"/>
          <w:sz w:val="13"/>
          <w:szCs w:val="13"/>
          <w:color w:val="auto"/>
        </w:rPr>
        <w:t>Generally, a distribution may be eligible for rollover. Certain types of distributions cannot be rolled over, such as distributions received on account of:</w:t>
      </w:r>
    </w:p>
    <w:p>
      <w:pPr>
        <w:spacing w:after="0" w:line="65" w:lineRule="exact"/>
        <w:rPr>
          <w:sz w:val="20"/>
          <w:szCs w:val="20"/>
          <w:color w:val="auto"/>
        </w:rPr>
      </w:pPr>
    </w:p>
    <w:p>
      <w:pPr>
        <w:ind w:left="780" w:hanging="517"/>
        <w:spacing w:after="0"/>
        <w:tabs>
          <w:tab w:leader="none" w:pos="78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minimum distribution requirements, or</w:t>
      </w:r>
    </w:p>
    <w:p>
      <w:pPr>
        <w:spacing w:after="0" w:line="118" w:lineRule="exact"/>
        <w:rPr>
          <w:rFonts w:ascii="Times New Roman" w:cs="Times New Roman" w:eastAsia="Times New Roman" w:hAnsi="Times New Roman"/>
          <w:sz w:val="13"/>
          <w:szCs w:val="13"/>
          <w:color w:val="auto"/>
        </w:rPr>
      </w:pPr>
    </w:p>
    <w:p>
      <w:pPr>
        <w:ind w:left="780" w:hanging="517"/>
        <w:spacing w:after="0"/>
        <w:tabs>
          <w:tab w:leader="none" w:pos="78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financial hardship; or</w:t>
      </w:r>
    </w:p>
    <w:p>
      <w:pPr>
        <w:spacing w:after="0" w:line="118" w:lineRule="exact"/>
        <w:rPr>
          <w:rFonts w:ascii="Times New Roman" w:cs="Times New Roman" w:eastAsia="Times New Roman" w:hAnsi="Times New Roman"/>
          <w:sz w:val="13"/>
          <w:szCs w:val="13"/>
          <w:color w:val="auto"/>
        </w:rPr>
      </w:pPr>
    </w:p>
    <w:p>
      <w:pPr>
        <w:ind w:left="780" w:hanging="517"/>
        <w:spacing w:after="0"/>
        <w:tabs>
          <w:tab w:leader="none" w:pos="78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a period of ten or more years or for life.</w:t>
      </w:r>
    </w:p>
    <w:p>
      <w:pPr>
        <w:spacing w:after="0" w:line="89" w:lineRule="exact"/>
        <w:rPr>
          <w:sz w:val="20"/>
          <w:szCs w:val="20"/>
          <w:color w:val="auto"/>
        </w:rPr>
      </w:pPr>
    </w:p>
    <w:p>
      <w:pPr>
        <w:jc w:val="both"/>
        <w:ind w:right="3199" w:firstLine="265"/>
        <w:spacing w:after="0" w:line="266" w:lineRule="auto"/>
        <w:rPr>
          <w:sz w:val="20"/>
          <w:szCs w:val="20"/>
          <w:color w:val="auto"/>
        </w:rPr>
      </w:pPr>
      <w:r>
        <w:rPr>
          <w:rFonts w:ascii="Times New Roman" w:cs="Times New Roman" w:eastAsia="Times New Roman" w:hAnsi="Times New Roman"/>
          <w:sz w:val="13"/>
          <w:szCs w:val="13"/>
          <w:color w:val="auto"/>
        </w:rPr>
        <w:t>Federal income tax law allows you to make only one rollover from an IRA to another (or the same) IRA in any 12-month period, regardless of the number of IRAs you own. Generally, this limit does not apply to trustee-to-trustee transfers between IRAs. Because the rollover rules are complex, please consult with your tax adviser before making an IRA rollover.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20% Withholding on Eligible Rollover Distributions</w:t>
      </w:r>
    </w:p>
    <w:p>
      <w:pPr>
        <w:spacing w:after="0" w:line="91" w:lineRule="exact"/>
        <w:rPr>
          <w:sz w:val="20"/>
          <w:szCs w:val="20"/>
          <w:color w:val="auto"/>
        </w:rPr>
      </w:pPr>
    </w:p>
    <w:p>
      <w:pPr>
        <w:jc w:val="both"/>
        <w:ind w:right="3199" w:firstLine="265"/>
        <w:spacing w:after="0" w:line="260" w:lineRule="auto"/>
        <w:rPr>
          <w:sz w:val="20"/>
          <w:szCs w:val="20"/>
          <w:color w:val="auto"/>
        </w:rPr>
      </w:pPr>
      <w:r>
        <w:rPr>
          <w:rFonts w:ascii="Times New Roman" w:cs="Times New Roman" w:eastAsia="Times New Roman" w:hAnsi="Times New Roman"/>
          <w:sz w:val="13"/>
          <w:szCs w:val="13"/>
          <w:color w:val="auto"/>
        </w:rPr>
        <w:t>For certain qualified employer plans, we are required to withhold 20% of the taxable portion of your withdrawal that constitutes an “eligible rollover distribution” for Federal income taxes. The amount we withhold is determined by the Code. You may avoid withholding if you directly transfer a withdrawal from this Contract to another IRA or other qualified plan. Similarly, you may be able to avoid withholding on a transfer into this Contract from an existing qualified plan you may have with another provider by arranging to have the transfer made directly to us. For taxable withdrawals that are not “eligible rollover distributions,” the Code imposes different withholding rules to determine the withholding percentages.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Death Benefit</w:t>
      </w:r>
    </w:p>
    <w:p>
      <w:pPr>
        <w:spacing w:after="0" w:line="91" w:lineRule="exact"/>
        <w:rPr>
          <w:sz w:val="20"/>
          <w:szCs w:val="20"/>
          <w:color w:val="auto"/>
        </w:rPr>
      </w:pPr>
    </w:p>
    <w:p>
      <w:pPr>
        <w:jc w:val="both"/>
        <w:ind w:right="3199" w:firstLine="265"/>
        <w:spacing w:after="0" w:line="283" w:lineRule="auto"/>
        <w:rPr>
          <w:sz w:val="20"/>
          <w:szCs w:val="20"/>
          <w:color w:val="auto"/>
        </w:rPr>
      </w:pPr>
      <w:r>
        <w:rPr>
          <w:rFonts w:ascii="Times New Roman" w:cs="Times New Roman" w:eastAsia="Times New Roman" w:hAnsi="Times New Roman"/>
          <w:sz w:val="13"/>
          <w:szCs w:val="13"/>
          <w:color w:val="auto"/>
        </w:rPr>
        <w:t>The death benefit in a qualified Contract is taxable to the recipient in the same manner as if paid to the Contract owner or plan participant (under the rules for withdrawals or Annuity Payments, whichever is applicable).</w:t>
      </w:r>
    </w:p>
    <w:p>
      <w:pPr>
        <w:spacing w:after="0" w:line="203" w:lineRule="exact"/>
        <w:rPr>
          <w:sz w:val="20"/>
          <w:szCs w:val="20"/>
          <w:color w:val="auto"/>
        </w:rPr>
      </w:pPr>
    </w:p>
    <w:p>
      <w:pPr>
        <w:jc w:val="both"/>
        <w:ind w:right="3199" w:firstLine="265"/>
        <w:spacing w:after="0" w:line="266" w:lineRule="auto"/>
        <w:rPr>
          <w:sz w:val="20"/>
          <w:szCs w:val="20"/>
          <w:color w:val="auto"/>
        </w:rPr>
      </w:pPr>
      <w:r>
        <w:rPr>
          <w:rFonts w:ascii="Times New Roman" w:cs="Times New Roman" w:eastAsia="Times New Roman" w:hAnsi="Times New Roman"/>
          <w:sz w:val="13"/>
          <w:szCs w:val="13"/>
          <w:color w:val="auto"/>
        </w:rPr>
        <w:t>RMD amounts are required to be distributed from a Qualified annuity Contract (including a contract issued as a Roth IRA) following your death. Congress recently changed the RMD rules for individuals who die after 2019. The after-death RMD rules are complex, and you should consult your tax adviser about how they may apply to your situation.</w:t>
      </w:r>
    </w:p>
    <w:p>
      <w:pPr>
        <w:spacing w:after="0" w:line="18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color w:val="auto"/>
        </w:rPr>
        <w:t>63</w:t>
      </w:r>
    </w:p>
    <w:p>
      <w:pPr>
        <w:sectPr>
          <w:pgSz w:w="11900" w:h="16838" w:orient="portrait"/>
          <w:cols w:equalWidth="0" w:num="1">
            <w:col w:w="9259"/>
          </w:cols>
          <w:pgMar w:left="1200" w:top="1049" w:right="1440" w:bottom="1440" w:gutter="0" w:footer="0" w:header="0"/>
        </w:sectPr>
      </w:pPr>
    </w:p>
    <w:bookmarkStart w:id="65" w:name="page66"/>
    <w:bookmarkEnd w:id="65"/>
    <w:p>
      <w:pPr>
        <w:jc w:val="both"/>
        <w:ind w:right="3199" w:firstLine="265"/>
        <w:spacing w:after="0" w:line="25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93915" cy="38100"/>
                    </a:xfrm>
                    <a:prstGeom prst="rect">
                      <a:avLst/>
                    </a:prstGeom>
                    <a:noFill/>
                  </pic:spPr>
                </pic:pic>
              </a:graphicData>
            </a:graphic>
          </wp:anchor>
        </w:drawing>
        <w:t>Effective January 1, 2020, when an IRA owner or participant in a defined contribution plan dies, any remaining interest generally must be distributed within 10 years (or in some cases five years) after his or her death, unless an exception applies. An exception permits an “eligible designated beneficiary” to take distributions over life or a period not exceeding life expectancy, subject to special rules and limitations. An “eligible designated beneficiary” includes: the IRA owner/participant’s spouse or minor child (until the child reaches age of majority), certain disabled or chronically ill individuals, and an individual who is not more than 10 years younger than the IRA owner/participant. We may limit available payment options, including limiting any payment option over life, or a period not exceeding life expectancy, to certain categories of eligible designated beneficiary.</w:t>
      </w:r>
    </w:p>
    <w:p>
      <w:pPr>
        <w:spacing w:after="0" w:line="69" w:lineRule="exact"/>
        <w:rPr>
          <w:sz w:val="20"/>
          <w:szCs w:val="20"/>
          <w:color w:val="auto"/>
        </w:rPr>
      </w:pPr>
    </w:p>
    <w:p>
      <w:pPr>
        <w:jc w:val="both"/>
        <w:ind w:right="3199" w:firstLine="265"/>
        <w:spacing w:after="0" w:line="270" w:lineRule="auto"/>
        <w:rPr>
          <w:sz w:val="20"/>
          <w:szCs w:val="20"/>
          <w:color w:val="auto"/>
        </w:rPr>
      </w:pPr>
      <w:r>
        <w:rPr>
          <w:rFonts w:ascii="Times New Roman" w:cs="Times New Roman" w:eastAsia="Times New Roman" w:hAnsi="Times New Roman"/>
          <w:sz w:val="13"/>
          <w:szCs w:val="13"/>
          <w:color w:val="auto"/>
        </w:rPr>
        <w:t>Generally, distributions under this exception must start by the end of the year following your death. However, if your surviving spouse is the sole designated beneficiary, distributions may generally be delayed until December 31 of the year you would have attained the Applicable Age (as defined in the chart below), if your Contract permits.</w:t>
      </w:r>
    </w:p>
    <w:p>
      <w:pPr>
        <w:spacing w:after="0" w:line="210" w:lineRule="exact"/>
        <w:rPr>
          <w:sz w:val="20"/>
          <w:szCs w:val="20"/>
          <w:color w:val="auto"/>
        </w:rPr>
      </w:pPr>
    </w:p>
    <w:p>
      <w:pPr>
        <w:jc w:val="both"/>
        <w:ind w:right="3199" w:firstLine="265"/>
        <w:spacing w:after="0" w:line="266" w:lineRule="auto"/>
        <w:rPr>
          <w:sz w:val="20"/>
          <w:szCs w:val="20"/>
          <w:color w:val="auto"/>
        </w:rPr>
      </w:pPr>
      <w:r>
        <w:rPr>
          <w:rFonts w:ascii="Times New Roman" w:cs="Times New Roman" w:eastAsia="Times New Roman" w:hAnsi="Times New Roman"/>
          <w:sz w:val="13"/>
          <w:szCs w:val="13"/>
          <w:color w:val="auto"/>
        </w:rPr>
        <w:t>If you die after annuity payments have already begun under a Qualified Contract, any remaining payments under the contract also must be made in accordance with the RMD rules. In some cases, those rules may require that the remaining payments be made over a shorter period than originally elected or otherwise adjusted to comply with the tax law.</w:t>
      </w:r>
    </w:p>
    <w:p>
      <w:pPr>
        <w:spacing w:after="0" w:line="52" w:lineRule="exact"/>
        <w:rPr>
          <w:sz w:val="20"/>
          <w:szCs w:val="20"/>
          <w:color w:val="auto"/>
        </w:rPr>
      </w:pPr>
    </w:p>
    <w:p>
      <w:pPr>
        <w:jc w:val="both"/>
        <w:ind w:right="3199" w:firstLine="265"/>
        <w:spacing w:after="0" w:line="290" w:lineRule="auto"/>
        <w:rPr>
          <w:sz w:val="20"/>
          <w:szCs w:val="20"/>
          <w:color w:val="auto"/>
        </w:rPr>
      </w:pPr>
      <w:r>
        <w:rPr>
          <w:rFonts w:ascii="Times New Roman" w:cs="Times New Roman" w:eastAsia="Times New Roman" w:hAnsi="Times New Roman"/>
          <w:sz w:val="13"/>
          <w:szCs w:val="13"/>
          <w:color w:val="auto"/>
        </w:rPr>
        <w:t>If your surviving spouse is the sole designated beneficiary of your Traditional or Roth IRA, then your surviving spouse may elect to treat the Traditional or Roth IRA as his or her own.</w:t>
      </w:r>
    </w:p>
    <w:p>
      <w:pPr>
        <w:spacing w:after="0" w:line="36" w:lineRule="exact"/>
        <w:rPr>
          <w:sz w:val="20"/>
          <w:szCs w:val="20"/>
          <w:color w:val="auto"/>
        </w:rPr>
      </w:pPr>
    </w:p>
    <w:p>
      <w:pPr>
        <w:jc w:val="both"/>
        <w:ind w:right="3199" w:firstLine="265"/>
        <w:spacing w:after="0" w:line="266" w:lineRule="auto"/>
        <w:rPr>
          <w:sz w:val="20"/>
          <w:szCs w:val="20"/>
          <w:color w:val="auto"/>
        </w:rPr>
      </w:pPr>
      <w:r>
        <w:rPr>
          <w:rFonts w:ascii="Times New Roman" w:cs="Times New Roman" w:eastAsia="Times New Roman" w:hAnsi="Times New Roman"/>
          <w:sz w:val="13"/>
          <w:szCs w:val="13"/>
          <w:color w:val="auto"/>
        </w:rPr>
        <w:t>Your designated beneficiary is the person to whom benefit rights under the Contract pass by reason of death. The beneficiary generally must be a natural person in order to elect a periodic payment option based on life expectancy or a period exceeding five years. Different tax rules may apply if your Beneficiary is not a natural person, such as your estate.</w:t>
      </w:r>
    </w:p>
    <w:p>
      <w:pPr>
        <w:spacing w:after="0" w:line="52" w:lineRule="exact"/>
        <w:rPr>
          <w:sz w:val="20"/>
          <w:szCs w:val="20"/>
          <w:color w:val="auto"/>
        </w:rPr>
      </w:pPr>
    </w:p>
    <w:p>
      <w:pPr>
        <w:jc w:val="both"/>
        <w:ind w:right="3199" w:firstLine="265"/>
        <w:spacing w:after="0" w:line="272" w:lineRule="auto"/>
        <w:rPr>
          <w:sz w:val="20"/>
          <w:szCs w:val="20"/>
          <w:color w:val="auto"/>
        </w:rPr>
      </w:pPr>
      <w:r>
        <w:rPr>
          <w:rFonts w:ascii="Times New Roman" w:cs="Times New Roman" w:eastAsia="Times New Roman" w:hAnsi="Times New Roman"/>
          <w:sz w:val="13"/>
          <w:szCs w:val="13"/>
          <w:color w:val="auto"/>
        </w:rPr>
        <w:t>Alternatively, your spouse may be able to roll over the death proceeds into another eligible retirement plan in which he or she participates, if permitted under the receiving plan, or he or she may elect to rollover the death proceeds into his or her own IRA, or he or she may elect to transfer the death proceeds into an inherited IRA.</w:t>
      </w:r>
    </w:p>
    <w:p>
      <w:pPr>
        <w:spacing w:after="0" w:line="47" w:lineRule="exact"/>
        <w:rPr>
          <w:sz w:val="20"/>
          <w:szCs w:val="20"/>
          <w:color w:val="auto"/>
        </w:rPr>
      </w:pPr>
    </w:p>
    <w:p>
      <w:pPr>
        <w:jc w:val="both"/>
        <w:ind w:right="3199" w:firstLine="265"/>
        <w:spacing w:after="0" w:line="272" w:lineRule="auto"/>
        <w:rPr>
          <w:sz w:val="20"/>
          <w:szCs w:val="20"/>
          <w:color w:val="auto"/>
        </w:rPr>
      </w:pPr>
      <w:r>
        <w:rPr>
          <w:rFonts w:ascii="Times New Roman" w:cs="Times New Roman" w:eastAsia="Times New Roman" w:hAnsi="Times New Roman"/>
          <w:sz w:val="13"/>
          <w:szCs w:val="13"/>
          <w:color w:val="auto"/>
        </w:rPr>
        <w:t>If your beneficiary is not your spouse and your plan and Contract permit, your beneficiary may be able to rollover the death proceeds via a direct trustee-to-trustee transfer into an inherited IRA. However, a non-spouse beneficiary may not treat the inherited IRA as his or her own IRA.</w:t>
      </w:r>
    </w:p>
    <w:p>
      <w:pPr>
        <w:spacing w:after="0" w:line="47" w:lineRule="exact"/>
        <w:rPr>
          <w:sz w:val="20"/>
          <w:szCs w:val="20"/>
          <w:color w:val="auto"/>
        </w:rPr>
      </w:pPr>
    </w:p>
    <w:p>
      <w:pPr>
        <w:jc w:val="both"/>
        <w:ind w:right="3199" w:firstLine="265"/>
        <w:spacing w:after="0" w:line="272" w:lineRule="auto"/>
        <w:rPr>
          <w:sz w:val="20"/>
          <w:szCs w:val="20"/>
          <w:color w:val="auto"/>
        </w:rPr>
      </w:pPr>
      <w:r>
        <w:rPr>
          <w:rFonts w:ascii="Times New Roman" w:cs="Times New Roman" w:eastAsia="Times New Roman" w:hAnsi="Times New Roman"/>
          <w:sz w:val="13"/>
          <w:szCs w:val="13"/>
          <w:color w:val="auto"/>
        </w:rPr>
        <w:t>Additionally, for contracts issued in connection with qualified plans subject to ERISA, the spouse or ex-spouse of the participant may have rights in the contract. In such a case, the participant may need the consent of the spouse or ex-spouse to change annuity options or make a withdrawal from the contract.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Applicable Age for Required Minimum Distributions (RMD)</w:t>
      </w:r>
    </w:p>
    <w:p>
      <w:pPr>
        <w:spacing w:after="0" w:line="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As used in this prospectus, “Applicable Age” means the following:</w:t>
      </w:r>
    </w:p>
    <w:p>
      <w:pPr>
        <w:spacing w:after="0" w:line="37" w:lineRule="exact"/>
        <w:rPr>
          <w:sz w:val="20"/>
          <w:szCs w:val="20"/>
          <w:color w:val="auto"/>
        </w:rPr>
      </w:pPr>
    </w:p>
    <w:tbl>
      <w:tblPr>
        <w:tblLayout w:type="fixed"/>
        <w:tblInd w:w="10" w:type="dxa"/>
        <w:tblCellMar>
          <w:top w:w="0" w:type="dxa"/>
          <w:left w:w="0" w:type="dxa"/>
          <w:bottom w:w="0" w:type="dxa"/>
          <w:right w:w="0" w:type="dxa"/>
        </w:tblCellMar>
      </w:tblPr>
      <w:tr>
        <w:trPr>
          <w:trHeight w:val="179"/>
        </w:trPr>
        <w:tc>
          <w:tcPr>
            <w:tcW w:w="36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If you…</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Your “Applicable Age”</w:t>
            </w:r>
          </w:p>
        </w:tc>
      </w:tr>
      <w:tr>
        <w:trPr>
          <w:trHeight w:val="184"/>
        </w:trPr>
        <w:tc>
          <w:tcPr>
            <w:tcW w:w="3640" w:type="dxa"/>
            <w:vAlign w:val="bottom"/>
            <w:tcBorders>
              <w:left w:val="single" w:sz="8" w:color="auto"/>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is…</w:t>
            </w:r>
          </w:p>
        </w:tc>
      </w:tr>
      <w:tr>
        <w:trPr>
          <w:trHeight w:val="188"/>
        </w:trPr>
        <w:tc>
          <w:tcPr>
            <w:tcW w:w="3640" w:type="dxa"/>
            <w:vAlign w:val="bottom"/>
            <w:tcBorders>
              <w:left w:val="single" w:sz="8" w:color="auto"/>
              <w:bottom w:val="single" w:sz="8" w:color="auto"/>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3"/>
                <w:szCs w:val="13"/>
                <w:color w:val="auto"/>
              </w:rPr>
              <w:t>Were born on or before June 30, 1949</w:t>
            </w:r>
          </w:p>
        </w:tc>
        <w:tc>
          <w:tcPr>
            <w:tcW w:w="146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w w:val="96"/>
              </w:rPr>
              <w:t>70½</w:t>
            </w:r>
          </w:p>
        </w:tc>
      </w:tr>
      <w:tr>
        <w:trPr>
          <w:trHeight w:val="165"/>
        </w:trPr>
        <w:tc>
          <w:tcPr>
            <w:tcW w:w="3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Were born on or after July 1, 1949 (and attain age 72 prior to</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72</w:t>
            </w:r>
          </w:p>
        </w:tc>
      </w:tr>
      <w:tr>
        <w:trPr>
          <w:trHeight w:val="182"/>
        </w:trPr>
        <w:tc>
          <w:tcPr>
            <w:tcW w:w="3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January 1, 2023)</w:t>
            </w:r>
          </w:p>
        </w:tc>
        <w:tc>
          <w:tcPr>
            <w:tcW w:w="1460" w:type="dxa"/>
            <w:vAlign w:val="bottom"/>
            <w:tcBorders>
              <w:bottom w:val="single" w:sz="8" w:color="auto"/>
              <w:right w:val="single" w:sz="8" w:color="auto"/>
            </w:tcBorders>
          </w:tcPr>
          <w:p>
            <w:pPr>
              <w:spacing w:after="0"/>
              <w:rPr>
                <w:sz w:val="15"/>
                <w:szCs w:val="15"/>
                <w:color w:val="auto"/>
              </w:rPr>
            </w:pPr>
          </w:p>
        </w:tc>
      </w:tr>
      <w:tr>
        <w:trPr>
          <w:trHeight w:val="165"/>
        </w:trPr>
        <w:tc>
          <w:tcPr>
            <w:tcW w:w="3640" w:type="dxa"/>
            <w:vAlign w:val="bottom"/>
            <w:tcBorders>
              <w:left w:val="single" w:sz="8" w:color="auto"/>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3"/>
                <w:szCs w:val="13"/>
                <w:color w:val="auto"/>
              </w:rPr>
              <w:t>Attain age 72 on or after January 1, 2023 (and attain age 73 on or</w:t>
            </w:r>
          </w:p>
        </w:tc>
        <w:tc>
          <w:tcPr>
            <w:tcW w:w="146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73</w:t>
            </w:r>
          </w:p>
        </w:tc>
      </w:tr>
      <w:tr>
        <w:trPr>
          <w:trHeight w:val="182"/>
        </w:trPr>
        <w:tc>
          <w:tcPr>
            <w:tcW w:w="3640" w:type="dxa"/>
            <w:vAlign w:val="bottom"/>
            <w:tcBorders>
              <w:left w:val="single" w:sz="8" w:color="auto"/>
              <w:bottom w:val="single" w:sz="8" w:color="auto"/>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3"/>
                <w:szCs w:val="13"/>
                <w:color w:val="auto"/>
              </w:rPr>
              <w:t>before December 31, 2032)</w:t>
            </w:r>
          </w:p>
        </w:tc>
        <w:tc>
          <w:tcPr>
            <w:tcW w:w="1460" w:type="dxa"/>
            <w:vAlign w:val="bottom"/>
            <w:tcBorders>
              <w:bottom w:val="single" w:sz="8" w:color="auto"/>
              <w:right w:val="single" w:sz="8" w:color="auto"/>
            </w:tcBorders>
            <w:shd w:val="clear" w:color="auto" w:fill="F0FFFF"/>
          </w:tcPr>
          <w:p>
            <w:pPr>
              <w:spacing w:after="0"/>
              <w:rPr>
                <w:sz w:val="15"/>
                <w:szCs w:val="15"/>
                <w:color w:val="auto"/>
              </w:rPr>
            </w:pPr>
          </w:p>
        </w:tc>
      </w:tr>
      <w:tr>
        <w:trPr>
          <w:trHeight w:val="183"/>
        </w:trPr>
        <w:tc>
          <w:tcPr>
            <w:tcW w:w="3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Attain age 73 on or after January 1, 2033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75</w:t>
            </w:r>
          </w:p>
        </w:tc>
      </w:tr>
      <w:tr>
        <w:trPr>
          <w:trHeight w:val="172"/>
        </w:trPr>
        <w:tc>
          <w:tcPr>
            <w:tcW w:w="3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 </w:t>
            </w:r>
          </w:p>
        </w:tc>
        <w:tc>
          <w:tcPr>
            <w:tcW w:w="14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-1069340</wp:posOffset>
            </wp:positionV>
            <wp:extent cx="3218815" cy="2330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218815" cy="2330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-703580</wp:posOffset>
            </wp:positionV>
            <wp:extent cx="3218815" cy="2330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218815" cy="2330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-237490</wp:posOffset>
            </wp:positionV>
            <wp:extent cx="3218815" cy="1193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218815" cy="11938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Required Minimum Distributions During the Owner’s Life</w:t>
      </w:r>
    </w:p>
    <w:p>
      <w:pPr>
        <w:spacing w:after="0" w:line="91" w:lineRule="exact"/>
        <w:rPr>
          <w:sz w:val="20"/>
          <w:szCs w:val="20"/>
          <w:color w:val="auto"/>
        </w:rPr>
      </w:pPr>
    </w:p>
    <w:p>
      <w:pPr>
        <w:ind w:right="3199" w:firstLine="265"/>
        <w:spacing w:after="0" w:line="290" w:lineRule="auto"/>
        <w:rPr>
          <w:sz w:val="20"/>
          <w:szCs w:val="20"/>
          <w:color w:val="auto"/>
        </w:rPr>
      </w:pPr>
      <w:r>
        <w:rPr>
          <w:rFonts w:ascii="Times New Roman" w:cs="Times New Roman" w:eastAsia="Times New Roman" w:hAnsi="Times New Roman"/>
          <w:sz w:val="13"/>
          <w:szCs w:val="13"/>
          <w:color w:val="auto"/>
        </w:rPr>
        <w:t>Generally, you must begin receiving RMD amounts from your qualified Contract by the Required Beginning Date. Generally, for retirement plans, the “Required Beginning Date” is April 1 following the latter of:</w:t>
      </w:r>
    </w:p>
    <w:p>
      <w:pPr>
        <w:spacing w:after="0" w:line="65" w:lineRule="exact"/>
        <w:rPr>
          <w:sz w:val="20"/>
          <w:szCs w:val="20"/>
          <w:color w:val="auto"/>
        </w:rPr>
      </w:pPr>
    </w:p>
    <w:p>
      <w:pPr>
        <w:ind w:left="780" w:hanging="517"/>
        <w:spacing w:after="0"/>
        <w:tabs>
          <w:tab w:leader="none" w:pos="78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calendar year in which you reach the Applicable Age; or</w:t>
      </w:r>
    </w:p>
    <w:p>
      <w:pPr>
        <w:spacing w:after="0" w:line="108" w:lineRule="exact"/>
        <w:rPr>
          <w:rFonts w:ascii="Times New Roman" w:cs="Times New Roman" w:eastAsia="Times New Roman" w:hAnsi="Times New Roman"/>
          <w:sz w:val="13"/>
          <w:szCs w:val="13"/>
          <w:color w:val="auto"/>
        </w:rPr>
      </w:pPr>
    </w:p>
    <w:p>
      <w:pPr>
        <w:ind w:left="780" w:right="3259" w:hanging="517"/>
        <w:spacing w:after="0" w:line="265" w:lineRule="auto"/>
        <w:tabs>
          <w:tab w:leader="none" w:pos="78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calendar year you retire, provided you do not own more than 5% of the outstanding stock, capital, or</w:t>
      </w:r>
    </w:p>
    <w:p>
      <w:pPr>
        <w:ind w:left="260"/>
        <w:spacing w:after="0"/>
        <w:rPr>
          <w:sz w:val="20"/>
          <w:szCs w:val="20"/>
          <w:color w:val="auto"/>
        </w:rPr>
      </w:pPr>
      <w:r>
        <w:rPr>
          <w:rFonts w:ascii="Times New Roman" w:cs="Times New Roman" w:eastAsia="Times New Roman" w:hAnsi="Times New Roman"/>
          <w:sz w:val="13"/>
          <w:szCs w:val="13"/>
          <w:color w:val="auto"/>
        </w:rPr>
        <w:t>profits of your employer.</w:t>
      </w:r>
    </w:p>
    <w:p>
      <w:pPr>
        <w:spacing w:after="0" w:line="76" w:lineRule="exact"/>
        <w:rPr>
          <w:sz w:val="20"/>
          <w:szCs w:val="20"/>
          <w:color w:val="auto"/>
        </w:rPr>
      </w:pPr>
    </w:p>
    <w:p>
      <w:pPr>
        <w:jc w:val="both"/>
        <w:ind w:right="3199" w:firstLine="265"/>
        <w:spacing w:after="0" w:line="272" w:lineRule="auto"/>
        <w:rPr>
          <w:sz w:val="20"/>
          <w:szCs w:val="20"/>
          <w:color w:val="auto"/>
        </w:rPr>
      </w:pPr>
      <w:r>
        <w:rPr>
          <w:rFonts w:ascii="Times New Roman" w:cs="Times New Roman" w:eastAsia="Times New Roman" w:hAnsi="Times New Roman"/>
          <w:sz w:val="13"/>
          <w:szCs w:val="13"/>
          <w:color w:val="auto"/>
        </w:rPr>
        <w:t>For IRAs (including SEPs and SIMPLEs) the Required Beginning Date by which you must begin receiving withdrawals is the year in which you attain the Applicable Age even if you have not retired, taking your first distribution no later than April 1 of the year after you reach the Applicable Age.</w:t>
      </w:r>
    </w:p>
    <w:p>
      <w:pPr>
        <w:spacing w:after="0" w:line="18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color w:val="auto"/>
        </w:rPr>
        <w:t>64</w:t>
      </w:r>
    </w:p>
    <w:p>
      <w:pPr>
        <w:sectPr>
          <w:pgSz w:w="11900" w:h="16838" w:orient="portrait"/>
          <w:cols w:equalWidth="0" w:num="1">
            <w:col w:w="9259"/>
          </w:cols>
          <w:pgMar w:left="1200" w:top="1049" w:right="1440" w:bottom="1440" w:gutter="0" w:footer="0" w:header="0"/>
        </w:sectPr>
      </w:pPr>
    </w:p>
    <w:bookmarkStart w:id="66" w:name="page67"/>
    <w:bookmarkEnd w:id="66"/>
    <w:p>
      <w:pPr>
        <w:jc w:val="both"/>
        <w:ind w:right="3199" w:firstLine="265"/>
        <w:spacing w:after="0" w:line="26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93915" cy="38100"/>
                    </a:xfrm>
                    <a:prstGeom prst="rect">
                      <a:avLst/>
                    </a:prstGeom>
                    <a:noFill/>
                  </pic:spPr>
                </pic:pic>
              </a:graphicData>
            </a:graphic>
          </wp:anchor>
        </w:drawing>
        <w:t>For all subsequent years, including the first year in which you took your RMD by April 1, you must take the required minimum distribution for the year by December 31st. This will require you to take two distributions in the same calendar year if you wait to take your first distribution until April 1 of the year after attaining the Applicable Age.</w:t>
      </w:r>
    </w:p>
    <w:p>
      <w:pPr>
        <w:spacing w:after="0" w:line="52" w:lineRule="exact"/>
        <w:rPr>
          <w:sz w:val="20"/>
          <w:szCs w:val="20"/>
          <w:color w:val="auto"/>
        </w:rPr>
      </w:pPr>
    </w:p>
    <w:p>
      <w:pPr>
        <w:jc w:val="both"/>
        <w:ind w:right="3199" w:firstLine="265"/>
        <w:spacing w:after="0" w:line="290" w:lineRule="auto"/>
        <w:rPr>
          <w:sz w:val="20"/>
          <w:szCs w:val="20"/>
          <w:color w:val="auto"/>
        </w:rPr>
      </w:pPr>
      <w:r>
        <w:rPr>
          <w:rFonts w:ascii="Times New Roman" w:cs="Times New Roman" w:eastAsia="Times New Roman" w:hAnsi="Times New Roman"/>
          <w:sz w:val="13"/>
          <w:szCs w:val="13"/>
          <w:color w:val="auto"/>
        </w:rPr>
        <w:t>A tax penalty (an excise tax) of up to 25% applies to the shortfall of any required minimum distributions you fail to receive.</w:t>
      </w:r>
    </w:p>
    <w:p>
      <w:pPr>
        <w:spacing w:after="0" w:line="36" w:lineRule="exact"/>
        <w:rPr>
          <w:sz w:val="20"/>
          <w:szCs w:val="20"/>
          <w:color w:val="auto"/>
        </w:rPr>
      </w:pPr>
    </w:p>
    <w:p>
      <w:pPr>
        <w:jc w:val="both"/>
        <w:ind w:right="3199" w:firstLine="265"/>
        <w:spacing w:after="0" w:line="290" w:lineRule="auto"/>
        <w:rPr>
          <w:sz w:val="20"/>
          <w:szCs w:val="20"/>
          <w:color w:val="auto"/>
        </w:rPr>
      </w:pPr>
      <w:r>
        <w:rPr>
          <w:rFonts w:ascii="Times New Roman" w:cs="Times New Roman" w:eastAsia="Times New Roman" w:hAnsi="Times New Roman"/>
          <w:sz w:val="13"/>
          <w:szCs w:val="13"/>
          <w:color w:val="auto"/>
        </w:rPr>
        <w:t>The minimum required distribution is calculated with respect to each IRA, but the aggregate distribution may be taken from any one or more of your IRAs.</w:t>
      </w:r>
    </w:p>
    <w:p>
      <w:pPr>
        <w:spacing w:after="0" w:line="36" w:lineRule="exact"/>
        <w:rPr>
          <w:sz w:val="20"/>
          <w:szCs w:val="20"/>
          <w:color w:val="auto"/>
        </w:rPr>
      </w:pPr>
    </w:p>
    <w:p>
      <w:pPr>
        <w:jc w:val="both"/>
        <w:ind w:right="3199" w:firstLine="265"/>
        <w:spacing w:after="0" w:line="263" w:lineRule="auto"/>
        <w:rPr>
          <w:sz w:val="20"/>
          <w:szCs w:val="20"/>
          <w:color w:val="auto"/>
        </w:rPr>
      </w:pPr>
      <w:r>
        <w:rPr>
          <w:rFonts w:ascii="Times New Roman" w:cs="Times New Roman" w:eastAsia="Times New Roman" w:hAnsi="Times New Roman"/>
          <w:sz w:val="13"/>
          <w:szCs w:val="13"/>
          <w:color w:val="auto"/>
        </w:rPr>
        <w:t>The regulations also require that the value of benefits under a deferred annuity including certain death benefits in excess of Contract value must be added to the amount credited to your account in computing the amount required to be distributed over the applicable period. We will provide you with additional information regarding the amount that is subject to minimum distribution under this rule. You should consult your own tax adviser as to how these rules affect your own distribution under this rule.</w:t>
      </w:r>
    </w:p>
    <w:p>
      <w:pPr>
        <w:spacing w:after="0" w:line="54" w:lineRule="exact"/>
        <w:rPr>
          <w:sz w:val="20"/>
          <w:szCs w:val="20"/>
          <w:color w:val="auto"/>
        </w:rPr>
      </w:pPr>
    </w:p>
    <w:p>
      <w:pPr>
        <w:jc w:val="both"/>
        <w:ind w:right="3199" w:firstLine="265"/>
        <w:spacing w:after="0" w:line="262" w:lineRule="auto"/>
        <w:rPr>
          <w:sz w:val="20"/>
          <w:szCs w:val="20"/>
          <w:color w:val="auto"/>
        </w:rPr>
      </w:pPr>
      <w:r>
        <w:rPr>
          <w:rFonts w:ascii="Times New Roman" w:cs="Times New Roman" w:eastAsia="Times New Roman" w:hAnsi="Times New Roman"/>
          <w:sz w:val="13"/>
          <w:szCs w:val="13"/>
          <w:color w:val="auto"/>
        </w:rPr>
        <w:t>If you intend to receive your minimum distributions in the form of Annuity Payments that are payable over the joint lives of you and a beneficiary or over a guaranteed duration of more than 10 years, be advised that Federal tax law rules may require that, after your death, any remaining payments be made over a shorter period or be reduced after your death to satisfy the RMD rules and avoid the up to 25% excise tax. Other complex rules also apply to RMDs taken in the form of Annuity Payments. You should consult your own tax adviser as to how these rules affect your own Contract.</w:t>
      </w:r>
    </w:p>
    <w:p>
      <w:pPr>
        <w:spacing w:after="0" w:line="53" w:lineRule="exact"/>
        <w:rPr>
          <w:sz w:val="20"/>
          <w:szCs w:val="20"/>
          <w:color w:val="auto"/>
        </w:rPr>
      </w:pPr>
    </w:p>
    <w:p>
      <w:pPr>
        <w:jc w:val="both"/>
        <w:ind w:right="3199" w:firstLine="265"/>
        <w:spacing w:after="0" w:line="260" w:lineRule="auto"/>
        <w:rPr>
          <w:sz w:val="20"/>
          <w:szCs w:val="20"/>
          <w:color w:val="auto"/>
        </w:rPr>
      </w:pPr>
      <w:r>
        <w:rPr>
          <w:rFonts w:ascii="Times New Roman" w:cs="Times New Roman" w:eastAsia="Times New Roman" w:hAnsi="Times New Roman"/>
          <w:sz w:val="13"/>
          <w:szCs w:val="13"/>
          <w:color w:val="auto"/>
        </w:rPr>
        <w:t>Required minimum distribution rules that apply to other types of IRAs while you are alive do not apply to Roth IRAs. However, in general, the IRA post-death rules with respect to minimum distributions do apply to beneficiaries of Roth IRAs. Effective in 2024, similar rules apply to Roth account balances maintained in employer-sponsored qualified plans. As a result, required minimum distribution rules that generally apply under an employer-sponsored qualified plan once you attain your Applicable Age, will not apply to any Roth account balance while you are alive. However, in general, post-death rules with respect to minimum distributions do apply to beneficiaries upon your death.</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Additional Information regarding IRAs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Purchase payments</w:t>
      </w:r>
    </w:p>
    <w:p>
      <w:pPr>
        <w:spacing w:after="0" w:line="91" w:lineRule="exact"/>
        <w:rPr>
          <w:sz w:val="20"/>
          <w:szCs w:val="20"/>
          <w:color w:val="auto"/>
        </w:rPr>
      </w:pPr>
    </w:p>
    <w:p>
      <w:pPr>
        <w:jc w:val="both"/>
        <w:ind w:right="3179" w:firstLine="265"/>
        <w:spacing w:after="0" w:line="260" w:lineRule="auto"/>
        <w:rPr>
          <w:sz w:val="20"/>
          <w:szCs w:val="20"/>
          <w:color w:val="auto"/>
        </w:rPr>
      </w:pPr>
      <w:r>
        <w:rPr>
          <w:rFonts w:ascii="Times New Roman" w:cs="Times New Roman" w:eastAsia="Times New Roman" w:hAnsi="Times New Roman"/>
          <w:sz w:val="13"/>
          <w:szCs w:val="13"/>
          <w:color w:val="auto"/>
        </w:rPr>
        <w:t>Traditional IRA purchase payments (except for permissible rollovers and direct transfers) are limited in the aggregate to the lesser of 100% of compensation or the deductible amount established each year under the Code. A purchase payment up to the deductible amount can also be made for a non-working spouse provided the couple’s compensation is at least equal to their aggregate contributions. Individuals age 50 and older are permitted to make additional “catch-up” contributions if they have sufficient compensation. If you or your spouse are an active participant in a retirement plan of an employer, your deductible contributions may be limited. If you exceed purchase payment limits you may be subject to a tax penalty.</w:t>
      </w:r>
    </w:p>
    <w:p>
      <w:pPr>
        <w:spacing w:after="0" w:line="57" w:lineRule="exact"/>
        <w:rPr>
          <w:sz w:val="20"/>
          <w:szCs w:val="20"/>
          <w:color w:val="auto"/>
        </w:rPr>
      </w:pPr>
    </w:p>
    <w:p>
      <w:pPr>
        <w:jc w:val="both"/>
        <w:ind w:right="3199" w:firstLine="265"/>
        <w:spacing w:after="0" w:line="263" w:lineRule="auto"/>
        <w:rPr>
          <w:sz w:val="20"/>
          <w:szCs w:val="20"/>
          <w:color w:val="auto"/>
        </w:rPr>
      </w:pPr>
      <w:r>
        <w:rPr>
          <w:rFonts w:ascii="Times New Roman" w:cs="Times New Roman" w:eastAsia="Times New Roman" w:hAnsi="Times New Roman"/>
          <w:sz w:val="13"/>
          <w:szCs w:val="13"/>
          <w:color w:val="auto"/>
        </w:rPr>
        <w:t>Roth IRA purchase payments for individuals are non-deductible (made on an “after tax” basis) and are limited to the lesser of 100% of compensation or the annual deductible IRA amount. Individuals age 50 and older can make an additional “catch-up” purchase payment each year (assuming the individual has sufficient compensation). You may contribute up to the annual purchase payment limit if your modified adjusted gross income does not exceed certain limits. If you exceed purchase payment limits, you may be subject to a tax penalty.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Withdrawals</w:t>
      </w:r>
    </w:p>
    <w:p>
      <w:pPr>
        <w:spacing w:after="0" w:line="91" w:lineRule="exact"/>
        <w:rPr>
          <w:sz w:val="20"/>
          <w:szCs w:val="20"/>
          <w:color w:val="auto"/>
        </w:rPr>
      </w:pPr>
    </w:p>
    <w:p>
      <w:pPr>
        <w:jc w:val="both"/>
        <w:ind w:right="3199" w:firstLine="265"/>
        <w:spacing w:after="0" w:line="262" w:lineRule="auto"/>
        <w:rPr>
          <w:sz w:val="20"/>
          <w:szCs w:val="20"/>
          <w:color w:val="auto"/>
        </w:rPr>
      </w:pPr>
      <w:r>
        <w:rPr>
          <w:rFonts w:ascii="Times New Roman" w:cs="Times New Roman" w:eastAsia="Times New Roman" w:hAnsi="Times New Roman"/>
          <w:sz w:val="13"/>
          <w:szCs w:val="13"/>
          <w:color w:val="auto"/>
        </w:rPr>
        <w:t>If and to the extent that Traditional IRA purchase payments are made on an “after tax” basis, withdrawals would be included in income except for the portion that represents a return of non-deductible purchase payments. This portion is generally determined based upon the ratio of all non-deductible purchase payments to the total value of all your Traditional IRAs (including SEP IRAs and SIMPLE IRAs). We withhold a portion of the amount of your withdrawal for income taxes, unless you elect otherwise. The amount we withhold is determined by the Code.</w:t>
      </w:r>
    </w:p>
    <w:p>
      <w:pPr>
        <w:spacing w:after="0" w:line="216" w:lineRule="exact"/>
        <w:rPr>
          <w:sz w:val="20"/>
          <w:szCs w:val="20"/>
          <w:color w:val="auto"/>
        </w:rPr>
      </w:pPr>
    </w:p>
    <w:p>
      <w:pPr>
        <w:jc w:val="both"/>
        <w:ind w:right="3199" w:firstLine="265"/>
        <w:spacing w:after="0" w:line="262" w:lineRule="auto"/>
        <w:rPr>
          <w:sz w:val="20"/>
          <w:szCs w:val="20"/>
          <w:color w:val="auto"/>
        </w:rPr>
      </w:pPr>
      <w:r>
        <w:rPr>
          <w:rFonts w:ascii="Times New Roman" w:cs="Times New Roman" w:eastAsia="Times New Roman" w:hAnsi="Times New Roman"/>
          <w:sz w:val="13"/>
          <w:szCs w:val="13"/>
          <w:color w:val="auto"/>
        </w:rPr>
        <w:t>Generally, withdrawal of earnings from Roth IRAs are free from Federal income tax if (1) they are made at least five taxable years after the tax year for which you made your first purchase payment to a Roth IRA; and (2) they are made on or after the date you reach age 59½ or upon your death, disability or for a qualified first-home purchase (up to $10,000). Withdrawals from a Roth IRA are made first from purchase payments and then from earnings. We may be required to withhold a portion of your withdrawal for income taxes, unless you elect otherwise. The amount will be determined by the Code.</w:t>
      </w:r>
    </w:p>
    <w:p>
      <w:pPr>
        <w:spacing w:after="0" w:line="19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color w:val="auto"/>
        </w:rPr>
        <w:t>65</w:t>
      </w:r>
    </w:p>
    <w:p>
      <w:pPr>
        <w:sectPr>
          <w:pgSz w:w="11900" w:h="16838" w:orient="portrait"/>
          <w:cols w:equalWidth="0" w:num="1">
            <w:col w:w="9259"/>
          </w:cols>
          <w:pgMar w:left="1200" w:top="1049"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93915" cy="38100"/>
                    </a:xfrm>
                    <a:prstGeom prst="rect">
                      <a:avLst/>
                    </a:prstGeom>
                    <a:noFill/>
                  </pic:spPr>
                </pic:pic>
              </a:graphicData>
            </a:graphic>
          </wp:anchor>
        </w:drawing>
        <w:t>Conversion</w:t>
      </w:r>
    </w:p>
    <w:p>
      <w:pPr>
        <w:spacing w:after="0" w:line="101" w:lineRule="exact"/>
        <w:rPr>
          <w:sz w:val="20"/>
          <w:szCs w:val="20"/>
          <w:color w:val="auto"/>
        </w:rPr>
      </w:pPr>
    </w:p>
    <w:p>
      <w:pPr>
        <w:jc w:val="both"/>
        <w:ind w:right="3199" w:firstLine="265"/>
        <w:spacing w:after="0" w:line="259" w:lineRule="auto"/>
        <w:rPr>
          <w:sz w:val="20"/>
          <w:szCs w:val="20"/>
          <w:color w:val="auto"/>
        </w:rPr>
      </w:pPr>
      <w:r>
        <w:rPr>
          <w:rFonts w:ascii="Times New Roman" w:cs="Times New Roman" w:eastAsia="Times New Roman" w:hAnsi="Times New Roman"/>
          <w:sz w:val="13"/>
          <w:szCs w:val="13"/>
          <w:color w:val="auto"/>
        </w:rPr>
        <w:t>Traditional IRAs may be converted to Roth IRAs. Except to the extent you have non-deductible contributions, the amount converted from an existing Traditional IRA into a Roth IRA is taxable. Generally, the 10% Federal income tax penalty does not apply. However, the taxable amount to be converted must be based on the fair market value of the entire annuity contract being converted into a Roth IRA. Such fair market value, in general, is to be determined by taking into account the value of all benefits (both living benefits and death benefits) in addition to the account balance; as well as adding back certain loads and charges incurred during the prior twelve month period. Your Contract may include such benefits and applicable charges. Accordingly, if you are considering such conversion of your annuity Contract, please consult your tax adviser. The taxable amount may exceed the account balance at the date of conversion.</w:t>
      </w:r>
    </w:p>
    <w:p>
      <w:pPr>
        <w:spacing w:after="0" w:line="56" w:lineRule="exact"/>
        <w:rPr>
          <w:sz w:val="20"/>
          <w:szCs w:val="20"/>
          <w:color w:val="auto"/>
        </w:rPr>
      </w:pPr>
    </w:p>
    <w:p>
      <w:pPr>
        <w:jc w:val="both"/>
        <w:ind w:right="3199" w:firstLine="265"/>
        <w:spacing w:after="0" w:line="263" w:lineRule="auto"/>
        <w:rPr>
          <w:sz w:val="20"/>
          <w:szCs w:val="20"/>
          <w:color w:val="auto"/>
        </w:rPr>
      </w:pPr>
      <w:r>
        <w:rPr>
          <w:rFonts w:ascii="Times New Roman" w:cs="Times New Roman" w:eastAsia="Times New Roman" w:hAnsi="Times New Roman"/>
          <w:sz w:val="13"/>
          <w:szCs w:val="13"/>
          <w:color w:val="auto"/>
        </w:rPr>
        <w:t>Prior to 2018, contributions made to a Traditional IRA that were converted to a Roth IRA could be recharacterized as made back to the Traditional IRA, if certain conditions were met. Under a provision of the Tax Cuts and Jobs Act, recharacterization cannot be used to unwind a conversion from a Traditional IRA to a Roth IRA for taxable years beginning after December 31, 2017. For conversions made to a Roth IRA in 2017, the IRS has issued guidance allowing recharacterizations to be made in 2018. Please consult your tax adviser.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Additional Federal Tax Considerations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Non-Qualified Annuity Contracts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Changes to Tax Rules and Interpretations</w:t>
      </w:r>
    </w:p>
    <w:p>
      <w:pPr>
        <w:spacing w:after="0" w:line="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Changes to applicable tax rules and interpretations can adversely affect the tax treatment of your Contract.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These changes may take effect retroactively.</w:t>
      </w:r>
    </w:p>
    <w:p>
      <w:pPr>
        <w:spacing w:after="0" w:line="76" w:lineRule="exact"/>
        <w:rPr>
          <w:sz w:val="20"/>
          <w:szCs w:val="20"/>
          <w:color w:val="auto"/>
        </w:rPr>
      </w:pPr>
    </w:p>
    <w:p>
      <w:pPr>
        <w:jc w:val="both"/>
        <w:ind w:right="3199" w:firstLine="265"/>
        <w:spacing w:after="0" w:line="290" w:lineRule="auto"/>
        <w:rPr>
          <w:sz w:val="20"/>
          <w:szCs w:val="20"/>
          <w:color w:val="auto"/>
        </w:rPr>
      </w:pPr>
      <w:r>
        <w:rPr>
          <w:rFonts w:ascii="Times New Roman" w:cs="Times New Roman" w:eastAsia="Times New Roman" w:hAnsi="Times New Roman"/>
          <w:sz w:val="13"/>
          <w:szCs w:val="13"/>
          <w:color w:val="auto"/>
        </w:rPr>
        <w:t>We reserve the right to amend your Contract where necessary to maintain its status as an Annuity Contract under Federal tax law and to protect you and other Contract owners from adverse tax consequences.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Qualified Annuity Contracts</w:t>
      </w:r>
    </w:p>
    <w:p>
      <w:pPr>
        <w:spacing w:after="0" w:line="91" w:lineRule="exact"/>
        <w:rPr>
          <w:sz w:val="20"/>
          <w:szCs w:val="20"/>
          <w:color w:val="auto"/>
        </w:rPr>
      </w:pPr>
    </w:p>
    <w:p>
      <w:pPr>
        <w:jc w:val="both"/>
        <w:ind w:right="3199" w:firstLine="265"/>
        <w:spacing w:after="0" w:line="272" w:lineRule="auto"/>
        <w:rPr>
          <w:sz w:val="20"/>
          <w:szCs w:val="20"/>
          <w:color w:val="auto"/>
        </w:rPr>
      </w:pPr>
      <w:r>
        <w:rPr>
          <w:rFonts w:ascii="Times New Roman" w:cs="Times New Roman" w:eastAsia="Times New Roman" w:hAnsi="Times New Roman"/>
          <w:sz w:val="13"/>
          <w:szCs w:val="13"/>
          <w:color w:val="auto"/>
        </w:rPr>
        <w:t>Annuity contracts purchased through tax qualified plans are subject to limitations imposed by the Code and regulations as a condition of tax qualification. There are various types of tax qualified plans which have certain beneficial tax consequences for Contract owners and plan participants.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Types of Qualified Plans</w:t>
      </w:r>
    </w:p>
    <w:p>
      <w:pPr>
        <w:spacing w:after="0" w:line="91" w:lineRule="exact"/>
        <w:rPr>
          <w:sz w:val="20"/>
          <w:szCs w:val="20"/>
          <w:color w:val="auto"/>
        </w:rPr>
      </w:pPr>
    </w:p>
    <w:p>
      <w:pPr>
        <w:jc w:val="both"/>
        <w:ind w:right="3199" w:firstLine="265"/>
        <w:spacing w:after="0" w:line="290" w:lineRule="auto"/>
        <w:rPr>
          <w:sz w:val="20"/>
          <w:szCs w:val="20"/>
          <w:color w:val="auto"/>
        </w:rPr>
      </w:pPr>
      <w:r>
        <w:rPr>
          <w:rFonts w:ascii="Times New Roman" w:cs="Times New Roman" w:eastAsia="Times New Roman" w:hAnsi="Times New Roman"/>
          <w:sz w:val="13"/>
          <w:szCs w:val="13"/>
          <w:color w:val="auto"/>
        </w:rPr>
        <w:t>The following includes individual account-type plans which may hold an annuity Contract as described in the Prospectus.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IRA</w:t>
      </w:r>
    </w:p>
    <w:p>
      <w:pPr>
        <w:spacing w:after="0" w:line="91" w:lineRule="exact"/>
        <w:rPr>
          <w:sz w:val="20"/>
          <w:szCs w:val="20"/>
          <w:color w:val="auto"/>
        </w:rPr>
      </w:pPr>
    </w:p>
    <w:p>
      <w:pPr>
        <w:jc w:val="both"/>
        <w:ind w:right="3199" w:firstLine="265"/>
        <w:spacing w:after="0" w:line="290" w:lineRule="auto"/>
        <w:rPr>
          <w:sz w:val="20"/>
          <w:szCs w:val="20"/>
          <w:color w:val="auto"/>
        </w:rPr>
      </w:pPr>
      <w:r>
        <w:rPr>
          <w:rFonts w:ascii="Times New Roman" w:cs="Times New Roman" w:eastAsia="Times New Roman" w:hAnsi="Times New Roman"/>
          <w:sz w:val="13"/>
          <w:szCs w:val="13"/>
          <w:color w:val="auto"/>
        </w:rPr>
        <w:t>A traditional IRA is established by an individual, under Section 408(a) or 408(b) of the Code. See also Roth IRAs below.</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Roth Account</w:t>
      </w:r>
    </w:p>
    <w:p>
      <w:pPr>
        <w:spacing w:after="0" w:line="91" w:lineRule="exact"/>
        <w:rPr>
          <w:sz w:val="20"/>
          <w:szCs w:val="20"/>
          <w:color w:val="auto"/>
        </w:rPr>
      </w:pPr>
    </w:p>
    <w:p>
      <w:pPr>
        <w:jc w:val="both"/>
        <w:ind w:right="3199" w:firstLine="265"/>
        <w:spacing w:after="0" w:line="272" w:lineRule="auto"/>
        <w:rPr>
          <w:sz w:val="20"/>
          <w:szCs w:val="20"/>
          <w:color w:val="auto"/>
        </w:rPr>
      </w:pPr>
      <w:r>
        <w:rPr>
          <w:rFonts w:ascii="Times New Roman" w:cs="Times New Roman" w:eastAsia="Times New Roman" w:hAnsi="Times New Roman"/>
          <w:sz w:val="13"/>
          <w:szCs w:val="13"/>
          <w:color w:val="auto"/>
        </w:rPr>
        <w:t>Individual or employee plan contributions made to certain plans on an after-tax basis. An IRA may be established as a Roth IRA under Section 408A, and 401(k), 403(b) and 457(b) plans may provide for Roth accounts. Contributions to a Roth IRA are limited based on the level of your modified adjusted gross income.</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Comparison of Plan Limits for Individual Contributions:</w:t>
      </w:r>
    </w:p>
    <w:p>
      <w:pPr>
        <w:spacing w:after="0" w:line="116" w:lineRule="exact"/>
        <w:rPr>
          <w:sz w:val="20"/>
          <w:szCs w:val="20"/>
          <w:color w:val="auto"/>
        </w:rPr>
      </w:pPr>
    </w:p>
    <w:tbl>
      <w:tblPr>
        <w:tblLayout w:type="fixed"/>
        <w:tblInd w:w="10" w:type="dxa"/>
        <w:tblCellMar>
          <w:top w:w="0" w:type="dxa"/>
          <w:left w:w="0" w:type="dxa"/>
          <w:bottom w:w="0" w:type="dxa"/>
          <w:right w:w="0" w:type="dxa"/>
        </w:tblCellMar>
      </w:tblPr>
      <w:tr>
        <w:trPr>
          <w:trHeight w:val="155"/>
        </w:trPr>
        <w:tc>
          <w:tcPr>
            <w:tcW w:w="1520" w:type="dxa"/>
            <w:vAlign w:val="bottom"/>
            <w:tcBorders>
              <w:top w:val="single" w:sz="8" w:color="auto"/>
              <w:left w:val="single" w:sz="8" w:color="auto"/>
              <w:right w:val="single" w:sz="8" w:color="auto"/>
            </w:tcBorders>
          </w:tcPr>
          <w:p>
            <w:pPr>
              <w:spacing w:after="0"/>
              <w:rPr>
                <w:sz w:val="13"/>
                <w:szCs w:val="13"/>
                <w:color w:val="auto"/>
              </w:rPr>
            </w:pPr>
          </w:p>
        </w:tc>
        <w:tc>
          <w:tcPr>
            <w:tcW w:w="1520" w:type="dxa"/>
            <w:vAlign w:val="bottom"/>
            <w:tcBorders>
              <w:top w:val="single" w:sz="8" w:color="auto"/>
              <w:right w:val="single" w:sz="8" w:color="auto"/>
            </w:tcBorders>
          </w:tcPr>
          <w:p>
            <w:pPr>
              <w:spacing w:after="0"/>
              <w:rPr>
                <w:sz w:val="13"/>
                <w:szCs w:val="13"/>
                <w:color w:val="auto"/>
              </w:rPr>
            </w:pPr>
          </w:p>
        </w:tc>
        <w:tc>
          <w:tcPr>
            <w:tcW w:w="1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Maximum Catch-up</w:t>
            </w:r>
          </w:p>
        </w:tc>
        <w:tc>
          <w:tcPr>
            <w:tcW w:w="15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Maximum Catch-Up</w:t>
            </w:r>
          </w:p>
        </w:tc>
      </w:tr>
      <w:tr>
        <w:trPr>
          <w:trHeight w:val="131"/>
        </w:trPr>
        <w:tc>
          <w:tcPr>
            <w:tcW w:w="1520" w:type="dxa"/>
            <w:vAlign w:val="bottom"/>
            <w:tcBorders>
              <w:left w:val="single" w:sz="8" w:color="auto"/>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Contribution</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Contribution</w:t>
            </w:r>
          </w:p>
        </w:tc>
      </w:tr>
      <w:tr>
        <w:trPr>
          <w:trHeight w:val="157"/>
        </w:trPr>
        <w:tc>
          <w:tcPr>
            <w:tcW w:w="1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Plan Type</w:t>
            </w:r>
          </w:p>
        </w:tc>
        <w:tc>
          <w:tcPr>
            <w:tcW w:w="152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1"/>
                <w:szCs w:val="11"/>
                <w:b w:val="1"/>
                <w:bCs w:val="1"/>
                <w:color w:val="auto"/>
              </w:rPr>
              <w:t>Elective Contribution</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(ages 50-59)</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3"/>
              </w:rPr>
              <w:t>(ages 60-63)</w:t>
            </w:r>
          </w:p>
        </w:tc>
      </w:tr>
      <w:tr>
        <w:trPr>
          <w:trHeight w:val="187"/>
        </w:trPr>
        <w:tc>
          <w:tcPr>
            <w:tcW w:w="1520" w:type="dxa"/>
            <w:vAlign w:val="bottom"/>
            <w:tcBorders>
              <w:left w:val="single" w:sz="8" w:color="auto"/>
              <w:bottom w:val="single" w:sz="8" w:color="auto"/>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3"/>
                <w:szCs w:val="13"/>
                <w:color w:val="auto"/>
              </w:rPr>
              <w:t>IRA</w:t>
            </w:r>
          </w:p>
        </w:tc>
        <w:tc>
          <w:tcPr>
            <w:tcW w:w="152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3"/>
                <w:szCs w:val="13"/>
                <w:color w:val="auto"/>
              </w:rPr>
              <w:t>$7,000</w:t>
            </w:r>
          </w:p>
        </w:tc>
        <w:tc>
          <w:tcPr>
            <w:tcW w:w="1540" w:type="dxa"/>
            <w:vAlign w:val="bottom"/>
            <w:tcBorders>
              <w:bottom w:val="single" w:sz="8" w:color="auto"/>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3"/>
                <w:szCs w:val="13"/>
                <w:color w:val="auto"/>
              </w:rPr>
              <w:t>$1,000</w:t>
            </w:r>
          </w:p>
        </w:tc>
        <w:tc>
          <w:tcPr>
            <w:tcW w:w="150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3"/>
                <w:szCs w:val="13"/>
                <w:color w:val="auto"/>
              </w:rPr>
              <w:t>$1,000</w:t>
            </w:r>
          </w:p>
        </w:tc>
      </w:tr>
      <w:tr>
        <w:trPr>
          <w:trHeight w:val="165"/>
        </w:trPr>
        <w:tc>
          <w:tcPr>
            <w:tcW w:w="15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SIMPLE IRA</w:t>
            </w:r>
          </w:p>
        </w:tc>
        <w:tc>
          <w:tcPr>
            <w:tcW w:w="15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$16,500</w:t>
            </w:r>
          </w:p>
        </w:tc>
        <w:tc>
          <w:tcPr>
            <w:tcW w:w="1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$3,500</w:t>
            </w:r>
          </w:p>
        </w:tc>
        <w:tc>
          <w:tcPr>
            <w:tcW w:w="1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$5,250</w:t>
            </w:r>
          </w:p>
        </w:tc>
      </w:tr>
      <w:tr>
        <w:trPr>
          <w:trHeight w:val="159"/>
        </w:trPr>
        <w:tc>
          <w:tcPr>
            <w:tcW w:w="1520" w:type="dxa"/>
            <w:vAlign w:val="bottom"/>
            <w:tcBorders>
              <w:left w:val="single" w:sz="8" w:color="auto"/>
              <w:right w:val="single" w:sz="8" w:color="auto"/>
            </w:tcBorders>
          </w:tcPr>
          <w:p>
            <w:pPr>
              <w:spacing w:after="0"/>
              <w:rPr>
                <w:sz w:val="13"/>
                <w:szCs w:val="13"/>
                <w:color w:val="auto"/>
              </w:rPr>
            </w:pPr>
          </w:p>
        </w:tc>
        <w:tc>
          <w:tcPr>
            <w:tcW w:w="15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($17,600 for certain small</w:t>
            </w:r>
          </w:p>
        </w:tc>
        <w:tc>
          <w:tcPr>
            <w:tcW w:w="1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($3,850 for certain small</w:t>
            </w:r>
          </w:p>
        </w:tc>
        <w:tc>
          <w:tcPr>
            <w:tcW w:w="1500" w:type="dxa"/>
            <w:vAlign w:val="bottom"/>
            <w:tcBorders>
              <w:right w:val="single" w:sz="8" w:color="auto"/>
            </w:tcBorders>
          </w:tcPr>
          <w:p>
            <w:pPr>
              <w:spacing w:after="0"/>
              <w:rPr>
                <w:sz w:val="13"/>
                <w:szCs w:val="13"/>
                <w:color w:val="auto"/>
              </w:rPr>
            </w:pPr>
          </w:p>
        </w:tc>
      </w:tr>
      <w:tr>
        <w:trPr>
          <w:trHeight w:val="182"/>
        </w:trPr>
        <w:tc>
          <w:tcPr>
            <w:tcW w:w="1520" w:type="dxa"/>
            <w:vAlign w:val="bottom"/>
            <w:tcBorders>
              <w:left w:val="single" w:sz="8" w:color="auto"/>
              <w:bottom w:val="single" w:sz="8" w:color="auto"/>
              <w:right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employer plans)</w:t>
            </w:r>
          </w:p>
        </w:tc>
        <w:tc>
          <w:tcPr>
            <w:tcW w:w="15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employer plans)</w:t>
            </w:r>
          </w:p>
        </w:tc>
        <w:tc>
          <w:tcPr>
            <w:tcW w:w="1500" w:type="dxa"/>
            <w:vAlign w:val="bottom"/>
            <w:tcBorders>
              <w:bottom w:val="single" w:sz="8" w:color="auto"/>
              <w:right w:val="single" w:sz="8" w:color="auto"/>
            </w:tcBorders>
          </w:tcPr>
          <w:p>
            <w:pPr>
              <w:spacing w:after="0"/>
              <w:rPr>
                <w:sz w:val="15"/>
                <w:szCs w:val="15"/>
                <w:color w:val="auto"/>
              </w:rPr>
            </w:pPr>
          </w:p>
        </w:tc>
      </w:tr>
      <w:tr>
        <w:trPr>
          <w:trHeight w:val="188"/>
        </w:trPr>
        <w:tc>
          <w:tcPr>
            <w:tcW w:w="1520" w:type="dxa"/>
            <w:vAlign w:val="bottom"/>
            <w:tcBorders>
              <w:left w:val="single" w:sz="8" w:color="auto"/>
              <w:bottom w:val="single" w:sz="8" w:color="auto"/>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3"/>
                <w:szCs w:val="13"/>
                <w:color w:val="auto"/>
              </w:rPr>
              <w:t>401(k)</w:t>
            </w:r>
          </w:p>
        </w:tc>
        <w:tc>
          <w:tcPr>
            <w:tcW w:w="152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3"/>
                <w:szCs w:val="13"/>
                <w:color w:val="auto"/>
              </w:rPr>
              <w:t>$23,500</w:t>
            </w:r>
          </w:p>
        </w:tc>
        <w:tc>
          <w:tcPr>
            <w:tcW w:w="1540" w:type="dxa"/>
            <w:vAlign w:val="bottom"/>
            <w:tcBorders>
              <w:bottom w:val="single" w:sz="8" w:color="auto"/>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3"/>
                <w:szCs w:val="13"/>
                <w:color w:val="auto"/>
              </w:rPr>
              <w:t>$7,500</w:t>
            </w:r>
          </w:p>
        </w:tc>
        <w:tc>
          <w:tcPr>
            <w:tcW w:w="150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3"/>
                <w:szCs w:val="13"/>
                <w:color w:val="auto"/>
              </w:rPr>
              <w:t>$11,250</w:t>
            </w:r>
          </w:p>
        </w:tc>
      </w:tr>
      <w:tr>
        <w:trPr>
          <w:trHeight w:val="165"/>
        </w:trPr>
        <w:tc>
          <w:tcPr>
            <w:tcW w:w="15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SEP/401(a)</w:t>
            </w:r>
          </w:p>
        </w:tc>
        <w:tc>
          <w:tcPr>
            <w:tcW w:w="15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(Employer contributions</w:t>
            </w:r>
          </w:p>
        </w:tc>
        <w:tc>
          <w:tcPr>
            <w:tcW w:w="154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r>
      <w:tr>
        <w:trPr>
          <w:trHeight w:val="182"/>
        </w:trPr>
        <w:tc>
          <w:tcPr>
            <w:tcW w:w="1520" w:type="dxa"/>
            <w:vAlign w:val="bottom"/>
            <w:tcBorders>
              <w:left w:val="single" w:sz="8" w:color="auto"/>
              <w:bottom w:val="single" w:sz="8" w:color="auto"/>
              <w:right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only)</w:t>
            </w:r>
          </w:p>
        </w:tc>
        <w:tc>
          <w:tcPr>
            <w:tcW w:w="1540" w:type="dxa"/>
            <w:vAlign w:val="bottom"/>
            <w:tcBorders>
              <w:bottom w:val="single" w:sz="8" w:color="auto"/>
              <w:right w:val="single" w:sz="8" w:color="auto"/>
            </w:tcBorders>
          </w:tcPr>
          <w:p>
            <w:pPr>
              <w:spacing w:after="0"/>
              <w:rPr>
                <w:sz w:val="15"/>
                <w:szCs w:val="15"/>
                <w:color w:val="auto"/>
              </w:rPr>
            </w:pPr>
          </w:p>
        </w:tc>
        <w:tc>
          <w:tcPr>
            <w:tcW w:w="1500" w:type="dxa"/>
            <w:vAlign w:val="bottom"/>
            <w:tcBorders>
              <w:bottom w:val="single" w:sz="8" w:color="auto"/>
              <w:right w:val="single" w:sz="8" w:color="auto"/>
            </w:tcBorders>
          </w:tcPr>
          <w:p>
            <w:pPr>
              <w:spacing w:after="0"/>
              <w:rPr>
                <w:sz w:val="15"/>
                <w:szCs w:val="15"/>
                <w:color w:val="auto"/>
              </w:rPr>
            </w:pPr>
          </w:p>
        </w:tc>
      </w:tr>
      <w:tr>
        <w:trPr>
          <w:trHeight w:val="183"/>
        </w:trPr>
        <w:tc>
          <w:tcPr>
            <w:tcW w:w="1520" w:type="dxa"/>
            <w:vAlign w:val="bottom"/>
            <w:tcBorders>
              <w:left w:val="single" w:sz="8" w:color="auto"/>
              <w:bottom w:val="single" w:sz="8" w:color="auto"/>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3"/>
                <w:szCs w:val="13"/>
                <w:color w:val="auto"/>
              </w:rPr>
              <w:t>403(b) [TSA]</w:t>
            </w:r>
          </w:p>
        </w:tc>
        <w:tc>
          <w:tcPr>
            <w:tcW w:w="152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3"/>
                <w:szCs w:val="13"/>
                <w:color w:val="auto"/>
              </w:rPr>
              <w:t>$23,500</w:t>
            </w:r>
          </w:p>
        </w:tc>
        <w:tc>
          <w:tcPr>
            <w:tcW w:w="1540" w:type="dxa"/>
            <w:vAlign w:val="bottom"/>
            <w:tcBorders>
              <w:bottom w:val="single" w:sz="8" w:color="auto"/>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3"/>
                <w:szCs w:val="13"/>
                <w:color w:val="auto"/>
              </w:rPr>
              <w:t>$7,500</w:t>
            </w:r>
          </w:p>
        </w:tc>
        <w:tc>
          <w:tcPr>
            <w:tcW w:w="150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3"/>
                <w:szCs w:val="13"/>
                <w:color w:val="auto"/>
              </w:rPr>
              <w:t>$11,250</w:t>
            </w:r>
          </w:p>
        </w:tc>
      </w:tr>
      <w:tr>
        <w:trPr>
          <w:trHeight w:val="362"/>
        </w:trPr>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66</w:t>
            </w:r>
          </w:p>
        </w:tc>
        <w:tc>
          <w:tcPr>
            <w:tcW w:w="15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-1473835</wp:posOffset>
            </wp:positionV>
            <wp:extent cx="3842385" cy="2832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842385" cy="28321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-1057910</wp:posOffset>
            </wp:positionV>
            <wp:extent cx="3842385" cy="3340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842385" cy="33401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-591820</wp:posOffset>
            </wp:positionV>
            <wp:extent cx="3842385" cy="2330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842385" cy="233045"/>
                    </a:xfrm>
                    <a:prstGeom prst="rect">
                      <a:avLst/>
                    </a:prstGeom>
                    <a:noFill/>
                  </pic:spPr>
                </pic:pic>
              </a:graphicData>
            </a:graphic>
          </wp:anchor>
        </w:drawing>
      </w:r>
    </w:p>
    <w:p>
      <w:pPr>
        <w:sectPr>
          <w:pgSz w:w="11900" w:h="16838" w:orient="portrait"/>
          <w:cols w:equalWidth="0" w:num="1">
            <w:col w:w="9259"/>
          </w:cols>
          <w:pgMar w:left="1200" w:top="1047" w:right="1440" w:bottom="1440" w:gutter="0" w:footer="0" w:header="0"/>
        </w:sectPr>
      </w:pPr>
    </w:p>
    <w:bookmarkStart w:id="68" w:name="page69"/>
    <w:bookmarkEnd w:id="68"/>
    <w:tbl>
      <w:tblPr>
        <w:tblLayout w:type="fixed"/>
        <w:tblInd w:w="11" w:type="dxa"/>
        <w:tblCellMar>
          <w:top w:w="0" w:type="dxa"/>
          <w:left w:w="0" w:type="dxa"/>
          <w:bottom w:w="0" w:type="dxa"/>
          <w:right w:w="0" w:type="dxa"/>
        </w:tblCellMar>
      </w:tblPr>
      <w:tr>
        <w:trPr>
          <w:trHeight w:val="155"/>
        </w:trPr>
        <w:tc>
          <w:tcPr>
            <w:tcW w:w="1520" w:type="dxa"/>
            <w:vAlign w:val="bottom"/>
            <w:tcBorders>
              <w:top w:val="single" w:sz="8" w:color="auto"/>
              <w:left w:val="single" w:sz="8" w:color="auto"/>
              <w:right w:val="single" w:sz="8" w:color="auto"/>
            </w:tcBorders>
          </w:tcPr>
          <w:p>
            <w:pPr>
              <w:spacing w:after="0"/>
              <w:rPr>
                <w:sz w:val="13"/>
                <w:szCs w:val="13"/>
                <w:color w:val="auto"/>
              </w:rPr>
            </w:pPr>
          </w:p>
        </w:tc>
        <w:tc>
          <w:tcPr>
            <w:tcW w:w="1520" w:type="dxa"/>
            <w:vAlign w:val="bottom"/>
            <w:tcBorders>
              <w:top w:val="single" w:sz="8" w:color="auto"/>
              <w:right w:val="single" w:sz="8" w:color="auto"/>
            </w:tcBorders>
          </w:tcPr>
          <w:p>
            <w:pPr>
              <w:spacing w:after="0"/>
              <w:rPr>
                <w:sz w:val="13"/>
                <w:szCs w:val="13"/>
                <w:color w:val="auto"/>
              </w:rPr>
            </w:pPr>
          </w:p>
        </w:tc>
        <w:tc>
          <w:tcPr>
            <w:tcW w:w="1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Maximum Catch-up</w:t>
            </w:r>
          </w:p>
        </w:tc>
        <w:tc>
          <w:tcPr>
            <w:tcW w:w="1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Maximum Catch-Up</w:t>
            </w:r>
          </w:p>
        </w:tc>
        <w:tc>
          <w:tcPr>
            <w:tcW w:w="0" w:type="dxa"/>
            <w:vAlign w:val="bottom"/>
          </w:tcPr>
          <w:p>
            <w:pPr>
              <w:spacing w:after="0"/>
              <w:rPr>
                <w:sz w:val="1"/>
                <w:szCs w:val="1"/>
                <w:color w:val="auto"/>
              </w:rPr>
            </w:pPr>
          </w:p>
        </w:tc>
      </w:tr>
      <w:tr>
        <w:trPr>
          <w:trHeight w:val="140"/>
        </w:trPr>
        <w:tc>
          <w:tcPr>
            <w:tcW w:w="152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Plan Type</w:t>
            </w:r>
          </w:p>
        </w:tc>
        <w:tc>
          <w:tcPr>
            <w:tcW w:w="1520" w:type="dxa"/>
            <w:vAlign w:val="bottom"/>
            <w:tcBorders>
              <w:right w:val="single" w:sz="8" w:color="auto"/>
            </w:tcBorders>
            <w:vMerge w:val="restart"/>
          </w:tcPr>
          <w:p>
            <w:pPr>
              <w:jc w:val="right"/>
              <w:ind w:right="241"/>
              <w:spacing w:after="0"/>
              <w:rPr>
                <w:sz w:val="20"/>
                <w:szCs w:val="20"/>
                <w:color w:val="auto"/>
              </w:rPr>
            </w:pPr>
            <w:r>
              <w:rPr>
                <w:rFonts w:ascii="Times New Roman" w:cs="Times New Roman" w:eastAsia="Times New Roman" w:hAnsi="Times New Roman"/>
                <w:sz w:val="11"/>
                <w:szCs w:val="11"/>
                <w:b w:val="1"/>
                <w:bCs w:val="1"/>
                <w:color w:val="auto"/>
              </w:rPr>
              <w:t>Elective Contribution</w:t>
            </w: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Contribution</w:t>
            </w: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Contribution</w:t>
            </w:r>
          </w:p>
        </w:tc>
        <w:tc>
          <w:tcPr>
            <w:tcW w:w="0" w:type="dxa"/>
            <w:vAlign w:val="bottom"/>
          </w:tcPr>
          <w:p>
            <w:pPr>
              <w:spacing w:after="0"/>
              <w:rPr>
                <w:sz w:val="1"/>
                <w:szCs w:val="1"/>
                <w:color w:val="auto"/>
              </w:rPr>
            </w:pPr>
          </w:p>
        </w:tc>
      </w:tr>
      <w:tr>
        <w:trPr>
          <w:trHeight w:val="148"/>
        </w:trPr>
        <w:tc>
          <w:tcPr>
            <w:tcW w:w="152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1520" w:type="dxa"/>
            <w:vAlign w:val="bottom"/>
            <w:tcBorders>
              <w:bottom w:val="single" w:sz="8" w:color="auto"/>
              <w:right w:val="single" w:sz="8" w:color="auto"/>
            </w:tcBorders>
            <w:vMerge w:val="continue"/>
          </w:tcPr>
          <w:p>
            <w:pPr>
              <w:spacing w:after="0"/>
              <w:rPr>
                <w:sz w:val="12"/>
                <w:szCs w:val="12"/>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3"/>
              </w:rPr>
              <w:t>(ages 50-59)</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(ages 60-63)</w:t>
            </w:r>
          </w:p>
        </w:tc>
        <w:tc>
          <w:tcPr>
            <w:tcW w:w="0" w:type="dxa"/>
            <w:vAlign w:val="bottom"/>
          </w:tcPr>
          <w:p>
            <w:pPr>
              <w:spacing w:after="0"/>
              <w:rPr>
                <w:sz w:val="1"/>
                <w:szCs w:val="1"/>
                <w:color w:val="auto"/>
              </w:rPr>
            </w:pPr>
          </w:p>
        </w:tc>
      </w:tr>
      <w:tr>
        <w:trPr>
          <w:trHeight w:val="182"/>
        </w:trPr>
        <w:tc>
          <w:tcPr>
            <w:tcW w:w="1520" w:type="dxa"/>
            <w:vAlign w:val="bottom"/>
            <w:tcBorders>
              <w:left w:val="single" w:sz="8" w:color="auto"/>
              <w:bottom w:val="single" w:sz="8" w:color="auto"/>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3"/>
                <w:szCs w:val="13"/>
                <w:color w:val="auto"/>
              </w:rPr>
              <w:t>457(b)</w:t>
            </w:r>
          </w:p>
        </w:tc>
        <w:tc>
          <w:tcPr>
            <w:tcW w:w="1520" w:type="dxa"/>
            <w:vAlign w:val="bottom"/>
            <w:tcBorders>
              <w:bottom w:val="single" w:sz="8" w:color="auto"/>
              <w:right w:val="single" w:sz="8" w:color="auto"/>
            </w:tcBorders>
            <w:shd w:val="clear" w:color="auto" w:fill="F0FFFF"/>
          </w:tcPr>
          <w:p>
            <w:pPr>
              <w:jc w:val="right"/>
              <w:ind w:right="981"/>
              <w:spacing w:after="0"/>
              <w:rPr>
                <w:sz w:val="20"/>
                <w:szCs w:val="20"/>
                <w:color w:val="auto"/>
              </w:rPr>
            </w:pPr>
            <w:r>
              <w:rPr>
                <w:rFonts w:ascii="Times New Roman" w:cs="Times New Roman" w:eastAsia="Times New Roman" w:hAnsi="Times New Roman"/>
                <w:sz w:val="13"/>
                <w:szCs w:val="13"/>
                <w:color w:val="auto"/>
              </w:rPr>
              <w:t>$23,500</w:t>
            </w:r>
          </w:p>
        </w:tc>
        <w:tc>
          <w:tcPr>
            <w:tcW w:w="1520" w:type="dxa"/>
            <w:vAlign w:val="bottom"/>
            <w:tcBorders>
              <w:bottom w:val="single" w:sz="8" w:color="auto"/>
              <w:right w:val="single" w:sz="8" w:color="auto"/>
            </w:tcBorders>
            <w:shd w:val="clear" w:color="auto" w:fill="F0FFFF"/>
          </w:tcPr>
          <w:p>
            <w:pPr>
              <w:jc w:val="right"/>
              <w:ind w:right="1044"/>
              <w:spacing w:after="0"/>
              <w:rPr>
                <w:sz w:val="20"/>
                <w:szCs w:val="20"/>
                <w:color w:val="auto"/>
              </w:rPr>
            </w:pPr>
            <w:r>
              <w:rPr>
                <w:rFonts w:ascii="Times New Roman" w:cs="Times New Roman" w:eastAsia="Times New Roman" w:hAnsi="Times New Roman"/>
                <w:sz w:val="13"/>
                <w:szCs w:val="13"/>
                <w:color w:val="auto"/>
              </w:rPr>
              <w:t>$7,500</w:t>
            </w:r>
          </w:p>
        </w:tc>
        <w:tc>
          <w:tcPr>
            <w:tcW w:w="1520" w:type="dxa"/>
            <w:vAlign w:val="bottom"/>
            <w:tcBorders>
              <w:bottom w:val="single" w:sz="8" w:color="auto"/>
              <w:right w:val="single" w:sz="8" w:color="auto"/>
            </w:tcBorders>
            <w:shd w:val="clear" w:color="auto" w:fill="F0FFFF"/>
          </w:tcPr>
          <w:p>
            <w:pPr>
              <w:jc w:val="right"/>
              <w:ind w:right="964"/>
              <w:spacing w:after="0"/>
              <w:rPr>
                <w:sz w:val="20"/>
                <w:szCs w:val="20"/>
                <w:color w:val="auto"/>
              </w:rPr>
            </w:pPr>
            <w:r>
              <w:rPr>
                <w:rFonts w:ascii="Times New Roman" w:cs="Times New Roman" w:eastAsia="Times New Roman" w:hAnsi="Times New Roman"/>
                <w:sz w:val="13"/>
                <w:szCs w:val="13"/>
                <w:color w:val="auto"/>
              </w:rPr>
              <w:t>$11,250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93915" cy="3810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-412115</wp:posOffset>
            </wp:positionV>
            <wp:extent cx="3842385" cy="2832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842385" cy="283210"/>
                    </a:xfrm>
                    <a:prstGeom prst="rect">
                      <a:avLst/>
                    </a:prstGeom>
                    <a:noFill/>
                  </pic:spPr>
                </pic:pic>
              </a:graphicData>
            </a:graphic>
          </wp:anchor>
        </w:drawing>
      </w:r>
    </w:p>
    <w:p>
      <w:pPr>
        <w:spacing w:after="0" w:line="121" w:lineRule="exact"/>
        <w:rPr>
          <w:sz w:val="20"/>
          <w:szCs w:val="20"/>
          <w:color w:val="auto"/>
        </w:rPr>
      </w:pPr>
    </w:p>
    <w:p>
      <w:pPr>
        <w:jc w:val="both"/>
        <w:ind w:left="1" w:right="3199" w:firstLine="265"/>
        <w:spacing w:after="0" w:line="259" w:lineRule="auto"/>
        <w:rPr>
          <w:sz w:val="20"/>
          <w:szCs w:val="20"/>
          <w:color w:val="auto"/>
        </w:rPr>
      </w:pPr>
      <w:r>
        <w:rPr>
          <w:rFonts w:ascii="Times New Roman" w:cs="Times New Roman" w:eastAsia="Times New Roman" w:hAnsi="Times New Roman"/>
          <w:sz w:val="13"/>
          <w:szCs w:val="13"/>
          <w:color w:val="auto"/>
        </w:rPr>
        <w:t>Dollar limits are for 2025 and subject to cost-of-living adjustments in future years. Employer-sponsored individual account plans (other than 457(b) plans) may provide for additional employer contributions not to exceed the lesser of $70,000 and 100% of an employee’s compensation for 2025 (reduced by any employee elective contributions). If allowed by the plan, special catch-up provisions may increase the catch-up contribution limit starting in 2025 for participants in 401(k), 403(b), SIMPLE and governmental 457(b) plans who are age 60-</w:t>
      </w:r>
    </w:p>
    <w:p>
      <w:pPr>
        <w:jc w:val="both"/>
        <w:ind w:left="1" w:right="3199" w:hanging="1"/>
        <w:spacing w:after="0" w:line="257" w:lineRule="auto"/>
        <w:tabs>
          <w:tab w:leader="none" w:pos="206"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grandfathered SARSEP plans may also allow for employee contributions, catch-up contributions and, starting in 2025, enhanced catch-up contributions for employees aged 60-63. If allowed under the plan, the elective contribution and the catchup contribution for ages 50-59 (and ages 64 and older) may be increased for certain small employer SIMPLE plans (generally employers with 25 or fewer employees) if certain conditions are met. Consult a tax adviser and consult your plan administrator if you participate in one of these employer-sponsored retirement plans.</w:t>
      </w:r>
    </w:p>
    <w:p>
      <w:pPr>
        <w:spacing w:after="0" w:line="14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Federal Estate Taxes</w:t>
      </w:r>
    </w:p>
    <w:p>
      <w:pPr>
        <w:spacing w:after="0" w:line="91" w:lineRule="exact"/>
        <w:rPr>
          <w:sz w:val="20"/>
          <w:szCs w:val="20"/>
          <w:color w:val="auto"/>
        </w:rPr>
      </w:pPr>
    </w:p>
    <w:p>
      <w:pPr>
        <w:jc w:val="both"/>
        <w:ind w:left="1" w:right="3199" w:firstLine="265"/>
        <w:spacing w:after="0" w:line="262" w:lineRule="auto"/>
        <w:rPr>
          <w:sz w:val="20"/>
          <w:szCs w:val="20"/>
          <w:color w:val="auto"/>
        </w:rPr>
      </w:pPr>
      <w:r>
        <w:rPr>
          <w:rFonts w:ascii="Times New Roman" w:cs="Times New Roman" w:eastAsia="Times New Roman" w:hAnsi="Times New Roman"/>
          <w:sz w:val="13"/>
          <w:szCs w:val="13"/>
          <w:color w:val="auto"/>
        </w:rPr>
        <w:t>While no attempt is being made to discuss the Federal estate tax implications of the Contract, you should bear in mind that the value of an annuity contract owned by a decedent and payable to a beneficiary by virtue of surviving the decedent is included in the decedent’s gross estate. Depending on the terms of the annuity contract, the value of the annuity included in the gross estate may be the value of the lump sum payment payable to the designated beneficiary or the actuarial value of the payments to be received by the beneficiary. Consult an estate planning adviser for more information.</w:t>
      </w:r>
    </w:p>
    <w:p>
      <w:pPr>
        <w:spacing w:after="0" w:line="13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Generation-Skipping Transfer Tax</w:t>
      </w:r>
    </w:p>
    <w:p>
      <w:pPr>
        <w:spacing w:after="0" w:line="91" w:lineRule="exact"/>
        <w:rPr>
          <w:sz w:val="20"/>
          <w:szCs w:val="20"/>
          <w:color w:val="auto"/>
        </w:rPr>
      </w:pPr>
    </w:p>
    <w:p>
      <w:pPr>
        <w:jc w:val="both"/>
        <w:ind w:left="1" w:right="3199" w:firstLine="265"/>
        <w:spacing w:after="0" w:line="266" w:lineRule="auto"/>
        <w:rPr>
          <w:sz w:val="20"/>
          <w:szCs w:val="20"/>
          <w:color w:val="auto"/>
        </w:rPr>
      </w:pPr>
      <w:r>
        <w:rPr>
          <w:rFonts w:ascii="Times New Roman" w:cs="Times New Roman" w:eastAsia="Times New Roman" w:hAnsi="Times New Roman"/>
          <w:sz w:val="13"/>
          <w:szCs w:val="13"/>
          <w:color w:val="auto"/>
        </w:rPr>
        <w:t>Under certain circumstances, the Code may impose a “generation-skipping transfer tax” when all or part of an annuity contract is transferred to, or a death benefit is paid to, an individual two or more generations younger than the contract owner. Regulations issued under the Code may require us to deduct the tax from your contract, or from any applicable payment, and pay it directly to the IRS.</w:t>
      </w:r>
    </w:p>
    <w:p>
      <w:pPr>
        <w:spacing w:after="0" w:line="12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SECURE 2.0 Act Considerations</w:t>
      </w:r>
    </w:p>
    <w:p>
      <w:pPr>
        <w:spacing w:after="0" w:line="91" w:lineRule="exact"/>
        <w:rPr>
          <w:sz w:val="20"/>
          <w:szCs w:val="20"/>
          <w:color w:val="auto"/>
        </w:rPr>
      </w:pPr>
    </w:p>
    <w:p>
      <w:pPr>
        <w:jc w:val="both"/>
        <w:ind w:left="1" w:right="3179" w:firstLine="265"/>
        <w:spacing w:after="0" w:line="258" w:lineRule="auto"/>
        <w:rPr>
          <w:sz w:val="20"/>
          <w:szCs w:val="20"/>
          <w:color w:val="auto"/>
        </w:rPr>
      </w:pPr>
      <w:r>
        <w:rPr>
          <w:rFonts w:ascii="Times New Roman" w:cs="Times New Roman" w:eastAsia="Times New Roman" w:hAnsi="Times New Roman"/>
          <w:sz w:val="13"/>
          <w:szCs w:val="13"/>
          <w:color w:val="auto"/>
        </w:rPr>
        <w:t>As part of the Consolidated Appropriations Act, 2023, Congress passed the SECURE 2.0 Act of 2022 (the “Act”) which was signed into law on December 29, 2022. The Act includes many provisions updating the Code affecting employer sponsored qualified plans and IRAs, including provisions that become effective immediately and provisions which become effective in later years through 2033. For example, the Act includes provisions affecting required minimum distributions (RMD), certain contribution and other limits affecting IRAs and qualified plans, as well as provisions providing new exceptions to the 10% federal income tax penalty for “early” distributions which may also provide for the ability to recontribute such early distributions to an IRA or qualified plan (subject to the provisions of the Code, the qualified plan/IRA, the Contract and our administrative rules.) This prospectus does not attempt to provide a complete discussion of the Act and its provisions. Individuals should consult with a qualified tax adviser.</w:t>
      </w:r>
    </w:p>
    <w:p>
      <w:pPr>
        <w:spacing w:after="0" w:line="13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Annuity Purchase Payments by Nonresident Aliens and Foreign Entities</w:t>
      </w:r>
    </w:p>
    <w:p>
      <w:pPr>
        <w:spacing w:after="0" w:line="91" w:lineRule="exact"/>
        <w:rPr>
          <w:sz w:val="20"/>
          <w:szCs w:val="20"/>
          <w:color w:val="auto"/>
        </w:rPr>
      </w:pPr>
    </w:p>
    <w:p>
      <w:pPr>
        <w:jc w:val="both"/>
        <w:ind w:left="1" w:right="3179" w:firstLine="265"/>
        <w:spacing w:after="0" w:line="261" w:lineRule="auto"/>
        <w:rPr>
          <w:sz w:val="20"/>
          <w:szCs w:val="20"/>
          <w:color w:val="auto"/>
        </w:rPr>
      </w:pPr>
      <w:r>
        <w:rPr>
          <w:rFonts w:ascii="Times New Roman" w:cs="Times New Roman" w:eastAsia="Times New Roman" w:hAnsi="Times New Roman"/>
          <w:sz w:val="13"/>
          <w:szCs w:val="13"/>
          <w:color w:val="auto"/>
        </w:rPr>
        <w:t>The discussion above provides general information regarding U.S. Federal income tax consequences to annuity purchasers that are U.S. citizens or residents. Purchasers that are not U.S. citizens or residents will generally be subject to U.S. Federal withholding tax on taxable distributions from annuity contracts at a 30% rate, unless a lower treaty rate applies. In addition, purchasers may be subject to state and/or municipal taxes and taxes that may be imposed by the purchaser’s country of citizenship or residence. Prospective purchasers are advised to consult with a qualified tax adviser regarding U.S., state and foreign taxation with respect to an annuity contract purchase.</w:t>
      </w:r>
    </w:p>
    <w:p>
      <w:pPr>
        <w:spacing w:after="0" w:line="372" w:lineRule="exact"/>
        <w:rPr>
          <w:sz w:val="20"/>
          <w:szCs w:val="20"/>
          <w:color w:val="auto"/>
        </w:rPr>
      </w:pPr>
    </w:p>
    <w:p>
      <w:pPr>
        <w:ind w:left="1741"/>
        <w:spacing w:after="0"/>
        <w:rPr>
          <w:sz w:val="20"/>
          <w:szCs w:val="20"/>
          <w:color w:val="auto"/>
        </w:rPr>
      </w:pPr>
      <w:r>
        <w:rPr>
          <w:rFonts w:ascii="Times New Roman" w:cs="Times New Roman" w:eastAsia="Times New Roman" w:hAnsi="Times New Roman"/>
          <w:sz w:val="13"/>
          <w:szCs w:val="13"/>
          <w:b w:val="1"/>
          <w:bCs w:val="1"/>
          <w:color w:val="auto"/>
        </w:rPr>
        <w:t>YOUR RIGHT TO CANCEL (FREE LOOK)</w:t>
      </w:r>
    </w:p>
    <w:p>
      <w:pPr>
        <w:spacing w:after="0" w:line="91" w:lineRule="exact"/>
        <w:rPr>
          <w:sz w:val="20"/>
          <w:szCs w:val="20"/>
          <w:color w:val="auto"/>
        </w:rPr>
      </w:pPr>
    </w:p>
    <w:p>
      <w:pPr>
        <w:jc w:val="both"/>
        <w:ind w:left="1" w:right="3179" w:firstLine="265"/>
        <w:spacing w:after="0" w:line="260" w:lineRule="auto"/>
        <w:rPr>
          <w:sz w:val="20"/>
          <w:szCs w:val="20"/>
          <w:color w:val="auto"/>
        </w:rPr>
      </w:pPr>
      <w:r>
        <w:rPr>
          <w:rFonts w:ascii="Times New Roman" w:cs="Times New Roman" w:eastAsia="Times New Roman" w:hAnsi="Times New Roman"/>
          <w:sz w:val="13"/>
          <w:szCs w:val="13"/>
          <w:color w:val="auto"/>
        </w:rPr>
        <w:t>If you change your mind about owning the Contract, you can cancel it within 10 days after receiving it by mailing or delivering the Contract to either us or the financial professional who sold it. This is known as a “Free Look.” We ask that you submit your request to cancel in writing, signed by you, to us (e.g., the Annuity Service Office) or to the financial professional who sold it. When you cancel the Contract within this Free Look period, we will not assess a Withdrawal Charge. You will receive (i) whatever your Contract is worth on the day we receive your cancellation request (although we will apply an Interim Value calculation), plus (ii) the sum of all fees, taxes and charges deducted from the Purchase Payment during the Free Look</w:t>
      </w:r>
    </w:p>
    <w:p>
      <w:pPr>
        <w:spacing w:after="0" w:line="196" w:lineRule="exact"/>
        <w:rPr>
          <w:sz w:val="20"/>
          <w:szCs w:val="20"/>
          <w:color w:val="auto"/>
        </w:rPr>
      </w:pPr>
    </w:p>
    <w:p>
      <w:pPr>
        <w:ind w:left="2981"/>
        <w:spacing w:after="0"/>
        <w:rPr>
          <w:sz w:val="20"/>
          <w:szCs w:val="20"/>
          <w:color w:val="auto"/>
        </w:rPr>
      </w:pPr>
      <w:r>
        <w:rPr>
          <w:rFonts w:ascii="Times New Roman" w:cs="Times New Roman" w:eastAsia="Times New Roman" w:hAnsi="Times New Roman"/>
          <w:sz w:val="13"/>
          <w:szCs w:val="13"/>
          <w:color w:val="auto"/>
        </w:rPr>
        <w:t>67</w:t>
      </w:r>
    </w:p>
    <w:p>
      <w:pPr>
        <w:sectPr>
          <w:pgSz w:w="11900" w:h="16838" w:orient="portrait"/>
          <w:cols w:equalWidth="0" w:num="1">
            <w:col w:w="9261"/>
          </w:cols>
          <w:pgMar w:left="1199" w:top="1037" w:right="1440" w:bottom="1440" w:gutter="0" w:footer="0" w:header="0"/>
        </w:sectPr>
      </w:pPr>
    </w:p>
    <w:bookmarkStart w:id="69" w:name="page70"/>
    <w:bookmarkEnd w:id="69"/>
    <w:p>
      <w:pPr>
        <w:jc w:val="both"/>
        <w:ind w:right="3199"/>
        <w:spacing w:after="0" w:line="263"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93915" cy="38100"/>
                    </a:xfrm>
                    <a:prstGeom prst="rect">
                      <a:avLst/>
                    </a:prstGeom>
                    <a:noFill/>
                  </pic:spPr>
                </pic:pic>
              </a:graphicData>
            </a:graphic>
          </wp:anchor>
        </w:drawing>
        <w:t>period, as of the effective date of the Free Look, on the Business Day we receive your Contract. The amount you receive for a cancellation request submitted to your financial professional will depend on the day that such request is, in turn, provided to us. The amount you receive may be more or less than your Purchase Payment depending upon the Shield Options you allocated your Purchase Payment to during the Free Look period. This means that you bear the risk of any decline in the Account Value of your Contract during the Free Look period.</w:t>
      </w:r>
    </w:p>
    <w:p>
      <w:pPr>
        <w:spacing w:after="0" w:line="22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3"/>
          <w:szCs w:val="13"/>
          <w:b w:val="1"/>
          <w:bCs w:val="1"/>
          <w:color w:val="auto"/>
        </w:rPr>
        <w:t>OWNERSHIP PROVISIONS</w:t>
      </w:r>
    </w:p>
    <w:p>
      <w:pPr>
        <w:spacing w:after="0" w:line="89" w:lineRule="exact"/>
        <w:rPr>
          <w:sz w:val="20"/>
          <w:szCs w:val="20"/>
          <w:color w:val="auto"/>
        </w:rPr>
      </w:pPr>
    </w:p>
    <w:p>
      <w:pPr>
        <w:jc w:val="both"/>
        <w:ind w:right="3199" w:firstLine="265"/>
        <w:spacing w:after="0" w:line="293" w:lineRule="auto"/>
        <w:rPr>
          <w:sz w:val="20"/>
          <w:szCs w:val="20"/>
          <w:color w:val="auto"/>
        </w:rPr>
      </w:pPr>
      <w:r>
        <w:rPr>
          <w:rFonts w:ascii="Times New Roman" w:cs="Times New Roman" w:eastAsia="Times New Roman" w:hAnsi="Times New Roman"/>
          <w:sz w:val="13"/>
          <w:szCs w:val="13"/>
          <w:b w:val="1"/>
          <w:bCs w:val="1"/>
          <w:color w:val="auto"/>
        </w:rPr>
        <w:t>Owner.</w:t>
      </w:r>
      <w:r>
        <w:rPr>
          <w:rFonts w:ascii="Times New Roman" w:cs="Times New Roman" w:eastAsia="Times New Roman" w:hAnsi="Times New Roman"/>
          <w:sz w:val="13"/>
          <w:szCs w:val="13"/>
          <w:color w:val="auto"/>
        </w:rPr>
        <w:t xml:space="preserve">  You, as the Owner, have all the interest and rights under the Contract. Subject to our administrative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procedures, we may also permit ownership by a corporation (a type of non-natural person) or other legal entity.</w:t>
      </w:r>
    </w:p>
    <w:p>
      <w:pPr>
        <w:spacing w:after="0" w:line="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These rights include the right to:</w:t>
      </w:r>
    </w:p>
    <w:p>
      <w:pPr>
        <w:spacing w:after="0" w:line="118" w:lineRule="exact"/>
        <w:rPr>
          <w:sz w:val="20"/>
          <w:szCs w:val="20"/>
          <w:color w:val="auto"/>
        </w:rPr>
      </w:pPr>
    </w:p>
    <w:p>
      <w:pPr>
        <w:ind w:left="780" w:hanging="517"/>
        <w:spacing w:after="0"/>
        <w:tabs>
          <w:tab w:leader="none" w:pos="78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 the Beneficiary.</w:t>
      </w:r>
    </w:p>
    <w:p>
      <w:pPr>
        <w:spacing w:after="0" w:line="118" w:lineRule="exact"/>
        <w:rPr>
          <w:rFonts w:ascii="Times New Roman" w:cs="Times New Roman" w:eastAsia="Times New Roman" w:hAnsi="Times New Roman"/>
          <w:sz w:val="13"/>
          <w:szCs w:val="13"/>
          <w:color w:val="auto"/>
        </w:rPr>
      </w:pPr>
    </w:p>
    <w:p>
      <w:pPr>
        <w:ind w:left="780" w:right="3499" w:hanging="517"/>
        <w:spacing w:after="0" w:line="290" w:lineRule="auto"/>
        <w:tabs>
          <w:tab w:leader="none" w:pos="78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 the Annuitant before the Annuity Date (subject to our underwriting and administrative rules).</w:t>
      </w:r>
    </w:p>
    <w:p>
      <w:pPr>
        <w:spacing w:after="0" w:line="65" w:lineRule="exact"/>
        <w:rPr>
          <w:rFonts w:ascii="Times New Roman" w:cs="Times New Roman" w:eastAsia="Times New Roman" w:hAnsi="Times New Roman"/>
          <w:sz w:val="13"/>
          <w:szCs w:val="13"/>
          <w:color w:val="auto"/>
        </w:rPr>
      </w:pPr>
    </w:p>
    <w:p>
      <w:pPr>
        <w:ind w:left="780" w:hanging="517"/>
        <w:spacing w:after="0"/>
        <w:tabs>
          <w:tab w:leader="none" w:pos="78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assign the Contract (subject to limitation).</w:t>
      </w:r>
    </w:p>
    <w:p>
      <w:pPr>
        <w:spacing w:after="0" w:line="118" w:lineRule="exact"/>
        <w:rPr>
          <w:rFonts w:ascii="Times New Roman" w:cs="Times New Roman" w:eastAsia="Times New Roman" w:hAnsi="Times New Roman"/>
          <w:sz w:val="13"/>
          <w:szCs w:val="13"/>
          <w:color w:val="auto"/>
        </w:rPr>
      </w:pPr>
    </w:p>
    <w:p>
      <w:pPr>
        <w:ind w:left="780" w:hanging="517"/>
        <w:spacing w:after="0"/>
        <w:tabs>
          <w:tab w:leader="none" w:pos="78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 the Annuity Payments option before the Annuity Date.</w:t>
      </w:r>
    </w:p>
    <w:p>
      <w:pPr>
        <w:spacing w:after="0" w:line="118" w:lineRule="exact"/>
        <w:rPr>
          <w:rFonts w:ascii="Times New Roman" w:cs="Times New Roman" w:eastAsia="Times New Roman" w:hAnsi="Times New Roman"/>
          <w:sz w:val="13"/>
          <w:szCs w:val="13"/>
          <w:color w:val="auto"/>
        </w:rPr>
      </w:pPr>
    </w:p>
    <w:p>
      <w:pPr>
        <w:ind w:left="780" w:hanging="517"/>
        <w:spacing w:after="0"/>
        <w:tabs>
          <w:tab w:leader="none" w:pos="78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exercise all other rights, benefits, options and privileges permitted by the Contract or us.</w:t>
      </w:r>
    </w:p>
    <w:p>
      <w:pPr>
        <w:spacing w:after="0" w:line="89" w:lineRule="exact"/>
        <w:rPr>
          <w:sz w:val="20"/>
          <w:szCs w:val="20"/>
          <w:color w:val="auto"/>
        </w:rPr>
      </w:pPr>
    </w:p>
    <w:p>
      <w:pPr>
        <w:jc w:val="both"/>
        <w:ind w:right="3199" w:firstLine="265"/>
        <w:spacing w:after="0" w:line="272" w:lineRule="auto"/>
        <w:rPr>
          <w:sz w:val="20"/>
          <w:szCs w:val="20"/>
          <w:color w:val="auto"/>
        </w:rPr>
      </w:pPr>
      <w:r>
        <w:rPr>
          <w:rFonts w:ascii="Times New Roman" w:cs="Times New Roman" w:eastAsia="Times New Roman" w:hAnsi="Times New Roman"/>
          <w:sz w:val="13"/>
          <w:szCs w:val="13"/>
          <w:color w:val="auto"/>
        </w:rPr>
        <w:t>The Owner is designated at the time the Contract is issued, unless changed. You may change the Owner at any time. Any change of Owner is subject to the laws, rules or regulations in effect at the time of the request. A change of Owner will automatically revoke any prior designation of the Owner.</w:t>
      </w:r>
    </w:p>
    <w:p>
      <w:pPr>
        <w:spacing w:after="0" w:line="55" w:lineRule="exact"/>
        <w:rPr>
          <w:sz w:val="20"/>
          <w:szCs w:val="20"/>
          <w:color w:val="auto"/>
        </w:rPr>
      </w:pPr>
    </w:p>
    <w:p>
      <w:pPr>
        <w:jc w:val="both"/>
        <w:ind w:right="3199" w:firstLine="265"/>
        <w:spacing w:after="0" w:line="264" w:lineRule="auto"/>
        <w:rPr>
          <w:sz w:val="20"/>
          <w:szCs w:val="20"/>
          <w:color w:val="auto"/>
        </w:rPr>
      </w:pPr>
      <w:r>
        <w:rPr>
          <w:rFonts w:ascii="Times New Roman" w:cs="Times New Roman" w:eastAsia="Times New Roman" w:hAnsi="Times New Roman"/>
          <w:sz w:val="13"/>
          <w:szCs w:val="13"/>
          <w:b w:val="1"/>
          <w:bCs w:val="1"/>
          <w:color w:val="auto"/>
        </w:rPr>
        <w:t>Joint Owner.</w:t>
      </w:r>
      <w:r>
        <w:rPr>
          <w:rFonts w:ascii="Times New Roman" w:cs="Times New Roman" w:eastAsia="Times New Roman" w:hAnsi="Times New Roman"/>
          <w:sz w:val="13"/>
          <w:szCs w:val="13"/>
          <w:color w:val="auto"/>
        </w:rPr>
        <w:t xml:space="preserve">  The Contract can be owned by Joint Owners, limited to natural persons. Either Joint Owner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can exercise all rights under the Contract unless you inform us otherwise in a Notice to us. Upon the death of either Owner, the surviving Joint Owner will be the primary Beneficiary, unless you inform us otherwise. Any other Beneficiary designation will be treated as a contingent Beneficiary unless otherwise indicated on the Contract Schedule or in a Notice to us.</w:t>
      </w:r>
    </w:p>
    <w:p>
      <w:pPr>
        <w:spacing w:after="0" w:line="61" w:lineRule="exact"/>
        <w:rPr>
          <w:sz w:val="20"/>
          <w:szCs w:val="20"/>
          <w:color w:val="auto"/>
        </w:rPr>
      </w:pPr>
    </w:p>
    <w:p>
      <w:pPr>
        <w:jc w:val="both"/>
        <w:ind w:right="3199" w:firstLine="265"/>
        <w:spacing w:after="0" w:line="262" w:lineRule="auto"/>
        <w:rPr>
          <w:sz w:val="20"/>
          <w:szCs w:val="20"/>
          <w:color w:val="auto"/>
        </w:rPr>
      </w:pPr>
      <w:r>
        <w:rPr>
          <w:rFonts w:ascii="Times New Roman" w:cs="Times New Roman" w:eastAsia="Times New Roman" w:hAnsi="Times New Roman"/>
          <w:sz w:val="13"/>
          <w:szCs w:val="13"/>
          <w:b w:val="1"/>
          <w:bCs w:val="1"/>
          <w:color w:val="auto"/>
        </w:rPr>
        <w:t>Annuitant.</w:t>
      </w:r>
      <w:r>
        <w:rPr>
          <w:rFonts w:ascii="Times New Roman" w:cs="Times New Roman" w:eastAsia="Times New Roman" w:hAnsi="Times New Roman"/>
          <w:sz w:val="13"/>
          <w:szCs w:val="13"/>
          <w:color w:val="auto"/>
        </w:rPr>
        <w:t xml:space="preserve">  The Annuitant is the natural person(s) on whose life we base Annuity Payments. The Annuitant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is the person designated by you on the Issue Date. You can change the Annuitant at any time prior to the Annuity Date, unless an Owner is not a natural person. Any reference to Annuitant includes any joint Annuitant under an Annuity Option. The Owner and the Annuitant do not have to be the same person except as required under certain sections of the Code. Any change of the Annuitant is subject to the specified maximum age in effect at the time of the request.</w:t>
      </w:r>
    </w:p>
    <w:p>
      <w:pPr>
        <w:spacing w:after="0" w:line="53" w:lineRule="exact"/>
        <w:rPr>
          <w:sz w:val="20"/>
          <w:szCs w:val="20"/>
          <w:color w:val="auto"/>
        </w:rPr>
      </w:pPr>
    </w:p>
    <w:p>
      <w:pPr>
        <w:jc w:val="both"/>
        <w:ind w:right="3199" w:firstLine="265"/>
        <w:spacing w:after="0" w:line="262" w:lineRule="auto"/>
        <w:rPr>
          <w:sz w:val="20"/>
          <w:szCs w:val="20"/>
          <w:color w:val="auto"/>
        </w:rPr>
      </w:pPr>
      <w:r>
        <w:rPr>
          <w:rFonts w:ascii="Times New Roman" w:cs="Times New Roman" w:eastAsia="Times New Roman" w:hAnsi="Times New Roman"/>
          <w:sz w:val="13"/>
          <w:szCs w:val="13"/>
          <w:b w:val="1"/>
          <w:bCs w:val="1"/>
          <w:color w:val="auto"/>
        </w:rPr>
        <w:t>Beneficiary.</w:t>
      </w:r>
      <w:r>
        <w:rPr>
          <w:rFonts w:ascii="Times New Roman" w:cs="Times New Roman" w:eastAsia="Times New Roman" w:hAnsi="Times New Roman"/>
          <w:sz w:val="13"/>
          <w:szCs w:val="13"/>
          <w:color w:val="auto"/>
        </w:rPr>
        <w:t xml:space="preserve">  The person(s) or entity(ies) you name to receive a death benefit payable under the Contract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upon the death of the Owner or a Joint Owner, or in certain circumstances, an Annuitant. The Beneficiary is named at the time the Contract is issued unless changed at a later date. Unless an irrevocable Beneficiary has been named, you can change the Beneficiary at any time before you die by filing a Notice with us. If Joint Owners are named, and unless you tell us otherwise, the surviving Joint Owner will be the primary Beneficiary. Any other primary Beneficiary designation will be treated as the contingent Beneficiary.</w:t>
      </w:r>
    </w:p>
    <w:p>
      <w:pPr>
        <w:spacing w:after="0" w:line="53" w:lineRule="exact"/>
        <w:rPr>
          <w:sz w:val="20"/>
          <w:szCs w:val="20"/>
          <w:color w:val="auto"/>
        </w:rPr>
      </w:pPr>
    </w:p>
    <w:p>
      <w:pPr>
        <w:jc w:val="both"/>
        <w:ind w:right="3199" w:firstLine="265"/>
        <w:spacing w:after="0" w:line="259" w:lineRule="auto"/>
        <w:rPr>
          <w:sz w:val="20"/>
          <w:szCs w:val="20"/>
          <w:color w:val="auto"/>
        </w:rPr>
      </w:pPr>
      <w:r>
        <w:rPr>
          <w:rFonts w:ascii="Times New Roman" w:cs="Times New Roman" w:eastAsia="Times New Roman" w:hAnsi="Times New Roman"/>
          <w:sz w:val="13"/>
          <w:szCs w:val="13"/>
          <w:b w:val="1"/>
          <w:bCs w:val="1"/>
          <w:color w:val="auto"/>
        </w:rPr>
        <w:t>Assignment.</w:t>
      </w:r>
      <w:r>
        <w:rPr>
          <w:rFonts w:ascii="Times New Roman" w:cs="Times New Roman" w:eastAsia="Times New Roman" w:hAnsi="Times New Roman"/>
          <w:sz w:val="13"/>
          <w:szCs w:val="13"/>
          <w:color w:val="auto"/>
        </w:rPr>
        <w:t xml:space="preserve">  You may assign your rights under the Contract unless restricted by the Code or other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applicable NY law. For example, in certain tax markets, assignment of the Contract is prohibited by the Code. If the Contract is assigned absolutely, we will treat it as a change of ownership and all rights will be transferred. We are not bound by any assignment unless it is in writing and until it is received at our Annuity Service Office. We assume no responsibility for the validity or effect of any assignment. We will not be liable for any payment or other action we take in accordance with the Contract before we receive the assignment. Assignments will be effective as of the date the written notice of assignment was signed subject to all payments made and actions taken by us before a copy of the signed assignment form is received by us at our Annuity Service Office. You should consult your tax advisor regarding the tax consequences of an assignment. </w:t>
      </w:r>
      <w:r>
        <w:rPr>
          <w:rFonts w:ascii="Times New Roman" w:cs="Times New Roman" w:eastAsia="Times New Roman" w:hAnsi="Times New Roman"/>
          <w:sz w:val="13"/>
          <w:szCs w:val="13"/>
          <w:b w:val="1"/>
          <w:bCs w:val="1"/>
          <w:color w:val="auto"/>
        </w:rPr>
        <w:t>An assignment may be a taxable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event.</w:t>
      </w:r>
    </w:p>
    <w:p>
      <w:pPr>
        <w:spacing w:after="0" w:line="37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ABANDONED PROPERTY REQUIREMENTS</w:t>
      </w:r>
    </w:p>
    <w:p>
      <w:pPr>
        <w:spacing w:after="0" w:line="91" w:lineRule="exact"/>
        <w:rPr>
          <w:sz w:val="20"/>
          <w:szCs w:val="20"/>
          <w:color w:val="auto"/>
        </w:rPr>
      </w:pPr>
    </w:p>
    <w:p>
      <w:pPr>
        <w:jc w:val="both"/>
        <w:ind w:right="3199" w:firstLine="265"/>
        <w:spacing w:after="0" w:line="260" w:lineRule="auto"/>
        <w:rPr>
          <w:sz w:val="20"/>
          <w:szCs w:val="20"/>
          <w:color w:val="auto"/>
        </w:rPr>
      </w:pPr>
      <w:r>
        <w:rPr>
          <w:rFonts w:ascii="Times New Roman" w:cs="Times New Roman" w:eastAsia="Times New Roman" w:hAnsi="Times New Roman"/>
          <w:sz w:val="13"/>
          <w:szCs w:val="13"/>
          <w:color w:val="auto"/>
        </w:rPr>
        <w:t>Every state has unclaimed property laws that generally declare non-ERISA annuity contracts to be abandoned after a period of inactivity of three to five years from the contract’s maturity date, the date the death benefit is due and payable, or such other date as required by New York law. Contracts purchased through certain qualified plans, including IRAs and Roth IRAs, may be subject to special or additional abandoned property rules under New York law. For example, if the payment of a death benefit has been triggered, but, if after a thorough search, we are still unable to locate the Beneficiary of the death benefit, or the Beneficiary does not come forward to claim the death benefit in a timely manner, the death benefit will be paid</w:t>
      </w:r>
    </w:p>
    <w:p>
      <w:pPr>
        <w:spacing w:after="0" w:line="18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color w:val="auto"/>
        </w:rPr>
        <w:t>68</w:t>
      </w:r>
    </w:p>
    <w:p>
      <w:pPr>
        <w:sectPr>
          <w:pgSz w:w="11900" w:h="16838" w:orient="portrait"/>
          <w:cols w:equalWidth="0" w:num="1">
            <w:col w:w="9259"/>
          </w:cols>
          <w:pgMar w:left="1200" w:top="1049" w:right="1440" w:bottom="1440" w:gutter="0" w:footer="0" w:header="0"/>
        </w:sectPr>
      </w:pPr>
    </w:p>
    <w:bookmarkStart w:id="70" w:name="page71"/>
    <w:bookmarkEnd w:id="70"/>
    <w:p>
      <w:pPr>
        <w:jc w:val="both"/>
        <w:ind w:right="3199"/>
        <w:spacing w:after="0" w:line="26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93915" cy="38100"/>
                    </a:xfrm>
                    <a:prstGeom prst="rect">
                      <a:avLst/>
                    </a:prstGeom>
                    <a:noFill/>
                  </pic:spPr>
                </pic:pic>
              </a:graphicData>
            </a:graphic>
          </wp:anchor>
        </w:drawing>
        <w:t>to the abandoned property division or unclaimed property office of the state in which the Beneficiary or you last resided, as shown on our books and records, or to our state of domicile. (Escheatment is the formal, legal name for this process.) However, the state is obligated to pay the death benefit (without interest) if your Beneficiary steps forward to claim it with the proper documentation. To prevent your Contract’s proceeds from being paid to the state abandoned or unclaimed property office, it is important that you update your Beneficiary designations, including addresses, if and as they change. Please call 1-888-243-1932 to make such changes.</w:t>
      </w:r>
    </w:p>
    <w:p>
      <w:pPr>
        <w:spacing w:after="0" w:line="2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3"/>
          <w:szCs w:val="13"/>
          <w:b w:val="1"/>
          <w:bCs w:val="1"/>
          <w:color w:val="auto"/>
        </w:rPr>
        <w:t>SUSPENSION OF PAYMENTS OR TRANSFERS</w:t>
      </w:r>
    </w:p>
    <w:p>
      <w:pPr>
        <w:spacing w:after="0" w:line="91" w:lineRule="exact"/>
        <w:rPr>
          <w:sz w:val="20"/>
          <w:szCs w:val="20"/>
          <w:color w:val="auto"/>
        </w:rPr>
      </w:pPr>
    </w:p>
    <w:p>
      <w:pPr>
        <w:jc w:val="both"/>
        <w:ind w:right="3199" w:firstLine="265"/>
        <w:spacing w:after="0" w:line="290" w:lineRule="auto"/>
        <w:rPr>
          <w:sz w:val="20"/>
          <w:szCs w:val="20"/>
          <w:color w:val="auto"/>
        </w:rPr>
      </w:pPr>
      <w:r>
        <w:rPr>
          <w:rFonts w:ascii="Times New Roman" w:cs="Times New Roman" w:eastAsia="Times New Roman" w:hAnsi="Times New Roman"/>
          <w:sz w:val="13"/>
          <w:szCs w:val="13"/>
          <w:color w:val="auto"/>
        </w:rPr>
        <w:t>We may be required to suspend or delay the payment of death benefits and the calculation of Annuity Payments, withdrawals and transfers when we cannot obtain an Index Value under the following circumstances:</w:t>
      </w:r>
    </w:p>
    <w:p>
      <w:pPr>
        <w:spacing w:after="0" w:line="65" w:lineRule="exact"/>
        <w:rPr>
          <w:sz w:val="20"/>
          <w:szCs w:val="20"/>
          <w:color w:val="auto"/>
        </w:rPr>
      </w:pPr>
    </w:p>
    <w:p>
      <w:pPr>
        <w:ind w:left="780" w:hanging="517"/>
        <w:spacing w:after="0"/>
        <w:tabs>
          <w:tab w:leader="none" w:pos="78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NYSE is closed (other than customary weekend and holiday closings);</w:t>
      </w:r>
    </w:p>
    <w:p>
      <w:pPr>
        <w:spacing w:after="0" w:line="118" w:lineRule="exact"/>
        <w:rPr>
          <w:rFonts w:ascii="Times New Roman" w:cs="Times New Roman" w:eastAsia="Times New Roman" w:hAnsi="Times New Roman"/>
          <w:sz w:val="13"/>
          <w:szCs w:val="13"/>
          <w:color w:val="auto"/>
        </w:rPr>
      </w:pPr>
    </w:p>
    <w:p>
      <w:pPr>
        <w:ind w:left="780" w:hanging="517"/>
        <w:spacing w:after="0"/>
        <w:tabs>
          <w:tab w:leader="none" w:pos="78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trading on the NYSE is restricted;</w:t>
      </w:r>
    </w:p>
    <w:p>
      <w:pPr>
        <w:spacing w:after="0" w:line="118" w:lineRule="exact"/>
        <w:rPr>
          <w:rFonts w:ascii="Times New Roman" w:cs="Times New Roman" w:eastAsia="Times New Roman" w:hAnsi="Times New Roman"/>
          <w:sz w:val="13"/>
          <w:szCs w:val="13"/>
          <w:color w:val="auto"/>
        </w:rPr>
      </w:pPr>
    </w:p>
    <w:p>
      <w:pPr>
        <w:ind w:left="780" w:hanging="517"/>
        <w:spacing w:after="0"/>
        <w:tabs>
          <w:tab w:leader="none" w:pos="78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emergency exists such that we cannot value Investment Amounts; or</w:t>
      </w:r>
    </w:p>
    <w:p>
      <w:pPr>
        <w:spacing w:after="0" w:line="118" w:lineRule="exact"/>
        <w:rPr>
          <w:rFonts w:ascii="Times New Roman" w:cs="Times New Roman" w:eastAsia="Times New Roman" w:hAnsi="Times New Roman"/>
          <w:sz w:val="13"/>
          <w:szCs w:val="13"/>
          <w:color w:val="auto"/>
        </w:rPr>
      </w:pPr>
    </w:p>
    <w:p>
      <w:pPr>
        <w:ind w:left="780" w:hanging="517"/>
        <w:spacing w:after="0"/>
        <w:tabs>
          <w:tab w:leader="none" w:pos="78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any other period when a regulator by order, so permits.</w:t>
      </w:r>
    </w:p>
    <w:p>
      <w:pPr>
        <w:spacing w:after="0" w:line="24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b w:val="1"/>
          <w:bCs w:val="1"/>
          <w:color w:val="auto"/>
        </w:rPr>
        <w:t>WHEN WE CAN CANCEL YOUR CONTRACT</w:t>
      </w:r>
    </w:p>
    <w:p>
      <w:pPr>
        <w:spacing w:after="0" w:line="101" w:lineRule="exact"/>
        <w:rPr>
          <w:sz w:val="20"/>
          <w:szCs w:val="20"/>
          <w:color w:val="auto"/>
        </w:rPr>
      </w:pPr>
    </w:p>
    <w:p>
      <w:pPr>
        <w:jc w:val="both"/>
        <w:ind w:right="3199" w:firstLine="265"/>
        <w:spacing w:after="0" w:line="259" w:lineRule="auto"/>
        <w:rPr>
          <w:sz w:val="20"/>
          <w:szCs w:val="20"/>
          <w:color w:val="auto"/>
        </w:rPr>
      </w:pPr>
      <w:r>
        <w:rPr>
          <w:rFonts w:ascii="Times New Roman" w:cs="Times New Roman" w:eastAsia="Times New Roman" w:hAnsi="Times New Roman"/>
          <w:sz w:val="13"/>
          <w:szCs w:val="13"/>
          <w:color w:val="auto"/>
        </w:rPr>
        <w:t>We may terminate your Contract by paying you the Account Value in one sum if, prior to the Annuity Date the Minimum Account Value after any partial withdrawal is less than $2,000 or any lower amount required by Federal tax laws. Accordingly, no Contract will be terminated due solely to negative Index Performance. We will only do so to the extent allowed by law. If we do so, we will return the full Account Value. Federal tax law may impose additional restrictions on our right to cancel your Traditional IRA or Roth IRA Contract. We will not</w:t>
      </w:r>
    </w:p>
    <w:tbl>
      <w:tblPr>
        <w:tblLayout w:type="fixed"/>
        <w:tblInd w:w="0" w:type="dxa"/>
        <w:tblCellMar>
          <w:top w:w="0" w:type="dxa"/>
          <w:left w:w="0" w:type="dxa"/>
          <w:bottom w:w="0" w:type="dxa"/>
          <w:right w:w="0" w:type="dxa"/>
        </w:tblCellMar>
      </w:tblPr>
      <w:tr>
        <w:trPr>
          <w:trHeight w:val="129"/>
        </w:trPr>
        <w:tc>
          <w:tcPr>
            <w:tcW w:w="102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terminate any</w:t>
            </w:r>
          </w:p>
        </w:tc>
        <w:tc>
          <w:tcPr>
            <w:tcW w:w="5040" w:type="dxa"/>
            <w:vAlign w:val="bottom"/>
            <w:gridSpan w:val="4"/>
          </w:tcPr>
          <w:p>
            <w:pPr>
              <w:jc w:val="right"/>
              <w:spacing w:after="0" w:line="129" w:lineRule="exact"/>
              <w:rPr>
                <w:sz w:val="20"/>
                <w:szCs w:val="20"/>
                <w:color w:val="auto"/>
              </w:rPr>
            </w:pPr>
            <w:r>
              <w:rPr>
                <w:rFonts w:ascii="Times New Roman" w:cs="Times New Roman" w:eastAsia="Times New Roman" w:hAnsi="Times New Roman"/>
                <w:sz w:val="13"/>
                <w:szCs w:val="13"/>
                <w:color w:val="auto"/>
              </w:rPr>
              <w:t>Contract if at the time the termination would otherwise occur the guaranteed amount under any</w:t>
            </w:r>
          </w:p>
        </w:tc>
      </w:tr>
      <w:tr>
        <w:trPr>
          <w:trHeight w:val="20"/>
        </w:trPr>
        <w:tc>
          <w:tcPr>
            <w:tcW w:w="10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139"/>
        </w:trPr>
        <w:tc>
          <w:tcPr>
            <w:tcW w:w="1980" w:type="dxa"/>
            <w:vAlign w:val="bottom"/>
            <w:gridSpan w:val="3"/>
          </w:tcPr>
          <w:p>
            <w:pPr>
              <w:spacing w:after="0" w:line="139" w:lineRule="exact"/>
              <w:rPr>
                <w:sz w:val="20"/>
                <w:szCs w:val="20"/>
                <w:color w:val="auto"/>
              </w:rPr>
            </w:pPr>
            <w:r>
              <w:rPr>
                <w:rFonts w:ascii="Times New Roman" w:cs="Times New Roman" w:eastAsia="Times New Roman" w:hAnsi="Times New Roman"/>
                <w:sz w:val="13"/>
                <w:szCs w:val="13"/>
                <w:color w:val="auto"/>
              </w:rPr>
              <w:t>death benefit is greater than the</w:t>
            </w:r>
          </w:p>
        </w:tc>
        <w:tc>
          <w:tcPr>
            <w:tcW w:w="408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3"/>
                <w:szCs w:val="13"/>
                <w:color w:val="auto"/>
              </w:rPr>
              <w:t>Account Value. For all other Contracts, we reserve the right to exercise this</w:t>
            </w:r>
          </w:p>
        </w:tc>
      </w:tr>
      <w:tr>
        <w:trPr>
          <w:trHeight w:val="20"/>
        </w:trPr>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bl>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termination provision, subject to obtaining any required regulatory approvals.</w:t>
      </w:r>
    </w:p>
    <w:p>
      <w:pPr>
        <w:spacing w:after="0" w:line="25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3"/>
          <w:szCs w:val="13"/>
          <w:b w:val="1"/>
          <w:bCs w:val="1"/>
          <w:color w:val="auto"/>
        </w:rPr>
        <w:t>THE INSURANCE COMPANY</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Brighthouse Life Insurance Company of NY</w:t>
      </w:r>
    </w:p>
    <w:p>
      <w:pPr>
        <w:spacing w:after="0" w:line="91" w:lineRule="exact"/>
        <w:rPr>
          <w:sz w:val="20"/>
          <w:szCs w:val="20"/>
          <w:color w:val="auto"/>
        </w:rPr>
      </w:pPr>
    </w:p>
    <w:p>
      <w:pPr>
        <w:jc w:val="both"/>
        <w:ind w:right="3199" w:firstLine="265"/>
        <w:spacing w:after="0" w:line="263" w:lineRule="auto"/>
        <w:rPr>
          <w:sz w:val="20"/>
          <w:szCs w:val="20"/>
          <w:color w:val="auto"/>
        </w:rPr>
      </w:pPr>
      <w:r>
        <w:rPr>
          <w:rFonts w:ascii="Times New Roman" w:cs="Times New Roman" w:eastAsia="Times New Roman" w:hAnsi="Times New Roman"/>
          <w:sz w:val="13"/>
          <w:szCs w:val="13"/>
          <w:color w:val="auto"/>
        </w:rPr>
        <w:t>BLNY is a stock life insurance company organized under the laws of the State of New York in 1992. BLNY is licensed to do business only in the State of New York. BLNY is a wholly-owned subsidiary of, and controlled by, Brighthouse Life Insurance Company (“BLIC”). BLIC is an indirect, wholly-owned subsidiary of, and ultimately controlled by, Brighthouse Financial, Inc. (“BHF”), a publicly-traded company. BHF, through its subsidiaries and affiliates, is one of the largest providers of annuities and life insurance in the U.S.</w:t>
      </w:r>
    </w:p>
    <w:p>
      <w:pPr>
        <w:spacing w:after="0" w:line="54" w:lineRule="exact"/>
        <w:rPr>
          <w:sz w:val="20"/>
          <w:szCs w:val="20"/>
          <w:color w:val="auto"/>
        </w:rPr>
      </w:pPr>
    </w:p>
    <w:p>
      <w:pPr>
        <w:jc w:val="both"/>
        <w:ind w:right="3199" w:firstLine="265"/>
        <w:spacing w:after="0" w:line="272" w:lineRule="auto"/>
        <w:rPr>
          <w:sz w:val="20"/>
          <w:szCs w:val="20"/>
          <w:color w:val="auto"/>
        </w:rPr>
      </w:pPr>
      <w:r>
        <w:rPr>
          <w:rFonts w:ascii="Times New Roman" w:cs="Times New Roman" w:eastAsia="Times New Roman" w:hAnsi="Times New Roman"/>
          <w:sz w:val="13"/>
          <w:szCs w:val="13"/>
          <w:color w:val="auto"/>
        </w:rPr>
        <w:t>BLNY’s executive offices are located at 285 Madison Avenue, New York, NY 10017. Unless we designate a different office, the office that administers your Contract is located at P.O. Box 305075, Nashville, TN, 37230-5075.</w:t>
      </w:r>
    </w:p>
    <w:p>
      <w:pPr>
        <w:spacing w:after="0" w:line="204"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3"/>
          <w:szCs w:val="13"/>
          <w:b w:val="1"/>
          <w:bCs w:val="1"/>
          <w:color w:val="auto"/>
        </w:rPr>
        <w:t>THE SEPARATE ACCOUNT</w:t>
      </w:r>
    </w:p>
    <w:p>
      <w:pPr>
        <w:spacing w:after="0" w:line="91" w:lineRule="exact"/>
        <w:rPr>
          <w:sz w:val="20"/>
          <w:szCs w:val="20"/>
          <w:color w:val="auto"/>
        </w:rPr>
      </w:pPr>
    </w:p>
    <w:p>
      <w:pPr>
        <w:jc w:val="both"/>
        <w:ind w:right="3199" w:firstLine="265"/>
        <w:spacing w:after="0" w:line="257" w:lineRule="auto"/>
        <w:rPr>
          <w:sz w:val="20"/>
          <w:szCs w:val="20"/>
          <w:color w:val="auto"/>
        </w:rPr>
      </w:pPr>
      <w:r>
        <w:rPr>
          <w:rFonts w:ascii="Times New Roman" w:cs="Times New Roman" w:eastAsia="Times New Roman" w:hAnsi="Times New Roman"/>
          <w:sz w:val="13"/>
          <w:szCs w:val="13"/>
          <w:color w:val="auto"/>
        </w:rPr>
        <w:t>The assets of the Separate Account are held in our name on behalf of the Separate Account and legally belong to us. We are obligated to pay all money we owe under the Contracts—such as death benefits and Annuity Payments—and these obligations are subject to our claims-paying ability. These amounts are not guaranteed by any other party. If the obligation exceeds the assets of the Separate Account, amounts will be transferred to the Separate Account from the General Account. We guarantee all benefits relating to your value in the Shield Option, regardless of whether assets supporting the Shield Option are held in a separate account or our General Account. An owner should look to the financial strength of BLNY for its claims-paying ability. We issue other annuity contracts and life insurance policies where we pay all money we owe under those contracts and policies from our General Account. The Separate Account is non-insulated, meaning that all of the assets of the Separate Account are chargeable with the claims of any of our contract owners and are subject to the liabilities arising from any of our other business. BLNY is regulated as an insurance company under state law, which includes, generally, limits on the amount and type of investments in its General Account. However, there is no guarantee that we will be able to meet our claims paying obligations; there are risks to purchasing any insurance product.</w:t>
      </w:r>
    </w:p>
    <w:p>
      <w:pPr>
        <w:spacing w:after="0" w:line="62" w:lineRule="exact"/>
        <w:rPr>
          <w:sz w:val="20"/>
          <w:szCs w:val="20"/>
          <w:color w:val="auto"/>
        </w:rPr>
      </w:pPr>
    </w:p>
    <w:p>
      <w:pPr>
        <w:jc w:val="both"/>
        <w:ind w:right="3199" w:firstLine="265"/>
        <w:spacing w:after="0" w:line="266" w:lineRule="auto"/>
        <w:rPr>
          <w:sz w:val="20"/>
          <w:szCs w:val="20"/>
          <w:color w:val="auto"/>
        </w:rPr>
      </w:pPr>
      <w:r>
        <w:rPr>
          <w:rFonts w:ascii="Times New Roman" w:cs="Times New Roman" w:eastAsia="Times New Roman" w:hAnsi="Times New Roman"/>
          <w:sz w:val="13"/>
          <w:szCs w:val="13"/>
          <w:color w:val="auto"/>
        </w:rPr>
        <w:t>A Purchase Payment made to the Shield Options of the Contract is allocated to the Separate Account. We have exclusive and absolute ownership and control of the assets of the Separate Account. It is a non-unitized separate account. You do not share in the investment performance of assets allocated to the Separate Account. All investment income, gains and losses,</w:t>
      </w:r>
    </w:p>
    <w:p>
      <w:pPr>
        <w:spacing w:after="0" w:line="19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color w:val="auto"/>
        </w:rPr>
        <w:t>69</w:t>
      </w:r>
    </w:p>
    <w:p>
      <w:pPr>
        <w:sectPr>
          <w:pgSz w:w="11900" w:h="16838" w:orient="portrait"/>
          <w:cols w:equalWidth="0" w:num="1">
            <w:col w:w="9259"/>
          </w:cols>
          <w:pgMar w:left="1200" w:top="1049" w:right="1440" w:bottom="1440" w:gutter="0" w:footer="0" w:header="0"/>
        </w:sectPr>
      </w:pPr>
    </w:p>
    <w:bookmarkStart w:id="71" w:name="page72"/>
    <w:bookmarkEnd w:id="71"/>
    <w:p>
      <w:pPr>
        <w:jc w:val="both"/>
        <w:ind w:right="3199"/>
        <w:spacing w:after="0" w:line="29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93915" cy="38100"/>
                    </a:xfrm>
                    <a:prstGeom prst="rect">
                      <a:avLst/>
                    </a:prstGeom>
                    <a:noFill/>
                  </pic:spPr>
                </pic:pic>
              </a:graphicData>
            </a:graphic>
          </wp:anchor>
        </w:drawing>
        <w:t>whether or not realized, from assets allocated to the Separate Account are borne by BLNY. The obligations under the Contract are independent of the investment performance of the Separate Account and are our obligations.</w:t>
      </w:r>
    </w:p>
    <w:p>
      <w:pPr>
        <w:spacing w:after="0" w:line="45" w:lineRule="exact"/>
        <w:rPr>
          <w:sz w:val="20"/>
          <w:szCs w:val="20"/>
          <w:color w:val="auto"/>
        </w:rPr>
      </w:pPr>
    </w:p>
    <w:p>
      <w:pPr>
        <w:jc w:val="both"/>
        <w:ind w:right="3199" w:firstLine="265"/>
        <w:spacing w:after="0" w:line="290" w:lineRule="auto"/>
        <w:rPr>
          <w:sz w:val="20"/>
          <w:szCs w:val="20"/>
          <w:color w:val="auto"/>
        </w:rPr>
      </w:pPr>
      <w:r>
        <w:rPr>
          <w:rFonts w:ascii="Times New Roman" w:cs="Times New Roman" w:eastAsia="Times New Roman" w:hAnsi="Times New Roman"/>
          <w:sz w:val="13"/>
          <w:szCs w:val="13"/>
          <w:color w:val="auto"/>
        </w:rPr>
        <w:t>We will maintain in the Separate Account assets with an aggregate value at least equal to the reserves for all contracts allocated under the Separate Account.</w:t>
      </w:r>
    </w:p>
    <w:p>
      <w:pPr>
        <w:spacing w:after="0" w:line="36" w:lineRule="exact"/>
        <w:rPr>
          <w:sz w:val="20"/>
          <w:szCs w:val="20"/>
          <w:color w:val="auto"/>
        </w:rPr>
      </w:pPr>
    </w:p>
    <w:p>
      <w:pPr>
        <w:jc w:val="both"/>
        <w:ind w:right="3199" w:firstLine="265"/>
        <w:spacing w:after="0" w:line="266" w:lineRule="auto"/>
        <w:rPr>
          <w:sz w:val="20"/>
          <w:szCs w:val="20"/>
          <w:color w:val="auto"/>
        </w:rPr>
      </w:pPr>
      <w:r>
        <w:rPr>
          <w:rFonts w:ascii="Times New Roman" w:cs="Times New Roman" w:eastAsia="Times New Roman" w:hAnsi="Times New Roman"/>
          <w:sz w:val="13"/>
          <w:szCs w:val="13"/>
          <w:color w:val="auto"/>
        </w:rPr>
        <w:t>If the aggregate value of such assets in the Separate Account should fall below such amount, we will transfer assets into the Separate Account so that the value of the Separate Account’s assets is at least equal to such amount. Assets supporting reserves for annuity benefits under such contracts, in the course of payment, are supported by BLNY’s General Account and will not be maintained in the Separate Account.</w:t>
      </w:r>
    </w:p>
    <w:p>
      <w:pPr>
        <w:spacing w:after="0" w:line="218"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3"/>
          <w:szCs w:val="13"/>
          <w:b w:val="1"/>
          <w:bCs w:val="1"/>
          <w:color w:val="auto"/>
        </w:rPr>
        <w:t>INVESTMENTS BY BLNY</w:t>
      </w:r>
    </w:p>
    <w:p>
      <w:pPr>
        <w:spacing w:after="0" w:line="101" w:lineRule="exact"/>
        <w:rPr>
          <w:sz w:val="20"/>
          <w:szCs w:val="20"/>
          <w:color w:val="auto"/>
        </w:rPr>
      </w:pPr>
    </w:p>
    <w:p>
      <w:pPr>
        <w:jc w:val="both"/>
        <w:ind w:right="3199" w:firstLine="265"/>
        <w:spacing w:after="0" w:line="263" w:lineRule="auto"/>
        <w:rPr>
          <w:sz w:val="20"/>
          <w:szCs w:val="20"/>
          <w:color w:val="auto"/>
        </w:rPr>
      </w:pPr>
      <w:r>
        <w:rPr>
          <w:rFonts w:ascii="Times New Roman" w:cs="Times New Roman" w:eastAsia="Times New Roman" w:hAnsi="Times New Roman"/>
          <w:sz w:val="13"/>
          <w:szCs w:val="13"/>
          <w:color w:val="auto"/>
        </w:rPr>
        <w:t>We must invest our assets, including those in the Separate Account, according to New York state law regarding the nature, quality and diversification of investments that may be made by life insurance companies. In general, these laws permit investments, within specified limits and subject to certain qualifications, in Federal, state and municipal obligations, corporate bonds, preferred and common stocks, real estate mortgages, real estate and certain other investments.</w:t>
      </w:r>
    </w:p>
    <w:p>
      <w:pPr>
        <w:spacing w:after="0" w:line="21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3"/>
          <w:szCs w:val="13"/>
          <w:b w:val="1"/>
          <w:bCs w:val="1"/>
          <w:color w:val="auto"/>
        </w:rPr>
        <w:t>ANNUAL STATEMENT</w:t>
      </w:r>
    </w:p>
    <w:p>
      <w:pPr>
        <w:spacing w:after="0" w:line="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At least once each calendar year, we will send you a statement that will show:</w:t>
      </w:r>
    </w:p>
    <w:p>
      <w:pPr>
        <w:spacing w:after="0" w:line="108" w:lineRule="exact"/>
        <w:rPr>
          <w:sz w:val="20"/>
          <w:szCs w:val="20"/>
          <w:color w:val="auto"/>
        </w:rPr>
      </w:pPr>
    </w:p>
    <w:p>
      <w:pPr>
        <w:ind w:left="780" w:hanging="517"/>
        <w:spacing w:after="0"/>
        <w:tabs>
          <w:tab w:leader="none" w:pos="78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your Account Value;</w:t>
      </w:r>
    </w:p>
    <w:p>
      <w:pPr>
        <w:spacing w:after="0" w:line="118" w:lineRule="exact"/>
        <w:rPr>
          <w:rFonts w:ascii="Times New Roman" w:cs="Times New Roman" w:eastAsia="Times New Roman" w:hAnsi="Times New Roman"/>
          <w:sz w:val="13"/>
          <w:szCs w:val="13"/>
          <w:color w:val="auto"/>
        </w:rPr>
      </w:pPr>
    </w:p>
    <w:p>
      <w:pPr>
        <w:ind w:left="780" w:hanging="517"/>
        <w:spacing w:after="0"/>
        <w:tabs>
          <w:tab w:leader="none" w:pos="78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transactions regarding your Contract during the year; and</w:t>
      </w:r>
    </w:p>
    <w:p>
      <w:pPr>
        <w:spacing w:after="0" w:line="118" w:lineRule="exact"/>
        <w:rPr>
          <w:rFonts w:ascii="Times New Roman" w:cs="Times New Roman" w:eastAsia="Times New Roman" w:hAnsi="Times New Roman"/>
          <w:sz w:val="13"/>
          <w:szCs w:val="13"/>
          <w:color w:val="auto"/>
        </w:rPr>
      </w:pPr>
    </w:p>
    <w:p>
      <w:pPr>
        <w:ind w:left="780" w:hanging="517"/>
        <w:spacing w:after="0"/>
        <w:tabs>
          <w:tab w:leader="none" w:pos="78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Investment Amount and interest credited to your Contract.</w:t>
      </w:r>
    </w:p>
    <w:p>
      <w:pPr>
        <w:spacing w:after="0" w:line="89" w:lineRule="exact"/>
        <w:rPr>
          <w:sz w:val="20"/>
          <w:szCs w:val="20"/>
          <w:color w:val="auto"/>
        </w:rPr>
      </w:pPr>
    </w:p>
    <w:p>
      <w:pPr>
        <w:jc w:val="both"/>
        <w:ind w:right="3199" w:firstLine="265"/>
        <w:spacing w:after="0" w:line="272" w:lineRule="auto"/>
        <w:rPr>
          <w:sz w:val="20"/>
          <w:szCs w:val="20"/>
          <w:color w:val="auto"/>
        </w:rPr>
      </w:pPr>
      <w:r>
        <w:rPr>
          <w:rFonts w:ascii="Times New Roman" w:cs="Times New Roman" w:eastAsia="Times New Roman" w:hAnsi="Times New Roman"/>
          <w:sz w:val="13"/>
          <w:szCs w:val="13"/>
          <w:color w:val="auto"/>
        </w:rPr>
        <w:t>Such statements will be sent to your last known address on our records. You will have sixty (60) days from the date you receive such statement to inform us of any errors, otherwise such statement will be deemed final and correct.</w:t>
      </w:r>
    </w:p>
    <w:p>
      <w:pPr>
        <w:spacing w:after="0" w:line="20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3"/>
          <w:szCs w:val="13"/>
          <w:b w:val="1"/>
          <w:bCs w:val="1"/>
          <w:color w:val="auto"/>
        </w:rPr>
        <w:t>DISTRIBUTION OF THE CONTRACTS</w:t>
      </w:r>
    </w:p>
    <w:p>
      <w:pPr>
        <w:spacing w:after="0" w:line="91" w:lineRule="exact"/>
        <w:rPr>
          <w:sz w:val="20"/>
          <w:szCs w:val="20"/>
          <w:color w:val="auto"/>
        </w:rPr>
      </w:pPr>
    </w:p>
    <w:p>
      <w:pPr>
        <w:jc w:val="both"/>
        <w:ind w:right="3199" w:firstLine="265"/>
        <w:spacing w:after="0" w:line="259" w:lineRule="auto"/>
        <w:rPr>
          <w:sz w:val="20"/>
          <w:szCs w:val="20"/>
          <w:color w:val="auto"/>
        </w:rPr>
      </w:pPr>
      <w:r>
        <w:rPr>
          <w:rFonts w:ascii="Times New Roman" w:cs="Times New Roman" w:eastAsia="Times New Roman" w:hAnsi="Times New Roman"/>
          <w:sz w:val="13"/>
          <w:szCs w:val="13"/>
          <w:color w:val="auto"/>
        </w:rPr>
        <w:t xml:space="preserve">Brighthouse Securities, LLC (“Brighthouse Securities”) is the principal underwriter and distributor of the securities offered through this prospectus. Brighthouse Securities is our affiliate and its principal executive offices are located at 11225 North Community House Road, Charlotte, NC 28277. Both we and Brighthouse Securities are indirect, wholly owned subsidiaries of BHF. Brighthouse Securities is a member of the Financial Industry Regulatory Authority (FINRA). FINRA provides background information about broker-dealers and their registered representatives through FINRA BrokerCheck. You may contact the FINRA BrokerCheck Hotline at 1-800-289-9999, or log on to </w:t>
      </w:r>
      <w:r>
        <w:rPr>
          <w:rFonts w:ascii="Times New Roman" w:cs="Times New Roman" w:eastAsia="Times New Roman" w:hAnsi="Times New Roman"/>
          <w:sz w:val="13"/>
          <w:szCs w:val="13"/>
          <w:u w:val="single" w:color="auto"/>
          <w:color w:val="auto"/>
        </w:rPr>
        <w:t>www.finra.org</w:t>
      </w:r>
      <w:r>
        <w:rPr>
          <w:rFonts w:ascii="Times New Roman" w:cs="Times New Roman" w:eastAsia="Times New Roman" w:hAnsi="Times New Roman"/>
          <w:sz w:val="13"/>
          <w:szCs w:val="13"/>
          <w:color w:val="auto"/>
        </w:rPr>
        <w:t>. An investor brochure that includes information describing FINRA BrokerCheck is available through the Hotline or on-line.</w:t>
      </w:r>
    </w:p>
    <w:p>
      <w:pPr>
        <w:spacing w:after="0" w:line="59" w:lineRule="exact"/>
        <w:rPr>
          <w:sz w:val="20"/>
          <w:szCs w:val="20"/>
          <w:color w:val="auto"/>
        </w:rPr>
      </w:pPr>
    </w:p>
    <w:p>
      <w:pPr>
        <w:jc w:val="both"/>
        <w:ind w:right="3199" w:firstLine="265"/>
        <w:spacing w:after="0" w:line="258" w:lineRule="auto"/>
        <w:rPr>
          <w:sz w:val="20"/>
          <w:szCs w:val="20"/>
          <w:color w:val="auto"/>
        </w:rPr>
      </w:pPr>
      <w:r>
        <w:rPr>
          <w:rFonts w:ascii="Times New Roman" w:cs="Times New Roman" w:eastAsia="Times New Roman" w:hAnsi="Times New Roman"/>
          <w:sz w:val="13"/>
          <w:szCs w:val="13"/>
          <w:color w:val="auto"/>
        </w:rPr>
        <w:t>Brighthouse Securities is not obligated to take and pay for, and is not required to sell, any specific number or dollar amount of Contracts. Brighthouse Securities, and in certain cases, we, have entered into selling agreements with unaffiliated selling firms for the sale of the Contracts. No selling firms are affiliated with us or Brighthouse Securities. We pay compensation to Brighthouse Securities for sales of the Contracts by selling firms. We also pay amounts to Brighthouse Securities that may be used for its operating and other expenses, including the following sales expenses: compensation and bonuses for Brighthouse Securities’ management team, advertising expenses and other expenses of distributing the Contracts. Brighthouse Securities’ management team and registered representatives also may be eligible for non-cash compensation items that we may provide jointly with Brighthouse Securities. Non-cash items include conferences, seminars and trips (including travel, lodging and meals in connection therewith), entertainment, merchandise and other similar items.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Selling Firms</w:t>
      </w:r>
    </w:p>
    <w:p>
      <w:pPr>
        <w:spacing w:after="0" w:line="91" w:lineRule="exact"/>
        <w:rPr>
          <w:sz w:val="20"/>
          <w:szCs w:val="20"/>
          <w:color w:val="auto"/>
        </w:rPr>
      </w:pPr>
    </w:p>
    <w:p>
      <w:pPr>
        <w:jc w:val="both"/>
        <w:ind w:right="3199" w:firstLine="265"/>
        <w:spacing w:after="0" w:line="258" w:lineRule="auto"/>
        <w:rPr>
          <w:sz w:val="20"/>
          <w:szCs w:val="20"/>
          <w:color w:val="auto"/>
        </w:rPr>
      </w:pPr>
      <w:r>
        <w:rPr>
          <w:rFonts w:ascii="Times New Roman" w:cs="Times New Roman" w:eastAsia="Times New Roman" w:hAnsi="Times New Roman"/>
          <w:sz w:val="13"/>
          <w:szCs w:val="13"/>
          <w:color w:val="auto"/>
        </w:rPr>
        <w:t>As noted above, Brighthouse Securities, and in certain cases, we, have entered into selling agreements with selling firms for the sale of the Contracts. Selling firms receive commissions, and may receive some form of non-cash compensation. Certain selected selling firms receive additional compensation (described below under “Additional Compensation for Selected Selling Firms”). These commissions and other incentives or payments are not charged directly to Owners. We intend to recoup commissions and other sales expenses through the charges and deductions under the Contract. A portion of the payments made to selling firms may be passed on to their financial professionals in accordance with the selling firms’ internal compensation programs. Those programs may also include other types of cash and non-cash compensation and other benefits. Financial professionals of the selling firms may also receive non-cash compensation, pursuant to their firm’s guidelines, directly from us or Brighthouse Securities.</w:t>
      </w:r>
    </w:p>
    <w:p>
      <w:pPr>
        <w:spacing w:after="0" w:line="19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color w:val="auto"/>
        </w:rPr>
        <w:t>70</w:t>
      </w:r>
    </w:p>
    <w:p>
      <w:pPr>
        <w:sectPr>
          <w:pgSz w:w="11900" w:h="16838" w:orient="portrait"/>
          <w:cols w:equalWidth="0" w:num="1">
            <w:col w:w="9259"/>
          </w:cols>
          <w:pgMar w:left="1200" w:top="1049" w:right="1440" w:bottom="1440" w:gutter="0" w:footer="0" w:header="0"/>
        </w:sectPr>
      </w:pPr>
    </w:p>
    <w:bookmarkStart w:id="72" w:name="page73"/>
    <w:bookmarkEnd w:id="72"/>
    <w:p>
      <w:pPr>
        <w:jc w:val="both"/>
        <w:ind w:right="3199" w:firstLine="265"/>
        <w:spacing w:after="0" w:line="259"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93915" cy="38100"/>
                    </a:xfrm>
                    <a:prstGeom prst="rect">
                      <a:avLst/>
                    </a:prstGeom>
                    <a:noFill/>
                  </pic:spPr>
                </pic:pic>
              </a:graphicData>
            </a:graphic>
          </wp:anchor>
        </w:drawing>
        <w:t xml:space="preserve">Compensation Paid to Selling Firms.  </w:t>
      </w:r>
      <w:r>
        <w:rPr>
          <w:rFonts w:ascii="Times New Roman" w:cs="Times New Roman" w:eastAsia="Times New Roman" w:hAnsi="Times New Roman"/>
          <w:sz w:val="13"/>
          <w:szCs w:val="13"/>
          <w:color w:val="auto"/>
        </w:rPr>
        <w:t>Brighthouse Securities pays compensation to all selling firms in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form of commissions and may also provide certain types of non-cash compensation. The maximum commission payable is 6% of the Purchase Payment. Some selling firms may elect to receive a lower commission when the Purchase Payment is made, along with annual trail commissions up to 1% of Account Value for so long as the Contract remains in effect or as agreed in the selling agreement. We also pay commissions when an Owner elects to begin receiving regular Annuity Payments. (See “ANNUITY PAYMENTS—(THE ANNUITY PERIOD).”) Brighthouse Securities may also provide non-cash compensation items that we may provide jointly with Brighthouse Securities. Non-cash items may include expenses for conference or seminar trips, certain gifts, prizes and awards.</w:t>
      </w:r>
    </w:p>
    <w:p>
      <w:pPr>
        <w:spacing w:after="0" w:line="68" w:lineRule="exact"/>
        <w:rPr>
          <w:sz w:val="20"/>
          <w:szCs w:val="20"/>
          <w:color w:val="auto"/>
        </w:rPr>
      </w:pPr>
    </w:p>
    <w:p>
      <w:pPr>
        <w:jc w:val="both"/>
        <w:ind w:right="3199" w:firstLine="265"/>
        <w:spacing w:after="0" w:line="290" w:lineRule="auto"/>
        <w:rPr>
          <w:sz w:val="20"/>
          <w:szCs w:val="20"/>
          <w:color w:val="auto"/>
        </w:rPr>
      </w:pPr>
      <w:r>
        <w:rPr>
          <w:rFonts w:ascii="Times New Roman" w:cs="Times New Roman" w:eastAsia="Times New Roman" w:hAnsi="Times New Roman"/>
          <w:sz w:val="13"/>
          <w:szCs w:val="13"/>
          <w:color w:val="auto"/>
        </w:rPr>
        <w:t>Ask your financial professional for further information about what payments your financial professional and the selling firm for which he or she works may receive in connection with your purchase of a Contract.</w:t>
      </w:r>
    </w:p>
    <w:p>
      <w:pPr>
        <w:spacing w:after="0" w:line="34" w:lineRule="exact"/>
        <w:rPr>
          <w:sz w:val="20"/>
          <w:szCs w:val="20"/>
          <w:color w:val="auto"/>
        </w:rPr>
      </w:pPr>
    </w:p>
    <w:p>
      <w:pPr>
        <w:jc w:val="both"/>
        <w:ind w:right="3199" w:firstLine="265"/>
        <w:spacing w:after="0" w:line="257" w:lineRule="auto"/>
        <w:rPr>
          <w:sz w:val="20"/>
          <w:szCs w:val="20"/>
          <w:color w:val="auto"/>
        </w:rPr>
      </w:pPr>
      <w:r>
        <w:rPr>
          <w:rFonts w:ascii="Times New Roman" w:cs="Times New Roman" w:eastAsia="Times New Roman" w:hAnsi="Times New Roman"/>
          <w:sz w:val="13"/>
          <w:szCs w:val="13"/>
          <w:b w:val="1"/>
          <w:bCs w:val="1"/>
          <w:color w:val="auto"/>
        </w:rPr>
        <w:t xml:space="preserve">Additional Compensation for Selected Selling Firms.  </w:t>
      </w:r>
      <w:r>
        <w:rPr>
          <w:rFonts w:ascii="Times New Roman" w:cs="Times New Roman" w:eastAsia="Times New Roman" w:hAnsi="Times New Roman"/>
          <w:sz w:val="13"/>
          <w:szCs w:val="13"/>
          <w:color w:val="auto"/>
        </w:rPr>
        <w:t>Brighthouse Securities has entered into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distribution arrangements with certain selected unaffiliated selling firms. Under these arrangements Brighthouse Securities may pay additional compensation to selected selling firms, including marketing allowances, introduction fees, persistency payments, preferred status fees and industry conference fees. Marketing allowances are periodic payments to certain selling firms, the amount of which may be an annual flat fee, or in some cases depends on cumulative periodic (usually quarterly) sales of our insurance contracts (including the Contracts) and may also depend on meeting thresholds in the sale of certain of our insurance contracts (other than the Contracts). They may also include payments we make to cover the cost of marketing or other support services provided for or by registered representatives who may sell our products. Introduction fees are payments to selling firms in connection with the addition of our products to the selling firm’s line of investment products, including expenses relating to establishing the data communications systems necessary for the selling firm to offer, sell and administer our products. Persistency payments are periodic payments based on account values of our insurance contracts (including Account Values of the Contracts) or other persistency standards. Preferred status fees are paid to obtain preferred treatment in selling firms’ marketing programs, which may include marketing services, participation in marketing meetings, listings in data resources and increased access to their financial professionals. Industry conference fees are amounts paid to cover in part the costs associated with sales conferences and educational seminars for selling firms’ financial professionals.</w:t>
      </w:r>
    </w:p>
    <w:p>
      <w:pPr>
        <w:spacing w:after="0" w:line="68" w:lineRule="exact"/>
        <w:rPr>
          <w:sz w:val="20"/>
          <w:szCs w:val="20"/>
          <w:color w:val="auto"/>
        </w:rPr>
      </w:pPr>
    </w:p>
    <w:p>
      <w:pPr>
        <w:jc w:val="both"/>
        <w:ind w:right="3199" w:firstLine="265"/>
        <w:spacing w:after="0" w:line="259" w:lineRule="auto"/>
        <w:rPr>
          <w:sz w:val="20"/>
          <w:szCs w:val="20"/>
          <w:color w:val="auto"/>
        </w:rPr>
      </w:pPr>
      <w:r>
        <w:rPr>
          <w:rFonts w:ascii="Times New Roman" w:cs="Times New Roman" w:eastAsia="Times New Roman" w:hAnsi="Times New Roman"/>
          <w:sz w:val="13"/>
          <w:szCs w:val="13"/>
          <w:color w:val="auto"/>
        </w:rPr>
        <w:t>The additional types of compensation discussed above are not offered to all selling firms. The terms of any particular agreement governing compensation may vary among selling firms and the amounts may be significant. The prospect of receiving, or the receipt of, additional compensation as described above may provide selling firms and/or their financial professionals with an incentive to favor sales of the Contracts over other annuity contracts (or other investments) with respect to which selling firm does not receive additional compensation, or lower levels of additional compensation. You may wish to take such payment arrangements into account when considering and evaluating any recommendation relating to the Contracts. For more information about any such additional compensation arrangements, ask your financial professional.</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Wholesaling Firms</w:t>
      </w:r>
    </w:p>
    <w:p>
      <w:pPr>
        <w:spacing w:after="0" w:line="91" w:lineRule="exact"/>
        <w:rPr>
          <w:sz w:val="20"/>
          <w:szCs w:val="20"/>
          <w:color w:val="auto"/>
        </w:rPr>
      </w:pPr>
    </w:p>
    <w:p>
      <w:pPr>
        <w:jc w:val="both"/>
        <w:ind w:right="3179" w:firstLine="265"/>
        <w:spacing w:after="0" w:line="263" w:lineRule="auto"/>
        <w:rPr>
          <w:sz w:val="20"/>
          <w:szCs w:val="20"/>
          <w:color w:val="auto"/>
        </w:rPr>
      </w:pPr>
      <w:r>
        <w:rPr>
          <w:rFonts w:ascii="Times New Roman" w:cs="Times New Roman" w:eastAsia="Times New Roman" w:hAnsi="Times New Roman"/>
          <w:sz w:val="13"/>
          <w:szCs w:val="13"/>
          <w:color w:val="auto"/>
        </w:rPr>
        <w:t>In addition to the distribution arrangements discussed above, Brighthouse Securities has entered into wholesaling agreements with wholesaling firms to provide marketing and training support services to selling firms and the registered representatives of selling firms. These services may include, but not be limited to, training and promotional support for the solicitation, sale and on-going servicing of the Contracts by the selling firms. Brighthouse Securities pays compensation to wholesaling firms in connection with these services.</w:t>
      </w:r>
    </w:p>
    <w:p>
      <w:pPr>
        <w:spacing w:after="0" w:line="22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3"/>
          <w:szCs w:val="13"/>
          <w:b w:val="1"/>
          <w:bCs w:val="1"/>
          <w:color w:val="auto"/>
        </w:rPr>
        <w:t>THE FIXED ACCOUNT</w:t>
      </w:r>
    </w:p>
    <w:p>
      <w:pPr>
        <w:spacing w:after="0" w:line="101" w:lineRule="exact"/>
        <w:rPr>
          <w:sz w:val="20"/>
          <w:szCs w:val="20"/>
          <w:color w:val="auto"/>
        </w:rPr>
      </w:pPr>
    </w:p>
    <w:p>
      <w:pPr>
        <w:jc w:val="both"/>
        <w:ind w:right="3199" w:firstLine="265"/>
        <w:spacing w:after="0" w:line="259" w:lineRule="auto"/>
        <w:rPr>
          <w:sz w:val="20"/>
          <w:szCs w:val="20"/>
          <w:color w:val="auto"/>
        </w:rPr>
      </w:pPr>
      <w:r>
        <w:rPr>
          <w:rFonts w:ascii="Times New Roman" w:cs="Times New Roman" w:eastAsia="Times New Roman" w:hAnsi="Times New Roman"/>
          <w:sz w:val="13"/>
          <w:szCs w:val="13"/>
          <w:color w:val="auto"/>
        </w:rPr>
        <w:t>We may offer our Fixed Account as a funding option. The Fixed Account, if available, guarantees principal and interest during the Fixed Account Term (which will not be less than one (1) year). Interest will be compounded and credited daily to the Fixed Account Value during the Fixed Account Term at an annual effective interest rate declared by us. We guarantee that the annual effective interest rate credited to your Fixed Account Value will not be less than the Minimum Guaranteed Interest Rate, which is currently 1%. Information about the features of the Fixed Account, including (i) its name, (ii) its Fixed Account Term, and (iii) its Minimum Guaranteed Interest Rate, is available in an appendix to this prospectus. See Appendix A – Investment Options Available Under the Contract. Please also refer to your Contract and Appendix E for more information.</w:t>
      </w:r>
    </w:p>
    <w:p>
      <w:pPr>
        <w:spacing w:after="0" w:line="59" w:lineRule="exact"/>
        <w:rPr>
          <w:sz w:val="20"/>
          <w:szCs w:val="20"/>
          <w:color w:val="auto"/>
        </w:rPr>
      </w:pPr>
    </w:p>
    <w:p>
      <w:pPr>
        <w:jc w:val="both"/>
        <w:ind w:right="3199" w:firstLine="265"/>
        <w:spacing w:after="0" w:line="262" w:lineRule="auto"/>
        <w:rPr>
          <w:sz w:val="20"/>
          <w:szCs w:val="20"/>
          <w:color w:val="auto"/>
        </w:rPr>
      </w:pPr>
      <w:r>
        <w:rPr>
          <w:rFonts w:ascii="Times New Roman" w:cs="Times New Roman" w:eastAsia="Times New Roman" w:hAnsi="Times New Roman"/>
          <w:sz w:val="13"/>
          <w:szCs w:val="13"/>
          <w:color w:val="auto"/>
        </w:rPr>
        <w:t>We will declare a new guaranteed interest rate for each subsequent Fixed Account Term, subject to the Minimum Guaranteed Interest Rate. At the Fixed Account Term End Date, the Fixed Account Value will automatically be renewed into the same Fixed Account Term, with the new interest rate, unless otherwise instructed by you during the Transfer Period. If the Fixed Account is not available at the end of the existing Fixed Account Term, these amounts will automatically transfer into the Holding Account at the end of the Fixed Account Term.</w:t>
      </w:r>
    </w:p>
    <w:p>
      <w:pPr>
        <w:spacing w:after="0" w:line="35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color w:val="auto"/>
        </w:rPr>
        <w:t>71</w:t>
      </w:r>
    </w:p>
    <w:p>
      <w:pPr>
        <w:sectPr>
          <w:pgSz w:w="11900" w:h="16838" w:orient="portrait"/>
          <w:cols w:equalWidth="0" w:num="1">
            <w:col w:w="9259"/>
          </w:cols>
          <w:pgMar w:left="1200" w:top="1047" w:right="1440" w:bottom="1440" w:gutter="0" w:footer="0" w:header="0"/>
        </w:sectPr>
      </w:pPr>
    </w:p>
    <w:bookmarkStart w:id="73" w:name="page74"/>
    <w:bookmarkEnd w:id="73"/>
    <w:p>
      <w:pPr>
        <w:jc w:val="both"/>
        <w:ind w:right="3199" w:firstLine="265"/>
        <w:spacing w:after="0" w:line="26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93915" cy="38100"/>
                    </a:xfrm>
                    <a:prstGeom prst="rect">
                      <a:avLst/>
                    </a:prstGeom>
                    <a:noFill/>
                  </pic:spPr>
                </pic:pic>
              </a:graphicData>
            </a:graphic>
          </wp:anchor>
        </w:drawing>
        <w:t>There are two ways you may find out the new interest rate for the Fixed Account for a subsequent Fixed Account Term. Thirty (30) days before the current Fixed Account Term expires, we will send you notification, written or electronic depending on your selected preferences, stating your current Fixed Account Term is maturing and how you can obtain the new interest rate for the Fixed Account. You may also access our website at https://www.brighthousefinancial.com/products/rates/ where at least two months of renewal rates for the Rate Crediting Types and the interest rate for the Fixed Account are posted – i.e., for the current month and the following month.</w:t>
      </w:r>
    </w:p>
    <w:p>
      <w:pPr>
        <w:spacing w:after="0" w:line="21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3"/>
          <w:szCs w:val="13"/>
          <w:b w:val="1"/>
          <w:bCs w:val="1"/>
          <w:color w:val="auto"/>
        </w:rPr>
        <w:t>THE HOLDING ACCOUNT</w:t>
      </w:r>
    </w:p>
    <w:p>
      <w:pPr>
        <w:spacing w:after="0" w:line="91" w:lineRule="exact"/>
        <w:rPr>
          <w:sz w:val="20"/>
          <w:szCs w:val="20"/>
          <w:color w:val="auto"/>
        </w:rPr>
      </w:pPr>
    </w:p>
    <w:p>
      <w:pPr>
        <w:jc w:val="both"/>
        <w:ind w:right="3199" w:firstLine="265"/>
        <w:spacing w:after="0" w:line="290" w:lineRule="auto"/>
        <w:rPr>
          <w:sz w:val="20"/>
          <w:szCs w:val="20"/>
          <w:color w:val="auto"/>
        </w:rPr>
      </w:pPr>
      <w:r>
        <w:rPr>
          <w:rFonts w:ascii="Times New Roman" w:cs="Times New Roman" w:eastAsia="Times New Roman" w:hAnsi="Times New Roman"/>
          <w:sz w:val="13"/>
          <w:szCs w:val="13"/>
          <w:color w:val="auto"/>
        </w:rPr>
        <w:t>There are certain circumstances where we will transfer amounts to the Holding Account. Please refer to your Contract and Appendix F for more information.</w:t>
      </w:r>
    </w:p>
    <w:p>
      <w:pPr>
        <w:spacing w:after="0" w:line="19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RESTRICTIONS ON FINANCIAL TRANSACTIONS</w:t>
      </w:r>
    </w:p>
    <w:p>
      <w:pPr>
        <w:spacing w:after="0" w:line="91" w:lineRule="exact"/>
        <w:rPr>
          <w:sz w:val="20"/>
          <w:szCs w:val="20"/>
          <w:color w:val="auto"/>
        </w:rPr>
      </w:pPr>
    </w:p>
    <w:p>
      <w:pPr>
        <w:jc w:val="both"/>
        <w:ind w:right="3199" w:firstLine="265"/>
        <w:spacing w:after="0" w:line="266" w:lineRule="auto"/>
        <w:rPr>
          <w:sz w:val="20"/>
          <w:szCs w:val="20"/>
          <w:color w:val="auto"/>
        </w:rPr>
      </w:pPr>
      <w:r>
        <w:rPr>
          <w:rFonts w:ascii="Times New Roman" w:cs="Times New Roman" w:eastAsia="Times New Roman" w:hAnsi="Times New Roman"/>
          <w:sz w:val="13"/>
          <w:szCs w:val="13"/>
          <w:color w:val="auto"/>
        </w:rPr>
        <w:t>Federal laws designed to counter terrorism and prevent money laundering might, in certain circumstances, require us to block an Owner’s ability to make certain transactions and thereby refuse to accept any request for transfers, withdrawals, Surrenders, or death benefits, until instructions are received from the appropriate regulator. We may also be required to provide additional information about you and your Contract to government regulators.</w:t>
      </w:r>
    </w:p>
    <w:p>
      <w:pPr>
        <w:spacing w:after="0" w:line="20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3"/>
          <w:szCs w:val="13"/>
          <w:b w:val="1"/>
          <w:bCs w:val="1"/>
          <w:color w:val="auto"/>
        </w:rPr>
        <w:t>REQUESTS AND ELECTIONS</w:t>
      </w:r>
    </w:p>
    <w:p>
      <w:pPr>
        <w:spacing w:after="0" w:line="91" w:lineRule="exact"/>
        <w:rPr>
          <w:sz w:val="20"/>
          <w:szCs w:val="20"/>
          <w:color w:val="auto"/>
        </w:rPr>
      </w:pPr>
    </w:p>
    <w:p>
      <w:pPr>
        <w:jc w:val="both"/>
        <w:ind w:right="3199" w:firstLine="265"/>
        <w:spacing w:after="0" w:line="258" w:lineRule="auto"/>
        <w:rPr>
          <w:sz w:val="20"/>
          <w:szCs w:val="20"/>
          <w:color w:val="auto"/>
        </w:rPr>
      </w:pPr>
      <w:r>
        <w:rPr>
          <w:rFonts w:ascii="Times New Roman" w:cs="Times New Roman" w:eastAsia="Times New Roman" w:hAnsi="Times New Roman"/>
          <w:sz w:val="13"/>
          <w:szCs w:val="13"/>
          <w:color w:val="auto"/>
        </w:rPr>
        <w:t>We will treat your request for a Contract transaction, or your submission of the Purchase Payment, as received by us if we receive a request conforming to our administrative procedures or the Purchase Payment at our Annuity Service Office on any Business Day before 4:00 PM Eastern Standard Time or when the NYSE closes, whichever is earlier. We will treat your submission of the Purchase Payment as received by us if we receive it at our Annuity Service Office (or a designee receives it in accordance with the designee’s administrative procedures) on any Business Day before 4:00 PM Eastern Standard Time or when the NYSE closes, whichever is earlier. If we receive the request, or if we (or our designee) receive the Purchase Payment, on any Business Day on or after 4:00 PM Eastern Standard Time or when the NYSE closes, whichever is earlier, then the request or payment will be treated as received on the next day. If you send your Purchase Payment or transaction requests to an address other than the one we have designated for receipt of such Purchase Payment or requests, as indicated in the chart below, we may return the Purchase Payment to you, or there may be a delay in applying the Purchase Payment or processing the transaction.</w:t>
      </w:r>
    </w:p>
    <w:p>
      <w:pPr>
        <w:spacing w:after="0" w:line="56" w:lineRule="exact"/>
        <w:rPr>
          <w:sz w:val="20"/>
          <w:szCs w:val="20"/>
          <w:color w:val="auto"/>
        </w:rPr>
      </w:pPr>
    </w:p>
    <w:p>
      <w:pPr>
        <w:jc w:val="both"/>
        <w:ind w:right="3199" w:firstLine="265"/>
        <w:spacing w:after="0" w:line="260" w:lineRule="auto"/>
        <w:rPr>
          <w:sz w:val="20"/>
          <w:szCs w:val="20"/>
          <w:color w:val="auto"/>
        </w:rPr>
      </w:pPr>
      <w:r>
        <w:rPr>
          <w:rFonts w:ascii="Times New Roman" w:cs="Times New Roman" w:eastAsia="Times New Roman" w:hAnsi="Times New Roman"/>
          <w:sz w:val="13"/>
          <w:szCs w:val="13"/>
          <w:color w:val="auto"/>
        </w:rPr>
        <w:t>Specific to the Performance Lock, all notifications to or other communication with us concerning the Performance Lock--including, to submit a Notice of election to lock the Interim Value for your Shield Option or to transfer the Performance Lock Value—may be made by you or through your financial professional. Note that any Notice of your election to transfer Performance Lock Value after Performance Lock takes effect must be received prior to or on any Contract Anniversary by 4 PM Eastern Standard Time or when the NYSE closes, whichever is earlier. Please direct your requests and elections under your Contract, and inquiries about your Contract, to us as directed below.</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2960" w:type="dxa"/>
            <w:vAlign w:val="bottom"/>
            <w:tcBorders>
              <w:top w:val="single" w:sz="8" w:color="auto"/>
              <w:left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color w:val="auto"/>
              </w:rPr>
              <w:t>Applications when purchasing the Contract, including</w:t>
            </w:r>
          </w:p>
        </w:tc>
        <w:tc>
          <w:tcPr>
            <w:tcW w:w="3120" w:type="dxa"/>
            <w:vAlign w:val="bottom"/>
            <w:tcBorders>
              <w:top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3"/>
                <w:szCs w:val="13"/>
                <w:color w:val="auto"/>
              </w:rPr>
              <w:t>P.O. Box 4365</w:t>
            </w:r>
          </w:p>
        </w:tc>
      </w:tr>
      <w:tr>
        <w:trPr>
          <w:trHeight w:val="172"/>
        </w:trPr>
        <w:tc>
          <w:tcPr>
            <w:tcW w:w="296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color w:val="auto"/>
              </w:rPr>
              <w:t>initial Purchase Payment</w:t>
            </w:r>
          </w:p>
        </w:tc>
        <w:tc>
          <w:tcPr>
            <w:tcW w:w="312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3"/>
                <w:szCs w:val="13"/>
                <w:color w:val="auto"/>
              </w:rPr>
              <w:t>Clinton, IA 52733-4365</w:t>
            </w:r>
          </w:p>
        </w:tc>
      </w:tr>
      <w:tr>
        <w:trPr>
          <w:trHeight w:val="165"/>
        </w:trPr>
        <w:tc>
          <w:tcPr>
            <w:tcW w:w="360" w:type="dxa"/>
            <w:vAlign w:val="bottom"/>
            <w:tcBorders>
              <w:left w:val="single" w:sz="8" w:color="auto"/>
            </w:tcBorders>
          </w:tcPr>
          <w:p>
            <w:pPr>
              <w:spacing w:after="0"/>
              <w:rPr>
                <w:sz w:val="14"/>
                <w:szCs w:val="14"/>
                <w:color w:val="auto"/>
              </w:rPr>
            </w:pPr>
          </w:p>
        </w:tc>
        <w:tc>
          <w:tcPr>
            <w:tcW w:w="2600" w:type="dxa"/>
            <w:vAlign w:val="bottom"/>
          </w:tcPr>
          <w:p>
            <w:pPr>
              <w:spacing w:after="0"/>
              <w:rPr>
                <w:sz w:val="14"/>
                <w:szCs w:val="14"/>
                <w:color w:val="auto"/>
              </w:rPr>
            </w:pPr>
          </w:p>
        </w:tc>
        <w:tc>
          <w:tcPr>
            <w:tcW w:w="312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3"/>
                <w:szCs w:val="13"/>
                <w:color w:val="auto"/>
              </w:rPr>
              <w:t>Fax: (877) 245-2964</w:t>
            </w:r>
          </w:p>
        </w:tc>
      </w:tr>
      <w:tr>
        <w:trPr>
          <w:trHeight w:val="169"/>
        </w:trPr>
        <w:tc>
          <w:tcPr>
            <w:tcW w:w="360" w:type="dxa"/>
            <w:vAlign w:val="bottom"/>
            <w:tcBorders>
              <w:left w:val="single" w:sz="8" w:color="auto"/>
            </w:tcBorders>
          </w:tcPr>
          <w:p>
            <w:pPr>
              <w:spacing w:after="0"/>
              <w:rPr>
                <w:sz w:val="14"/>
                <w:szCs w:val="14"/>
                <w:color w:val="auto"/>
              </w:rPr>
            </w:pPr>
          </w:p>
        </w:tc>
        <w:tc>
          <w:tcPr>
            <w:tcW w:w="2600" w:type="dxa"/>
            <w:vAlign w:val="bottom"/>
          </w:tcPr>
          <w:p>
            <w:pPr>
              <w:spacing w:after="0"/>
              <w:rPr>
                <w:sz w:val="14"/>
                <w:szCs w:val="14"/>
                <w:color w:val="auto"/>
              </w:rPr>
            </w:pPr>
          </w:p>
        </w:tc>
        <w:tc>
          <w:tcPr>
            <w:tcW w:w="312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3"/>
                <w:szCs w:val="13"/>
                <w:color w:val="auto"/>
              </w:rPr>
              <w:t> </w:t>
            </w:r>
          </w:p>
        </w:tc>
      </w:tr>
      <w:tr>
        <w:trPr>
          <w:trHeight w:val="172"/>
        </w:trPr>
        <w:tc>
          <w:tcPr>
            <w:tcW w:w="360" w:type="dxa"/>
            <w:vAlign w:val="bottom"/>
            <w:tcBorders>
              <w:left w:val="single" w:sz="8" w:color="auto"/>
            </w:tcBorders>
          </w:tcPr>
          <w:p>
            <w:pPr>
              <w:spacing w:after="0"/>
              <w:rPr>
                <w:sz w:val="14"/>
                <w:szCs w:val="14"/>
                <w:color w:val="auto"/>
              </w:rPr>
            </w:pPr>
          </w:p>
        </w:tc>
        <w:tc>
          <w:tcPr>
            <w:tcW w:w="2600" w:type="dxa"/>
            <w:vAlign w:val="bottom"/>
          </w:tcPr>
          <w:p>
            <w:pPr>
              <w:spacing w:after="0"/>
              <w:rPr>
                <w:sz w:val="14"/>
                <w:szCs w:val="14"/>
                <w:color w:val="auto"/>
              </w:rPr>
            </w:pPr>
          </w:p>
        </w:tc>
        <w:tc>
          <w:tcPr>
            <w:tcW w:w="312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3"/>
                <w:szCs w:val="13"/>
                <w:color w:val="auto"/>
              </w:rPr>
              <w:t>Or through your financial professional</w:t>
            </w:r>
          </w:p>
        </w:tc>
      </w:tr>
      <w:tr>
        <w:trPr>
          <w:trHeight w:val="39"/>
        </w:trPr>
        <w:tc>
          <w:tcPr>
            <w:tcW w:w="2960" w:type="dxa"/>
            <w:vAlign w:val="bottom"/>
            <w:tcBorders>
              <w:left w:val="single" w:sz="8" w:color="auto"/>
              <w:bottom w:val="single" w:sz="8" w:color="auto"/>
            </w:tcBorders>
            <w:gridSpan w:val="2"/>
          </w:tcPr>
          <w:p>
            <w:pPr>
              <w:spacing w:after="0"/>
              <w:rPr>
                <w:sz w:val="3"/>
                <w:szCs w:val="3"/>
                <w:color w:val="auto"/>
              </w:rPr>
            </w:pPr>
          </w:p>
        </w:tc>
        <w:tc>
          <w:tcPr>
            <w:tcW w:w="3120" w:type="dxa"/>
            <w:vAlign w:val="bottom"/>
            <w:tcBorders>
              <w:bottom w:val="single" w:sz="8" w:color="auto"/>
              <w:right w:val="single" w:sz="8" w:color="auto"/>
            </w:tcBorders>
          </w:tcPr>
          <w:p>
            <w:pPr>
              <w:spacing w:after="0"/>
              <w:rPr>
                <w:sz w:val="3"/>
                <w:szCs w:val="3"/>
                <w:color w:val="auto"/>
              </w:rPr>
            </w:pPr>
          </w:p>
        </w:tc>
      </w:tr>
      <w:tr>
        <w:trPr>
          <w:trHeight w:val="195"/>
        </w:trPr>
        <w:tc>
          <w:tcPr>
            <w:tcW w:w="2960" w:type="dxa"/>
            <w:vAlign w:val="bottom"/>
            <w:tcBorders>
              <w:left w:val="single" w:sz="8" w:color="auto"/>
            </w:tcBorders>
            <w:gridSpan w:val="2"/>
            <w:shd w:val="clear" w:color="auto" w:fill="F0FFFF"/>
          </w:tcPr>
          <w:p>
            <w:pPr>
              <w:ind w:left="40"/>
              <w:spacing w:after="0"/>
              <w:rPr>
                <w:sz w:val="20"/>
                <w:szCs w:val="20"/>
                <w:color w:val="auto"/>
              </w:rPr>
            </w:pPr>
            <w:r>
              <w:rPr>
                <w:rFonts w:ascii="Times New Roman" w:cs="Times New Roman" w:eastAsia="Times New Roman" w:hAnsi="Times New Roman"/>
                <w:sz w:val="13"/>
                <w:szCs w:val="13"/>
                <w:color w:val="auto"/>
              </w:rPr>
              <w:t>Death Claims</w:t>
            </w:r>
          </w:p>
        </w:tc>
        <w:tc>
          <w:tcPr>
            <w:tcW w:w="3120" w:type="dxa"/>
            <w:vAlign w:val="bottom"/>
            <w:tcBorders>
              <w:right w:val="single" w:sz="8" w:color="auto"/>
            </w:tcBorders>
            <w:shd w:val="clear" w:color="auto" w:fill="F0FFFF"/>
          </w:tcPr>
          <w:p>
            <w:pPr>
              <w:ind w:left="280"/>
              <w:spacing w:after="0"/>
              <w:rPr>
                <w:sz w:val="20"/>
                <w:szCs w:val="20"/>
                <w:color w:val="auto"/>
              </w:rPr>
            </w:pPr>
            <w:r>
              <w:rPr>
                <w:rFonts w:ascii="Times New Roman" w:cs="Times New Roman" w:eastAsia="Times New Roman" w:hAnsi="Times New Roman"/>
                <w:sz w:val="13"/>
                <w:szCs w:val="13"/>
                <w:color w:val="auto"/>
              </w:rPr>
              <w:t>P.O. Box 4330</w:t>
            </w:r>
          </w:p>
        </w:tc>
      </w:tr>
      <w:tr>
        <w:trPr>
          <w:trHeight w:val="172"/>
        </w:trPr>
        <w:tc>
          <w:tcPr>
            <w:tcW w:w="360" w:type="dxa"/>
            <w:vAlign w:val="bottom"/>
            <w:tcBorders>
              <w:left w:val="single" w:sz="8" w:color="auto"/>
            </w:tcBorders>
            <w:shd w:val="clear" w:color="auto" w:fill="F0FFFF"/>
          </w:tcPr>
          <w:p>
            <w:pPr>
              <w:spacing w:after="0"/>
              <w:rPr>
                <w:sz w:val="14"/>
                <w:szCs w:val="14"/>
                <w:color w:val="auto"/>
              </w:rPr>
            </w:pPr>
          </w:p>
        </w:tc>
        <w:tc>
          <w:tcPr>
            <w:tcW w:w="2600" w:type="dxa"/>
            <w:vAlign w:val="bottom"/>
            <w:shd w:val="clear" w:color="auto" w:fill="F0FFFF"/>
          </w:tcPr>
          <w:p>
            <w:pPr>
              <w:spacing w:after="0"/>
              <w:rPr>
                <w:sz w:val="14"/>
                <w:szCs w:val="14"/>
                <w:color w:val="auto"/>
              </w:rPr>
            </w:pPr>
          </w:p>
        </w:tc>
        <w:tc>
          <w:tcPr>
            <w:tcW w:w="3120" w:type="dxa"/>
            <w:vAlign w:val="bottom"/>
            <w:tcBorders>
              <w:right w:val="single" w:sz="8" w:color="auto"/>
            </w:tcBorders>
            <w:shd w:val="clear" w:color="auto" w:fill="F0FFFF"/>
          </w:tcPr>
          <w:p>
            <w:pPr>
              <w:ind w:left="280"/>
              <w:spacing w:after="0"/>
              <w:rPr>
                <w:sz w:val="20"/>
                <w:szCs w:val="20"/>
                <w:color w:val="auto"/>
              </w:rPr>
            </w:pPr>
            <w:r>
              <w:rPr>
                <w:rFonts w:ascii="Times New Roman" w:cs="Times New Roman" w:eastAsia="Times New Roman" w:hAnsi="Times New Roman"/>
                <w:sz w:val="13"/>
                <w:szCs w:val="13"/>
                <w:color w:val="auto"/>
              </w:rPr>
              <w:t>Clinton, IA 52733-4330</w:t>
            </w:r>
          </w:p>
        </w:tc>
      </w:tr>
      <w:tr>
        <w:trPr>
          <w:trHeight w:val="223"/>
        </w:trPr>
        <w:tc>
          <w:tcPr>
            <w:tcW w:w="360" w:type="dxa"/>
            <w:vAlign w:val="bottom"/>
            <w:tcBorders>
              <w:left w:val="single" w:sz="8" w:color="auto"/>
              <w:bottom w:val="single" w:sz="8" w:color="F0FFFF"/>
            </w:tcBorders>
            <w:shd w:val="clear" w:color="auto" w:fill="F0FFFF"/>
          </w:tcPr>
          <w:p>
            <w:pPr>
              <w:spacing w:after="0"/>
              <w:rPr>
                <w:sz w:val="18"/>
                <w:szCs w:val="18"/>
                <w:color w:val="auto"/>
              </w:rPr>
            </w:pPr>
          </w:p>
        </w:tc>
        <w:tc>
          <w:tcPr>
            <w:tcW w:w="2600" w:type="dxa"/>
            <w:vAlign w:val="bottom"/>
            <w:tcBorders>
              <w:bottom w:val="single" w:sz="8" w:color="F0FFFF"/>
            </w:tcBorders>
            <w:shd w:val="clear" w:color="auto" w:fill="F0FFFF"/>
          </w:tcPr>
          <w:p>
            <w:pPr>
              <w:spacing w:after="0"/>
              <w:rPr>
                <w:sz w:val="18"/>
                <w:szCs w:val="18"/>
                <w:color w:val="auto"/>
              </w:rPr>
            </w:pPr>
          </w:p>
        </w:tc>
        <w:tc>
          <w:tcPr>
            <w:tcW w:w="3120" w:type="dxa"/>
            <w:vAlign w:val="bottom"/>
            <w:tcBorders>
              <w:bottom w:val="single" w:sz="8" w:color="F0FFFF"/>
              <w:right w:val="single" w:sz="8" w:color="auto"/>
            </w:tcBorders>
            <w:shd w:val="clear" w:color="auto" w:fill="F0FFFF"/>
          </w:tcPr>
          <w:p>
            <w:pPr>
              <w:ind w:left="280"/>
              <w:spacing w:after="0"/>
              <w:rPr>
                <w:sz w:val="20"/>
                <w:szCs w:val="20"/>
                <w:color w:val="auto"/>
              </w:rPr>
            </w:pPr>
            <w:r>
              <w:rPr>
                <w:rFonts w:ascii="Times New Roman" w:cs="Times New Roman" w:eastAsia="Times New Roman" w:hAnsi="Times New Roman"/>
                <w:sz w:val="13"/>
                <w:szCs w:val="13"/>
                <w:color w:val="auto"/>
              </w:rPr>
              <w:t>Fax: (877) 245-8163</w:t>
            </w:r>
          </w:p>
        </w:tc>
      </w:tr>
      <w:tr>
        <w:trPr>
          <w:trHeight w:val="189"/>
        </w:trPr>
        <w:tc>
          <w:tcPr>
            <w:tcW w:w="2960" w:type="dxa"/>
            <w:vAlign w:val="bottom"/>
            <w:tcBorders>
              <w:top w:val="single" w:sz="8" w:color="auto"/>
              <w:left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color w:val="auto"/>
              </w:rPr>
              <w:t>Annuity Payments</w:t>
            </w:r>
          </w:p>
        </w:tc>
        <w:tc>
          <w:tcPr>
            <w:tcW w:w="3120" w:type="dxa"/>
            <w:vAlign w:val="bottom"/>
            <w:tcBorders>
              <w:top w:val="single" w:sz="8" w:color="auto"/>
              <w:right w:val="single" w:sz="8" w:color="auto"/>
            </w:tcBorders>
          </w:tcPr>
          <w:p>
            <w:pPr>
              <w:spacing w:after="0"/>
              <w:rPr>
                <w:sz w:val="16"/>
                <w:szCs w:val="16"/>
                <w:color w:val="auto"/>
              </w:rPr>
            </w:pPr>
          </w:p>
        </w:tc>
      </w:tr>
      <w:tr>
        <w:trPr>
          <w:trHeight w:val="79"/>
        </w:trPr>
        <w:tc>
          <w:tcPr>
            <w:tcW w:w="360" w:type="dxa"/>
            <w:vAlign w:val="bottom"/>
            <w:tcBorders>
              <w:left w:val="single" w:sz="8" w:color="auto"/>
            </w:tcBorders>
          </w:tcPr>
          <w:p>
            <w:pPr>
              <w:spacing w:after="0"/>
              <w:rPr>
                <w:sz w:val="6"/>
                <w:szCs w:val="6"/>
                <w:color w:val="auto"/>
              </w:rPr>
            </w:pPr>
          </w:p>
        </w:tc>
        <w:tc>
          <w:tcPr>
            <w:tcW w:w="2600" w:type="dxa"/>
            <w:vAlign w:val="bottom"/>
          </w:tcPr>
          <w:p>
            <w:pPr>
              <w:spacing w:after="0"/>
              <w:rPr>
                <w:sz w:val="6"/>
                <w:szCs w:val="6"/>
                <w:color w:val="auto"/>
              </w:rPr>
            </w:pPr>
          </w:p>
        </w:tc>
        <w:tc>
          <w:tcPr>
            <w:tcW w:w="3120" w:type="dxa"/>
            <w:vAlign w:val="bottom"/>
            <w:tcBorders>
              <w:right w:val="single" w:sz="8" w:color="auto"/>
            </w:tcBorders>
          </w:tcPr>
          <w:p>
            <w:pPr>
              <w:spacing w:after="0"/>
              <w:rPr>
                <w:sz w:val="6"/>
                <w:szCs w:val="6"/>
                <w:color w:val="auto"/>
              </w:rPr>
            </w:pPr>
          </w:p>
        </w:tc>
      </w:tr>
      <w:tr>
        <w:trPr>
          <w:trHeight w:val="186"/>
        </w:trPr>
        <w:tc>
          <w:tcPr>
            <w:tcW w:w="360" w:type="dxa"/>
            <w:vAlign w:val="bottom"/>
            <w:tcBorders>
              <w:left w:val="single" w:sz="8" w:color="auto"/>
            </w:tcBorders>
            <w:shd w:val="clear" w:color="auto" w:fill="F0FF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2600" w:type="dxa"/>
            <w:vAlign w:val="bottom"/>
            <w:shd w:val="clear" w:color="auto" w:fill="F0FFFF"/>
          </w:tcPr>
          <w:p>
            <w:pPr>
              <w:ind w:left="120"/>
              <w:spacing w:after="0"/>
              <w:rPr>
                <w:sz w:val="20"/>
                <w:szCs w:val="20"/>
                <w:color w:val="auto"/>
              </w:rPr>
            </w:pPr>
            <w:r>
              <w:rPr>
                <w:rFonts w:ascii="Times New Roman" w:cs="Times New Roman" w:eastAsia="Times New Roman" w:hAnsi="Times New Roman"/>
                <w:sz w:val="13"/>
                <w:szCs w:val="13"/>
                <w:color w:val="auto"/>
              </w:rPr>
              <w:t>Requests to receive regular Annuity Payments</w:t>
            </w:r>
          </w:p>
        </w:tc>
        <w:tc>
          <w:tcPr>
            <w:tcW w:w="3120" w:type="dxa"/>
            <w:vAlign w:val="bottom"/>
            <w:tcBorders>
              <w:right w:val="single" w:sz="8" w:color="auto"/>
            </w:tcBorders>
            <w:shd w:val="clear" w:color="auto" w:fill="F0FFFF"/>
          </w:tcPr>
          <w:p>
            <w:pPr>
              <w:ind w:left="280"/>
              <w:spacing w:after="0"/>
              <w:rPr>
                <w:sz w:val="20"/>
                <w:szCs w:val="20"/>
                <w:color w:val="auto"/>
              </w:rPr>
            </w:pPr>
            <w:r>
              <w:rPr>
                <w:rFonts w:ascii="Times New Roman" w:cs="Times New Roman" w:eastAsia="Times New Roman" w:hAnsi="Times New Roman"/>
                <w:sz w:val="13"/>
                <w:szCs w:val="13"/>
                <w:color w:val="auto"/>
              </w:rPr>
              <w:t>P.O. Box 4365</w:t>
            </w:r>
          </w:p>
        </w:tc>
      </w:tr>
      <w:tr>
        <w:trPr>
          <w:trHeight w:val="159"/>
        </w:trPr>
        <w:tc>
          <w:tcPr>
            <w:tcW w:w="360" w:type="dxa"/>
            <w:vAlign w:val="bottom"/>
            <w:tcBorders>
              <w:left w:val="single" w:sz="8" w:color="auto"/>
            </w:tcBorders>
            <w:shd w:val="clear" w:color="auto" w:fill="F0FFFF"/>
          </w:tcPr>
          <w:p>
            <w:pPr>
              <w:spacing w:after="0"/>
              <w:rPr>
                <w:sz w:val="13"/>
                <w:szCs w:val="13"/>
                <w:color w:val="auto"/>
              </w:rPr>
            </w:pPr>
          </w:p>
        </w:tc>
        <w:tc>
          <w:tcPr>
            <w:tcW w:w="2600" w:type="dxa"/>
            <w:vAlign w:val="bottom"/>
            <w:shd w:val="clear" w:color="auto" w:fill="F0FFFF"/>
          </w:tcPr>
          <w:p>
            <w:pPr>
              <w:spacing w:after="0"/>
              <w:rPr>
                <w:sz w:val="13"/>
                <w:szCs w:val="13"/>
                <w:color w:val="auto"/>
              </w:rPr>
            </w:pPr>
          </w:p>
        </w:tc>
        <w:tc>
          <w:tcPr>
            <w:tcW w:w="3120" w:type="dxa"/>
            <w:vAlign w:val="bottom"/>
            <w:tcBorders>
              <w:right w:val="single" w:sz="8" w:color="auto"/>
            </w:tcBorders>
            <w:shd w:val="clear" w:color="auto" w:fill="F0FFFF"/>
          </w:tcPr>
          <w:p>
            <w:pPr>
              <w:ind w:left="280"/>
              <w:spacing w:after="0"/>
              <w:rPr>
                <w:sz w:val="20"/>
                <w:szCs w:val="20"/>
                <w:color w:val="auto"/>
              </w:rPr>
            </w:pPr>
            <w:r>
              <w:rPr>
                <w:rFonts w:ascii="Times New Roman" w:cs="Times New Roman" w:eastAsia="Times New Roman" w:hAnsi="Times New Roman"/>
                <w:sz w:val="13"/>
                <w:szCs w:val="13"/>
                <w:color w:val="auto"/>
              </w:rPr>
              <w:t>Clinton, IA 52733-4365</w:t>
            </w:r>
          </w:p>
        </w:tc>
      </w:tr>
      <w:tr>
        <w:trPr>
          <w:trHeight w:val="159"/>
        </w:trPr>
        <w:tc>
          <w:tcPr>
            <w:tcW w:w="360" w:type="dxa"/>
            <w:vAlign w:val="bottom"/>
            <w:tcBorders>
              <w:left w:val="single" w:sz="8" w:color="auto"/>
            </w:tcBorders>
            <w:shd w:val="clear" w:color="auto" w:fill="F0FFFF"/>
          </w:tcPr>
          <w:p>
            <w:pPr>
              <w:spacing w:after="0"/>
              <w:rPr>
                <w:sz w:val="13"/>
                <w:szCs w:val="13"/>
                <w:color w:val="auto"/>
              </w:rPr>
            </w:pPr>
          </w:p>
        </w:tc>
        <w:tc>
          <w:tcPr>
            <w:tcW w:w="2600" w:type="dxa"/>
            <w:vAlign w:val="bottom"/>
            <w:shd w:val="clear" w:color="auto" w:fill="F0FFFF"/>
          </w:tcPr>
          <w:p>
            <w:pPr>
              <w:spacing w:after="0"/>
              <w:rPr>
                <w:sz w:val="13"/>
                <w:szCs w:val="13"/>
                <w:color w:val="auto"/>
              </w:rPr>
            </w:pPr>
          </w:p>
        </w:tc>
        <w:tc>
          <w:tcPr>
            <w:tcW w:w="3120" w:type="dxa"/>
            <w:vAlign w:val="bottom"/>
            <w:tcBorders>
              <w:right w:val="single" w:sz="8" w:color="auto"/>
            </w:tcBorders>
            <w:shd w:val="clear" w:color="auto" w:fill="F0FFFF"/>
          </w:tcPr>
          <w:p>
            <w:pPr>
              <w:ind w:left="280"/>
              <w:spacing w:after="0"/>
              <w:rPr>
                <w:sz w:val="20"/>
                <w:szCs w:val="20"/>
                <w:color w:val="auto"/>
              </w:rPr>
            </w:pPr>
            <w:r>
              <w:rPr>
                <w:rFonts w:ascii="Times New Roman" w:cs="Times New Roman" w:eastAsia="Times New Roman" w:hAnsi="Times New Roman"/>
                <w:sz w:val="13"/>
                <w:szCs w:val="13"/>
                <w:color w:val="auto"/>
              </w:rPr>
              <w:t>Telephone: (800) 882-1292</w:t>
            </w:r>
          </w:p>
        </w:tc>
      </w:tr>
      <w:tr>
        <w:trPr>
          <w:trHeight w:val="216"/>
        </w:trPr>
        <w:tc>
          <w:tcPr>
            <w:tcW w:w="360" w:type="dxa"/>
            <w:vAlign w:val="bottom"/>
            <w:tcBorders>
              <w:left w:val="single" w:sz="8" w:color="auto"/>
              <w:bottom w:val="single" w:sz="8" w:color="F0FFFF"/>
            </w:tcBorders>
            <w:shd w:val="clear" w:color="auto" w:fill="F0FFFF"/>
          </w:tcPr>
          <w:p>
            <w:pPr>
              <w:spacing w:after="0"/>
              <w:rPr>
                <w:sz w:val="18"/>
                <w:szCs w:val="18"/>
                <w:color w:val="auto"/>
              </w:rPr>
            </w:pPr>
          </w:p>
        </w:tc>
        <w:tc>
          <w:tcPr>
            <w:tcW w:w="2600" w:type="dxa"/>
            <w:vAlign w:val="bottom"/>
            <w:tcBorders>
              <w:bottom w:val="single" w:sz="8" w:color="F0FFFF"/>
            </w:tcBorders>
            <w:shd w:val="clear" w:color="auto" w:fill="F0FFFF"/>
          </w:tcPr>
          <w:p>
            <w:pPr>
              <w:spacing w:after="0"/>
              <w:rPr>
                <w:sz w:val="18"/>
                <w:szCs w:val="18"/>
                <w:color w:val="auto"/>
              </w:rPr>
            </w:pPr>
          </w:p>
        </w:tc>
        <w:tc>
          <w:tcPr>
            <w:tcW w:w="3120" w:type="dxa"/>
            <w:vAlign w:val="bottom"/>
            <w:tcBorders>
              <w:bottom w:val="single" w:sz="8" w:color="F0FFFF"/>
              <w:right w:val="single" w:sz="8" w:color="auto"/>
            </w:tcBorders>
            <w:shd w:val="clear" w:color="auto" w:fill="F0FFFF"/>
          </w:tcPr>
          <w:p>
            <w:pPr>
              <w:ind w:left="280"/>
              <w:spacing w:after="0"/>
              <w:rPr>
                <w:sz w:val="20"/>
                <w:szCs w:val="20"/>
                <w:color w:val="auto"/>
              </w:rPr>
            </w:pPr>
            <w:r>
              <w:rPr>
                <w:rFonts w:ascii="Times New Roman" w:cs="Times New Roman" w:eastAsia="Times New Roman" w:hAnsi="Times New Roman"/>
                <w:sz w:val="13"/>
                <w:szCs w:val="13"/>
                <w:color w:val="auto"/>
              </w:rPr>
              <w:t>Fax: (877) 246-8424</w:t>
            </w:r>
          </w:p>
        </w:tc>
      </w:tr>
      <w:tr>
        <w:trPr>
          <w:trHeight w:val="397"/>
        </w:trPr>
        <w:tc>
          <w:tcPr>
            <w:tcW w:w="360" w:type="dxa"/>
            <w:vAlign w:val="bottom"/>
            <w:tcBorders>
              <w:top w:val="single" w:sz="8" w:color="auto"/>
            </w:tcBorders>
          </w:tcPr>
          <w:p>
            <w:pPr>
              <w:spacing w:after="0"/>
              <w:rPr>
                <w:sz w:val="24"/>
                <w:szCs w:val="24"/>
                <w:color w:val="auto"/>
              </w:rPr>
            </w:pPr>
          </w:p>
        </w:tc>
        <w:tc>
          <w:tcPr>
            <w:tcW w:w="2600" w:type="dxa"/>
            <w:vAlign w:val="bottom"/>
            <w:tcBorders>
              <w:top w:val="single" w:sz="8" w:color="auto"/>
            </w:tcBorders>
          </w:tcPr>
          <w:p>
            <w:pPr>
              <w:spacing w:after="0"/>
              <w:rPr>
                <w:sz w:val="24"/>
                <w:szCs w:val="24"/>
                <w:color w:val="auto"/>
              </w:rPr>
            </w:pPr>
          </w:p>
        </w:tc>
        <w:tc>
          <w:tcPr>
            <w:tcW w:w="3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-1870710</wp:posOffset>
            </wp:positionV>
            <wp:extent cx="3842385" cy="5924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842385" cy="5924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-894080</wp:posOffset>
            </wp:positionV>
            <wp:extent cx="3842385" cy="1765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842385" cy="176530"/>
                    </a:xfrm>
                    <a:prstGeom prst="rect">
                      <a:avLst/>
                    </a:prstGeom>
                    <a:noFill/>
                  </pic:spPr>
                </pic:pic>
              </a:graphicData>
            </a:graphic>
          </wp:anchor>
        </w:drawing>
      </w:r>
    </w:p>
    <w:p>
      <w:pPr>
        <w:sectPr>
          <w:pgSz w:w="11900" w:h="16838" w:orient="portrait"/>
          <w:cols w:equalWidth="0" w:num="1">
            <w:col w:w="9259"/>
          </w:cols>
          <w:pgMar w:left="1200" w:top="1049" w:right="1440" w:bottom="1440" w:gutter="0" w:footer="0" w:header="0"/>
        </w:sectPr>
      </w:pPr>
    </w:p>
    <w:bookmarkStart w:id="74" w:name="page75"/>
    <w:bookmarkEnd w:id="74"/>
    <w:tbl>
      <w:tblPr>
        <w:tblLayout w:type="fixed"/>
        <w:tblInd w:w="10" w:type="dxa"/>
        <w:tblCellMar>
          <w:top w:w="0" w:type="dxa"/>
          <w:left w:w="0" w:type="dxa"/>
          <w:bottom w:w="0" w:type="dxa"/>
          <w:right w:w="0" w:type="dxa"/>
        </w:tblCellMar>
      </w:tblPr>
      <w:tr>
        <w:trPr>
          <w:trHeight w:val="220"/>
        </w:trPr>
        <w:tc>
          <w:tcPr>
            <w:tcW w:w="300" w:type="dxa"/>
            <w:vAlign w:val="bottom"/>
            <w:tcBorders>
              <w:top w:val="single" w:sz="8" w:color="auto"/>
              <w:left w:val="single" w:sz="8" w:color="auto"/>
            </w:tcBorders>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27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Death Claims for Contracts receiving Annuity</w:t>
            </w:r>
          </w:p>
        </w:tc>
        <w:tc>
          <w:tcPr>
            <w:tcW w:w="300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rPr>
              <w:t>P.O. Box 4364</w:t>
            </w:r>
          </w:p>
        </w:tc>
      </w:tr>
      <w:tr>
        <w:trPr>
          <w:trHeight w:val="172"/>
        </w:trPr>
        <w:tc>
          <w:tcPr>
            <w:tcW w:w="300" w:type="dxa"/>
            <w:vAlign w:val="bottom"/>
            <w:tcBorders>
              <w:left w:val="single" w:sz="8" w:color="auto"/>
            </w:tcBorders>
          </w:tcPr>
          <w:p>
            <w:pPr>
              <w:spacing w:after="0"/>
              <w:rPr>
                <w:sz w:val="14"/>
                <w:szCs w:val="14"/>
                <w:color w:val="auto"/>
              </w:rPr>
            </w:pPr>
          </w:p>
        </w:tc>
        <w:tc>
          <w:tcPr>
            <w:tcW w:w="27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Payments</w:t>
            </w:r>
          </w:p>
        </w:tc>
        <w:tc>
          <w:tcPr>
            <w:tcW w:w="30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rPr>
              <w:t>Clinton, IA 52733-4364</w:t>
            </w:r>
          </w:p>
        </w:tc>
      </w:tr>
      <w:tr>
        <w:trPr>
          <w:trHeight w:val="175"/>
        </w:trPr>
        <w:tc>
          <w:tcPr>
            <w:tcW w:w="300" w:type="dxa"/>
            <w:vAlign w:val="bottom"/>
            <w:tcBorders>
              <w:left w:val="single" w:sz="8" w:color="auto"/>
            </w:tcBorders>
          </w:tcPr>
          <w:p>
            <w:pPr>
              <w:spacing w:after="0"/>
              <w:rPr>
                <w:sz w:val="15"/>
                <w:szCs w:val="15"/>
                <w:color w:val="auto"/>
              </w:rPr>
            </w:pPr>
          </w:p>
        </w:tc>
        <w:tc>
          <w:tcPr>
            <w:tcW w:w="2780" w:type="dxa"/>
            <w:vAlign w:val="bottom"/>
          </w:tcPr>
          <w:p>
            <w:pPr>
              <w:spacing w:after="0"/>
              <w:rPr>
                <w:sz w:val="15"/>
                <w:szCs w:val="15"/>
                <w:color w:val="auto"/>
              </w:rPr>
            </w:pPr>
          </w:p>
        </w:tc>
        <w:tc>
          <w:tcPr>
            <w:tcW w:w="30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rPr>
              <w:t>Telephone: (800) 882-1292</w:t>
            </w:r>
          </w:p>
        </w:tc>
      </w:tr>
      <w:tr>
        <w:trPr>
          <w:trHeight w:val="172"/>
        </w:trPr>
        <w:tc>
          <w:tcPr>
            <w:tcW w:w="300" w:type="dxa"/>
            <w:vAlign w:val="bottom"/>
            <w:tcBorders>
              <w:left w:val="single" w:sz="8" w:color="auto"/>
            </w:tcBorders>
          </w:tcPr>
          <w:p>
            <w:pPr>
              <w:spacing w:after="0"/>
              <w:rPr>
                <w:sz w:val="14"/>
                <w:szCs w:val="14"/>
                <w:color w:val="auto"/>
              </w:rPr>
            </w:pPr>
          </w:p>
        </w:tc>
        <w:tc>
          <w:tcPr>
            <w:tcW w:w="2780" w:type="dxa"/>
            <w:vAlign w:val="bottom"/>
          </w:tcPr>
          <w:p>
            <w:pPr>
              <w:spacing w:after="0"/>
              <w:rPr>
                <w:sz w:val="14"/>
                <w:szCs w:val="14"/>
                <w:color w:val="auto"/>
              </w:rPr>
            </w:pPr>
          </w:p>
        </w:tc>
        <w:tc>
          <w:tcPr>
            <w:tcW w:w="30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rPr>
              <w:t>Fax: (877) 245-8163</w:t>
            </w:r>
          </w:p>
        </w:tc>
      </w:tr>
      <w:tr>
        <w:trPr>
          <w:trHeight w:val="39"/>
        </w:trPr>
        <w:tc>
          <w:tcPr>
            <w:tcW w:w="300" w:type="dxa"/>
            <w:vAlign w:val="bottom"/>
            <w:tcBorders>
              <w:left w:val="single" w:sz="8" w:color="auto"/>
              <w:bottom w:val="single" w:sz="8" w:color="auto"/>
            </w:tcBorders>
          </w:tcPr>
          <w:p>
            <w:pPr>
              <w:spacing w:after="0"/>
              <w:rPr>
                <w:sz w:val="3"/>
                <w:szCs w:val="3"/>
                <w:color w:val="auto"/>
              </w:rPr>
            </w:pPr>
          </w:p>
        </w:tc>
        <w:tc>
          <w:tcPr>
            <w:tcW w:w="2780" w:type="dxa"/>
            <w:vAlign w:val="bottom"/>
            <w:tcBorders>
              <w:bottom w:val="single" w:sz="8" w:color="auto"/>
            </w:tcBorders>
          </w:tcPr>
          <w:p>
            <w:pPr>
              <w:spacing w:after="0"/>
              <w:rPr>
                <w:sz w:val="3"/>
                <w:szCs w:val="3"/>
                <w:color w:val="auto"/>
              </w:rPr>
            </w:pPr>
          </w:p>
        </w:tc>
        <w:tc>
          <w:tcPr>
            <w:tcW w:w="3000" w:type="dxa"/>
            <w:vAlign w:val="bottom"/>
            <w:tcBorders>
              <w:bottom w:val="single" w:sz="8" w:color="auto"/>
              <w:right w:val="single" w:sz="8" w:color="auto"/>
            </w:tcBorders>
          </w:tcPr>
          <w:p>
            <w:pPr>
              <w:spacing w:after="0"/>
              <w:rPr>
                <w:sz w:val="3"/>
                <w:szCs w:val="3"/>
                <w:color w:val="auto"/>
              </w:rPr>
            </w:pPr>
          </w:p>
        </w:tc>
      </w:tr>
      <w:tr>
        <w:trPr>
          <w:trHeight w:val="195"/>
        </w:trPr>
        <w:tc>
          <w:tcPr>
            <w:tcW w:w="300" w:type="dxa"/>
            <w:vAlign w:val="bottom"/>
            <w:tcBorders>
              <w:left w:val="single" w:sz="8" w:color="auto"/>
            </w:tcBorders>
            <w:shd w:val="clear" w:color="auto" w:fill="F0FF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2780" w:type="dxa"/>
            <w:vAlign w:val="bottom"/>
            <w:shd w:val="clear" w:color="auto" w:fill="F0FFFF"/>
          </w:tcPr>
          <w:p>
            <w:pPr>
              <w:ind w:left="180"/>
              <w:spacing w:after="0"/>
              <w:rPr>
                <w:sz w:val="20"/>
                <w:szCs w:val="20"/>
                <w:color w:val="auto"/>
              </w:rPr>
            </w:pPr>
            <w:r>
              <w:rPr>
                <w:rFonts w:ascii="Times New Roman" w:cs="Times New Roman" w:eastAsia="Times New Roman" w:hAnsi="Times New Roman"/>
                <w:sz w:val="13"/>
                <w:szCs w:val="13"/>
                <w:color w:val="auto"/>
              </w:rPr>
              <w:t>General requests and elections for Contracts</w:t>
            </w:r>
          </w:p>
        </w:tc>
        <w:tc>
          <w:tcPr>
            <w:tcW w:w="3000" w:type="dxa"/>
            <w:vAlign w:val="bottom"/>
            <w:tcBorders>
              <w:right w:val="single" w:sz="8" w:color="auto"/>
            </w:tcBorders>
            <w:shd w:val="clear" w:color="auto" w:fill="F0FFFF"/>
          </w:tcPr>
          <w:p>
            <w:pPr>
              <w:ind w:left="160"/>
              <w:spacing w:after="0"/>
              <w:rPr>
                <w:sz w:val="20"/>
                <w:szCs w:val="20"/>
                <w:color w:val="auto"/>
              </w:rPr>
            </w:pPr>
            <w:r>
              <w:rPr>
                <w:rFonts w:ascii="Times New Roman" w:cs="Times New Roman" w:eastAsia="Times New Roman" w:hAnsi="Times New Roman"/>
                <w:sz w:val="13"/>
                <w:szCs w:val="13"/>
                <w:color w:val="auto"/>
              </w:rPr>
              <w:t>P.O. Box 4363</w:t>
            </w:r>
          </w:p>
        </w:tc>
      </w:tr>
      <w:tr>
        <w:trPr>
          <w:trHeight w:val="172"/>
        </w:trPr>
        <w:tc>
          <w:tcPr>
            <w:tcW w:w="300" w:type="dxa"/>
            <w:vAlign w:val="bottom"/>
            <w:tcBorders>
              <w:left w:val="single" w:sz="8" w:color="auto"/>
            </w:tcBorders>
            <w:shd w:val="clear" w:color="auto" w:fill="F0FFFF"/>
          </w:tcPr>
          <w:p>
            <w:pPr>
              <w:spacing w:after="0"/>
              <w:rPr>
                <w:sz w:val="14"/>
                <w:szCs w:val="14"/>
                <w:color w:val="auto"/>
              </w:rPr>
            </w:pPr>
          </w:p>
        </w:tc>
        <w:tc>
          <w:tcPr>
            <w:tcW w:w="2780" w:type="dxa"/>
            <w:vAlign w:val="bottom"/>
            <w:shd w:val="clear" w:color="auto" w:fill="F0FFFF"/>
          </w:tcPr>
          <w:p>
            <w:pPr>
              <w:ind w:left="60"/>
              <w:spacing w:after="0"/>
              <w:rPr>
                <w:sz w:val="20"/>
                <w:szCs w:val="20"/>
                <w:color w:val="auto"/>
              </w:rPr>
            </w:pPr>
            <w:r>
              <w:rPr>
                <w:rFonts w:ascii="Times New Roman" w:cs="Times New Roman" w:eastAsia="Times New Roman" w:hAnsi="Times New Roman"/>
                <w:sz w:val="13"/>
                <w:szCs w:val="13"/>
                <w:color w:val="auto"/>
              </w:rPr>
              <w:t>receiving Annuity Payments</w:t>
            </w:r>
          </w:p>
        </w:tc>
        <w:tc>
          <w:tcPr>
            <w:tcW w:w="3000" w:type="dxa"/>
            <w:vAlign w:val="bottom"/>
            <w:tcBorders>
              <w:right w:val="single" w:sz="8" w:color="auto"/>
            </w:tcBorders>
            <w:shd w:val="clear" w:color="auto" w:fill="F0FFFF"/>
          </w:tcPr>
          <w:p>
            <w:pPr>
              <w:ind w:left="160"/>
              <w:spacing w:after="0"/>
              <w:rPr>
                <w:sz w:val="20"/>
                <w:szCs w:val="20"/>
                <w:color w:val="auto"/>
              </w:rPr>
            </w:pPr>
            <w:r>
              <w:rPr>
                <w:rFonts w:ascii="Times New Roman" w:cs="Times New Roman" w:eastAsia="Times New Roman" w:hAnsi="Times New Roman"/>
                <w:sz w:val="13"/>
                <w:szCs w:val="13"/>
                <w:color w:val="auto"/>
              </w:rPr>
              <w:t>Clinton, IA 52733-4363</w:t>
            </w:r>
          </w:p>
        </w:tc>
      </w:tr>
      <w:tr>
        <w:trPr>
          <w:trHeight w:val="175"/>
        </w:trPr>
        <w:tc>
          <w:tcPr>
            <w:tcW w:w="300" w:type="dxa"/>
            <w:vAlign w:val="bottom"/>
            <w:tcBorders>
              <w:left w:val="single" w:sz="8" w:color="auto"/>
            </w:tcBorders>
            <w:shd w:val="clear" w:color="auto" w:fill="F0FFFF"/>
          </w:tcPr>
          <w:p>
            <w:pPr>
              <w:spacing w:after="0"/>
              <w:rPr>
                <w:sz w:val="15"/>
                <w:szCs w:val="15"/>
                <w:color w:val="auto"/>
              </w:rPr>
            </w:pPr>
          </w:p>
        </w:tc>
        <w:tc>
          <w:tcPr>
            <w:tcW w:w="2780" w:type="dxa"/>
            <w:vAlign w:val="bottom"/>
            <w:shd w:val="clear" w:color="auto" w:fill="F0FFFF"/>
          </w:tcPr>
          <w:p>
            <w:pPr>
              <w:spacing w:after="0"/>
              <w:rPr>
                <w:sz w:val="15"/>
                <w:szCs w:val="15"/>
                <w:color w:val="auto"/>
              </w:rPr>
            </w:pPr>
          </w:p>
        </w:tc>
        <w:tc>
          <w:tcPr>
            <w:tcW w:w="3000" w:type="dxa"/>
            <w:vAlign w:val="bottom"/>
            <w:tcBorders>
              <w:right w:val="single" w:sz="8" w:color="auto"/>
            </w:tcBorders>
            <w:shd w:val="clear" w:color="auto" w:fill="F0FFFF"/>
          </w:tcPr>
          <w:p>
            <w:pPr>
              <w:ind w:left="160"/>
              <w:spacing w:after="0"/>
              <w:rPr>
                <w:sz w:val="20"/>
                <w:szCs w:val="20"/>
                <w:color w:val="auto"/>
              </w:rPr>
            </w:pPr>
            <w:r>
              <w:rPr>
                <w:rFonts w:ascii="Times New Roman" w:cs="Times New Roman" w:eastAsia="Times New Roman" w:hAnsi="Times New Roman"/>
                <w:sz w:val="13"/>
                <w:szCs w:val="13"/>
                <w:color w:val="auto"/>
              </w:rPr>
              <w:t>Telephone: (800) 882-1292</w:t>
            </w:r>
          </w:p>
        </w:tc>
      </w:tr>
      <w:tr>
        <w:trPr>
          <w:trHeight w:val="216"/>
        </w:trPr>
        <w:tc>
          <w:tcPr>
            <w:tcW w:w="300" w:type="dxa"/>
            <w:vAlign w:val="bottom"/>
            <w:tcBorders>
              <w:left w:val="single" w:sz="8" w:color="auto"/>
              <w:bottom w:val="single" w:sz="8" w:color="F0FFFF"/>
            </w:tcBorders>
            <w:shd w:val="clear" w:color="auto" w:fill="F0FFFF"/>
          </w:tcPr>
          <w:p>
            <w:pPr>
              <w:spacing w:after="0"/>
              <w:rPr>
                <w:sz w:val="18"/>
                <w:szCs w:val="18"/>
                <w:color w:val="auto"/>
              </w:rPr>
            </w:pPr>
          </w:p>
        </w:tc>
        <w:tc>
          <w:tcPr>
            <w:tcW w:w="2780" w:type="dxa"/>
            <w:vAlign w:val="bottom"/>
            <w:tcBorders>
              <w:bottom w:val="single" w:sz="8" w:color="F0FFFF"/>
            </w:tcBorders>
            <w:shd w:val="clear" w:color="auto" w:fill="F0FFFF"/>
          </w:tcPr>
          <w:p>
            <w:pPr>
              <w:spacing w:after="0"/>
              <w:rPr>
                <w:sz w:val="18"/>
                <w:szCs w:val="18"/>
                <w:color w:val="auto"/>
              </w:rPr>
            </w:pPr>
          </w:p>
        </w:tc>
        <w:tc>
          <w:tcPr>
            <w:tcW w:w="3000" w:type="dxa"/>
            <w:vAlign w:val="bottom"/>
            <w:tcBorders>
              <w:bottom w:val="single" w:sz="8" w:color="F0FFFF"/>
              <w:right w:val="single" w:sz="8" w:color="auto"/>
            </w:tcBorders>
            <w:shd w:val="clear" w:color="auto" w:fill="F0FFFF"/>
          </w:tcPr>
          <w:p>
            <w:pPr>
              <w:ind w:left="160"/>
              <w:spacing w:after="0"/>
              <w:rPr>
                <w:sz w:val="20"/>
                <w:szCs w:val="20"/>
                <w:color w:val="auto"/>
              </w:rPr>
            </w:pPr>
            <w:r>
              <w:rPr>
                <w:rFonts w:ascii="Times New Roman" w:cs="Times New Roman" w:eastAsia="Times New Roman" w:hAnsi="Times New Roman"/>
                <w:sz w:val="13"/>
                <w:szCs w:val="13"/>
                <w:color w:val="auto"/>
              </w:rPr>
              <w:t>Fax: (877) 246-8424</w:t>
            </w:r>
          </w:p>
        </w:tc>
      </w:tr>
      <w:tr>
        <w:trPr>
          <w:trHeight w:val="176"/>
        </w:trPr>
        <w:tc>
          <w:tcPr>
            <w:tcW w:w="3080" w:type="dxa"/>
            <w:vAlign w:val="bottom"/>
            <w:tcBorders>
              <w:top w:val="single" w:sz="8" w:color="auto"/>
              <w:left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color w:val="auto"/>
              </w:rPr>
              <w:t>All other requests and elections and general inquiries</w:t>
            </w:r>
          </w:p>
        </w:tc>
        <w:tc>
          <w:tcPr>
            <w:tcW w:w="300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rPr>
              <w:t>P.O. Box 4301</w:t>
            </w:r>
          </w:p>
        </w:tc>
      </w:tr>
      <w:tr>
        <w:trPr>
          <w:trHeight w:val="159"/>
        </w:trPr>
        <w:tc>
          <w:tcPr>
            <w:tcW w:w="300" w:type="dxa"/>
            <w:vAlign w:val="bottom"/>
            <w:tcBorders>
              <w:left w:val="single" w:sz="8" w:color="auto"/>
            </w:tcBorders>
          </w:tcPr>
          <w:p>
            <w:pPr>
              <w:spacing w:after="0"/>
              <w:rPr>
                <w:sz w:val="13"/>
                <w:szCs w:val="13"/>
                <w:color w:val="auto"/>
              </w:rPr>
            </w:pPr>
          </w:p>
        </w:tc>
        <w:tc>
          <w:tcPr>
            <w:tcW w:w="2780" w:type="dxa"/>
            <w:vAlign w:val="bottom"/>
          </w:tcPr>
          <w:p>
            <w:pPr>
              <w:spacing w:after="0"/>
              <w:rPr>
                <w:sz w:val="13"/>
                <w:szCs w:val="13"/>
                <w:color w:val="auto"/>
              </w:rPr>
            </w:pPr>
          </w:p>
        </w:tc>
        <w:tc>
          <w:tcPr>
            <w:tcW w:w="30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rPr>
              <w:t>Clinton, IA 52733-4301</w:t>
            </w:r>
          </w:p>
        </w:tc>
      </w:tr>
      <w:tr>
        <w:trPr>
          <w:trHeight w:val="159"/>
        </w:trPr>
        <w:tc>
          <w:tcPr>
            <w:tcW w:w="300" w:type="dxa"/>
            <w:vAlign w:val="bottom"/>
            <w:tcBorders>
              <w:left w:val="single" w:sz="8" w:color="auto"/>
            </w:tcBorders>
          </w:tcPr>
          <w:p>
            <w:pPr>
              <w:spacing w:after="0"/>
              <w:rPr>
                <w:sz w:val="13"/>
                <w:szCs w:val="13"/>
                <w:color w:val="auto"/>
              </w:rPr>
            </w:pPr>
          </w:p>
        </w:tc>
        <w:tc>
          <w:tcPr>
            <w:tcW w:w="2780" w:type="dxa"/>
            <w:vAlign w:val="bottom"/>
          </w:tcPr>
          <w:p>
            <w:pPr>
              <w:spacing w:after="0"/>
              <w:rPr>
                <w:sz w:val="13"/>
                <w:szCs w:val="13"/>
                <w:color w:val="auto"/>
              </w:rPr>
            </w:pPr>
          </w:p>
        </w:tc>
        <w:tc>
          <w:tcPr>
            <w:tcW w:w="30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rPr>
              <w:t>Telephone: (888) 243-1932</w:t>
            </w:r>
          </w:p>
        </w:tc>
      </w:tr>
      <w:tr>
        <w:trPr>
          <w:trHeight w:val="172"/>
        </w:trPr>
        <w:tc>
          <w:tcPr>
            <w:tcW w:w="300" w:type="dxa"/>
            <w:vAlign w:val="bottom"/>
            <w:tcBorders>
              <w:left w:val="single" w:sz="8" w:color="auto"/>
            </w:tcBorders>
          </w:tcPr>
          <w:p>
            <w:pPr>
              <w:spacing w:after="0"/>
              <w:rPr>
                <w:sz w:val="14"/>
                <w:szCs w:val="14"/>
                <w:color w:val="auto"/>
              </w:rPr>
            </w:pPr>
          </w:p>
        </w:tc>
        <w:tc>
          <w:tcPr>
            <w:tcW w:w="2780" w:type="dxa"/>
            <w:vAlign w:val="bottom"/>
          </w:tcPr>
          <w:p>
            <w:pPr>
              <w:spacing w:after="0"/>
              <w:rPr>
                <w:sz w:val="14"/>
                <w:szCs w:val="14"/>
                <w:color w:val="auto"/>
              </w:rPr>
            </w:pPr>
          </w:p>
        </w:tc>
        <w:tc>
          <w:tcPr>
            <w:tcW w:w="30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rPr>
              <w:t>Fax: (877) 246-8424</w:t>
            </w: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93915" cy="381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-1445260</wp:posOffset>
            </wp:positionV>
            <wp:extent cx="3842385" cy="4914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842385" cy="4914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-462280</wp:posOffset>
            </wp:positionV>
            <wp:extent cx="3842385" cy="4533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842385" cy="453390"/>
                    </a:xfrm>
                    <a:prstGeom prst="rect">
                      <a:avLst/>
                    </a:prstGeom>
                    <a:noFill/>
                  </pic:spPr>
                </pic:pic>
              </a:graphicData>
            </a:graphic>
          </wp:anchor>
        </w:drawing>
      </w:r>
    </w:p>
    <w:p>
      <w:pPr>
        <w:spacing w:after="0" w:line="42" w:lineRule="exact"/>
        <w:rPr>
          <w:sz w:val="20"/>
          <w:szCs w:val="20"/>
          <w:color w:val="auto"/>
        </w:rPr>
      </w:pPr>
    </w:p>
    <w:p>
      <w:pPr>
        <w:jc w:val="both"/>
        <w:ind w:right="3199" w:firstLine="265"/>
        <w:spacing w:after="0" w:line="262" w:lineRule="auto"/>
        <w:rPr>
          <w:sz w:val="20"/>
          <w:szCs w:val="20"/>
          <w:color w:val="auto"/>
        </w:rPr>
      </w:pPr>
      <w:r>
        <w:rPr>
          <w:rFonts w:ascii="Times New Roman" w:cs="Times New Roman" w:eastAsia="Times New Roman" w:hAnsi="Times New Roman"/>
          <w:sz w:val="13"/>
          <w:szCs w:val="13"/>
          <w:color w:val="auto"/>
        </w:rPr>
        <w:t>Some of the requests for service that may be made by telephone or Internet (www.brighthousefinancial.com) include transfers of your Account Value into Shield Option(s) or the Fixed Account and requests for a transaction or other notification related to the Performance Lock. We may from time to time permit requests for other types of transactions to be made by telephone or Internet. All transaction requests must be in a form satisfactory to us. Contact us for further information. Some selling firms may restrict the ability of their financial professionals to convey transaction requests by telephone or Internet on your behalf.</w:t>
      </w:r>
    </w:p>
    <w:p>
      <w:pPr>
        <w:spacing w:after="0" w:line="53" w:lineRule="exact"/>
        <w:rPr>
          <w:sz w:val="20"/>
          <w:szCs w:val="20"/>
          <w:color w:val="auto"/>
        </w:rPr>
      </w:pPr>
    </w:p>
    <w:p>
      <w:pPr>
        <w:jc w:val="both"/>
        <w:ind w:right="3199" w:firstLine="265"/>
        <w:spacing w:after="0" w:line="262" w:lineRule="auto"/>
        <w:rPr>
          <w:sz w:val="20"/>
          <w:szCs w:val="20"/>
          <w:color w:val="auto"/>
        </w:rPr>
      </w:pPr>
      <w:r>
        <w:rPr>
          <w:rFonts w:ascii="Times New Roman" w:cs="Times New Roman" w:eastAsia="Times New Roman" w:hAnsi="Times New Roman"/>
          <w:sz w:val="13"/>
          <w:szCs w:val="13"/>
          <w:color w:val="auto"/>
        </w:rPr>
        <w:t>We are not a fiduciary and do not provide investment advice or make recommendations regarding insurance or investment products. Ask your financial professional for guidance regarding any requests or elections and for information about your particular investment needs. Please bear in mind that your financial professional, or any financial firm or financial professional with whom you consult for advice, acts on your behalf, not ours. We are not party to any agreement between you and your financial professional. We do not recommend and are not responsible for any securities transactions or investment strategies involving securities.</w:t>
      </w:r>
    </w:p>
    <w:p>
      <w:pPr>
        <w:spacing w:after="0" w:line="53" w:lineRule="exact"/>
        <w:rPr>
          <w:sz w:val="20"/>
          <w:szCs w:val="20"/>
          <w:color w:val="auto"/>
        </w:rPr>
      </w:pPr>
    </w:p>
    <w:p>
      <w:pPr>
        <w:jc w:val="both"/>
        <w:ind w:right="3199" w:firstLine="265"/>
        <w:spacing w:after="0" w:line="266" w:lineRule="auto"/>
        <w:rPr>
          <w:sz w:val="20"/>
          <w:szCs w:val="20"/>
          <w:color w:val="auto"/>
        </w:rPr>
      </w:pPr>
      <w:r>
        <w:rPr>
          <w:rFonts w:ascii="Times New Roman" w:cs="Times New Roman" w:eastAsia="Times New Roman" w:hAnsi="Times New Roman"/>
          <w:sz w:val="13"/>
          <w:szCs w:val="13"/>
          <w:color w:val="auto"/>
        </w:rPr>
        <w:t>A request or transaction generally is considered in Good Order if it complies with our administrative procedures and the required information is complete and accurate. A request or transaction may be rejected or delayed if not in Good Order. If you have any questions, you should contact us or your financial professional before submitting the form or request.</w:t>
      </w:r>
    </w:p>
    <w:p>
      <w:pPr>
        <w:spacing w:after="0" w:line="52" w:lineRule="exact"/>
        <w:rPr>
          <w:sz w:val="20"/>
          <w:szCs w:val="20"/>
          <w:color w:val="auto"/>
        </w:rPr>
      </w:pPr>
    </w:p>
    <w:p>
      <w:pPr>
        <w:jc w:val="both"/>
        <w:ind w:right="3199" w:firstLine="265"/>
        <w:spacing w:after="0" w:line="258" w:lineRule="auto"/>
        <w:rPr>
          <w:sz w:val="20"/>
          <w:szCs w:val="20"/>
          <w:color w:val="auto"/>
        </w:rPr>
      </w:pPr>
      <w:r>
        <w:rPr>
          <w:rFonts w:ascii="Times New Roman" w:cs="Times New Roman" w:eastAsia="Times New Roman" w:hAnsi="Times New Roman"/>
          <w:sz w:val="13"/>
          <w:szCs w:val="13"/>
          <w:color w:val="auto"/>
        </w:rPr>
        <w:t>We will use reasonable procedures such as requiring certain identifying information, recording the telephone instructions, and providing written confirmation of the transaction, in order to confirm that instructions communicated by telephone, fax, Internet or other means are genuine. Any telephone, fax or Internet instructions reasonably believed by us to be genuine will be your responsibility, including losses arising from any errors in the communication of instructions. As a result of this policy, you will bear the risk of loss. If we do not employ reasonable procedures to confirm that instructions communicated by telephone, fax or Internet are genuine, we may be liable for any losses due to unauthorized or fraudulent transactions. All other requests and elections under your Contract must be in writing signed by the proper party, must include any necessary documentation and must be received at our Annuity Service Office to be effective. If acceptable to us, requests or elections relating to Beneficiaries and Ownership will take effect as of the date signed unless we have already acted in reliance on the prior status. We are not responsible for the validity of any written request or action.</w:t>
      </w:r>
    </w:p>
    <w:p>
      <w:pPr>
        <w:spacing w:after="0" w:line="58" w:lineRule="exact"/>
        <w:rPr>
          <w:sz w:val="20"/>
          <w:szCs w:val="20"/>
          <w:color w:val="auto"/>
        </w:rPr>
      </w:pPr>
    </w:p>
    <w:p>
      <w:pPr>
        <w:jc w:val="both"/>
        <w:ind w:right="3199" w:firstLine="265"/>
        <w:spacing w:after="0" w:line="262" w:lineRule="auto"/>
        <w:rPr>
          <w:sz w:val="20"/>
          <w:szCs w:val="20"/>
          <w:color w:val="auto"/>
        </w:rPr>
      </w:pPr>
      <w:r>
        <w:rPr>
          <w:rFonts w:ascii="Times New Roman" w:cs="Times New Roman" w:eastAsia="Times New Roman" w:hAnsi="Times New Roman"/>
          <w:sz w:val="13"/>
          <w:szCs w:val="13"/>
          <w:color w:val="auto"/>
        </w:rPr>
        <w:t>Telephone and computer systems may not always be available. Any telephone or computer system, whether it is yours, your service provider’s, your financial professional’s, or ours, can experience outages or slowdowns for a variety of reasons. These outages or slowdowns may delay or prevent our processing of your request. Although we have taken precautions to help our systems handle heavy use, we cannot promise complete reliability under all circumstances. If you experience technical difficulties or problems, you should make your transaction request in writing to our Annuity Service Office.</w:t>
      </w:r>
    </w:p>
    <w:p>
      <w:pPr>
        <w:spacing w:after="0" w:line="20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3"/>
          <w:szCs w:val="13"/>
          <w:b w:val="1"/>
          <w:bCs w:val="1"/>
          <w:color w:val="auto"/>
        </w:rPr>
        <w:t>CONFIRMING TRANSACTIONS</w:t>
      </w:r>
    </w:p>
    <w:p>
      <w:pPr>
        <w:spacing w:after="0" w:line="91" w:lineRule="exact"/>
        <w:rPr>
          <w:sz w:val="20"/>
          <w:szCs w:val="20"/>
          <w:color w:val="auto"/>
        </w:rPr>
      </w:pPr>
    </w:p>
    <w:p>
      <w:pPr>
        <w:jc w:val="both"/>
        <w:ind w:right="3199" w:firstLine="265"/>
        <w:spacing w:after="0" w:line="290" w:lineRule="auto"/>
        <w:rPr>
          <w:sz w:val="20"/>
          <w:szCs w:val="20"/>
          <w:color w:val="auto"/>
        </w:rPr>
      </w:pPr>
      <w:r>
        <w:rPr>
          <w:rFonts w:ascii="Times New Roman" w:cs="Times New Roman" w:eastAsia="Times New Roman" w:hAnsi="Times New Roman"/>
          <w:sz w:val="13"/>
          <w:szCs w:val="13"/>
          <w:color w:val="auto"/>
        </w:rPr>
        <w:t>We will send out written statements confirming that a transaction was recently completed. Unless you inform us of any errors within 60 days of receipt, we will consider these communications to be accurate and complete.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color w:val="auto"/>
        </w:rPr>
        <w:t>73</w:t>
      </w:r>
    </w:p>
    <w:p>
      <w:pPr>
        <w:sectPr>
          <w:pgSz w:w="11900" w:h="16838" w:orient="portrait"/>
          <w:cols w:equalWidth="0" w:num="1">
            <w:col w:w="9259"/>
          </w:cols>
          <w:pgMar w:left="1200" w:top="1037" w:right="1440" w:bottom="1440" w:gutter="0" w:footer="0" w:header="0"/>
        </w:sectPr>
      </w:pPr>
    </w:p>
    <w:bookmarkStart w:id="75" w:name="page76"/>
    <w:bookmarkEnd w:id="75"/>
    <w:p>
      <w:pPr>
        <w:ind w:left="230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93915" cy="38100"/>
                    </a:xfrm>
                    <a:prstGeom prst="rect">
                      <a:avLst/>
                    </a:prstGeom>
                    <a:noFill/>
                  </pic:spPr>
                </pic:pic>
              </a:graphicData>
            </a:graphic>
          </wp:anchor>
        </w:drawing>
        <w:t>LEGAL PROCEEDINGS</w:t>
      </w:r>
    </w:p>
    <w:p>
      <w:pPr>
        <w:spacing w:after="0" w:line="91" w:lineRule="exact"/>
        <w:rPr>
          <w:sz w:val="20"/>
          <w:szCs w:val="20"/>
          <w:color w:val="auto"/>
        </w:rPr>
      </w:pPr>
    </w:p>
    <w:p>
      <w:pPr>
        <w:jc w:val="both"/>
        <w:ind w:right="3199" w:firstLine="265"/>
        <w:spacing w:after="0" w:line="263" w:lineRule="auto"/>
        <w:rPr>
          <w:sz w:val="20"/>
          <w:szCs w:val="20"/>
          <w:color w:val="auto"/>
        </w:rPr>
      </w:pPr>
      <w:r>
        <w:rPr>
          <w:rFonts w:ascii="Times New Roman" w:cs="Times New Roman" w:eastAsia="Times New Roman" w:hAnsi="Times New Roman"/>
          <w:sz w:val="13"/>
          <w:szCs w:val="13"/>
          <w:color w:val="auto"/>
        </w:rPr>
        <w:t>In the ordinary course of business, BLNY, similar to other life insurance companies, is involved in lawsuits (including class action lawsuits), arbitrations and other legal proceedings. Also, from time to time, state and Federal regulators or other officials conduct formal and informal examinations or undertake other actions dealing with various aspects of the financial services and insurance industries. In some legal proceedings involving insurers, substantial damages have been sought and/or material settlement payments have been made.</w:t>
      </w:r>
    </w:p>
    <w:p>
      <w:pPr>
        <w:spacing w:after="0" w:line="54" w:lineRule="exact"/>
        <w:rPr>
          <w:sz w:val="20"/>
          <w:szCs w:val="20"/>
          <w:color w:val="auto"/>
        </w:rPr>
      </w:pPr>
    </w:p>
    <w:p>
      <w:pPr>
        <w:jc w:val="both"/>
        <w:ind w:right="3199" w:firstLine="265"/>
        <w:spacing w:after="0" w:line="266" w:lineRule="auto"/>
        <w:rPr>
          <w:sz w:val="20"/>
          <w:szCs w:val="20"/>
          <w:color w:val="auto"/>
        </w:rPr>
      </w:pPr>
      <w:r>
        <w:rPr>
          <w:rFonts w:ascii="Times New Roman" w:cs="Times New Roman" w:eastAsia="Times New Roman" w:hAnsi="Times New Roman"/>
          <w:sz w:val="13"/>
          <w:szCs w:val="13"/>
          <w:color w:val="auto"/>
        </w:rPr>
        <w:t>It is not possible to predict with certainty the ultimate outcome of any pending legal proceeding or regulatory action. However, BLNY does not believe any such action or proceeding will have a material adverse effect upon the ability of Brighthouse Securities to perform its contract with BLNY or of BLNY to meet its obligations under the contracts.</w:t>
      </w:r>
    </w:p>
    <w:p>
      <w:pPr>
        <w:spacing w:after="0" w:line="208" w:lineRule="exact"/>
        <w:rPr>
          <w:sz w:val="20"/>
          <w:szCs w:val="20"/>
          <w:color w:val="auto"/>
        </w:rPr>
      </w:pPr>
    </w:p>
    <w:p>
      <w:pPr>
        <w:jc w:val="center"/>
        <w:ind w:right="3199"/>
        <w:spacing w:after="0"/>
        <w:rPr>
          <w:sz w:val="20"/>
          <w:szCs w:val="20"/>
          <w:color w:val="auto"/>
        </w:rPr>
      </w:pPr>
      <w:r>
        <w:rPr>
          <w:rFonts w:ascii="Times New Roman" w:cs="Times New Roman" w:eastAsia="Times New Roman" w:hAnsi="Times New Roman"/>
          <w:sz w:val="13"/>
          <w:szCs w:val="13"/>
          <w:b w:val="1"/>
          <w:bCs w:val="1"/>
          <w:color w:val="auto"/>
        </w:rPr>
        <w:t>EXPERTS</w:t>
      </w:r>
    </w:p>
    <w:p>
      <w:pPr>
        <w:spacing w:after="0" w:line="91" w:lineRule="exact"/>
        <w:rPr>
          <w:sz w:val="20"/>
          <w:szCs w:val="20"/>
          <w:color w:val="auto"/>
        </w:rPr>
      </w:pPr>
    </w:p>
    <w:p>
      <w:pPr>
        <w:jc w:val="both"/>
        <w:ind w:right="3199" w:firstLine="265"/>
        <w:spacing w:after="0" w:line="266" w:lineRule="auto"/>
        <w:rPr>
          <w:sz w:val="20"/>
          <w:szCs w:val="20"/>
          <w:color w:val="auto"/>
        </w:rPr>
      </w:pPr>
      <w:r>
        <w:rPr>
          <w:rFonts w:ascii="Times New Roman" w:cs="Times New Roman" w:eastAsia="Times New Roman" w:hAnsi="Times New Roman"/>
          <w:sz w:val="13"/>
          <w:szCs w:val="13"/>
          <w:color w:val="auto"/>
        </w:rPr>
        <w:t>Legal matters in connection with Federal laws and regulations affecting the issue and sale of the Contracts described in this prospectus and the organization of BLNY, its authority to issue such Contracts under New York law and the validity of the forms of the Contracts under New York law have been passed on by legal counsel for BLNY.</w:t>
      </w:r>
    </w:p>
    <w:p>
      <w:pPr>
        <w:spacing w:after="0" w:line="208" w:lineRule="exact"/>
        <w:rPr>
          <w:sz w:val="20"/>
          <w:szCs w:val="20"/>
          <w:color w:val="auto"/>
        </w:rPr>
      </w:pPr>
    </w:p>
    <w:p>
      <w:pPr>
        <w:jc w:val="center"/>
        <w:ind w:right="3199"/>
        <w:spacing w:after="0"/>
        <w:rPr>
          <w:sz w:val="20"/>
          <w:szCs w:val="20"/>
          <w:color w:val="auto"/>
        </w:rPr>
      </w:pPr>
      <w:r>
        <w:rPr>
          <w:rFonts w:ascii="Times New Roman" w:cs="Times New Roman" w:eastAsia="Times New Roman" w:hAnsi="Times New Roman"/>
          <w:sz w:val="13"/>
          <w:szCs w:val="13"/>
          <w:b w:val="1"/>
          <w:bCs w:val="1"/>
          <w:color w:val="auto"/>
        </w:rPr>
        <w:t>INDEPENDENT AUDITOR</w:t>
      </w:r>
    </w:p>
    <w:p>
      <w:pPr>
        <w:spacing w:after="0" w:line="91" w:lineRule="exact"/>
        <w:rPr>
          <w:sz w:val="20"/>
          <w:szCs w:val="20"/>
          <w:color w:val="auto"/>
        </w:rPr>
      </w:pPr>
    </w:p>
    <w:p>
      <w:pPr>
        <w:jc w:val="center"/>
        <w:ind w:right="3239"/>
        <w:spacing w:after="0"/>
        <w:rPr>
          <w:sz w:val="20"/>
          <w:szCs w:val="20"/>
          <w:color w:val="auto"/>
        </w:rPr>
      </w:pPr>
      <w:r>
        <w:rPr>
          <w:rFonts w:ascii="Times New Roman" w:cs="Times New Roman" w:eastAsia="Times New Roman" w:hAnsi="Times New Roman"/>
          <w:sz w:val="13"/>
          <w:szCs w:val="13"/>
          <w:color w:val="auto"/>
        </w:rPr>
        <w:t>The financial statements of Brighthouse Life Insurance Company of NY have been included in the SAI.</w:t>
      </w:r>
    </w:p>
    <w:p>
      <w:pPr>
        <w:spacing w:after="0" w:line="24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3"/>
          <w:szCs w:val="13"/>
          <w:b w:val="1"/>
          <w:bCs w:val="1"/>
          <w:color w:val="auto"/>
        </w:rPr>
        <w:t>ELECTRONIC DELIVERY</w:t>
      </w:r>
    </w:p>
    <w:p>
      <w:pPr>
        <w:spacing w:after="0" w:line="91" w:lineRule="exact"/>
        <w:rPr>
          <w:sz w:val="20"/>
          <w:szCs w:val="20"/>
          <w:color w:val="auto"/>
        </w:rPr>
      </w:pPr>
    </w:p>
    <w:p>
      <w:pPr>
        <w:jc w:val="both"/>
        <w:ind w:right="3199" w:firstLine="265"/>
        <w:spacing w:after="0" w:line="272" w:lineRule="auto"/>
        <w:rPr>
          <w:sz w:val="20"/>
          <w:szCs w:val="20"/>
          <w:color w:val="auto"/>
        </w:rPr>
      </w:pPr>
      <w:r>
        <w:rPr>
          <w:rFonts w:ascii="Times New Roman" w:cs="Times New Roman" w:eastAsia="Times New Roman" w:hAnsi="Times New Roman"/>
          <w:sz w:val="13"/>
          <w:szCs w:val="13"/>
          <w:color w:val="auto"/>
        </w:rPr>
        <w:t>As Owner you may elect to receive electronic delivery of current prospectuses related to the Contract and other Contract related documents. Contact us at our website at www.brighthousefinancial.com for more information and to enroll.</w:t>
      </w:r>
    </w:p>
    <w:p>
      <w:pPr>
        <w:spacing w:after="0" w:line="20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3"/>
          <w:szCs w:val="13"/>
          <w:b w:val="1"/>
          <w:bCs w:val="1"/>
          <w:color w:val="auto"/>
        </w:rPr>
        <w:t>AMENDMENT OF THE CONTRACT</w:t>
      </w:r>
    </w:p>
    <w:p>
      <w:pPr>
        <w:spacing w:after="0" w:line="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We reserve the right to amend the Contracts to comply with applicable Federal or state laws or regulations.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will notify you in writing of any such amendments.</w:t>
      </w:r>
    </w:p>
    <w:p>
      <w:pPr>
        <w:spacing w:after="0" w:line="23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3"/>
          <w:szCs w:val="13"/>
          <w:b w:val="1"/>
          <w:bCs w:val="1"/>
          <w:color w:val="auto"/>
        </w:rPr>
        <w:t>MISSTATEMENT</w:t>
      </w:r>
    </w:p>
    <w:p>
      <w:pPr>
        <w:spacing w:after="0" w:line="91" w:lineRule="exact"/>
        <w:rPr>
          <w:sz w:val="20"/>
          <w:szCs w:val="20"/>
          <w:color w:val="auto"/>
        </w:rPr>
      </w:pPr>
    </w:p>
    <w:p>
      <w:pPr>
        <w:jc w:val="both"/>
        <w:ind w:right="3199" w:firstLine="265"/>
        <w:spacing w:after="0" w:line="266" w:lineRule="auto"/>
        <w:rPr>
          <w:sz w:val="20"/>
          <w:szCs w:val="20"/>
          <w:color w:val="auto"/>
        </w:rPr>
      </w:pPr>
      <w:r>
        <w:rPr>
          <w:rFonts w:ascii="Times New Roman" w:cs="Times New Roman" w:eastAsia="Times New Roman" w:hAnsi="Times New Roman"/>
          <w:sz w:val="13"/>
          <w:szCs w:val="13"/>
          <w:color w:val="auto"/>
        </w:rPr>
        <w:t>We may require proof of the age or sex (where permitted) of the Annuitant, Owner and/or the Beneficiary before making any payments under the Contract that are measured by the Annuitant’s, Owner’s or Beneficiary’s life. If the age or sex of the measuring life has been misstated, the amount payable will be the amount that would have been provided at the correct age and sex.</w:t>
      </w:r>
    </w:p>
    <w:p>
      <w:pPr>
        <w:spacing w:after="0" w:line="20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b w:val="1"/>
          <w:bCs w:val="1"/>
          <w:color w:val="auto"/>
        </w:rPr>
        <w:t>STATUS PURSUANT TO SECURITIES EXCHANGE ACT OF 1934</w:t>
      </w:r>
    </w:p>
    <w:p>
      <w:pPr>
        <w:spacing w:after="0" w:line="91" w:lineRule="exact"/>
        <w:rPr>
          <w:sz w:val="20"/>
          <w:szCs w:val="20"/>
          <w:color w:val="auto"/>
        </w:rPr>
      </w:pPr>
    </w:p>
    <w:p>
      <w:pPr>
        <w:jc w:val="both"/>
        <w:ind w:right="3199" w:firstLine="265"/>
        <w:spacing w:after="0" w:line="290" w:lineRule="auto"/>
        <w:rPr>
          <w:sz w:val="20"/>
          <w:szCs w:val="20"/>
          <w:color w:val="auto"/>
        </w:rPr>
      </w:pPr>
      <w:r>
        <w:rPr>
          <w:rFonts w:ascii="Times New Roman" w:cs="Times New Roman" w:eastAsia="Times New Roman" w:hAnsi="Times New Roman"/>
          <w:sz w:val="13"/>
          <w:szCs w:val="13"/>
          <w:color w:val="auto"/>
        </w:rPr>
        <w:t>As of the date of this prospectus, BLNY relies on the exemptions provided by Rule 12h-7 under the Securities Act of 1934 from the requirement to file reports pursuant to Section 15(d) of that Act.</w:t>
      </w:r>
    </w:p>
    <w:p>
      <w:pPr>
        <w:spacing w:after="0" w:line="202" w:lineRule="exact"/>
        <w:rPr>
          <w:sz w:val="20"/>
          <w:szCs w:val="20"/>
          <w:color w:val="auto"/>
        </w:rPr>
      </w:pPr>
    </w:p>
    <w:p>
      <w:pPr>
        <w:jc w:val="center"/>
        <w:ind w:right="3219"/>
        <w:spacing w:after="0"/>
        <w:rPr>
          <w:sz w:val="20"/>
          <w:szCs w:val="20"/>
          <w:color w:val="auto"/>
        </w:rPr>
      </w:pPr>
      <w:r>
        <w:rPr>
          <w:rFonts w:ascii="Times New Roman" w:cs="Times New Roman" w:eastAsia="Times New Roman" w:hAnsi="Times New Roman"/>
          <w:sz w:val="13"/>
          <w:szCs w:val="13"/>
          <w:b w:val="1"/>
          <w:bCs w:val="1"/>
          <w:color w:val="auto"/>
        </w:rPr>
        <w:t>DISCLOSURE OF COMMISSION POSITION ON INDEMNIFICATION</w:t>
      </w:r>
    </w:p>
    <w:p>
      <w:pPr>
        <w:spacing w:after="0" w:line="24" w:lineRule="exact"/>
        <w:rPr>
          <w:sz w:val="20"/>
          <w:szCs w:val="20"/>
          <w:color w:val="auto"/>
        </w:rPr>
      </w:pPr>
    </w:p>
    <w:p>
      <w:pPr>
        <w:jc w:val="center"/>
        <w:ind w:right="3199"/>
        <w:spacing w:after="0"/>
        <w:rPr>
          <w:sz w:val="20"/>
          <w:szCs w:val="20"/>
          <w:color w:val="auto"/>
        </w:rPr>
      </w:pPr>
      <w:r>
        <w:rPr>
          <w:rFonts w:ascii="Times New Roman" w:cs="Times New Roman" w:eastAsia="Times New Roman" w:hAnsi="Times New Roman"/>
          <w:sz w:val="13"/>
          <w:szCs w:val="13"/>
          <w:b w:val="1"/>
          <w:bCs w:val="1"/>
          <w:color w:val="auto"/>
        </w:rPr>
        <w:t>FOR SECURITIES ACT LIABILITIES</w:t>
      </w:r>
    </w:p>
    <w:p>
      <w:pPr>
        <w:spacing w:after="0" w:line="76" w:lineRule="exact"/>
        <w:rPr>
          <w:sz w:val="20"/>
          <w:szCs w:val="20"/>
          <w:color w:val="auto"/>
        </w:rPr>
      </w:pPr>
    </w:p>
    <w:p>
      <w:pPr>
        <w:jc w:val="both"/>
        <w:ind w:right="3199" w:firstLine="265"/>
        <w:spacing w:after="0" w:line="259" w:lineRule="auto"/>
        <w:rPr>
          <w:sz w:val="20"/>
          <w:szCs w:val="20"/>
          <w:color w:val="auto"/>
        </w:rPr>
      </w:pPr>
      <w:r>
        <w:rPr>
          <w:rFonts w:ascii="Times New Roman" w:cs="Times New Roman" w:eastAsia="Times New Roman" w:hAnsi="Times New Roman"/>
          <w:sz w:val="13"/>
          <w:szCs w:val="13"/>
          <w:color w:val="auto"/>
        </w:rPr>
        <w:t>Pursuant to applicable provisions of BLNY’s by-laws or internal corporate policies adopted by BLNY or its ultimate parent, the directors, officers and other controlling persons of BLNY and of BLNY’s affiliate and principal underwriter, Brighthouse Securities, who are made or threatened to be made a party to an action or proceeding, may be eligible to obtain indemnification against judgments, fines, amounts paid in settlement and reasonable expenses, including attorneys’ fees, incurred as a result of such action or proceeding. Under the principal underwriting agreement between BLNY and Brighthouse Securities, the parties have agreed to indemnify each other against certain liabilities and expenses from legal proceedings arising out of Brighthouse Securities’ distribution of the Contracts.</w:t>
      </w:r>
    </w:p>
    <w:p>
      <w:pPr>
        <w:spacing w:after="0" w:line="59" w:lineRule="exact"/>
        <w:rPr>
          <w:sz w:val="20"/>
          <w:szCs w:val="20"/>
          <w:color w:val="auto"/>
        </w:rPr>
      </w:pPr>
    </w:p>
    <w:p>
      <w:pPr>
        <w:jc w:val="both"/>
        <w:ind w:right="3199" w:firstLine="265"/>
        <w:spacing w:after="0" w:line="266" w:lineRule="auto"/>
        <w:rPr>
          <w:sz w:val="20"/>
          <w:szCs w:val="20"/>
          <w:color w:val="auto"/>
        </w:rPr>
      </w:pPr>
      <w:r>
        <w:rPr>
          <w:rFonts w:ascii="Times New Roman" w:cs="Times New Roman" w:eastAsia="Times New Roman" w:hAnsi="Times New Roman"/>
          <w:sz w:val="13"/>
          <w:szCs w:val="13"/>
          <w:color w:val="auto"/>
        </w:rPr>
        <w:t>Insofar as indemnification for liabilities arising under the Securities Act of 1933 may be permitted to directors, officers or persons controlling BLNY pursuant to the foregoing provisions, BLNY has been informed that in the opinion of the Securities and Exchange Commission such indemnification is against public policy as expressed in the Securities Act of 1933 and is therefore unenforceable.</w:t>
      </w:r>
    </w:p>
    <w:p>
      <w:pPr>
        <w:spacing w:after="0" w:line="19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color w:val="auto"/>
        </w:rPr>
        <w:t>74</w:t>
      </w:r>
    </w:p>
    <w:p>
      <w:pPr>
        <w:sectPr>
          <w:pgSz w:w="11900" w:h="16838" w:orient="portrait"/>
          <w:cols w:equalWidth="0" w:num="1">
            <w:col w:w="9259"/>
          </w:cols>
          <w:pgMar w:left="1200" w:top="1047" w:right="1440" w:bottom="1440" w:gutter="0" w:footer="0" w:header="0"/>
        </w:sectPr>
      </w:pPr>
    </w:p>
    <w:bookmarkStart w:id="76" w:name="page77"/>
    <w:bookmarkEnd w:id="76"/>
    <w:p>
      <w:pPr>
        <w:jc w:val="center"/>
        <w:ind w:right="317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93915" cy="38100"/>
                    </a:xfrm>
                    <a:prstGeom prst="rect">
                      <a:avLst/>
                    </a:prstGeom>
                    <a:noFill/>
                  </pic:spPr>
                </pic:pic>
              </a:graphicData>
            </a:graphic>
          </wp:anchor>
        </w:drawing>
        <w:t>APPENDIX A</w:t>
      </w:r>
    </w:p>
    <w:p>
      <w:pPr>
        <w:spacing w:after="0" w:line="89" w:lineRule="exact"/>
        <w:rPr>
          <w:sz w:val="20"/>
          <w:szCs w:val="20"/>
          <w:color w:val="auto"/>
        </w:rPr>
      </w:pPr>
    </w:p>
    <w:p>
      <w:pPr>
        <w:jc w:val="center"/>
        <w:ind w:right="3179"/>
        <w:spacing w:after="0"/>
        <w:rPr>
          <w:sz w:val="20"/>
          <w:szCs w:val="20"/>
          <w:color w:val="auto"/>
        </w:rPr>
      </w:pPr>
      <w:r>
        <w:rPr>
          <w:rFonts w:ascii="Times New Roman" w:cs="Times New Roman" w:eastAsia="Times New Roman" w:hAnsi="Times New Roman"/>
          <w:sz w:val="13"/>
          <w:szCs w:val="13"/>
          <w:b w:val="1"/>
          <w:bCs w:val="1"/>
          <w:color w:val="auto"/>
        </w:rPr>
        <w:t>INVESTMENT OPTIONS AVAILABLE UNDER THE CONTRACT</w:t>
      </w:r>
    </w:p>
    <w:p>
      <w:pPr>
        <w:spacing w:after="0" w:line="91" w:lineRule="exact"/>
        <w:rPr>
          <w:sz w:val="20"/>
          <w:szCs w:val="20"/>
          <w:color w:val="auto"/>
        </w:rPr>
      </w:pPr>
    </w:p>
    <w:p>
      <w:pPr>
        <w:jc w:val="both"/>
        <w:ind w:right="3199" w:firstLine="265"/>
        <w:spacing w:after="0" w:line="262" w:lineRule="auto"/>
        <w:rPr>
          <w:sz w:val="20"/>
          <w:szCs w:val="20"/>
          <w:color w:val="auto"/>
        </w:rPr>
      </w:pPr>
      <w:r>
        <w:rPr>
          <w:rFonts w:ascii="Times New Roman" w:cs="Times New Roman" w:eastAsia="Times New Roman" w:hAnsi="Times New Roman"/>
          <w:sz w:val="13"/>
          <w:szCs w:val="13"/>
          <w:color w:val="auto"/>
        </w:rPr>
        <w:t xml:space="preserve">The following is a list of </w:t>
      </w:r>
      <w:r>
        <w:rPr>
          <w:rFonts w:ascii="Times New Roman" w:cs="Times New Roman" w:eastAsia="Times New Roman" w:hAnsi="Times New Roman"/>
          <w:sz w:val="13"/>
          <w:szCs w:val="13"/>
          <w:u w:val="single" w:color="auto"/>
          <w:color w:val="auto"/>
        </w:rPr>
        <w:t>Shield Options</w:t>
      </w:r>
      <w:r>
        <w:rPr>
          <w:rFonts w:ascii="Times New Roman" w:cs="Times New Roman" w:eastAsia="Times New Roman" w:hAnsi="Times New Roman"/>
          <w:sz w:val="13"/>
          <w:szCs w:val="13"/>
          <w:color w:val="auto"/>
        </w:rPr>
        <w:t xml:space="preserve"> currently available under the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We may change the features of the </w:t>
      </w:r>
      <w:r>
        <w:rPr>
          <w:rFonts w:ascii="Times New Roman" w:cs="Times New Roman" w:eastAsia="Times New Roman" w:hAnsi="Times New Roman"/>
          <w:sz w:val="13"/>
          <w:szCs w:val="13"/>
          <w:u w:val="single" w:color="auto"/>
          <w:color w:val="auto"/>
        </w:rPr>
        <w:t>Shield Options</w:t>
      </w:r>
      <w:r>
        <w:rPr>
          <w:rFonts w:ascii="Times New Roman" w:cs="Times New Roman" w:eastAsia="Times New Roman" w:hAnsi="Times New Roman"/>
          <w:sz w:val="13"/>
          <w:szCs w:val="13"/>
          <w:color w:val="auto"/>
        </w:rPr>
        <w:t xml:space="preserve"> listed below (including the </w:t>
      </w:r>
      <w:r>
        <w:rPr>
          <w:rFonts w:ascii="Times New Roman" w:cs="Times New Roman" w:eastAsia="Times New Roman" w:hAnsi="Times New Roman"/>
          <w:sz w:val="13"/>
          <w:szCs w:val="13"/>
          <w:u w:val="single" w:color="auto"/>
          <w:color w:val="auto"/>
        </w:rPr>
        <w:t>Index</w:t>
      </w:r>
      <w:r>
        <w:rPr>
          <w:rFonts w:ascii="Times New Roman" w:cs="Times New Roman" w:eastAsia="Times New Roman" w:hAnsi="Times New Roman"/>
          <w:sz w:val="13"/>
          <w:szCs w:val="13"/>
          <w:color w:val="auto"/>
        </w:rPr>
        <w:t xml:space="preserve"> and the current limits on </w:t>
      </w:r>
      <w:r>
        <w:rPr>
          <w:rFonts w:ascii="Times New Roman" w:cs="Times New Roman" w:eastAsia="Times New Roman" w:hAnsi="Times New Roman"/>
          <w:sz w:val="13"/>
          <w:szCs w:val="13"/>
          <w:u w:val="single" w:color="auto"/>
          <w:color w:val="auto"/>
        </w:rPr>
        <w:t>Index</w:t>
      </w:r>
      <w:r>
        <w:rPr>
          <w:rFonts w:ascii="Times New Roman" w:cs="Times New Roman" w:eastAsia="Times New Roman" w:hAnsi="Times New Roman"/>
          <w:sz w:val="13"/>
          <w:szCs w:val="13"/>
          <w:color w:val="auto"/>
        </w:rPr>
        <w:t xml:space="preserve"> gains and losses), offer new </w:t>
      </w:r>
      <w:r>
        <w:rPr>
          <w:rFonts w:ascii="Times New Roman" w:cs="Times New Roman" w:eastAsia="Times New Roman" w:hAnsi="Times New Roman"/>
          <w:sz w:val="13"/>
          <w:szCs w:val="13"/>
          <w:u w:val="single" w:color="auto"/>
          <w:color w:val="auto"/>
        </w:rPr>
        <w:t>Shield Options</w:t>
      </w:r>
      <w:r>
        <w:rPr>
          <w:rFonts w:ascii="Times New Roman" w:cs="Times New Roman" w:eastAsia="Times New Roman" w:hAnsi="Times New Roman"/>
          <w:sz w:val="13"/>
          <w:szCs w:val="13"/>
          <w:color w:val="auto"/>
        </w:rPr>
        <w:t xml:space="preserve"> , and terminate existing </w:t>
      </w:r>
      <w:r>
        <w:rPr>
          <w:rFonts w:ascii="Times New Roman" w:cs="Times New Roman" w:eastAsia="Times New Roman" w:hAnsi="Times New Roman"/>
          <w:sz w:val="13"/>
          <w:szCs w:val="13"/>
          <w:u w:val="single" w:color="auto"/>
          <w:color w:val="auto"/>
        </w:rPr>
        <w:t>Shield Options</w:t>
      </w:r>
      <w:r>
        <w:rPr>
          <w:rFonts w:ascii="Times New Roman" w:cs="Times New Roman" w:eastAsia="Times New Roman" w:hAnsi="Times New Roman"/>
          <w:sz w:val="13"/>
          <w:szCs w:val="13"/>
          <w:color w:val="auto"/>
        </w:rPr>
        <w:t xml:space="preserve">. We will provide you with written notice before making any changes other than changes to current limits on </w:t>
      </w:r>
      <w:r>
        <w:rPr>
          <w:rFonts w:ascii="Times New Roman" w:cs="Times New Roman" w:eastAsia="Times New Roman" w:hAnsi="Times New Roman"/>
          <w:sz w:val="13"/>
          <w:szCs w:val="13"/>
          <w:u w:val="single" w:color="auto"/>
          <w:color w:val="auto"/>
        </w:rPr>
        <w:t>Index</w:t>
      </w:r>
      <w:r>
        <w:rPr>
          <w:rFonts w:ascii="Times New Roman" w:cs="Times New Roman" w:eastAsia="Times New Roman" w:hAnsi="Times New Roman"/>
          <w:sz w:val="13"/>
          <w:szCs w:val="13"/>
          <w:color w:val="auto"/>
        </w:rPr>
        <w:t xml:space="preserve"> gains. Information about current limits on </w:t>
      </w:r>
      <w:r>
        <w:rPr>
          <w:rFonts w:ascii="Times New Roman" w:cs="Times New Roman" w:eastAsia="Times New Roman" w:hAnsi="Times New Roman"/>
          <w:sz w:val="13"/>
          <w:szCs w:val="13"/>
          <w:u w:val="single" w:color="auto"/>
          <w:color w:val="auto"/>
        </w:rPr>
        <w:t>Index</w:t>
      </w:r>
      <w:r>
        <w:rPr>
          <w:rFonts w:ascii="Times New Roman" w:cs="Times New Roman" w:eastAsia="Times New Roman" w:hAnsi="Times New Roman"/>
          <w:sz w:val="13"/>
          <w:szCs w:val="13"/>
          <w:color w:val="auto"/>
        </w:rPr>
        <w:t xml:space="preserve"> gains is available at https://www.brighthousefinancial.com/products/rates/. See </w:t>
      </w:r>
      <w:r>
        <w:rPr>
          <w:rFonts w:ascii="Times New Roman" w:cs="Times New Roman" w:eastAsia="Times New Roman" w:hAnsi="Times New Roman"/>
          <w:sz w:val="13"/>
          <w:szCs w:val="13"/>
          <w:u w:val="single" w:color="auto"/>
          <w:color w:val="auto"/>
        </w:rPr>
        <w:t>“SHIELD OPTIONS,” “SHIELD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RATES,”</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“RATE CREDITING TYPES”</w:t>
      </w:r>
      <w:r>
        <w:rPr>
          <w:rFonts w:ascii="Times New Roman" w:cs="Times New Roman" w:eastAsia="Times New Roman" w:hAnsi="Times New Roman"/>
          <w:sz w:val="13"/>
          <w:szCs w:val="13"/>
          <w:color w:val="auto"/>
        </w:rPr>
        <w:t xml:space="preserve"> sections in the prospectus for more information.</w:t>
      </w:r>
    </w:p>
    <w:p>
      <w:pPr>
        <w:spacing w:after="0" w:line="51" w:lineRule="exact"/>
        <w:rPr>
          <w:sz w:val="20"/>
          <w:szCs w:val="20"/>
          <w:color w:val="auto"/>
        </w:rPr>
      </w:pPr>
    </w:p>
    <w:p>
      <w:pPr>
        <w:jc w:val="both"/>
        <w:ind w:right="3199" w:firstLine="265"/>
        <w:spacing w:after="0" w:line="264" w:lineRule="auto"/>
        <w:rPr>
          <w:sz w:val="20"/>
          <w:szCs w:val="20"/>
          <w:color w:val="auto"/>
        </w:rPr>
      </w:pPr>
      <w:r>
        <w:rPr>
          <w:rFonts w:ascii="Times New Roman" w:cs="Times New Roman" w:eastAsia="Times New Roman" w:hAnsi="Times New Roman"/>
          <w:sz w:val="13"/>
          <w:szCs w:val="13"/>
          <w:b w:val="1"/>
          <w:bCs w:val="1"/>
          <w:color w:val="auto"/>
        </w:rPr>
        <w:t xml:space="preserve">Note: If amounts are removed from a </w:t>
      </w:r>
      <w:r>
        <w:rPr>
          <w:rFonts w:ascii="Times New Roman" w:cs="Times New Roman" w:eastAsia="Times New Roman" w:hAnsi="Times New Roman"/>
          <w:sz w:val="13"/>
          <w:szCs w:val="13"/>
          <w:b w:val="1"/>
          <w:bCs w:val="1"/>
          <w:u w:val="single" w:color="auto"/>
          <w:color w:val="auto"/>
        </w:rPr>
        <w:t>Shield Option</w:t>
      </w:r>
      <w:r>
        <w:rPr>
          <w:rFonts w:ascii="Times New Roman" w:cs="Times New Roman" w:eastAsia="Times New Roman" w:hAnsi="Times New Roman"/>
          <w:sz w:val="13"/>
          <w:szCs w:val="13"/>
          <w:b w:val="1"/>
          <w:bCs w:val="1"/>
          <w:color w:val="auto"/>
        </w:rPr>
        <w:t xml:space="preserve"> before the end of a </w:t>
      </w:r>
      <w:r>
        <w:rPr>
          <w:rFonts w:ascii="Times New Roman" w:cs="Times New Roman" w:eastAsia="Times New Roman" w:hAnsi="Times New Roman"/>
          <w:sz w:val="13"/>
          <w:szCs w:val="13"/>
          <w:b w:val="1"/>
          <w:bCs w:val="1"/>
          <w:u w:val="single" w:color="auto"/>
          <w:color w:val="auto"/>
        </w:rPr>
        <w:t>Term</w:t>
      </w:r>
      <w:r>
        <w:rPr>
          <w:rFonts w:ascii="Times New Roman" w:cs="Times New Roman" w:eastAsia="Times New Roman" w:hAnsi="Times New Roman"/>
          <w:sz w:val="13"/>
          <w:szCs w:val="13"/>
          <w:b w:val="1"/>
          <w:bCs w:val="1"/>
          <w:color w:val="auto"/>
        </w:rPr>
        <w:t xml:space="preserve">, we will apply an </w:t>
      </w:r>
      <w:r>
        <w:rPr>
          <w:rFonts w:ascii="Times New Roman" w:cs="Times New Roman" w:eastAsia="Times New Roman" w:hAnsi="Times New Roman"/>
          <w:sz w:val="13"/>
          <w:szCs w:val="13"/>
          <w:b w:val="1"/>
          <w:bCs w:val="1"/>
          <w:u w:val="single" w:color="auto"/>
          <w:color w:val="auto"/>
        </w:rPr>
        <w:t>Interim</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b w:val="1"/>
          <w:bCs w:val="1"/>
          <w:u w:val="single" w:color="auto"/>
          <w:color w:val="auto"/>
        </w:rPr>
        <w:t>Value</w:t>
      </w:r>
      <w:r>
        <w:rPr>
          <w:rFonts w:ascii="Times New Roman" w:cs="Times New Roman" w:eastAsia="Times New Roman" w:hAnsi="Times New Roman"/>
          <w:sz w:val="13"/>
          <w:szCs w:val="13"/>
          <w:b w:val="1"/>
          <w:bCs w:val="1"/>
          <w:color w:val="auto"/>
        </w:rPr>
        <w:t xml:space="preserve"> calculation. This </w:t>
      </w:r>
      <w:r>
        <w:rPr>
          <w:rFonts w:ascii="Times New Roman" w:cs="Times New Roman" w:eastAsia="Times New Roman" w:hAnsi="Times New Roman"/>
          <w:sz w:val="13"/>
          <w:szCs w:val="13"/>
          <w:b w:val="1"/>
          <w:bCs w:val="1"/>
          <w:u w:val="single" w:color="auto"/>
          <w:color w:val="auto"/>
        </w:rPr>
        <w:t>Interim Value</w:t>
      </w:r>
      <w:r>
        <w:rPr>
          <w:rFonts w:ascii="Times New Roman" w:cs="Times New Roman" w:eastAsia="Times New Roman" w:hAnsi="Times New Roman"/>
          <w:sz w:val="13"/>
          <w:szCs w:val="13"/>
          <w:b w:val="1"/>
          <w:bCs w:val="1"/>
          <w:color w:val="auto"/>
        </w:rPr>
        <w:t xml:space="preserve"> calculation may result in a significant reduction in your </w:t>
      </w:r>
      <w:r>
        <w:rPr>
          <w:rFonts w:ascii="Times New Roman" w:cs="Times New Roman" w:eastAsia="Times New Roman" w:hAnsi="Times New Roman"/>
          <w:sz w:val="13"/>
          <w:szCs w:val="13"/>
          <w:b w:val="1"/>
          <w:bCs w:val="1"/>
          <w:u w:val="single" w:color="auto"/>
          <w:color w:val="auto"/>
        </w:rPr>
        <w:t>Account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b w:val="1"/>
          <w:bCs w:val="1"/>
          <w:u w:val="single" w:color="auto"/>
          <w:color w:val="auto"/>
        </w:rPr>
        <w:t>Value</w:t>
      </w:r>
      <w:r>
        <w:rPr>
          <w:rFonts w:ascii="Times New Roman" w:cs="Times New Roman" w:eastAsia="Times New Roman" w:hAnsi="Times New Roman"/>
          <w:sz w:val="13"/>
          <w:szCs w:val="13"/>
          <w:b w:val="1"/>
          <w:bCs w:val="1"/>
          <w:color w:val="auto"/>
        </w:rPr>
        <w:t xml:space="preserve"> that could exceed any protection from </w:t>
      </w:r>
      <w:r>
        <w:rPr>
          <w:rFonts w:ascii="Times New Roman" w:cs="Times New Roman" w:eastAsia="Times New Roman" w:hAnsi="Times New Roman"/>
          <w:sz w:val="13"/>
          <w:szCs w:val="13"/>
          <w:b w:val="1"/>
          <w:bCs w:val="1"/>
          <w:u w:val="single" w:color="auto"/>
          <w:color w:val="auto"/>
        </w:rPr>
        <w:t>Index</w:t>
      </w:r>
      <w:r>
        <w:rPr>
          <w:rFonts w:ascii="Times New Roman" w:cs="Times New Roman" w:eastAsia="Times New Roman" w:hAnsi="Times New Roman"/>
          <w:sz w:val="13"/>
          <w:szCs w:val="13"/>
          <w:b w:val="1"/>
          <w:bCs w:val="1"/>
          <w:color w:val="auto"/>
        </w:rPr>
        <w:t xml:space="preserve"> loss that would be in place if you held the option until the end of the </w:t>
      </w:r>
      <w:r>
        <w:rPr>
          <w:rFonts w:ascii="Times New Roman" w:cs="Times New Roman" w:eastAsia="Times New Roman" w:hAnsi="Times New Roman"/>
          <w:sz w:val="13"/>
          <w:szCs w:val="13"/>
          <w:b w:val="1"/>
          <w:bCs w:val="1"/>
          <w:u w:val="single" w:color="auto"/>
          <w:color w:val="auto"/>
        </w:rPr>
        <w:t>Term</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See “</w:t>
      </w:r>
      <w:r>
        <w:rPr>
          <w:rFonts w:ascii="Times New Roman" w:cs="Times New Roman" w:eastAsia="Times New Roman" w:hAnsi="Times New Roman"/>
          <w:sz w:val="13"/>
          <w:szCs w:val="13"/>
          <w:u w:val="single" w:color="auto"/>
          <w:color w:val="auto"/>
        </w:rPr>
        <w:t>Interim Value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Calculation” under “CHARGES, FEES, AND ADJUSTMENTS”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“WITHDRAWAL PROVISIONS” section in the prospectus for more information.</w:t>
      </w:r>
    </w:p>
    <w:p>
      <w:pPr>
        <w:spacing w:after="0" w:line="80" w:lineRule="exact"/>
        <w:rPr>
          <w:sz w:val="20"/>
          <w:szCs w:val="20"/>
          <w:color w:val="auto"/>
        </w:rPr>
      </w:pPr>
    </w:p>
    <w:tbl>
      <w:tblPr>
        <w:tblLayout w:type="fixed"/>
        <w:tblInd w:w="10" w:type="dxa"/>
        <w:tblCellMar>
          <w:top w:w="0" w:type="dxa"/>
          <w:left w:w="0" w:type="dxa"/>
          <w:bottom w:w="0" w:type="dxa"/>
          <w:right w:w="0" w:type="dxa"/>
        </w:tblCellMar>
      </w:tblPr>
      <w:tr>
        <w:trPr>
          <w:trHeight w:val="181"/>
        </w:trPr>
        <w:tc>
          <w:tcPr>
            <w:tcW w:w="2320" w:type="dxa"/>
            <w:vAlign w:val="bottom"/>
            <w:tcBorders>
              <w:top w:val="single" w:sz="8" w:color="auto"/>
              <w:left w:val="single" w:sz="8" w:color="auto"/>
              <w:right w:val="single" w:sz="8" w:color="auto"/>
            </w:tcBorders>
          </w:tcPr>
          <w:p>
            <w:pPr>
              <w:spacing w:after="0"/>
              <w:rPr>
                <w:sz w:val="15"/>
                <w:szCs w:val="15"/>
                <w:color w:val="auto"/>
              </w:rPr>
            </w:pPr>
          </w:p>
        </w:tc>
        <w:tc>
          <w:tcPr>
            <w:tcW w:w="1020" w:type="dxa"/>
            <w:vAlign w:val="bottom"/>
            <w:tcBorders>
              <w:top w:val="single" w:sz="8" w:color="auto"/>
              <w:right w:val="single" w:sz="8" w:color="auto"/>
            </w:tcBorders>
          </w:tcPr>
          <w:p>
            <w:pPr>
              <w:spacing w:after="0"/>
              <w:rPr>
                <w:sz w:val="15"/>
                <w:szCs w:val="15"/>
                <w:color w:val="auto"/>
              </w:rPr>
            </w:pPr>
          </w:p>
        </w:tc>
        <w:tc>
          <w:tcPr>
            <w:tcW w:w="480" w:type="dxa"/>
            <w:vAlign w:val="bottom"/>
            <w:tcBorders>
              <w:top w:val="single" w:sz="8" w:color="auto"/>
              <w:right w:val="single" w:sz="8" w:color="auto"/>
            </w:tcBorders>
          </w:tcPr>
          <w:p>
            <w:pPr>
              <w:spacing w:after="0"/>
              <w:rPr>
                <w:sz w:val="15"/>
                <w:szCs w:val="15"/>
                <w:color w:val="auto"/>
              </w:rPr>
            </w:pPr>
          </w:p>
        </w:tc>
        <w:tc>
          <w:tcPr>
            <w:tcW w:w="1080" w:type="dxa"/>
            <w:vAlign w:val="bottom"/>
            <w:tcBorders>
              <w:top w:val="single" w:sz="8" w:color="auto"/>
              <w:right w:val="single" w:sz="8" w:color="auto"/>
            </w:tcBorders>
          </w:tcPr>
          <w:p>
            <w:pPr>
              <w:spacing w:after="0"/>
              <w:rPr>
                <w:sz w:val="15"/>
                <w:szCs w:val="15"/>
                <w:color w:val="auto"/>
              </w:rPr>
            </w:pPr>
          </w:p>
        </w:tc>
        <w:tc>
          <w:tcPr>
            <w:tcW w:w="118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Minimum</w:t>
            </w:r>
          </w:p>
        </w:tc>
        <w:tc>
          <w:tcPr>
            <w:tcW w:w="0" w:type="dxa"/>
            <w:vAlign w:val="bottom"/>
          </w:tcPr>
          <w:p>
            <w:pPr>
              <w:spacing w:after="0"/>
              <w:rPr>
                <w:sz w:val="1"/>
                <w:szCs w:val="1"/>
                <w:color w:val="auto"/>
              </w:rPr>
            </w:pPr>
          </w:p>
        </w:tc>
      </w:tr>
      <w:tr>
        <w:trPr>
          <w:trHeight w:val="159"/>
        </w:trPr>
        <w:tc>
          <w:tcPr>
            <w:tcW w:w="2320" w:type="dxa"/>
            <w:vAlign w:val="bottom"/>
            <w:tcBorders>
              <w:left w:val="single" w:sz="8" w:color="auto"/>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Guaranteed Rate</w:t>
            </w:r>
          </w:p>
        </w:tc>
        <w:tc>
          <w:tcPr>
            <w:tcW w:w="0" w:type="dxa"/>
            <w:vAlign w:val="bottom"/>
          </w:tcPr>
          <w:p>
            <w:pPr>
              <w:spacing w:after="0"/>
              <w:rPr>
                <w:sz w:val="1"/>
                <w:szCs w:val="1"/>
                <w:color w:val="auto"/>
              </w:rPr>
            </w:pPr>
          </w:p>
        </w:tc>
      </w:tr>
      <w:tr>
        <w:trPr>
          <w:trHeight w:val="159"/>
        </w:trPr>
        <w:tc>
          <w:tcPr>
            <w:tcW w:w="2320" w:type="dxa"/>
            <w:vAlign w:val="bottom"/>
            <w:tcBorders>
              <w:left w:val="single" w:sz="8" w:color="auto"/>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ind w:left="60"/>
              <w:spacing w:after="0"/>
              <w:rPr>
                <w:sz w:val="20"/>
                <w:szCs w:val="20"/>
                <w:color w:val="auto"/>
              </w:rPr>
            </w:pPr>
            <w:r>
              <w:rPr>
                <w:rFonts w:ascii="Arial" w:cs="Arial" w:eastAsia="Arial" w:hAnsi="Arial"/>
                <w:sz w:val="13"/>
                <w:szCs w:val="13"/>
                <w:b w:val="1"/>
                <w:bCs w:val="1"/>
                <w:color w:val="auto"/>
              </w:rPr>
              <w:t>Current Shield</w:t>
            </w:r>
          </w:p>
        </w:tc>
        <w:tc>
          <w:tcPr>
            <w:tcW w:w="1180" w:type="dxa"/>
            <w:vAlign w:val="bottom"/>
            <w:tcBorders>
              <w:right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for Rate</w:t>
            </w:r>
          </w:p>
        </w:tc>
        <w:tc>
          <w:tcPr>
            <w:tcW w:w="0" w:type="dxa"/>
            <w:vAlign w:val="bottom"/>
          </w:tcPr>
          <w:p>
            <w:pPr>
              <w:spacing w:after="0"/>
              <w:rPr>
                <w:sz w:val="1"/>
                <w:szCs w:val="1"/>
                <w:color w:val="auto"/>
              </w:rPr>
            </w:pPr>
          </w:p>
        </w:tc>
      </w:tr>
      <w:tr>
        <w:trPr>
          <w:trHeight w:val="159"/>
        </w:trPr>
        <w:tc>
          <w:tcPr>
            <w:tcW w:w="2320" w:type="dxa"/>
            <w:vAlign w:val="bottom"/>
            <w:tcBorders>
              <w:left w:val="single" w:sz="8" w:color="auto"/>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Rate (if held</w:t>
            </w:r>
          </w:p>
        </w:tc>
        <w:tc>
          <w:tcPr>
            <w:tcW w:w="1180" w:type="dxa"/>
            <w:vAlign w:val="bottom"/>
            <w:tcBorders>
              <w:right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Crediting Type</w:t>
            </w:r>
          </w:p>
        </w:tc>
        <w:tc>
          <w:tcPr>
            <w:tcW w:w="0" w:type="dxa"/>
            <w:vAlign w:val="bottom"/>
          </w:tcPr>
          <w:p>
            <w:pPr>
              <w:spacing w:after="0"/>
              <w:rPr>
                <w:sz w:val="1"/>
                <w:szCs w:val="1"/>
                <w:color w:val="auto"/>
              </w:rPr>
            </w:pPr>
          </w:p>
        </w:tc>
      </w:tr>
      <w:tr>
        <w:trPr>
          <w:trHeight w:val="159"/>
        </w:trPr>
        <w:tc>
          <w:tcPr>
            <w:tcW w:w="2320" w:type="dxa"/>
            <w:vAlign w:val="bottom"/>
            <w:tcBorders>
              <w:left w:val="single" w:sz="8" w:color="auto"/>
              <w:right w:val="single" w:sz="8" w:color="auto"/>
            </w:tcBorders>
            <w:vMerge w:val="restart"/>
          </w:tcPr>
          <w:p>
            <w:pPr>
              <w:ind w:left="940"/>
              <w:spacing w:after="0"/>
              <w:rPr>
                <w:sz w:val="20"/>
                <w:szCs w:val="20"/>
                <w:color w:val="auto"/>
              </w:rPr>
            </w:pPr>
            <w:r>
              <w:rPr>
                <w:rFonts w:ascii="Arial" w:cs="Arial" w:eastAsia="Arial" w:hAnsi="Arial"/>
                <w:sz w:val="13"/>
                <w:szCs w:val="13"/>
                <w:b w:val="1"/>
                <w:bCs w:val="1"/>
                <w:color w:val="auto"/>
              </w:rPr>
              <w:t>Index</w:t>
            </w:r>
            <w:r>
              <w:rPr>
                <w:rFonts w:ascii="Arial" w:cs="Arial" w:eastAsia="Arial" w:hAnsi="Arial"/>
                <w:sz w:val="17"/>
                <w:szCs w:val="17"/>
                <w:b w:val="1"/>
                <w:bCs w:val="1"/>
                <w:color w:val="auto"/>
                <w:vertAlign w:val="superscript"/>
              </w:rPr>
              <w:t>1</w:t>
            </w:r>
          </w:p>
        </w:tc>
        <w:tc>
          <w:tcPr>
            <w:tcW w:w="1020" w:type="dxa"/>
            <w:vAlign w:val="bottom"/>
            <w:tcBorders>
              <w:right w:val="single" w:sz="8" w:color="auto"/>
            </w:tcBorders>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until end of</w:t>
            </w:r>
          </w:p>
        </w:tc>
        <w:tc>
          <w:tcPr>
            <w:tcW w:w="1180" w:type="dxa"/>
            <w:vAlign w:val="bottom"/>
            <w:tcBorders>
              <w:right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(for life of Shield</w:t>
            </w:r>
          </w:p>
        </w:tc>
        <w:tc>
          <w:tcPr>
            <w:tcW w:w="0" w:type="dxa"/>
            <w:vAlign w:val="bottom"/>
          </w:tcPr>
          <w:p>
            <w:pPr>
              <w:spacing w:after="0"/>
              <w:rPr>
                <w:sz w:val="1"/>
                <w:szCs w:val="1"/>
                <w:color w:val="auto"/>
              </w:rPr>
            </w:pPr>
          </w:p>
        </w:tc>
      </w:tr>
      <w:tr>
        <w:trPr>
          <w:trHeight w:val="191"/>
        </w:trPr>
        <w:tc>
          <w:tcPr>
            <w:tcW w:w="232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Type of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Term</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Term)</w:t>
            </w:r>
          </w:p>
        </w:tc>
        <w:tc>
          <w:tcPr>
            <w:tcW w:w="11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9"/>
              </w:rPr>
              <w:t>Option)</w:t>
            </w:r>
          </w:p>
        </w:tc>
        <w:tc>
          <w:tcPr>
            <w:tcW w:w="0" w:type="dxa"/>
            <w:vAlign w:val="bottom"/>
          </w:tcPr>
          <w:p>
            <w:pPr>
              <w:spacing w:after="0"/>
              <w:rPr>
                <w:sz w:val="1"/>
                <w:szCs w:val="1"/>
                <w:color w:val="auto"/>
              </w:rPr>
            </w:pPr>
          </w:p>
        </w:tc>
      </w:tr>
      <w:tr>
        <w:trPr>
          <w:trHeight w:val="198"/>
        </w:trPr>
        <w:tc>
          <w:tcPr>
            <w:tcW w:w="232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S&amp;P 500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25%</w:t>
            </w:r>
          </w:p>
        </w:tc>
        <w:tc>
          <w:tcPr>
            <w:tcW w:w="380" w:type="dxa"/>
            <w:vAlign w:val="bottom"/>
            <w:tcBorders>
              <w:bottom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3.5%</w:t>
            </w:r>
          </w:p>
        </w:tc>
        <w:tc>
          <w:tcPr>
            <w:tcW w:w="800" w:type="dxa"/>
            <w:vAlign w:val="bottom"/>
            <w:tcBorders>
              <w:bottom w:val="single" w:sz="8" w:color="auto"/>
              <w:right w:val="single" w:sz="8" w:color="auto"/>
            </w:tcBorders>
            <w:shd w:val="clear" w:color="auto" w:fill="F0FFFF"/>
          </w:tcPr>
          <w:p>
            <w:pPr>
              <w:ind w:left="20"/>
              <w:spacing w:after="0"/>
              <w:rPr>
                <w:sz w:val="20"/>
                <w:szCs w:val="20"/>
                <w:color w:val="auto"/>
              </w:rPr>
            </w:pPr>
            <w:r>
              <w:rPr>
                <w:rFonts w:ascii="Arial" w:cs="Arial" w:eastAsia="Arial" w:hAnsi="Arial"/>
                <w:sz w:val="13"/>
                <w:szCs w:val="13"/>
                <w:color w:val="auto"/>
              </w:rPr>
              <w:t>Cap Rate</w:t>
            </w:r>
          </w:p>
        </w:tc>
        <w:tc>
          <w:tcPr>
            <w:tcW w:w="0" w:type="dxa"/>
            <w:vAlign w:val="bottom"/>
          </w:tcPr>
          <w:p>
            <w:pPr>
              <w:spacing w:after="0"/>
              <w:rPr>
                <w:sz w:val="1"/>
                <w:szCs w:val="1"/>
                <w:color w:val="auto"/>
              </w:rPr>
            </w:pPr>
          </w:p>
        </w:tc>
      </w:tr>
      <w:tr>
        <w:trPr>
          <w:trHeight w:val="198"/>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S&amp;P 500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15%</w:t>
            </w: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4.5%</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Cap Rate</w:t>
            </w:r>
          </w:p>
        </w:tc>
        <w:tc>
          <w:tcPr>
            <w:tcW w:w="0" w:type="dxa"/>
            <w:vAlign w:val="bottom"/>
          </w:tcPr>
          <w:p>
            <w:pPr>
              <w:spacing w:after="0"/>
              <w:rPr>
                <w:sz w:val="1"/>
                <w:szCs w:val="1"/>
                <w:color w:val="auto"/>
              </w:rPr>
            </w:pPr>
          </w:p>
        </w:tc>
      </w:tr>
      <w:tr>
        <w:trPr>
          <w:trHeight w:val="198"/>
        </w:trPr>
        <w:tc>
          <w:tcPr>
            <w:tcW w:w="232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S&amp;P 500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10%</w:t>
            </w:r>
          </w:p>
        </w:tc>
        <w:tc>
          <w:tcPr>
            <w:tcW w:w="1180" w:type="dxa"/>
            <w:vAlign w:val="bottom"/>
            <w:tcBorders>
              <w:bottom w:val="single" w:sz="8" w:color="auto"/>
              <w:right w:val="single" w:sz="8" w:color="auto"/>
            </w:tcBorders>
            <w:gridSpan w:val="2"/>
            <w:shd w:val="clear" w:color="auto" w:fill="F0FFFF"/>
          </w:tcPr>
          <w:p>
            <w:pPr>
              <w:ind w:left="60"/>
              <w:spacing w:after="0"/>
              <w:rPr>
                <w:sz w:val="20"/>
                <w:szCs w:val="20"/>
                <w:color w:val="auto"/>
              </w:rPr>
            </w:pPr>
            <w:r>
              <w:rPr>
                <w:rFonts w:ascii="Arial" w:cs="Arial" w:eastAsia="Arial" w:hAnsi="Arial"/>
                <w:sz w:val="13"/>
                <w:szCs w:val="13"/>
                <w:color w:val="auto"/>
              </w:rPr>
              <w:t>5% Cap Rate</w:t>
            </w:r>
          </w:p>
        </w:tc>
        <w:tc>
          <w:tcPr>
            <w:tcW w:w="0" w:type="dxa"/>
            <w:vAlign w:val="bottom"/>
          </w:tcPr>
          <w:p>
            <w:pPr>
              <w:spacing w:after="0"/>
              <w:rPr>
                <w:sz w:val="1"/>
                <w:szCs w:val="1"/>
                <w:color w:val="auto"/>
              </w:rPr>
            </w:pPr>
          </w:p>
        </w:tc>
      </w:tr>
      <w:tr>
        <w:trPr>
          <w:trHeight w:val="198"/>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S&amp;P 500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15%</w:t>
            </w: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4.5%</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Step Rate</w:t>
            </w:r>
          </w:p>
        </w:tc>
        <w:tc>
          <w:tcPr>
            <w:tcW w:w="0" w:type="dxa"/>
            <w:vAlign w:val="bottom"/>
          </w:tcPr>
          <w:p>
            <w:pPr>
              <w:spacing w:after="0"/>
              <w:rPr>
                <w:sz w:val="1"/>
                <w:szCs w:val="1"/>
                <w:color w:val="auto"/>
              </w:rPr>
            </w:pPr>
          </w:p>
        </w:tc>
      </w:tr>
      <w:tr>
        <w:trPr>
          <w:trHeight w:val="198"/>
        </w:trPr>
        <w:tc>
          <w:tcPr>
            <w:tcW w:w="232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S&amp;P 500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15%</w:t>
            </w:r>
          </w:p>
        </w:tc>
        <w:tc>
          <w:tcPr>
            <w:tcW w:w="380" w:type="dxa"/>
            <w:vAlign w:val="bottom"/>
            <w:tcBorders>
              <w:bottom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4.5%</w:t>
            </w:r>
          </w:p>
        </w:tc>
        <w:tc>
          <w:tcPr>
            <w:tcW w:w="800" w:type="dxa"/>
            <w:vAlign w:val="bottom"/>
            <w:tcBorders>
              <w:bottom w:val="single" w:sz="8" w:color="auto"/>
              <w:right w:val="single" w:sz="8" w:color="auto"/>
            </w:tcBorders>
            <w:shd w:val="clear" w:color="auto" w:fill="F0FFFF"/>
          </w:tcPr>
          <w:p>
            <w:pPr>
              <w:ind w:left="20"/>
              <w:spacing w:after="0"/>
              <w:rPr>
                <w:sz w:val="20"/>
                <w:szCs w:val="20"/>
                <w:color w:val="auto"/>
              </w:rPr>
            </w:pPr>
            <w:r>
              <w:rPr>
                <w:rFonts w:ascii="Arial" w:cs="Arial" w:eastAsia="Arial" w:hAnsi="Arial"/>
                <w:sz w:val="13"/>
                <w:szCs w:val="13"/>
                <w:color w:val="auto"/>
              </w:rPr>
              <w:t>Edge Rate</w:t>
            </w:r>
          </w:p>
        </w:tc>
        <w:tc>
          <w:tcPr>
            <w:tcW w:w="0" w:type="dxa"/>
            <w:vAlign w:val="bottom"/>
          </w:tcPr>
          <w:p>
            <w:pPr>
              <w:spacing w:after="0"/>
              <w:rPr>
                <w:sz w:val="1"/>
                <w:szCs w:val="1"/>
                <w:color w:val="auto"/>
              </w:rPr>
            </w:pPr>
          </w:p>
        </w:tc>
      </w:tr>
      <w:tr>
        <w:trPr>
          <w:trHeight w:val="198"/>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S&amp;P 500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10%</w:t>
            </w:r>
          </w:p>
        </w:tc>
        <w:tc>
          <w:tcPr>
            <w:tcW w:w="11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3"/>
                <w:szCs w:val="13"/>
                <w:color w:val="auto"/>
              </w:rPr>
              <w:t>5% Step Rate</w:t>
            </w:r>
          </w:p>
        </w:tc>
        <w:tc>
          <w:tcPr>
            <w:tcW w:w="0" w:type="dxa"/>
            <w:vAlign w:val="bottom"/>
          </w:tcPr>
          <w:p>
            <w:pPr>
              <w:spacing w:after="0"/>
              <w:rPr>
                <w:sz w:val="1"/>
                <w:szCs w:val="1"/>
                <w:color w:val="auto"/>
              </w:rPr>
            </w:pPr>
          </w:p>
        </w:tc>
      </w:tr>
      <w:tr>
        <w:trPr>
          <w:trHeight w:val="198"/>
        </w:trPr>
        <w:tc>
          <w:tcPr>
            <w:tcW w:w="232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S&amp;P 500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10%</w:t>
            </w:r>
          </w:p>
        </w:tc>
        <w:tc>
          <w:tcPr>
            <w:tcW w:w="1180" w:type="dxa"/>
            <w:vAlign w:val="bottom"/>
            <w:tcBorders>
              <w:bottom w:val="single" w:sz="8" w:color="auto"/>
              <w:right w:val="single" w:sz="8" w:color="auto"/>
            </w:tcBorders>
            <w:gridSpan w:val="2"/>
            <w:shd w:val="clear" w:color="auto" w:fill="F0FFFF"/>
          </w:tcPr>
          <w:p>
            <w:pPr>
              <w:ind w:left="60"/>
              <w:spacing w:after="0"/>
              <w:rPr>
                <w:sz w:val="20"/>
                <w:szCs w:val="20"/>
                <w:color w:val="auto"/>
              </w:rPr>
            </w:pPr>
            <w:r>
              <w:rPr>
                <w:rFonts w:ascii="Arial" w:cs="Arial" w:eastAsia="Arial" w:hAnsi="Arial"/>
                <w:sz w:val="13"/>
                <w:szCs w:val="13"/>
                <w:color w:val="auto"/>
              </w:rPr>
              <w:t>5% Edge Rate</w:t>
            </w:r>
          </w:p>
        </w:tc>
        <w:tc>
          <w:tcPr>
            <w:tcW w:w="0" w:type="dxa"/>
            <w:vAlign w:val="bottom"/>
          </w:tcPr>
          <w:p>
            <w:pPr>
              <w:spacing w:after="0"/>
              <w:rPr>
                <w:sz w:val="1"/>
                <w:szCs w:val="1"/>
                <w:color w:val="auto"/>
              </w:rPr>
            </w:pPr>
          </w:p>
        </w:tc>
      </w:tr>
      <w:tr>
        <w:trPr>
          <w:trHeight w:val="198"/>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S&amp;P 500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2</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15%</w:t>
            </w:r>
          </w:p>
        </w:tc>
        <w:tc>
          <w:tcPr>
            <w:tcW w:w="11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3"/>
                <w:szCs w:val="13"/>
                <w:color w:val="auto"/>
              </w:rPr>
              <w:t>9% Step Rate</w:t>
            </w:r>
          </w:p>
        </w:tc>
        <w:tc>
          <w:tcPr>
            <w:tcW w:w="0" w:type="dxa"/>
            <w:vAlign w:val="bottom"/>
          </w:tcPr>
          <w:p>
            <w:pPr>
              <w:spacing w:after="0"/>
              <w:rPr>
                <w:sz w:val="1"/>
                <w:szCs w:val="1"/>
                <w:color w:val="auto"/>
              </w:rPr>
            </w:pPr>
          </w:p>
        </w:tc>
      </w:tr>
      <w:tr>
        <w:trPr>
          <w:trHeight w:val="198"/>
        </w:trPr>
        <w:tc>
          <w:tcPr>
            <w:tcW w:w="232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S&amp;P 500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2</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15%</w:t>
            </w:r>
          </w:p>
        </w:tc>
        <w:tc>
          <w:tcPr>
            <w:tcW w:w="1180" w:type="dxa"/>
            <w:vAlign w:val="bottom"/>
            <w:tcBorders>
              <w:bottom w:val="single" w:sz="8" w:color="auto"/>
              <w:right w:val="single" w:sz="8" w:color="auto"/>
            </w:tcBorders>
            <w:gridSpan w:val="2"/>
            <w:shd w:val="clear" w:color="auto" w:fill="F0FFFF"/>
          </w:tcPr>
          <w:p>
            <w:pPr>
              <w:ind w:left="60"/>
              <w:spacing w:after="0"/>
              <w:rPr>
                <w:sz w:val="20"/>
                <w:szCs w:val="20"/>
                <w:color w:val="auto"/>
              </w:rPr>
            </w:pPr>
            <w:r>
              <w:rPr>
                <w:rFonts w:ascii="Arial" w:cs="Arial" w:eastAsia="Arial" w:hAnsi="Arial"/>
                <w:sz w:val="13"/>
                <w:szCs w:val="13"/>
                <w:color w:val="auto"/>
              </w:rPr>
              <w:t>9% Edge Rate</w:t>
            </w:r>
          </w:p>
        </w:tc>
        <w:tc>
          <w:tcPr>
            <w:tcW w:w="0" w:type="dxa"/>
            <w:vAlign w:val="bottom"/>
          </w:tcPr>
          <w:p>
            <w:pPr>
              <w:spacing w:after="0"/>
              <w:rPr>
                <w:sz w:val="1"/>
                <w:szCs w:val="1"/>
                <w:color w:val="auto"/>
              </w:rPr>
            </w:pPr>
          </w:p>
        </w:tc>
      </w:tr>
      <w:tr>
        <w:trPr>
          <w:trHeight w:val="198"/>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S&amp;P 500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2</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10%</w:t>
            </w:r>
          </w:p>
        </w:tc>
        <w:tc>
          <w:tcPr>
            <w:tcW w:w="11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3"/>
                <w:szCs w:val="13"/>
                <w:color w:val="auto"/>
              </w:rPr>
              <w:t>10% Step Rate</w:t>
            </w:r>
          </w:p>
        </w:tc>
        <w:tc>
          <w:tcPr>
            <w:tcW w:w="0" w:type="dxa"/>
            <w:vAlign w:val="bottom"/>
          </w:tcPr>
          <w:p>
            <w:pPr>
              <w:spacing w:after="0"/>
              <w:rPr>
                <w:sz w:val="1"/>
                <w:szCs w:val="1"/>
                <w:color w:val="auto"/>
              </w:rPr>
            </w:pPr>
          </w:p>
        </w:tc>
      </w:tr>
      <w:tr>
        <w:trPr>
          <w:trHeight w:val="198"/>
        </w:trPr>
        <w:tc>
          <w:tcPr>
            <w:tcW w:w="232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S&amp;P 500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2</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10%</w:t>
            </w:r>
          </w:p>
        </w:tc>
        <w:tc>
          <w:tcPr>
            <w:tcW w:w="1180" w:type="dxa"/>
            <w:vAlign w:val="bottom"/>
            <w:tcBorders>
              <w:bottom w:val="single" w:sz="8" w:color="auto"/>
              <w:right w:val="single" w:sz="8" w:color="auto"/>
            </w:tcBorders>
            <w:gridSpan w:val="2"/>
            <w:shd w:val="clear" w:color="auto" w:fill="F0FFFF"/>
          </w:tcPr>
          <w:p>
            <w:pPr>
              <w:ind w:left="60"/>
              <w:spacing w:after="0"/>
              <w:rPr>
                <w:sz w:val="20"/>
                <w:szCs w:val="20"/>
                <w:color w:val="auto"/>
              </w:rPr>
            </w:pPr>
            <w:r>
              <w:rPr>
                <w:rFonts w:ascii="Arial" w:cs="Arial" w:eastAsia="Arial" w:hAnsi="Arial"/>
                <w:sz w:val="13"/>
                <w:szCs w:val="13"/>
                <w:color w:val="auto"/>
              </w:rPr>
              <w:t>10% Edge Rate</w:t>
            </w:r>
          </w:p>
        </w:tc>
        <w:tc>
          <w:tcPr>
            <w:tcW w:w="0" w:type="dxa"/>
            <w:vAlign w:val="bottom"/>
          </w:tcPr>
          <w:p>
            <w:pPr>
              <w:spacing w:after="0"/>
              <w:rPr>
                <w:sz w:val="1"/>
                <w:szCs w:val="1"/>
                <w:color w:val="auto"/>
              </w:rPr>
            </w:pPr>
          </w:p>
        </w:tc>
      </w:tr>
      <w:tr>
        <w:trPr>
          <w:trHeight w:val="198"/>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S&amp;P 500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3</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15%</w:t>
            </w:r>
          </w:p>
        </w:tc>
        <w:tc>
          <w:tcPr>
            <w:tcW w:w="11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3"/>
                <w:szCs w:val="13"/>
                <w:color w:val="auto"/>
              </w:rPr>
              <w:t>13.5% Cap Rate</w:t>
            </w:r>
          </w:p>
        </w:tc>
        <w:tc>
          <w:tcPr>
            <w:tcW w:w="0" w:type="dxa"/>
            <w:vAlign w:val="bottom"/>
          </w:tcPr>
          <w:p>
            <w:pPr>
              <w:spacing w:after="0"/>
              <w:rPr>
                <w:sz w:val="1"/>
                <w:szCs w:val="1"/>
                <w:color w:val="auto"/>
              </w:rPr>
            </w:pPr>
          </w:p>
        </w:tc>
      </w:tr>
      <w:tr>
        <w:trPr>
          <w:trHeight w:val="198"/>
        </w:trPr>
        <w:tc>
          <w:tcPr>
            <w:tcW w:w="232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S&amp;P 500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3</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10%</w:t>
            </w:r>
          </w:p>
        </w:tc>
        <w:tc>
          <w:tcPr>
            <w:tcW w:w="1180" w:type="dxa"/>
            <w:vAlign w:val="bottom"/>
            <w:tcBorders>
              <w:bottom w:val="single" w:sz="8" w:color="auto"/>
              <w:right w:val="single" w:sz="8" w:color="auto"/>
            </w:tcBorders>
            <w:gridSpan w:val="2"/>
            <w:shd w:val="clear" w:color="auto" w:fill="F0FFFF"/>
          </w:tcPr>
          <w:p>
            <w:pPr>
              <w:ind w:left="60"/>
              <w:spacing w:after="0"/>
              <w:rPr>
                <w:sz w:val="20"/>
                <w:szCs w:val="20"/>
                <w:color w:val="auto"/>
              </w:rPr>
            </w:pPr>
            <w:r>
              <w:rPr>
                <w:rFonts w:ascii="Arial" w:cs="Arial" w:eastAsia="Arial" w:hAnsi="Arial"/>
                <w:sz w:val="13"/>
                <w:szCs w:val="13"/>
                <w:color w:val="auto"/>
              </w:rPr>
              <w:t>15% Cap Rate</w:t>
            </w:r>
          </w:p>
        </w:tc>
        <w:tc>
          <w:tcPr>
            <w:tcW w:w="0" w:type="dxa"/>
            <w:vAlign w:val="bottom"/>
          </w:tcPr>
          <w:p>
            <w:pPr>
              <w:spacing w:after="0"/>
              <w:rPr>
                <w:sz w:val="1"/>
                <w:szCs w:val="1"/>
                <w:color w:val="auto"/>
              </w:rPr>
            </w:pPr>
          </w:p>
        </w:tc>
      </w:tr>
      <w:tr>
        <w:trPr>
          <w:trHeight w:val="198"/>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S&amp;P 500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6</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25%</w:t>
            </w:r>
          </w:p>
        </w:tc>
        <w:tc>
          <w:tcPr>
            <w:tcW w:w="11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3"/>
                <w:szCs w:val="13"/>
                <w:color w:val="auto"/>
              </w:rPr>
              <w:t>21% Cap Rate</w:t>
            </w:r>
          </w:p>
        </w:tc>
        <w:tc>
          <w:tcPr>
            <w:tcW w:w="0" w:type="dxa"/>
            <w:vAlign w:val="bottom"/>
          </w:tcPr>
          <w:p>
            <w:pPr>
              <w:spacing w:after="0"/>
              <w:rPr>
                <w:sz w:val="1"/>
                <w:szCs w:val="1"/>
                <w:color w:val="auto"/>
              </w:rPr>
            </w:pPr>
          </w:p>
        </w:tc>
      </w:tr>
      <w:tr>
        <w:trPr>
          <w:trHeight w:val="198"/>
        </w:trPr>
        <w:tc>
          <w:tcPr>
            <w:tcW w:w="232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S&amp;P 500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6</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15%</w:t>
            </w:r>
          </w:p>
        </w:tc>
        <w:tc>
          <w:tcPr>
            <w:tcW w:w="1180" w:type="dxa"/>
            <w:vAlign w:val="bottom"/>
            <w:tcBorders>
              <w:bottom w:val="single" w:sz="8" w:color="auto"/>
              <w:right w:val="single" w:sz="8" w:color="auto"/>
            </w:tcBorders>
            <w:gridSpan w:val="2"/>
            <w:shd w:val="clear" w:color="auto" w:fill="F0FFFF"/>
          </w:tcPr>
          <w:p>
            <w:pPr>
              <w:ind w:left="60"/>
              <w:spacing w:after="0"/>
              <w:rPr>
                <w:sz w:val="20"/>
                <w:szCs w:val="20"/>
                <w:color w:val="auto"/>
              </w:rPr>
            </w:pPr>
            <w:r>
              <w:rPr>
                <w:rFonts w:ascii="Arial" w:cs="Arial" w:eastAsia="Arial" w:hAnsi="Arial"/>
                <w:sz w:val="13"/>
                <w:szCs w:val="13"/>
                <w:color w:val="auto"/>
              </w:rPr>
              <w:t>27% Cap Rate</w:t>
            </w:r>
          </w:p>
        </w:tc>
        <w:tc>
          <w:tcPr>
            <w:tcW w:w="0" w:type="dxa"/>
            <w:vAlign w:val="bottom"/>
          </w:tcPr>
          <w:p>
            <w:pPr>
              <w:spacing w:after="0"/>
              <w:rPr>
                <w:sz w:val="1"/>
                <w:szCs w:val="1"/>
                <w:color w:val="auto"/>
              </w:rPr>
            </w:pPr>
          </w:p>
        </w:tc>
      </w:tr>
      <w:tr>
        <w:trPr>
          <w:trHeight w:val="198"/>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S&amp;P 500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6</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10%</w:t>
            </w:r>
          </w:p>
        </w:tc>
        <w:tc>
          <w:tcPr>
            <w:tcW w:w="11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3"/>
                <w:szCs w:val="13"/>
                <w:color w:val="auto"/>
              </w:rPr>
              <w:t>30% Cap Rate</w:t>
            </w:r>
          </w:p>
        </w:tc>
        <w:tc>
          <w:tcPr>
            <w:tcW w:w="0" w:type="dxa"/>
            <w:vAlign w:val="bottom"/>
          </w:tcPr>
          <w:p>
            <w:pPr>
              <w:spacing w:after="0"/>
              <w:rPr>
                <w:sz w:val="1"/>
                <w:szCs w:val="1"/>
                <w:color w:val="auto"/>
              </w:rPr>
            </w:pPr>
          </w:p>
        </w:tc>
      </w:tr>
      <w:tr>
        <w:trPr>
          <w:trHeight w:val="198"/>
        </w:trPr>
        <w:tc>
          <w:tcPr>
            <w:tcW w:w="232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Russell 2000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25%</w:t>
            </w:r>
          </w:p>
        </w:tc>
        <w:tc>
          <w:tcPr>
            <w:tcW w:w="380" w:type="dxa"/>
            <w:vAlign w:val="bottom"/>
            <w:tcBorders>
              <w:bottom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3.5%</w:t>
            </w:r>
          </w:p>
        </w:tc>
        <w:tc>
          <w:tcPr>
            <w:tcW w:w="800" w:type="dxa"/>
            <w:vAlign w:val="bottom"/>
            <w:tcBorders>
              <w:bottom w:val="single" w:sz="8" w:color="auto"/>
              <w:right w:val="single" w:sz="8" w:color="auto"/>
            </w:tcBorders>
            <w:shd w:val="clear" w:color="auto" w:fill="F0FFFF"/>
          </w:tcPr>
          <w:p>
            <w:pPr>
              <w:ind w:left="20"/>
              <w:spacing w:after="0"/>
              <w:rPr>
                <w:sz w:val="20"/>
                <w:szCs w:val="20"/>
                <w:color w:val="auto"/>
              </w:rPr>
            </w:pPr>
            <w:r>
              <w:rPr>
                <w:rFonts w:ascii="Arial" w:cs="Arial" w:eastAsia="Arial" w:hAnsi="Arial"/>
                <w:sz w:val="13"/>
                <w:szCs w:val="13"/>
                <w:color w:val="auto"/>
              </w:rPr>
              <w:t>Cap Rate</w:t>
            </w:r>
          </w:p>
        </w:tc>
        <w:tc>
          <w:tcPr>
            <w:tcW w:w="0" w:type="dxa"/>
            <w:vAlign w:val="bottom"/>
          </w:tcPr>
          <w:p>
            <w:pPr>
              <w:spacing w:after="0"/>
              <w:rPr>
                <w:sz w:val="1"/>
                <w:szCs w:val="1"/>
                <w:color w:val="auto"/>
              </w:rPr>
            </w:pPr>
          </w:p>
        </w:tc>
      </w:tr>
      <w:tr>
        <w:trPr>
          <w:trHeight w:val="198"/>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Russell 2000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15%</w:t>
            </w: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4.5%</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Cap Rate</w:t>
            </w:r>
          </w:p>
        </w:tc>
        <w:tc>
          <w:tcPr>
            <w:tcW w:w="0" w:type="dxa"/>
            <w:vAlign w:val="bottom"/>
          </w:tcPr>
          <w:p>
            <w:pPr>
              <w:spacing w:after="0"/>
              <w:rPr>
                <w:sz w:val="1"/>
                <w:szCs w:val="1"/>
                <w:color w:val="auto"/>
              </w:rPr>
            </w:pPr>
          </w:p>
        </w:tc>
      </w:tr>
      <w:tr>
        <w:trPr>
          <w:trHeight w:val="198"/>
        </w:trPr>
        <w:tc>
          <w:tcPr>
            <w:tcW w:w="232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Russell 2000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10%</w:t>
            </w:r>
          </w:p>
        </w:tc>
        <w:tc>
          <w:tcPr>
            <w:tcW w:w="1180" w:type="dxa"/>
            <w:vAlign w:val="bottom"/>
            <w:tcBorders>
              <w:bottom w:val="single" w:sz="8" w:color="auto"/>
              <w:right w:val="single" w:sz="8" w:color="auto"/>
            </w:tcBorders>
            <w:gridSpan w:val="2"/>
            <w:shd w:val="clear" w:color="auto" w:fill="F0FFFF"/>
          </w:tcPr>
          <w:p>
            <w:pPr>
              <w:ind w:left="60"/>
              <w:spacing w:after="0"/>
              <w:rPr>
                <w:sz w:val="20"/>
                <w:szCs w:val="20"/>
                <w:color w:val="auto"/>
              </w:rPr>
            </w:pPr>
            <w:r>
              <w:rPr>
                <w:rFonts w:ascii="Arial" w:cs="Arial" w:eastAsia="Arial" w:hAnsi="Arial"/>
                <w:sz w:val="13"/>
                <w:szCs w:val="13"/>
                <w:color w:val="auto"/>
              </w:rPr>
              <w:t>5% Cap Rate</w:t>
            </w:r>
          </w:p>
        </w:tc>
        <w:tc>
          <w:tcPr>
            <w:tcW w:w="0" w:type="dxa"/>
            <w:vAlign w:val="bottom"/>
          </w:tcPr>
          <w:p>
            <w:pPr>
              <w:spacing w:after="0"/>
              <w:rPr>
                <w:sz w:val="1"/>
                <w:szCs w:val="1"/>
                <w:color w:val="auto"/>
              </w:rPr>
            </w:pPr>
          </w:p>
        </w:tc>
      </w:tr>
      <w:tr>
        <w:trPr>
          <w:trHeight w:val="198"/>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Russell 2000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15%</w:t>
            </w: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4.5%</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Step Rate</w:t>
            </w:r>
          </w:p>
        </w:tc>
        <w:tc>
          <w:tcPr>
            <w:tcW w:w="0" w:type="dxa"/>
            <w:vAlign w:val="bottom"/>
          </w:tcPr>
          <w:p>
            <w:pPr>
              <w:spacing w:after="0"/>
              <w:rPr>
                <w:sz w:val="1"/>
                <w:szCs w:val="1"/>
                <w:color w:val="auto"/>
              </w:rPr>
            </w:pPr>
          </w:p>
        </w:tc>
      </w:tr>
      <w:tr>
        <w:trPr>
          <w:trHeight w:val="198"/>
        </w:trPr>
        <w:tc>
          <w:tcPr>
            <w:tcW w:w="232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Russell 2000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15%</w:t>
            </w:r>
          </w:p>
        </w:tc>
        <w:tc>
          <w:tcPr>
            <w:tcW w:w="380" w:type="dxa"/>
            <w:vAlign w:val="bottom"/>
            <w:tcBorders>
              <w:bottom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4.5%</w:t>
            </w:r>
          </w:p>
        </w:tc>
        <w:tc>
          <w:tcPr>
            <w:tcW w:w="800" w:type="dxa"/>
            <w:vAlign w:val="bottom"/>
            <w:tcBorders>
              <w:bottom w:val="single" w:sz="8" w:color="auto"/>
              <w:right w:val="single" w:sz="8" w:color="auto"/>
            </w:tcBorders>
            <w:shd w:val="clear" w:color="auto" w:fill="F0FFFF"/>
          </w:tcPr>
          <w:p>
            <w:pPr>
              <w:ind w:left="20"/>
              <w:spacing w:after="0"/>
              <w:rPr>
                <w:sz w:val="20"/>
                <w:szCs w:val="20"/>
                <w:color w:val="auto"/>
              </w:rPr>
            </w:pPr>
            <w:r>
              <w:rPr>
                <w:rFonts w:ascii="Arial" w:cs="Arial" w:eastAsia="Arial" w:hAnsi="Arial"/>
                <w:sz w:val="13"/>
                <w:szCs w:val="13"/>
                <w:color w:val="auto"/>
              </w:rPr>
              <w:t>Edge Rate</w:t>
            </w:r>
          </w:p>
        </w:tc>
        <w:tc>
          <w:tcPr>
            <w:tcW w:w="0" w:type="dxa"/>
            <w:vAlign w:val="bottom"/>
          </w:tcPr>
          <w:p>
            <w:pPr>
              <w:spacing w:after="0"/>
              <w:rPr>
                <w:sz w:val="1"/>
                <w:szCs w:val="1"/>
                <w:color w:val="auto"/>
              </w:rPr>
            </w:pPr>
          </w:p>
        </w:tc>
      </w:tr>
      <w:tr>
        <w:trPr>
          <w:trHeight w:val="198"/>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Russell 2000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10%</w:t>
            </w:r>
          </w:p>
        </w:tc>
        <w:tc>
          <w:tcPr>
            <w:tcW w:w="11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3"/>
                <w:szCs w:val="13"/>
                <w:color w:val="auto"/>
              </w:rPr>
              <w:t>5% Step Rate</w:t>
            </w:r>
          </w:p>
        </w:tc>
        <w:tc>
          <w:tcPr>
            <w:tcW w:w="0" w:type="dxa"/>
            <w:vAlign w:val="bottom"/>
          </w:tcPr>
          <w:p>
            <w:pPr>
              <w:spacing w:after="0"/>
              <w:rPr>
                <w:sz w:val="1"/>
                <w:szCs w:val="1"/>
                <w:color w:val="auto"/>
              </w:rPr>
            </w:pPr>
          </w:p>
        </w:tc>
      </w:tr>
      <w:tr>
        <w:trPr>
          <w:trHeight w:val="198"/>
        </w:trPr>
        <w:tc>
          <w:tcPr>
            <w:tcW w:w="232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Russell 2000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10%</w:t>
            </w:r>
          </w:p>
        </w:tc>
        <w:tc>
          <w:tcPr>
            <w:tcW w:w="1180" w:type="dxa"/>
            <w:vAlign w:val="bottom"/>
            <w:tcBorders>
              <w:bottom w:val="single" w:sz="8" w:color="auto"/>
              <w:right w:val="single" w:sz="8" w:color="auto"/>
            </w:tcBorders>
            <w:gridSpan w:val="2"/>
            <w:shd w:val="clear" w:color="auto" w:fill="F0FFFF"/>
          </w:tcPr>
          <w:p>
            <w:pPr>
              <w:ind w:left="60"/>
              <w:spacing w:after="0"/>
              <w:rPr>
                <w:sz w:val="20"/>
                <w:szCs w:val="20"/>
                <w:color w:val="auto"/>
              </w:rPr>
            </w:pPr>
            <w:r>
              <w:rPr>
                <w:rFonts w:ascii="Arial" w:cs="Arial" w:eastAsia="Arial" w:hAnsi="Arial"/>
                <w:sz w:val="13"/>
                <w:szCs w:val="13"/>
                <w:color w:val="auto"/>
              </w:rPr>
              <w:t>5% Edge Rate</w:t>
            </w:r>
          </w:p>
        </w:tc>
        <w:tc>
          <w:tcPr>
            <w:tcW w:w="0" w:type="dxa"/>
            <w:vAlign w:val="bottom"/>
          </w:tcPr>
          <w:p>
            <w:pPr>
              <w:spacing w:after="0"/>
              <w:rPr>
                <w:sz w:val="1"/>
                <w:szCs w:val="1"/>
                <w:color w:val="auto"/>
              </w:rPr>
            </w:pPr>
          </w:p>
        </w:tc>
      </w:tr>
      <w:tr>
        <w:trPr>
          <w:trHeight w:val="198"/>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Russell 2000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2</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15%</w:t>
            </w:r>
          </w:p>
        </w:tc>
        <w:tc>
          <w:tcPr>
            <w:tcW w:w="11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3"/>
                <w:szCs w:val="13"/>
                <w:color w:val="auto"/>
              </w:rPr>
              <w:t>9% Step Rate</w:t>
            </w:r>
          </w:p>
        </w:tc>
        <w:tc>
          <w:tcPr>
            <w:tcW w:w="0" w:type="dxa"/>
            <w:vAlign w:val="bottom"/>
          </w:tcPr>
          <w:p>
            <w:pPr>
              <w:spacing w:after="0"/>
              <w:rPr>
                <w:sz w:val="1"/>
                <w:szCs w:val="1"/>
                <w:color w:val="auto"/>
              </w:rPr>
            </w:pPr>
          </w:p>
        </w:tc>
      </w:tr>
      <w:tr>
        <w:trPr>
          <w:trHeight w:val="198"/>
        </w:trPr>
        <w:tc>
          <w:tcPr>
            <w:tcW w:w="232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Russell 2000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2</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15%</w:t>
            </w:r>
          </w:p>
        </w:tc>
        <w:tc>
          <w:tcPr>
            <w:tcW w:w="1180" w:type="dxa"/>
            <w:vAlign w:val="bottom"/>
            <w:tcBorders>
              <w:bottom w:val="single" w:sz="8" w:color="auto"/>
              <w:right w:val="single" w:sz="8" w:color="auto"/>
            </w:tcBorders>
            <w:gridSpan w:val="2"/>
            <w:shd w:val="clear" w:color="auto" w:fill="F0FFFF"/>
          </w:tcPr>
          <w:p>
            <w:pPr>
              <w:ind w:left="60"/>
              <w:spacing w:after="0"/>
              <w:rPr>
                <w:sz w:val="20"/>
                <w:szCs w:val="20"/>
                <w:color w:val="auto"/>
              </w:rPr>
            </w:pPr>
            <w:r>
              <w:rPr>
                <w:rFonts w:ascii="Arial" w:cs="Arial" w:eastAsia="Arial" w:hAnsi="Arial"/>
                <w:sz w:val="13"/>
                <w:szCs w:val="13"/>
                <w:color w:val="auto"/>
              </w:rPr>
              <w:t>9% Edge Rate</w:t>
            </w:r>
          </w:p>
        </w:tc>
        <w:tc>
          <w:tcPr>
            <w:tcW w:w="0" w:type="dxa"/>
            <w:vAlign w:val="bottom"/>
          </w:tcPr>
          <w:p>
            <w:pPr>
              <w:spacing w:after="0"/>
              <w:rPr>
                <w:sz w:val="1"/>
                <w:szCs w:val="1"/>
                <w:color w:val="auto"/>
              </w:rPr>
            </w:pPr>
          </w:p>
        </w:tc>
      </w:tr>
      <w:tr>
        <w:trPr>
          <w:trHeight w:val="198"/>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Russell 2000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2</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10%</w:t>
            </w:r>
          </w:p>
        </w:tc>
        <w:tc>
          <w:tcPr>
            <w:tcW w:w="11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3"/>
                <w:szCs w:val="13"/>
                <w:color w:val="auto"/>
              </w:rPr>
              <w:t>10% Step Rate</w:t>
            </w:r>
          </w:p>
        </w:tc>
        <w:tc>
          <w:tcPr>
            <w:tcW w:w="0" w:type="dxa"/>
            <w:vAlign w:val="bottom"/>
          </w:tcPr>
          <w:p>
            <w:pPr>
              <w:spacing w:after="0"/>
              <w:rPr>
                <w:sz w:val="1"/>
                <w:szCs w:val="1"/>
                <w:color w:val="auto"/>
              </w:rPr>
            </w:pPr>
          </w:p>
        </w:tc>
      </w:tr>
      <w:tr>
        <w:trPr>
          <w:trHeight w:val="198"/>
        </w:trPr>
        <w:tc>
          <w:tcPr>
            <w:tcW w:w="232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Russell 2000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2</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10%</w:t>
            </w:r>
          </w:p>
        </w:tc>
        <w:tc>
          <w:tcPr>
            <w:tcW w:w="1180" w:type="dxa"/>
            <w:vAlign w:val="bottom"/>
            <w:tcBorders>
              <w:bottom w:val="single" w:sz="8" w:color="auto"/>
              <w:right w:val="single" w:sz="8" w:color="auto"/>
            </w:tcBorders>
            <w:gridSpan w:val="2"/>
            <w:shd w:val="clear" w:color="auto" w:fill="F0FFFF"/>
          </w:tcPr>
          <w:p>
            <w:pPr>
              <w:ind w:left="60"/>
              <w:spacing w:after="0"/>
              <w:rPr>
                <w:sz w:val="20"/>
                <w:szCs w:val="20"/>
                <w:color w:val="auto"/>
              </w:rPr>
            </w:pPr>
            <w:r>
              <w:rPr>
                <w:rFonts w:ascii="Arial" w:cs="Arial" w:eastAsia="Arial" w:hAnsi="Arial"/>
                <w:sz w:val="13"/>
                <w:szCs w:val="13"/>
                <w:color w:val="auto"/>
              </w:rPr>
              <w:t>10% Edge Rate</w:t>
            </w:r>
          </w:p>
        </w:tc>
        <w:tc>
          <w:tcPr>
            <w:tcW w:w="0" w:type="dxa"/>
            <w:vAlign w:val="bottom"/>
          </w:tcPr>
          <w:p>
            <w:pPr>
              <w:spacing w:after="0"/>
              <w:rPr>
                <w:sz w:val="1"/>
                <w:szCs w:val="1"/>
                <w:color w:val="auto"/>
              </w:rPr>
            </w:pPr>
          </w:p>
        </w:tc>
      </w:tr>
      <w:tr>
        <w:trPr>
          <w:trHeight w:val="198"/>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Russell 2000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3</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15%</w:t>
            </w:r>
          </w:p>
        </w:tc>
        <w:tc>
          <w:tcPr>
            <w:tcW w:w="11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3"/>
                <w:szCs w:val="13"/>
                <w:color w:val="auto"/>
              </w:rPr>
              <w:t>13.5% Cap Rate</w:t>
            </w:r>
          </w:p>
        </w:tc>
        <w:tc>
          <w:tcPr>
            <w:tcW w:w="0" w:type="dxa"/>
            <w:vAlign w:val="bottom"/>
          </w:tcPr>
          <w:p>
            <w:pPr>
              <w:spacing w:after="0"/>
              <w:rPr>
                <w:sz w:val="1"/>
                <w:szCs w:val="1"/>
                <w:color w:val="auto"/>
              </w:rPr>
            </w:pPr>
          </w:p>
        </w:tc>
      </w:tr>
      <w:tr>
        <w:trPr>
          <w:trHeight w:val="186"/>
        </w:trPr>
        <w:tc>
          <w:tcPr>
            <w:tcW w:w="2320" w:type="dxa"/>
            <w:vAlign w:val="bottom"/>
            <w:tcBorders>
              <w:left w:val="single" w:sz="8" w:color="auto"/>
              <w:bottom w:val="single" w:sz="8" w:color="auto"/>
              <w:right w:val="single" w:sz="8" w:color="auto"/>
            </w:tcBorders>
            <w:shd w:val="clear" w:color="auto" w:fill="F0FFFF"/>
          </w:tcPr>
          <w:p>
            <w:pPr>
              <w:ind w:left="40"/>
              <w:spacing w:after="0" w:line="186" w:lineRule="exact"/>
              <w:rPr>
                <w:sz w:val="20"/>
                <w:szCs w:val="20"/>
                <w:color w:val="auto"/>
              </w:rPr>
            </w:pPr>
            <w:r>
              <w:rPr>
                <w:rFonts w:ascii="Arial" w:cs="Arial" w:eastAsia="Arial" w:hAnsi="Arial"/>
                <w:sz w:val="13"/>
                <w:szCs w:val="13"/>
                <w:color w:val="auto"/>
              </w:rPr>
              <w:t>Russell 2000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3</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10%</w:t>
            </w:r>
          </w:p>
        </w:tc>
        <w:tc>
          <w:tcPr>
            <w:tcW w:w="1180" w:type="dxa"/>
            <w:vAlign w:val="bottom"/>
            <w:tcBorders>
              <w:bottom w:val="single" w:sz="8" w:color="auto"/>
              <w:right w:val="single" w:sz="8" w:color="auto"/>
            </w:tcBorders>
            <w:gridSpan w:val="2"/>
            <w:shd w:val="clear" w:color="auto" w:fill="F0FFFF"/>
          </w:tcPr>
          <w:p>
            <w:pPr>
              <w:ind w:left="60"/>
              <w:spacing w:after="0"/>
              <w:rPr>
                <w:sz w:val="20"/>
                <w:szCs w:val="20"/>
                <w:color w:val="auto"/>
              </w:rPr>
            </w:pPr>
            <w:r>
              <w:rPr>
                <w:rFonts w:ascii="Arial" w:cs="Arial" w:eastAsia="Arial" w:hAnsi="Arial"/>
                <w:sz w:val="13"/>
                <w:szCs w:val="13"/>
                <w:color w:val="auto"/>
              </w:rPr>
              <w:t>15% Cap Rate</w:t>
            </w:r>
          </w:p>
        </w:tc>
        <w:tc>
          <w:tcPr>
            <w:tcW w:w="0" w:type="dxa"/>
            <w:vAlign w:val="bottom"/>
          </w:tcPr>
          <w:p>
            <w:pPr>
              <w:spacing w:after="0"/>
              <w:rPr>
                <w:sz w:val="1"/>
                <w:szCs w:val="1"/>
                <w:color w:val="auto"/>
              </w:rPr>
            </w:pPr>
          </w:p>
        </w:tc>
      </w:tr>
      <w:tr>
        <w:trPr>
          <w:trHeight w:val="350"/>
        </w:trPr>
        <w:tc>
          <w:tcPr>
            <w:tcW w:w="2320" w:type="dxa"/>
            <w:vAlign w:val="bottom"/>
          </w:tcPr>
          <w:p>
            <w:pPr>
              <w:spacing w:after="0"/>
              <w:rPr>
                <w:sz w:val="24"/>
                <w:szCs w:val="24"/>
                <w:color w:val="auto"/>
              </w:rPr>
            </w:pPr>
          </w:p>
        </w:tc>
        <w:tc>
          <w:tcPr>
            <w:tcW w:w="102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A-1</w:t>
            </w: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-4875530</wp:posOffset>
            </wp:positionV>
            <wp:extent cx="3842385" cy="6362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842385" cy="6362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-4100195</wp:posOffset>
            </wp:positionV>
            <wp:extent cx="3842385" cy="1384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842385" cy="1384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-3823335</wp:posOffset>
            </wp:positionV>
            <wp:extent cx="3842385" cy="1384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842385" cy="1384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-3545840</wp:posOffset>
            </wp:positionV>
            <wp:extent cx="3842385" cy="1384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842385" cy="1384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-3268980</wp:posOffset>
            </wp:positionV>
            <wp:extent cx="3842385" cy="1384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842385" cy="1384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-2991485</wp:posOffset>
            </wp:positionV>
            <wp:extent cx="3842385" cy="1384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842385" cy="1384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-2714625</wp:posOffset>
            </wp:positionV>
            <wp:extent cx="3842385" cy="1384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842385" cy="1384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-2437130</wp:posOffset>
            </wp:positionV>
            <wp:extent cx="3842385" cy="1384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842385" cy="1384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-2160270</wp:posOffset>
            </wp:positionV>
            <wp:extent cx="3842385" cy="1384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842385" cy="1384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-1882775</wp:posOffset>
            </wp:positionV>
            <wp:extent cx="3842385" cy="1384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842385" cy="1384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-1605915</wp:posOffset>
            </wp:positionV>
            <wp:extent cx="3842385" cy="1384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842385" cy="1384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-1328420</wp:posOffset>
            </wp:positionV>
            <wp:extent cx="3842385" cy="1384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842385" cy="1384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-1051560</wp:posOffset>
            </wp:positionV>
            <wp:extent cx="3842385" cy="1384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842385" cy="1384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-774700</wp:posOffset>
            </wp:positionV>
            <wp:extent cx="3842385" cy="1384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842385" cy="1384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-497205</wp:posOffset>
            </wp:positionV>
            <wp:extent cx="3842385" cy="1384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842385" cy="138430"/>
                    </a:xfrm>
                    <a:prstGeom prst="rect">
                      <a:avLst/>
                    </a:prstGeom>
                    <a:noFill/>
                  </pic:spPr>
                </pic:pic>
              </a:graphicData>
            </a:graphic>
          </wp:anchor>
        </w:drawing>
      </w:r>
    </w:p>
    <w:p>
      <w:pPr>
        <w:sectPr>
          <w:pgSz w:w="11900" w:h="16838" w:orient="portrait"/>
          <w:cols w:equalWidth="0" w:num="1">
            <w:col w:w="9259"/>
          </w:cols>
          <w:pgMar w:left="1200" w:top="1047" w:right="1440" w:bottom="1440" w:gutter="0" w:footer="0" w:header="0"/>
        </w:sectPr>
      </w:pPr>
    </w:p>
    <w:bookmarkStart w:id="77" w:name="page78"/>
    <w:bookmarkEnd w:id="77"/>
    <w:tbl>
      <w:tblPr>
        <w:tblLayout w:type="fixed"/>
        <w:tblInd w:w="11" w:type="dxa"/>
        <w:tblCellMar>
          <w:top w:w="0" w:type="dxa"/>
          <w:left w:w="0" w:type="dxa"/>
          <w:bottom w:w="0" w:type="dxa"/>
          <w:right w:w="0" w:type="dxa"/>
        </w:tblCellMar>
      </w:tblPr>
      <w:tr>
        <w:trPr>
          <w:trHeight w:val="181"/>
        </w:trPr>
        <w:tc>
          <w:tcPr>
            <w:tcW w:w="2320" w:type="dxa"/>
            <w:vAlign w:val="bottom"/>
            <w:tcBorders>
              <w:top w:val="single" w:sz="8" w:color="auto"/>
              <w:left w:val="single" w:sz="8" w:color="auto"/>
              <w:right w:val="single" w:sz="8" w:color="auto"/>
            </w:tcBorders>
          </w:tcPr>
          <w:p>
            <w:pPr>
              <w:spacing w:after="0"/>
              <w:rPr>
                <w:sz w:val="15"/>
                <w:szCs w:val="15"/>
                <w:color w:val="auto"/>
              </w:rPr>
            </w:pPr>
          </w:p>
        </w:tc>
        <w:tc>
          <w:tcPr>
            <w:tcW w:w="1020" w:type="dxa"/>
            <w:vAlign w:val="bottom"/>
            <w:tcBorders>
              <w:top w:val="single" w:sz="8" w:color="auto"/>
              <w:right w:val="single" w:sz="8" w:color="auto"/>
            </w:tcBorders>
          </w:tcPr>
          <w:p>
            <w:pPr>
              <w:spacing w:after="0"/>
              <w:rPr>
                <w:sz w:val="15"/>
                <w:szCs w:val="15"/>
                <w:color w:val="auto"/>
              </w:rPr>
            </w:pPr>
          </w:p>
        </w:tc>
        <w:tc>
          <w:tcPr>
            <w:tcW w:w="480" w:type="dxa"/>
            <w:vAlign w:val="bottom"/>
            <w:tcBorders>
              <w:top w:val="single" w:sz="8" w:color="auto"/>
              <w:right w:val="single" w:sz="8" w:color="auto"/>
            </w:tcBorders>
          </w:tcPr>
          <w:p>
            <w:pPr>
              <w:spacing w:after="0"/>
              <w:rPr>
                <w:sz w:val="15"/>
                <w:szCs w:val="15"/>
                <w:color w:val="auto"/>
              </w:rPr>
            </w:pPr>
          </w:p>
        </w:tc>
        <w:tc>
          <w:tcPr>
            <w:tcW w:w="1080" w:type="dxa"/>
            <w:vAlign w:val="bottom"/>
            <w:tcBorders>
              <w:top w:val="single" w:sz="8" w:color="auto"/>
              <w:right w:val="single" w:sz="8" w:color="auto"/>
            </w:tcBorders>
          </w:tcPr>
          <w:p>
            <w:pPr>
              <w:spacing w:after="0"/>
              <w:rPr>
                <w:sz w:val="15"/>
                <w:szCs w:val="15"/>
                <w:color w:val="auto"/>
              </w:rPr>
            </w:pPr>
          </w:p>
        </w:tc>
        <w:tc>
          <w:tcPr>
            <w:tcW w:w="1180" w:type="dxa"/>
            <w:vAlign w:val="bottom"/>
            <w:tcBorders>
              <w:top w:val="single" w:sz="8" w:color="auto"/>
              <w:right w:val="single" w:sz="8" w:color="auto"/>
            </w:tcBorders>
            <w:gridSpan w:val="2"/>
          </w:tcPr>
          <w:p>
            <w:pPr>
              <w:ind w:left="300"/>
              <w:spacing w:after="0"/>
              <w:rPr>
                <w:sz w:val="20"/>
                <w:szCs w:val="20"/>
                <w:color w:val="auto"/>
              </w:rPr>
            </w:pPr>
            <w:r>
              <w:rPr>
                <w:rFonts w:ascii="Arial" w:cs="Arial" w:eastAsia="Arial" w:hAnsi="Arial"/>
                <w:sz w:val="13"/>
                <w:szCs w:val="13"/>
                <w:b w:val="1"/>
                <w:bCs w:val="1"/>
                <w:color w:val="auto"/>
              </w:rPr>
              <w:t>Minimum</w:t>
            </w:r>
          </w:p>
        </w:tc>
        <w:tc>
          <w:tcPr>
            <w:tcW w:w="0" w:type="dxa"/>
            <w:vAlign w:val="bottom"/>
          </w:tcPr>
          <w:p>
            <w:pPr>
              <w:spacing w:after="0"/>
              <w:rPr>
                <w:sz w:val="1"/>
                <w:szCs w:val="1"/>
                <w:color w:val="auto"/>
              </w:rPr>
            </w:pPr>
          </w:p>
        </w:tc>
      </w:tr>
      <w:tr>
        <w:trPr>
          <w:trHeight w:val="159"/>
        </w:trPr>
        <w:tc>
          <w:tcPr>
            <w:tcW w:w="2320" w:type="dxa"/>
            <w:vAlign w:val="bottom"/>
            <w:tcBorders>
              <w:left w:val="single" w:sz="8" w:color="auto"/>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Guaranteed Rate</w:t>
            </w:r>
          </w:p>
        </w:tc>
        <w:tc>
          <w:tcPr>
            <w:tcW w:w="0" w:type="dxa"/>
            <w:vAlign w:val="bottom"/>
          </w:tcPr>
          <w:p>
            <w:pPr>
              <w:spacing w:after="0"/>
              <w:rPr>
                <w:sz w:val="1"/>
                <w:szCs w:val="1"/>
                <w:color w:val="auto"/>
              </w:rPr>
            </w:pPr>
          </w:p>
        </w:tc>
      </w:tr>
      <w:tr>
        <w:trPr>
          <w:trHeight w:val="159"/>
        </w:trPr>
        <w:tc>
          <w:tcPr>
            <w:tcW w:w="2320" w:type="dxa"/>
            <w:vAlign w:val="bottom"/>
            <w:tcBorders>
              <w:left w:val="single" w:sz="8" w:color="auto"/>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ind w:left="60"/>
              <w:spacing w:after="0"/>
              <w:rPr>
                <w:sz w:val="20"/>
                <w:szCs w:val="20"/>
                <w:color w:val="auto"/>
              </w:rPr>
            </w:pPr>
            <w:r>
              <w:rPr>
                <w:rFonts w:ascii="Arial" w:cs="Arial" w:eastAsia="Arial" w:hAnsi="Arial"/>
                <w:sz w:val="13"/>
                <w:szCs w:val="13"/>
                <w:b w:val="1"/>
                <w:bCs w:val="1"/>
                <w:color w:val="auto"/>
              </w:rPr>
              <w:t>Current Shield</w:t>
            </w:r>
          </w:p>
        </w:tc>
        <w:tc>
          <w:tcPr>
            <w:tcW w:w="320" w:type="dxa"/>
            <w:vAlign w:val="bottom"/>
          </w:tcPr>
          <w:p>
            <w:pPr>
              <w:spacing w:after="0"/>
              <w:rPr>
                <w:sz w:val="13"/>
                <w:szCs w:val="13"/>
                <w:color w:val="auto"/>
              </w:rPr>
            </w:pPr>
          </w:p>
        </w:tc>
        <w:tc>
          <w:tcPr>
            <w:tcW w:w="86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rPr>
              <w:t>for Rate</w:t>
            </w:r>
          </w:p>
        </w:tc>
        <w:tc>
          <w:tcPr>
            <w:tcW w:w="0" w:type="dxa"/>
            <w:vAlign w:val="bottom"/>
          </w:tcPr>
          <w:p>
            <w:pPr>
              <w:spacing w:after="0"/>
              <w:rPr>
                <w:sz w:val="1"/>
                <w:szCs w:val="1"/>
                <w:color w:val="auto"/>
              </w:rPr>
            </w:pPr>
          </w:p>
        </w:tc>
      </w:tr>
      <w:tr>
        <w:trPr>
          <w:trHeight w:val="159"/>
        </w:trPr>
        <w:tc>
          <w:tcPr>
            <w:tcW w:w="2320" w:type="dxa"/>
            <w:vAlign w:val="bottom"/>
            <w:tcBorders>
              <w:left w:val="single" w:sz="8" w:color="auto"/>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Rate (if held</w:t>
            </w:r>
          </w:p>
        </w:tc>
        <w:tc>
          <w:tcPr>
            <w:tcW w:w="1180" w:type="dxa"/>
            <w:vAlign w:val="bottom"/>
            <w:tcBorders>
              <w:right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Crediting Type</w:t>
            </w:r>
          </w:p>
        </w:tc>
        <w:tc>
          <w:tcPr>
            <w:tcW w:w="0" w:type="dxa"/>
            <w:vAlign w:val="bottom"/>
          </w:tcPr>
          <w:p>
            <w:pPr>
              <w:spacing w:after="0"/>
              <w:rPr>
                <w:sz w:val="1"/>
                <w:szCs w:val="1"/>
                <w:color w:val="auto"/>
              </w:rPr>
            </w:pPr>
          </w:p>
        </w:tc>
      </w:tr>
      <w:tr>
        <w:trPr>
          <w:trHeight w:val="159"/>
        </w:trPr>
        <w:tc>
          <w:tcPr>
            <w:tcW w:w="2320" w:type="dxa"/>
            <w:vAlign w:val="bottom"/>
            <w:tcBorders>
              <w:left w:val="single" w:sz="8" w:color="auto"/>
              <w:right w:val="single" w:sz="8" w:color="auto"/>
            </w:tcBorders>
            <w:vMerge w:val="restart"/>
          </w:tcPr>
          <w:p>
            <w:pPr>
              <w:ind w:left="940"/>
              <w:spacing w:after="0"/>
              <w:rPr>
                <w:sz w:val="20"/>
                <w:szCs w:val="20"/>
                <w:color w:val="auto"/>
              </w:rPr>
            </w:pPr>
            <w:r>
              <w:rPr>
                <w:rFonts w:ascii="Arial" w:cs="Arial" w:eastAsia="Arial" w:hAnsi="Arial"/>
                <w:sz w:val="13"/>
                <w:szCs w:val="13"/>
                <w:b w:val="1"/>
                <w:bCs w:val="1"/>
                <w:color w:val="auto"/>
              </w:rPr>
              <w:t>Index</w:t>
            </w:r>
            <w:r>
              <w:rPr>
                <w:rFonts w:ascii="Arial" w:cs="Arial" w:eastAsia="Arial" w:hAnsi="Arial"/>
                <w:sz w:val="17"/>
                <w:szCs w:val="17"/>
                <w:b w:val="1"/>
                <w:bCs w:val="1"/>
                <w:color w:val="auto"/>
                <w:vertAlign w:val="superscript"/>
              </w:rPr>
              <w:t>1</w:t>
            </w:r>
          </w:p>
        </w:tc>
        <w:tc>
          <w:tcPr>
            <w:tcW w:w="1020" w:type="dxa"/>
            <w:vAlign w:val="bottom"/>
            <w:tcBorders>
              <w:right w:val="single" w:sz="8" w:color="auto"/>
            </w:tcBorders>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until end of</w:t>
            </w:r>
          </w:p>
        </w:tc>
        <w:tc>
          <w:tcPr>
            <w:tcW w:w="1180" w:type="dxa"/>
            <w:vAlign w:val="bottom"/>
            <w:tcBorders>
              <w:right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(for life of Shield</w:t>
            </w:r>
          </w:p>
        </w:tc>
        <w:tc>
          <w:tcPr>
            <w:tcW w:w="0" w:type="dxa"/>
            <w:vAlign w:val="bottom"/>
          </w:tcPr>
          <w:p>
            <w:pPr>
              <w:spacing w:after="0"/>
              <w:rPr>
                <w:sz w:val="1"/>
                <w:szCs w:val="1"/>
                <w:color w:val="auto"/>
              </w:rPr>
            </w:pPr>
          </w:p>
        </w:tc>
      </w:tr>
      <w:tr>
        <w:trPr>
          <w:trHeight w:val="191"/>
        </w:trPr>
        <w:tc>
          <w:tcPr>
            <w:tcW w:w="232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Type of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Term</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Term)</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Option)</w:t>
            </w:r>
          </w:p>
        </w:tc>
        <w:tc>
          <w:tcPr>
            <w:tcW w:w="0" w:type="dxa"/>
            <w:vAlign w:val="bottom"/>
          </w:tcPr>
          <w:p>
            <w:pPr>
              <w:spacing w:after="0"/>
              <w:rPr>
                <w:sz w:val="1"/>
                <w:szCs w:val="1"/>
                <w:color w:val="auto"/>
              </w:rPr>
            </w:pPr>
          </w:p>
        </w:tc>
      </w:tr>
      <w:tr>
        <w:trPr>
          <w:trHeight w:val="198"/>
        </w:trPr>
        <w:tc>
          <w:tcPr>
            <w:tcW w:w="232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Russell 2000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6</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25%</w:t>
            </w:r>
          </w:p>
        </w:tc>
        <w:tc>
          <w:tcPr>
            <w:tcW w:w="320" w:type="dxa"/>
            <w:vAlign w:val="bottom"/>
            <w:tcBorders>
              <w:bottom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w w:val="92"/>
              </w:rPr>
              <w:t>21%</w:t>
            </w:r>
          </w:p>
        </w:tc>
        <w:tc>
          <w:tcPr>
            <w:tcW w:w="860" w:type="dxa"/>
            <w:vAlign w:val="bottom"/>
            <w:tcBorders>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Cap Rate</w:t>
            </w:r>
          </w:p>
        </w:tc>
        <w:tc>
          <w:tcPr>
            <w:tcW w:w="0" w:type="dxa"/>
            <w:vAlign w:val="bottom"/>
          </w:tcPr>
          <w:p>
            <w:pPr>
              <w:spacing w:after="0"/>
              <w:rPr>
                <w:sz w:val="1"/>
                <w:szCs w:val="1"/>
                <w:color w:val="auto"/>
              </w:rPr>
            </w:pPr>
          </w:p>
        </w:tc>
      </w:tr>
      <w:tr>
        <w:trPr>
          <w:trHeight w:val="198"/>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Russell 2000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6</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15%</w:t>
            </w: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w w:val="92"/>
              </w:rPr>
              <w:t>27%</w:t>
            </w:r>
          </w:p>
        </w:tc>
        <w:tc>
          <w:tcPr>
            <w:tcW w:w="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Cap Rate</w:t>
            </w:r>
          </w:p>
        </w:tc>
        <w:tc>
          <w:tcPr>
            <w:tcW w:w="0" w:type="dxa"/>
            <w:vAlign w:val="bottom"/>
          </w:tcPr>
          <w:p>
            <w:pPr>
              <w:spacing w:after="0"/>
              <w:rPr>
                <w:sz w:val="1"/>
                <w:szCs w:val="1"/>
                <w:color w:val="auto"/>
              </w:rPr>
            </w:pPr>
          </w:p>
        </w:tc>
      </w:tr>
      <w:tr>
        <w:trPr>
          <w:trHeight w:val="198"/>
        </w:trPr>
        <w:tc>
          <w:tcPr>
            <w:tcW w:w="232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Russell 2000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6</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10%</w:t>
            </w:r>
          </w:p>
        </w:tc>
        <w:tc>
          <w:tcPr>
            <w:tcW w:w="320" w:type="dxa"/>
            <w:vAlign w:val="bottom"/>
            <w:tcBorders>
              <w:bottom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w w:val="92"/>
              </w:rPr>
              <w:t>30%</w:t>
            </w:r>
          </w:p>
        </w:tc>
        <w:tc>
          <w:tcPr>
            <w:tcW w:w="860" w:type="dxa"/>
            <w:vAlign w:val="bottom"/>
            <w:tcBorders>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Cap Rate</w:t>
            </w:r>
          </w:p>
        </w:tc>
        <w:tc>
          <w:tcPr>
            <w:tcW w:w="0" w:type="dxa"/>
            <w:vAlign w:val="bottom"/>
          </w:tcPr>
          <w:p>
            <w:pPr>
              <w:spacing w:after="0"/>
              <w:rPr>
                <w:sz w:val="1"/>
                <w:szCs w:val="1"/>
                <w:color w:val="auto"/>
              </w:rPr>
            </w:pPr>
          </w:p>
        </w:tc>
      </w:tr>
      <w:tr>
        <w:trPr>
          <w:trHeight w:val="180"/>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MSCI EAFE Index</w:t>
            </w:r>
          </w:p>
        </w:tc>
        <w:tc>
          <w:tcPr>
            <w:tcW w:w="10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25%</w:t>
            </w:r>
          </w:p>
        </w:tc>
        <w:tc>
          <w:tcPr>
            <w:tcW w:w="11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3"/>
                <w:szCs w:val="13"/>
                <w:color w:val="auto"/>
              </w:rPr>
              <w:t>3.5% Cap Rate</w:t>
            </w:r>
          </w:p>
        </w:tc>
        <w:tc>
          <w:tcPr>
            <w:tcW w:w="0" w:type="dxa"/>
            <w:vAlign w:val="bottom"/>
          </w:tcPr>
          <w:p>
            <w:pPr>
              <w:spacing w:after="0"/>
              <w:rPr>
                <w:sz w:val="1"/>
                <w:szCs w:val="1"/>
                <w:color w:val="auto"/>
              </w:rPr>
            </w:pPr>
          </w:p>
        </w:tc>
      </w:tr>
      <w:tr>
        <w:trPr>
          <w:trHeight w:val="188"/>
        </w:trPr>
        <w:tc>
          <w:tcPr>
            <w:tcW w:w="232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MSCI EAFE Index</w:t>
            </w:r>
          </w:p>
        </w:tc>
        <w:tc>
          <w:tcPr>
            <w:tcW w:w="102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15%</w:t>
            </w:r>
          </w:p>
        </w:tc>
        <w:tc>
          <w:tcPr>
            <w:tcW w:w="1180" w:type="dxa"/>
            <w:vAlign w:val="bottom"/>
            <w:tcBorders>
              <w:bottom w:val="single" w:sz="8" w:color="auto"/>
              <w:right w:val="single" w:sz="8" w:color="auto"/>
            </w:tcBorders>
            <w:gridSpan w:val="2"/>
            <w:shd w:val="clear" w:color="auto" w:fill="F0FFFF"/>
          </w:tcPr>
          <w:p>
            <w:pPr>
              <w:ind w:left="60"/>
              <w:spacing w:after="0"/>
              <w:rPr>
                <w:sz w:val="20"/>
                <w:szCs w:val="20"/>
                <w:color w:val="auto"/>
              </w:rPr>
            </w:pPr>
            <w:r>
              <w:rPr>
                <w:rFonts w:ascii="Arial" w:cs="Arial" w:eastAsia="Arial" w:hAnsi="Arial"/>
                <w:sz w:val="13"/>
                <w:szCs w:val="13"/>
                <w:color w:val="auto"/>
              </w:rPr>
              <w:t>4.5% Cap Rate</w:t>
            </w:r>
          </w:p>
        </w:tc>
        <w:tc>
          <w:tcPr>
            <w:tcW w:w="0" w:type="dxa"/>
            <w:vAlign w:val="bottom"/>
          </w:tcPr>
          <w:p>
            <w:pPr>
              <w:spacing w:after="0"/>
              <w:rPr>
                <w:sz w:val="1"/>
                <w:szCs w:val="1"/>
                <w:color w:val="auto"/>
              </w:rPr>
            </w:pPr>
          </w:p>
        </w:tc>
      </w:tr>
      <w:tr>
        <w:trPr>
          <w:trHeight w:val="188"/>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MSCI EAFE Index</w:t>
            </w:r>
          </w:p>
        </w:tc>
        <w:tc>
          <w:tcPr>
            <w:tcW w:w="10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10%</w:t>
            </w:r>
          </w:p>
        </w:tc>
        <w:tc>
          <w:tcPr>
            <w:tcW w:w="11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3"/>
                <w:szCs w:val="13"/>
                <w:color w:val="auto"/>
              </w:rPr>
              <w:t>5% Cap Rate</w:t>
            </w:r>
          </w:p>
        </w:tc>
        <w:tc>
          <w:tcPr>
            <w:tcW w:w="0" w:type="dxa"/>
            <w:vAlign w:val="bottom"/>
          </w:tcPr>
          <w:p>
            <w:pPr>
              <w:spacing w:after="0"/>
              <w:rPr>
                <w:sz w:val="1"/>
                <w:szCs w:val="1"/>
                <w:color w:val="auto"/>
              </w:rPr>
            </w:pPr>
          </w:p>
        </w:tc>
      </w:tr>
      <w:tr>
        <w:trPr>
          <w:trHeight w:val="188"/>
        </w:trPr>
        <w:tc>
          <w:tcPr>
            <w:tcW w:w="232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MSCI EAFE Index</w:t>
            </w:r>
          </w:p>
        </w:tc>
        <w:tc>
          <w:tcPr>
            <w:tcW w:w="102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15%</w:t>
            </w:r>
          </w:p>
        </w:tc>
        <w:tc>
          <w:tcPr>
            <w:tcW w:w="1180" w:type="dxa"/>
            <w:vAlign w:val="bottom"/>
            <w:tcBorders>
              <w:bottom w:val="single" w:sz="8" w:color="auto"/>
              <w:right w:val="single" w:sz="8" w:color="auto"/>
            </w:tcBorders>
            <w:gridSpan w:val="2"/>
            <w:shd w:val="clear" w:color="auto" w:fill="F0FFFF"/>
          </w:tcPr>
          <w:p>
            <w:pPr>
              <w:ind w:left="60"/>
              <w:spacing w:after="0"/>
              <w:rPr>
                <w:sz w:val="20"/>
                <w:szCs w:val="20"/>
                <w:color w:val="auto"/>
              </w:rPr>
            </w:pPr>
            <w:r>
              <w:rPr>
                <w:rFonts w:ascii="Arial" w:cs="Arial" w:eastAsia="Arial" w:hAnsi="Arial"/>
                <w:sz w:val="13"/>
                <w:szCs w:val="13"/>
                <w:color w:val="auto"/>
              </w:rPr>
              <w:t>4.5% Step Rate</w:t>
            </w:r>
          </w:p>
        </w:tc>
        <w:tc>
          <w:tcPr>
            <w:tcW w:w="0" w:type="dxa"/>
            <w:vAlign w:val="bottom"/>
          </w:tcPr>
          <w:p>
            <w:pPr>
              <w:spacing w:after="0"/>
              <w:rPr>
                <w:sz w:val="1"/>
                <w:szCs w:val="1"/>
                <w:color w:val="auto"/>
              </w:rPr>
            </w:pPr>
          </w:p>
        </w:tc>
      </w:tr>
      <w:tr>
        <w:trPr>
          <w:trHeight w:val="188"/>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MSCI EAFE Index</w:t>
            </w:r>
          </w:p>
        </w:tc>
        <w:tc>
          <w:tcPr>
            <w:tcW w:w="10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15%</w:t>
            </w:r>
          </w:p>
        </w:tc>
        <w:tc>
          <w:tcPr>
            <w:tcW w:w="11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3"/>
                <w:szCs w:val="13"/>
                <w:color w:val="auto"/>
              </w:rPr>
              <w:t>4.5% Edge Rate</w:t>
            </w:r>
          </w:p>
        </w:tc>
        <w:tc>
          <w:tcPr>
            <w:tcW w:w="0" w:type="dxa"/>
            <w:vAlign w:val="bottom"/>
          </w:tcPr>
          <w:p>
            <w:pPr>
              <w:spacing w:after="0"/>
              <w:rPr>
                <w:sz w:val="1"/>
                <w:szCs w:val="1"/>
                <w:color w:val="auto"/>
              </w:rPr>
            </w:pPr>
          </w:p>
        </w:tc>
      </w:tr>
      <w:tr>
        <w:trPr>
          <w:trHeight w:val="188"/>
        </w:trPr>
        <w:tc>
          <w:tcPr>
            <w:tcW w:w="232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MSCI EAFE Index</w:t>
            </w:r>
          </w:p>
        </w:tc>
        <w:tc>
          <w:tcPr>
            <w:tcW w:w="102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10%</w:t>
            </w:r>
          </w:p>
        </w:tc>
        <w:tc>
          <w:tcPr>
            <w:tcW w:w="1180" w:type="dxa"/>
            <w:vAlign w:val="bottom"/>
            <w:tcBorders>
              <w:bottom w:val="single" w:sz="8" w:color="auto"/>
              <w:right w:val="single" w:sz="8" w:color="auto"/>
            </w:tcBorders>
            <w:gridSpan w:val="2"/>
            <w:shd w:val="clear" w:color="auto" w:fill="F0FFFF"/>
          </w:tcPr>
          <w:p>
            <w:pPr>
              <w:ind w:left="60"/>
              <w:spacing w:after="0"/>
              <w:rPr>
                <w:sz w:val="20"/>
                <w:szCs w:val="20"/>
                <w:color w:val="auto"/>
              </w:rPr>
            </w:pPr>
            <w:r>
              <w:rPr>
                <w:rFonts w:ascii="Arial" w:cs="Arial" w:eastAsia="Arial" w:hAnsi="Arial"/>
                <w:sz w:val="13"/>
                <w:szCs w:val="13"/>
                <w:color w:val="auto"/>
              </w:rPr>
              <w:t>5% Step Rate</w:t>
            </w:r>
          </w:p>
        </w:tc>
        <w:tc>
          <w:tcPr>
            <w:tcW w:w="0" w:type="dxa"/>
            <w:vAlign w:val="bottom"/>
          </w:tcPr>
          <w:p>
            <w:pPr>
              <w:spacing w:after="0"/>
              <w:rPr>
                <w:sz w:val="1"/>
                <w:szCs w:val="1"/>
                <w:color w:val="auto"/>
              </w:rPr>
            </w:pPr>
          </w:p>
        </w:tc>
      </w:tr>
      <w:tr>
        <w:trPr>
          <w:trHeight w:val="188"/>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MSCI EAFE Index</w:t>
            </w:r>
          </w:p>
        </w:tc>
        <w:tc>
          <w:tcPr>
            <w:tcW w:w="10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10%</w:t>
            </w:r>
          </w:p>
        </w:tc>
        <w:tc>
          <w:tcPr>
            <w:tcW w:w="11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3"/>
                <w:szCs w:val="13"/>
                <w:color w:val="auto"/>
              </w:rPr>
              <w:t>5% Edge Rate</w:t>
            </w:r>
          </w:p>
        </w:tc>
        <w:tc>
          <w:tcPr>
            <w:tcW w:w="0" w:type="dxa"/>
            <w:vAlign w:val="bottom"/>
          </w:tcPr>
          <w:p>
            <w:pPr>
              <w:spacing w:after="0"/>
              <w:rPr>
                <w:sz w:val="1"/>
                <w:szCs w:val="1"/>
                <w:color w:val="auto"/>
              </w:rPr>
            </w:pPr>
          </w:p>
        </w:tc>
      </w:tr>
      <w:tr>
        <w:trPr>
          <w:trHeight w:val="188"/>
        </w:trPr>
        <w:tc>
          <w:tcPr>
            <w:tcW w:w="232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MSCI EAFE Index</w:t>
            </w:r>
          </w:p>
        </w:tc>
        <w:tc>
          <w:tcPr>
            <w:tcW w:w="102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2</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15%</w:t>
            </w:r>
          </w:p>
        </w:tc>
        <w:tc>
          <w:tcPr>
            <w:tcW w:w="1180" w:type="dxa"/>
            <w:vAlign w:val="bottom"/>
            <w:tcBorders>
              <w:bottom w:val="single" w:sz="8" w:color="auto"/>
              <w:right w:val="single" w:sz="8" w:color="auto"/>
            </w:tcBorders>
            <w:gridSpan w:val="2"/>
            <w:shd w:val="clear" w:color="auto" w:fill="F0FFFF"/>
          </w:tcPr>
          <w:p>
            <w:pPr>
              <w:ind w:left="60"/>
              <w:spacing w:after="0"/>
              <w:rPr>
                <w:sz w:val="20"/>
                <w:szCs w:val="20"/>
                <w:color w:val="auto"/>
              </w:rPr>
            </w:pPr>
            <w:r>
              <w:rPr>
                <w:rFonts w:ascii="Arial" w:cs="Arial" w:eastAsia="Arial" w:hAnsi="Arial"/>
                <w:sz w:val="13"/>
                <w:szCs w:val="13"/>
                <w:color w:val="auto"/>
              </w:rPr>
              <w:t>9% Step Rate</w:t>
            </w:r>
          </w:p>
        </w:tc>
        <w:tc>
          <w:tcPr>
            <w:tcW w:w="0" w:type="dxa"/>
            <w:vAlign w:val="bottom"/>
          </w:tcPr>
          <w:p>
            <w:pPr>
              <w:spacing w:after="0"/>
              <w:rPr>
                <w:sz w:val="1"/>
                <w:szCs w:val="1"/>
                <w:color w:val="auto"/>
              </w:rPr>
            </w:pPr>
          </w:p>
        </w:tc>
      </w:tr>
      <w:tr>
        <w:trPr>
          <w:trHeight w:val="188"/>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MSCI EAFE Index</w:t>
            </w:r>
          </w:p>
        </w:tc>
        <w:tc>
          <w:tcPr>
            <w:tcW w:w="10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2</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15%</w:t>
            </w:r>
          </w:p>
        </w:tc>
        <w:tc>
          <w:tcPr>
            <w:tcW w:w="11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3"/>
                <w:szCs w:val="13"/>
                <w:color w:val="auto"/>
              </w:rPr>
              <w:t>9% Edge Rate</w:t>
            </w:r>
          </w:p>
        </w:tc>
        <w:tc>
          <w:tcPr>
            <w:tcW w:w="0" w:type="dxa"/>
            <w:vAlign w:val="bottom"/>
          </w:tcPr>
          <w:p>
            <w:pPr>
              <w:spacing w:after="0"/>
              <w:rPr>
                <w:sz w:val="1"/>
                <w:szCs w:val="1"/>
                <w:color w:val="auto"/>
              </w:rPr>
            </w:pPr>
          </w:p>
        </w:tc>
      </w:tr>
      <w:tr>
        <w:trPr>
          <w:trHeight w:val="188"/>
        </w:trPr>
        <w:tc>
          <w:tcPr>
            <w:tcW w:w="232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MSCI EAFE Index</w:t>
            </w:r>
          </w:p>
        </w:tc>
        <w:tc>
          <w:tcPr>
            <w:tcW w:w="102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2</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10%</w:t>
            </w:r>
          </w:p>
        </w:tc>
        <w:tc>
          <w:tcPr>
            <w:tcW w:w="1180" w:type="dxa"/>
            <w:vAlign w:val="bottom"/>
            <w:tcBorders>
              <w:bottom w:val="single" w:sz="8" w:color="auto"/>
              <w:right w:val="single" w:sz="8" w:color="auto"/>
            </w:tcBorders>
            <w:gridSpan w:val="2"/>
            <w:shd w:val="clear" w:color="auto" w:fill="F0FFFF"/>
          </w:tcPr>
          <w:p>
            <w:pPr>
              <w:ind w:left="60"/>
              <w:spacing w:after="0"/>
              <w:rPr>
                <w:sz w:val="20"/>
                <w:szCs w:val="20"/>
                <w:color w:val="auto"/>
              </w:rPr>
            </w:pPr>
            <w:r>
              <w:rPr>
                <w:rFonts w:ascii="Arial" w:cs="Arial" w:eastAsia="Arial" w:hAnsi="Arial"/>
                <w:sz w:val="13"/>
                <w:szCs w:val="13"/>
                <w:color w:val="auto"/>
              </w:rPr>
              <w:t>10% Step Rate</w:t>
            </w:r>
          </w:p>
        </w:tc>
        <w:tc>
          <w:tcPr>
            <w:tcW w:w="0" w:type="dxa"/>
            <w:vAlign w:val="bottom"/>
          </w:tcPr>
          <w:p>
            <w:pPr>
              <w:spacing w:after="0"/>
              <w:rPr>
                <w:sz w:val="1"/>
                <w:szCs w:val="1"/>
                <w:color w:val="auto"/>
              </w:rPr>
            </w:pPr>
          </w:p>
        </w:tc>
      </w:tr>
      <w:tr>
        <w:trPr>
          <w:trHeight w:val="188"/>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MSCI EAFE Index</w:t>
            </w:r>
          </w:p>
        </w:tc>
        <w:tc>
          <w:tcPr>
            <w:tcW w:w="10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2</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10%</w:t>
            </w:r>
          </w:p>
        </w:tc>
        <w:tc>
          <w:tcPr>
            <w:tcW w:w="11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3"/>
                <w:szCs w:val="13"/>
                <w:color w:val="auto"/>
              </w:rPr>
              <w:t>10% Edge Rate</w:t>
            </w:r>
          </w:p>
        </w:tc>
        <w:tc>
          <w:tcPr>
            <w:tcW w:w="0" w:type="dxa"/>
            <w:vAlign w:val="bottom"/>
          </w:tcPr>
          <w:p>
            <w:pPr>
              <w:spacing w:after="0"/>
              <w:rPr>
                <w:sz w:val="1"/>
                <w:szCs w:val="1"/>
                <w:color w:val="auto"/>
              </w:rPr>
            </w:pPr>
          </w:p>
        </w:tc>
      </w:tr>
      <w:tr>
        <w:trPr>
          <w:trHeight w:val="188"/>
        </w:trPr>
        <w:tc>
          <w:tcPr>
            <w:tcW w:w="232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MSCI EAFE Index</w:t>
            </w:r>
          </w:p>
        </w:tc>
        <w:tc>
          <w:tcPr>
            <w:tcW w:w="102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3</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15%</w:t>
            </w:r>
          </w:p>
        </w:tc>
        <w:tc>
          <w:tcPr>
            <w:tcW w:w="1180" w:type="dxa"/>
            <w:vAlign w:val="bottom"/>
            <w:tcBorders>
              <w:bottom w:val="single" w:sz="8" w:color="auto"/>
              <w:right w:val="single" w:sz="8" w:color="auto"/>
            </w:tcBorders>
            <w:gridSpan w:val="2"/>
            <w:shd w:val="clear" w:color="auto" w:fill="F0FFFF"/>
          </w:tcPr>
          <w:p>
            <w:pPr>
              <w:ind w:left="60"/>
              <w:spacing w:after="0"/>
              <w:rPr>
                <w:sz w:val="20"/>
                <w:szCs w:val="20"/>
                <w:color w:val="auto"/>
              </w:rPr>
            </w:pPr>
            <w:r>
              <w:rPr>
                <w:rFonts w:ascii="Arial" w:cs="Arial" w:eastAsia="Arial" w:hAnsi="Arial"/>
                <w:sz w:val="13"/>
                <w:szCs w:val="13"/>
                <w:color w:val="auto"/>
              </w:rPr>
              <w:t>13.5% Cap Rate</w:t>
            </w:r>
          </w:p>
        </w:tc>
        <w:tc>
          <w:tcPr>
            <w:tcW w:w="0" w:type="dxa"/>
            <w:vAlign w:val="bottom"/>
          </w:tcPr>
          <w:p>
            <w:pPr>
              <w:spacing w:after="0"/>
              <w:rPr>
                <w:sz w:val="1"/>
                <w:szCs w:val="1"/>
                <w:color w:val="auto"/>
              </w:rPr>
            </w:pPr>
          </w:p>
        </w:tc>
      </w:tr>
      <w:tr>
        <w:trPr>
          <w:trHeight w:val="188"/>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MSCI EAFE Index</w:t>
            </w:r>
          </w:p>
        </w:tc>
        <w:tc>
          <w:tcPr>
            <w:tcW w:w="10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3</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10%</w:t>
            </w:r>
          </w:p>
        </w:tc>
        <w:tc>
          <w:tcPr>
            <w:tcW w:w="11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3"/>
                <w:szCs w:val="13"/>
                <w:color w:val="auto"/>
              </w:rPr>
              <w:t>15% Cap Rate</w:t>
            </w:r>
          </w:p>
        </w:tc>
        <w:tc>
          <w:tcPr>
            <w:tcW w:w="0" w:type="dxa"/>
            <w:vAlign w:val="bottom"/>
          </w:tcPr>
          <w:p>
            <w:pPr>
              <w:spacing w:after="0"/>
              <w:rPr>
                <w:sz w:val="1"/>
                <w:szCs w:val="1"/>
                <w:color w:val="auto"/>
              </w:rPr>
            </w:pPr>
          </w:p>
        </w:tc>
      </w:tr>
      <w:tr>
        <w:trPr>
          <w:trHeight w:val="188"/>
        </w:trPr>
        <w:tc>
          <w:tcPr>
            <w:tcW w:w="232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MSCI EAFE Index</w:t>
            </w:r>
          </w:p>
        </w:tc>
        <w:tc>
          <w:tcPr>
            <w:tcW w:w="102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6</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25%</w:t>
            </w:r>
          </w:p>
        </w:tc>
        <w:tc>
          <w:tcPr>
            <w:tcW w:w="1180" w:type="dxa"/>
            <w:vAlign w:val="bottom"/>
            <w:tcBorders>
              <w:bottom w:val="single" w:sz="8" w:color="auto"/>
              <w:right w:val="single" w:sz="8" w:color="auto"/>
            </w:tcBorders>
            <w:gridSpan w:val="2"/>
            <w:shd w:val="clear" w:color="auto" w:fill="F0FFFF"/>
          </w:tcPr>
          <w:p>
            <w:pPr>
              <w:ind w:left="60"/>
              <w:spacing w:after="0"/>
              <w:rPr>
                <w:sz w:val="20"/>
                <w:szCs w:val="20"/>
                <w:color w:val="auto"/>
              </w:rPr>
            </w:pPr>
            <w:r>
              <w:rPr>
                <w:rFonts w:ascii="Arial" w:cs="Arial" w:eastAsia="Arial" w:hAnsi="Arial"/>
                <w:sz w:val="13"/>
                <w:szCs w:val="13"/>
                <w:color w:val="auto"/>
              </w:rPr>
              <w:t>21% Cap Rate</w:t>
            </w:r>
          </w:p>
        </w:tc>
        <w:tc>
          <w:tcPr>
            <w:tcW w:w="0" w:type="dxa"/>
            <w:vAlign w:val="bottom"/>
          </w:tcPr>
          <w:p>
            <w:pPr>
              <w:spacing w:after="0"/>
              <w:rPr>
                <w:sz w:val="1"/>
                <w:szCs w:val="1"/>
                <w:color w:val="auto"/>
              </w:rPr>
            </w:pPr>
          </w:p>
        </w:tc>
      </w:tr>
      <w:tr>
        <w:trPr>
          <w:trHeight w:val="188"/>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MSCI EAFE Index</w:t>
            </w:r>
          </w:p>
        </w:tc>
        <w:tc>
          <w:tcPr>
            <w:tcW w:w="10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6</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15%</w:t>
            </w:r>
          </w:p>
        </w:tc>
        <w:tc>
          <w:tcPr>
            <w:tcW w:w="11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3"/>
                <w:szCs w:val="13"/>
                <w:color w:val="auto"/>
              </w:rPr>
              <w:t>27% Cap Rate</w:t>
            </w:r>
          </w:p>
        </w:tc>
        <w:tc>
          <w:tcPr>
            <w:tcW w:w="0" w:type="dxa"/>
            <w:vAlign w:val="bottom"/>
          </w:tcPr>
          <w:p>
            <w:pPr>
              <w:spacing w:after="0"/>
              <w:rPr>
                <w:sz w:val="1"/>
                <w:szCs w:val="1"/>
                <w:color w:val="auto"/>
              </w:rPr>
            </w:pPr>
          </w:p>
        </w:tc>
      </w:tr>
      <w:tr>
        <w:trPr>
          <w:trHeight w:val="188"/>
        </w:trPr>
        <w:tc>
          <w:tcPr>
            <w:tcW w:w="232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MSCI EAFE Index</w:t>
            </w:r>
          </w:p>
        </w:tc>
        <w:tc>
          <w:tcPr>
            <w:tcW w:w="102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6</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10%</w:t>
            </w:r>
          </w:p>
        </w:tc>
        <w:tc>
          <w:tcPr>
            <w:tcW w:w="1180" w:type="dxa"/>
            <w:vAlign w:val="bottom"/>
            <w:tcBorders>
              <w:bottom w:val="single" w:sz="8" w:color="auto"/>
              <w:right w:val="single" w:sz="8" w:color="auto"/>
            </w:tcBorders>
            <w:gridSpan w:val="2"/>
            <w:shd w:val="clear" w:color="auto" w:fill="F0FFFF"/>
          </w:tcPr>
          <w:p>
            <w:pPr>
              <w:ind w:left="60"/>
              <w:spacing w:after="0"/>
              <w:rPr>
                <w:sz w:val="20"/>
                <w:szCs w:val="20"/>
                <w:color w:val="auto"/>
              </w:rPr>
            </w:pPr>
            <w:r>
              <w:rPr>
                <w:rFonts w:ascii="Arial" w:cs="Arial" w:eastAsia="Arial" w:hAnsi="Arial"/>
                <w:sz w:val="13"/>
                <w:szCs w:val="13"/>
                <w:color w:val="auto"/>
              </w:rPr>
              <w:t>30% Cap Rate</w:t>
            </w:r>
          </w:p>
        </w:tc>
        <w:tc>
          <w:tcPr>
            <w:tcW w:w="0" w:type="dxa"/>
            <w:vAlign w:val="bottom"/>
          </w:tcPr>
          <w:p>
            <w:pPr>
              <w:spacing w:after="0"/>
              <w:rPr>
                <w:sz w:val="1"/>
                <w:szCs w:val="1"/>
                <w:color w:val="auto"/>
              </w:rPr>
            </w:pPr>
          </w:p>
        </w:tc>
      </w:tr>
      <w:tr>
        <w:trPr>
          <w:trHeight w:val="207"/>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Nasdaq-100 Index</w:t>
            </w:r>
            <w:r>
              <w:rPr>
                <w:rFonts w:ascii="Arial" w:cs="Arial" w:eastAsia="Arial" w:hAnsi="Arial"/>
                <w:sz w:val="17"/>
                <w:szCs w:val="17"/>
                <w:color w:val="auto"/>
                <w:vertAlign w:val="superscript"/>
              </w:rPr>
              <w:t>®</w:t>
            </w:r>
          </w:p>
        </w:tc>
        <w:tc>
          <w:tcPr>
            <w:tcW w:w="10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25%</w:t>
            </w:r>
          </w:p>
        </w:tc>
        <w:tc>
          <w:tcPr>
            <w:tcW w:w="11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3"/>
                <w:szCs w:val="13"/>
                <w:color w:val="auto"/>
              </w:rPr>
              <w:t>3.5% Cap Rate</w:t>
            </w:r>
          </w:p>
        </w:tc>
        <w:tc>
          <w:tcPr>
            <w:tcW w:w="0" w:type="dxa"/>
            <w:vAlign w:val="bottom"/>
          </w:tcPr>
          <w:p>
            <w:pPr>
              <w:spacing w:after="0"/>
              <w:rPr>
                <w:sz w:val="1"/>
                <w:szCs w:val="1"/>
                <w:color w:val="auto"/>
              </w:rPr>
            </w:pPr>
          </w:p>
        </w:tc>
      </w:tr>
      <w:tr>
        <w:trPr>
          <w:trHeight w:val="198"/>
        </w:trPr>
        <w:tc>
          <w:tcPr>
            <w:tcW w:w="232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Nasdaq-100 Index</w:t>
            </w:r>
            <w:r>
              <w:rPr>
                <w:rFonts w:ascii="Arial" w:cs="Arial" w:eastAsia="Arial" w:hAnsi="Arial"/>
                <w:sz w:val="17"/>
                <w:szCs w:val="17"/>
                <w:color w:val="auto"/>
                <w:vertAlign w:val="superscript"/>
              </w:rPr>
              <w:t>®</w:t>
            </w:r>
          </w:p>
        </w:tc>
        <w:tc>
          <w:tcPr>
            <w:tcW w:w="102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15%</w:t>
            </w:r>
          </w:p>
        </w:tc>
        <w:tc>
          <w:tcPr>
            <w:tcW w:w="1180" w:type="dxa"/>
            <w:vAlign w:val="bottom"/>
            <w:tcBorders>
              <w:bottom w:val="single" w:sz="8" w:color="auto"/>
              <w:right w:val="single" w:sz="8" w:color="auto"/>
            </w:tcBorders>
            <w:gridSpan w:val="2"/>
            <w:shd w:val="clear" w:color="auto" w:fill="F0FFFF"/>
          </w:tcPr>
          <w:p>
            <w:pPr>
              <w:ind w:left="60"/>
              <w:spacing w:after="0"/>
              <w:rPr>
                <w:sz w:val="20"/>
                <w:szCs w:val="20"/>
                <w:color w:val="auto"/>
              </w:rPr>
            </w:pPr>
            <w:r>
              <w:rPr>
                <w:rFonts w:ascii="Arial" w:cs="Arial" w:eastAsia="Arial" w:hAnsi="Arial"/>
                <w:sz w:val="13"/>
                <w:szCs w:val="13"/>
                <w:color w:val="auto"/>
              </w:rPr>
              <w:t>4.5% Cap Rate</w:t>
            </w:r>
          </w:p>
        </w:tc>
        <w:tc>
          <w:tcPr>
            <w:tcW w:w="0" w:type="dxa"/>
            <w:vAlign w:val="bottom"/>
          </w:tcPr>
          <w:p>
            <w:pPr>
              <w:spacing w:after="0"/>
              <w:rPr>
                <w:sz w:val="1"/>
                <w:szCs w:val="1"/>
                <w:color w:val="auto"/>
              </w:rPr>
            </w:pPr>
          </w:p>
        </w:tc>
      </w:tr>
      <w:tr>
        <w:trPr>
          <w:trHeight w:val="198"/>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Nasdaq-100 Index</w:t>
            </w:r>
            <w:r>
              <w:rPr>
                <w:rFonts w:ascii="Arial" w:cs="Arial" w:eastAsia="Arial" w:hAnsi="Arial"/>
                <w:sz w:val="17"/>
                <w:szCs w:val="17"/>
                <w:color w:val="auto"/>
                <w:vertAlign w:val="superscript"/>
              </w:rPr>
              <w:t>®</w:t>
            </w:r>
          </w:p>
        </w:tc>
        <w:tc>
          <w:tcPr>
            <w:tcW w:w="10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10%</w:t>
            </w:r>
          </w:p>
        </w:tc>
        <w:tc>
          <w:tcPr>
            <w:tcW w:w="11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3"/>
                <w:szCs w:val="13"/>
                <w:color w:val="auto"/>
              </w:rPr>
              <w:t>5% Cap Rate</w:t>
            </w:r>
          </w:p>
        </w:tc>
        <w:tc>
          <w:tcPr>
            <w:tcW w:w="0" w:type="dxa"/>
            <w:vAlign w:val="bottom"/>
          </w:tcPr>
          <w:p>
            <w:pPr>
              <w:spacing w:after="0"/>
              <w:rPr>
                <w:sz w:val="1"/>
                <w:szCs w:val="1"/>
                <w:color w:val="auto"/>
              </w:rPr>
            </w:pPr>
          </w:p>
        </w:tc>
      </w:tr>
      <w:tr>
        <w:trPr>
          <w:trHeight w:val="198"/>
        </w:trPr>
        <w:tc>
          <w:tcPr>
            <w:tcW w:w="232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Nasdaq-100 Index</w:t>
            </w:r>
            <w:r>
              <w:rPr>
                <w:rFonts w:ascii="Arial" w:cs="Arial" w:eastAsia="Arial" w:hAnsi="Arial"/>
                <w:sz w:val="17"/>
                <w:szCs w:val="17"/>
                <w:color w:val="auto"/>
                <w:vertAlign w:val="superscript"/>
              </w:rPr>
              <w:t>®</w:t>
            </w:r>
          </w:p>
        </w:tc>
        <w:tc>
          <w:tcPr>
            <w:tcW w:w="102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15%</w:t>
            </w:r>
          </w:p>
        </w:tc>
        <w:tc>
          <w:tcPr>
            <w:tcW w:w="1180" w:type="dxa"/>
            <w:vAlign w:val="bottom"/>
            <w:tcBorders>
              <w:bottom w:val="single" w:sz="8" w:color="auto"/>
              <w:right w:val="single" w:sz="8" w:color="auto"/>
            </w:tcBorders>
            <w:gridSpan w:val="2"/>
            <w:shd w:val="clear" w:color="auto" w:fill="F0FFFF"/>
          </w:tcPr>
          <w:p>
            <w:pPr>
              <w:ind w:left="60"/>
              <w:spacing w:after="0"/>
              <w:rPr>
                <w:sz w:val="20"/>
                <w:szCs w:val="20"/>
                <w:color w:val="auto"/>
              </w:rPr>
            </w:pPr>
            <w:r>
              <w:rPr>
                <w:rFonts w:ascii="Arial" w:cs="Arial" w:eastAsia="Arial" w:hAnsi="Arial"/>
                <w:sz w:val="13"/>
                <w:szCs w:val="13"/>
                <w:color w:val="auto"/>
              </w:rPr>
              <w:t>4.5% Step Rate</w:t>
            </w:r>
          </w:p>
        </w:tc>
        <w:tc>
          <w:tcPr>
            <w:tcW w:w="0" w:type="dxa"/>
            <w:vAlign w:val="bottom"/>
          </w:tcPr>
          <w:p>
            <w:pPr>
              <w:spacing w:after="0"/>
              <w:rPr>
                <w:sz w:val="1"/>
                <w:szCs w:val="1"/>
                <w:color w:val="auto"/>
              </w:rPr>
            </w:pPr>
          </w:p>
        </w:tc>
      </w:tr>
      <w:tr>
        <w:trPr>
          <w:trHeight w:val="198"/>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Nasdaq-100 Index</w:t>
            </w:r>
            <w:r>
              <w:rPr>
                <w:rFonts w:ascii="Arial" w:cs="Arial" w:eastAsia="Arial" w:hAnsi="Arial"/>
                <w:sz w:val="17"/>
                <w:szCs w:val="17"/>
                <w:color w:val="auto"/>
                <w:vertAlign w:val="superscript"/>
              </w:rPr>
              <w:t>®</w:t>
            </w:r>
          </w:p>
        </w:tc>
        <w:tc>
          <w:tcPr>
            <w:tcW w:w="10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15%</w:t>
            </w:r>
          </w:p>
        </w:tc>
        <w:tc>
          <w:tcPr>
            <w:tcW w:w="11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3"/>
                <w:szCs w:val="13"/>
                <w:color w:val="auto"/>
              </w:rPr>
              <w:t>4.5% Edge Rate</w:t>
            </w:r>
          </w:p>
        </w:tc>
        <w:tc>
          <w:tcPr>
            <w:tcW w:w="0" w:type="dxa"/>
            <w:vAlign w:val="bottom"/>
          </w:tcPr>
          <w:p>
            <w:pPr>
              <w:spacing w:after="0"/>
              <w:rPr>
                <w:sz w:val="1"/>
                <w:szCs w:val="1"/>
                <w:color w:val="auto"/>
              </w:rPr>
            </w:pPr>
          </w:p>
        </w:tc>
      </w:tr>
      <w:tr>
        <w:trPr>
          <w:trHeight w:val="198"/>
        </w:trPr>
        <w:tc>
          <w:tcPr>
            <w:tcW w:w="232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Nasdaq-100 Index</w:t>
            </w:r>
            <w:r>
              <w:rPr>
                <w:rFonts w:ascii="Arial" w:cs="Arial" w:eastAsia="Arial" w:hAnsi="Arial"/>
                <w:sz w:val="17"/>
                <w:szCs w:val="17"/>
                <w:color w:val="auto"/>
                <w:vertAlign w:val="superscript"/>
              </w:rPr>
              <w:t>®</w:t>
            </w:r>
          </w:p>
        </w:tc>
        <w:tc>
          <w:tcPr>
            <w:tcW w:w="102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10%</w:t>
            </w:r>
          </w:p>
        </w:tc>
        <w:tc>
          <w:tcPr>
            <w:tcW w:w="1180" w:type="dxa"/>
            <w:vAlign w:val="bottom"/>
            <w:tcBorders>
              <w:bottom w:val="single" w:sz="8" w:color="auto"/>
              <w:right w:val="single" w:sz="8" w:color="auto"/>
            </w:tcBorders>
            <w:gridSpan w:val="2"/>
            <w:shd w:val="clear" w:color="auto" w:fill="F0FFFF"/>
          </w:tcPr>
          <w:p>
            <w:pPr>
              <w:ind w:left="60"/>
              <w:spacing w:after="0"/>
              <w:rPr>
                <w:sz w:val="20"/>
                <w:szCs w:val="20"/>
                <w:color w:val="auto"/>
              </w:rPr>
            </w:pPr>
            <w:r>
              <w:rPr>
                <w:rFonts w:ascii="Arial" w:cs="Arial" w:eastAsia="Arial" w:hAnsi="Arial"/>
                <w:sz w:val="13"/>
                <w:szCs w:val="13"/>
                <w:color w:val="auto"/>
              </w:rPr>
              <w:t>5% Step Rate</w:t>
            </w:r>
          </w:p>
        </w:tc>
        <w:tc>
          <w:tcPr>
            <w:tcW w:w="0" w:type="dxa"/>
            <w:vAlign w:val="bottom"/>
          </w:tcPr>
          <w:p>
            <w:pPr>
              <w:spacing w:after="0"/>
              <w:rPr>
                <w:sz w:val="1"/>
                <w:szCs w:val="1"/>
                <w:color w:val="auto"/>
              </w:rPr>
            </w:pPr>
          </w:p>
        </w:tc>
      </w:tr>
      <w:tr>
        <w:trPr>
          <w:trHeight w:val="198"/>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Nasdaq-100 Index</w:t>
            </w:r>
            <w:r>
              <w:rPr>
                <w:rFonts w:ascii="Arial" w:cs="Arial" w:eastAsia="Arial" w:hAnsi="Arial"/>
                <w:sz w:val="17"/>
                <w:szCs w:val="17"/>
                <w:color w:val="auto"/>
                <w:vertAlign w:val="superscript"/>
              </w:rPr>
              <w:t>®</w:t>
            </w:r>
          </w:p>
        </w:tc>
        <w:tc>
          <w:tcPr>
            <w:tcW w:w="10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10%</w:t>
            </w:r>
          </w:p>
        </w:tc>
        <w:tc>
          <w:tcPr>
            <w:tcW w:w="11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3"/>
                <w:szCs w:val="13"/>
                <w:color w:val="auto"/>
              </w:rPr>
              <w:t>5% Edge Rate</w:t>
            </w:r>
          </w:p>
        </w:tc>
        <w:tc>
          <w:tcPr>
            <w:tcW w:w="0" w:type="dxa"/>
            <w:vAlign w:val="bottom"/>
          </w:tcPr>
          <w:p>
            <w:pPr>
              <w:spacing w:after="0"/>
              <w:rPr>
                <w:sz w:val="1"/>
                <w:szCs w:val="1"/>
                <w:color w:val="auto"/>
              </w:rPr>
            </w:pPr>
          </w:p>
        </w:tc>
      </w:tr>
      <w:tr>
        <w:trPr>
          <w:trHeight w:val="198"/>
        </w:trPr>
        <w:tc>
          <w:tcPr>
            <w:tcW w:w="232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Nasdaq-100 Index</w:t>
            </w:r>
            <w:r>
              <w:rPr>
                <w:rFonts w:ascii="Arial" w:cs="Arial" w:eastAsia="Arial" w:hAnsi="Arial"/>
                <w:sz w:val="17"/>
                <w:szCs w:val="17"/>
                <w:color w:val="auto"/>
                <w:vertAlign w:val="superscript"/>
              </w:rPr>
              <w:t>®</w:t>
            </w:r>
          </w:p>
        </w:tc>
        <w:tc>
          <w:tcPr>
            <w:tcW w:w="102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2</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15%</w:t>
            </w:r>
          </w:p>
        </w:tc>
        <w:tc>
          <w:tcPr>
            <w:tcW w:w="1180" w:type="dxa"/>
            <w:vAlign w:val="bottom"/>
            <w:tcBorders>
              <w:bottom w:val="single" w:sz="8" w:color="auto"/>
              <w:right w:val="single" w:sz="8" w:color="auto"/>
            </w:tcBorders>
            <w:gridSpan w:val="2"/>
            <w:shd w:val="clear" w:color="auto" w:fill="F0FFFF"/>
          </w:tcPr>
          <w:p>
            <w:pPr>
              <w:ind w:left="60"/>
              <w:spacing w:after="0"/>
              <w:rPr>
                <w:sz w:val="20"/>
                <w:szCs w:val="20"/>
                <w:color w:val="auto"/>
              </w:rPr>
            </w:pPr>
            <w:r>
              <w:rPr>
                <w:rFonts w:ascii="Arial" w:cs="Arial" w:eastAsia="Arial" w:hAnsi="Arial"/>
                <w:sz w:val="13"/>
                <w:szCs w:val="13"/>
                <w:color w:val="auto"/>
              </w:rPr>
              <w:t>9% Step Rate</w:t>
            </w:r>
          </w:p>
        </w:tc>
        <w:tc>
          <w:tcPr>
            <w:tcW w:w="0" w:type="dxa"/>
            <w:vAlign w:val="bottom"/>
          </w:tcPr>
          <w:p>
            <w:pPr>
              <w:spacing w:after="0"/>
              <w:rPr>
                <w:sz w:val="1"/>
                <w:szCs w:val="1"/>
                <w:color w:val="auto"/>
              </w:rPr>
            </w:pPr>
          </w:p>
        </w:tc>
      </w:tr>
      <w:tr>
        <w:trPr>
          <w:trHeight w:val="198"/>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Nasdaq-100 Index</w:t>
            </w:r>
            <w:r>
              <w:rPr>
                <w:rFonts w:ascii="Arial" w:cs="Arial" w:eastAsia="Arial" w:hAnsi="Arial"/>
                <w:sz w:val="17"/>
                <w:szCs w:val="17"/>
                <w:color w:val="auto"/>
                <w:vertAlign w:val="superscript"/>
              </w:rPr>
              <w:t>®</w:t>
            </w:r>
          </w:p>
        </w:tc>
        <w:tc>
          <w:tcPr>
            <w:tcW w:w="10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2</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15%</w:t>
            </w:r>
          </w:p>
        </w:tc>
        <w:tc>
          <w:tcPr>
            <w:tcW w:w="11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3"/>
                <w:szCs w:val="13"/>
                <w:color w:val="auto"/>
              </w:rPr>
              <w:t>9% Edge Rate</w:t>
            </w:r>
          </w:p>
        </w:tc>
        <w:tc>
          <w:tcPr>
            <w:tcW w:w="0" w:type="dxa"/>
            <w:vAlign w:val="bottom"/>
          </w:tcPr>
          <w:p>
            <w:pPr>
              <w:spacing w:after="0"/>
              <w:rPr>
                <w:sz w:val="1"/>
                <w:szCs w:val="1"/>
                <w:color w:val="auto"/>
              </w:rPr>
            </w:pPr>
          </w:p>
        </w:tc>
      </w:tr>
      <w:tr>
        <w:trPr>
          <w:trHeight w:val="198"/>
        </w:trPr>
        <w:tc>
          <w:tcPr>
            <w:tcW w:w="232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Nasdaq-100 Index</w:t>
            </w:r>
            <w:r>
              <w:rPr>
                <w:rFonts w:ascii="Arial" w:cs="Arial" w:eastAsia="Arial" w:hAnsi="Arial"/>
                <w:sz w:val="17"/>
                <w:szCs w:val="17"/>
                <w:color w:val="auto"/>
                <w:vertAlign w:val="superscript"/>
              </w:rPr>
              <w:t>®</w:t>
            </w:r>
          </w:p>
        </w:tc>
        <w:tc>
          <w:tcPr>
            <w:tcW w:w="102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2</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10%</w:t>
            </w:r>
          </w:p>
        </w:tc>
        <w:tc>
          <w:tcPr>
            <w:tcW w:w="320" w:type="dxa"/>
            <w:vAlign w:val="bottom"/>
            <w:tcBorders>
              <w:bottom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w w:val="92"/>
              </w:rPr>
              <w:t>10%</w:t>
            </w:r>
          </w:p>
        </w:tc>
        <w:tc>
          <w:tcPr>
            <w:tcW w:w="860" w:type="dxa"/>
            <w:vAlign w:val="bottom"/>
            <w:tcBorders>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Step Rate</w:t>
            </w:r>
          </w:p>
        </w:tc>
        <w:tc>
          <w:tcPr>
            <w:tcW w:w="0" w:type="dxa"/>
            <w:vAlign w:val="bottom"/>
          </w:tcPr>
          <w:p>
            <w:pPr>
              <w:spacing w:after="0"/>
              <w:rPr>
                <w:sz w:val="1"/>
                <w:szCs w:val="1"/>
                <w:color w:val="auto"/>
              </w:rPr>
            </w:pPr>
          </w:p>
        </w:tc>
      </w:tr>
      <w:tr>
        <w:trPr>
          <w:trHeight w:val="198"/>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Nasdaq-100 Index</w:t>
            </w:r>
            <w:r>
              <w:rPr>
                <w:rFonts w:ascii="Arial" w:cs="Arial" w:eastAsia="Arial" w:hAnsi="Arial"/>
                <w:sz w:val="17"/>
                <w:szCs w:val="17"/>
                <w:color w:val="auto"/>
                <w:vertAlign w:val="superscript"/>
              </w:rPr>
              <w:t>®</w:t>
            </w:r>
          </w:p>
        </w:tc>
        <w:tc>
          <w:tcPr>
            <w:tcW w:w="10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2</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10%</w:t>
            </w: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w w:val="92"/>
              </w:rPr>
              <w:t>10%</w:t>
            </w:r>
          </w:p>
        </w:tc>
        <w:tc>
          <w:tcPr>
            <w:tcW w:w="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Edge Rate</w:t>
            </w:r>
          </w:p>
        </w:tc>
        <w:tc>
          <w:tcPr>
            <w:tcW w:w="0" w:type="dxa"/>
            <w:vAlign w:val="bottom"/>
          </w:tcPr>
          <w:p>
            <w:pPr>
              <w:spacing w:after="0"/>
              <w:rPr>
                <w:sz w:val="1"/>
                <w:szCs w:val="1"/>
                <w:color w:val="auto"/>
              </w:rPr>
            </w:pPr>
          </w:p>
        </w:tc>
      </w:tr>
      <w:tr>
        <w:trPr>
          <w:trHeight w:val="198"/>
        </w:trPr>
        <w:tc>
          <w:tcPr>
            <w:tcW w:w="232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Nasdaq-100 Index</w:t>
            </w:r>
            <w:r>
              <w:rPr>
                <w:rFonts w:ascii="Arial" w:cs="Arial" w:eastAsia="Arial" w:hAnsi="Arial"/>
                <w:sz w:val="17"/>
                <w:szCs w:val="17"/>
                <w:color w:val="auto"/>
                <w:vertAlign w:val="superscript"/>
              </w:rPr>
              <w:t>®</w:t>
            </w:r>
          </w:p>
        </w:tc>
        <w:tc>
          <w:tcPr>
            <w:tcW w:w="102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3</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15%</w:t>
            </w:r>
          </w:p>
        </w:tc>
        <w:tc>
          <w:tcPr>
            <w:tcW w:w="1180" w:type="dxa"/>
            <w:vAlign w:val="bottom"/>
            <w:tcBorders>
              <w:bottom w:val="single" w:sz="8" w:color="auto"/>
              <w:right w:val="single" w:sz="8" w:color="auto"/>
            </w:tcBorders>
            <w:gridSpan w:val="2"/>
            <w:shd w:val="clear" w:color="auto" w:fill="F0FFFF"/>
          </w:tcPr>
          <w:p>
            <w:pPr>
              <w:ind w:left="60"/>
              <w:spacing w:after="0"/>
              <w:rPr>
                <w:sz w:val="20"/>
                <w:szCs w:val="20"/>
                <w:color w:val="auto"/>
              </w:rPr>
            </w:pPr>
            <w:r>
              <w:rPr>
                <w:rFonts w:ascii="Arial" w:cs="Arial" w:eastAsia="Arial" w:hAnsi="Arial"/>
                <w:sz w:val="13"/>
                <w:szCs w:val="13"/>
                <w:color w:val="auto"/>
              </w:rPr>
              <w:t>13.5% Cap Rate</w:t>
            </w:r>
          </w:p>
        </w:tc>
        <w:tc>
          <w:tcPr>
            <w:tcW w:w="0" w:type="dxa"/>
            <w:vAlign w:val="bottom"/>
          </w:tcPr>
          <w:p>
            <w:pPr>
              <w:spacing w:after="0"/>
              <w:rPr>
                <w:sz w:val="1"/>
                <w:szCs w:val="1"/>
                <w:color w:val="auto"/>
              </w:rPr>
            </w:pPr>
          </w:p>
        </w:tc>
      </w:tr>
      <w:tr>
        <w:trPr>
          <w:trHeight w:val="198"/>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Nasdaq-100 Index</w:t>
            </w:r>
            <w:r>
              <w:rPr>
                <w:rFonts w:ascii="Arial" w:cs="Arial" w:eastAsia="Arial" w:hAnsi="Arial"/>
                <w:sz w:val="17"/>
                <w:szCs w:val="17"/>
                <w:color w:val="auto"/>
                <w:vertAlign w:val="superscript"/>
              </w:rPr>
              <w:t>®</w:t>
            </w:r>
          </w:p>
        </w:tc>
        <w:tc>
          <w:tcPr>
            <w:tcW w:w="10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3</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10%</w:t>
            </w: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w w:val="92"/>
              </w:rPr>
              <w:t>15%</w:t>
            </w:r>
          </w:p>
        </w:tc>
        <w:tc>
          <w:tcPr>
            <w:tcW w:w="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Cap Rate</w:t>
            </w:r>
          </w:p>
        </w:tc>
        <w:tc>
          <w:tcPr>
            <w:tcW w:w="0" w:type="dxa"/>
            <w:vAlign w:val="bottom"/>
          </w:tcPr>
          <w:p>
            <w:pPr>
              <w:spacing w:after="0"/>
              <w:rPr>
                <w:sz w:val="1"/>
                <w:szCs w:val="1"/>
                <w:color w:val="auto"/>
              </w:rPr>
            </w:pPr>
          </w:p>
        </w:tc>
      </w:tr>
      <w:tr>
        <w:trPr>
          <w:trHeight w:val="198"/>
        </w:trPr>
        <w:tc>
          <w:tcPr>
            <w:tcW w:w="232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Nasdaq-100 Index</w:t>
            </w:r>
            <w:r>
              <w:rPr>
                <w:rFonts w:ascii="Arial" w:cs="Arial" w:eastAsia="Arial" w:hAnsi="Arial"/>
                <w:sz w:val="17"/>
                <w:szCs w:val="17"/>
                <w:color w:val="auto"/>
                <w:vertAlign w:val="superscript"/>
              </w:rPr>
              <w:t>®</w:t>
            </w:r>
          </w:p>
        </w:tc>
        <w:tc>
          <w:tcPr>
            <w:tcW w:w="102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6</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25%</w:t>
            </w:r>
          </w:p>
        </w:tc>
        <w:tc>
          <w:tcPr>
            <w:tcW w:w="320" w:type="dxa"/>
            <w:vAlign w:val="bottom"/>
            <w:tcBorders>
              <w:bottom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w w:val="92"/>
              </w:rPr>
              <w:t>21%</w:t>
            </w:r>
          </w:p>
        </w:tc>
        <w:tc>
          <w:tcPr>
            <w:tcW w:w="860" w:type="dxa"/>
            <w:vAlign w:val="bottom"/>
            <w:tcBorders>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Cap Rate</w:t>
            </w:r>
          </w:p>
        </w:tc>
        <w:tc>
          <w:tcPr>
            <w:tcW w:w="0" w:type="dxa"/>
            <w:vAlign w:val="bottom"/>
          </w:tcPr>
          <w:p>
            <w:pPr>
              <w:spacing w:after="0"/>
              <w:rPr>
                <w:sz w:val="1"/>
                <w:szCs w:val="1"/>
                <w:color w:val="auto"/>
              </w:rPr>
            </w:pPr>
          </w:p>
        </w:tc>
      </w:tr>
      <w:tr>
        <w:trPr>
          <w:trHeight w:val="198"/>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Nasdaq-100 Index</w:t>
            </w:r>
            <w:r>
              <w:rPr>
                <w:rFonts w:ascii="Arial" w:cs="Arial" w:eastAsia="Arial" w:hAnsi="Arial"/>
                <w:sz w:val="17"/>
                <w:szCs w:val="17"/>
                <w:color w:val="auto"/>
                <w:vertAlign w:val="superscript"/>
              </w:rPr>
              <w:t>®</w:t>
            </w:r>
          </w:p>
        </w:tc>
        <w:tc>
          <w:tcPr>
            <w:tcW w:w="10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6</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15%</w:t>
            </w: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w w:val="92"/>
              </w:rPr>
              <w:t>27%</w:t>
            </w:r>
          </w:p>
        </w:tc>
        <w:tc>
          <w:tcPr>
            <w:tcW w:w="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Cap Rate</w:t>
            </w:r>
          </w:p>
        </w:tc>
        <w:tc>
          <w:tcPr>
            <w:tcW w:w="0" w:type="dxa"/>
            <w:vAlign w:val="bottom"/>
          </w:tcPr>
          <w:p>
            <w:pPr>
              <w:spacing w:after="0"/>
              <w:rPr>
                <w:sz w:val="1"/>
                <w:szCs w:val="1"/>
                <w:color w:val="auto"/>
              </w:rPr>
            </w:pPr>
          </w:p>
        </w:tc>
      </w:tr>
      <w:tr>
        <w:trPr>
          <w:trHeight w:val="186"/>
        </w:trPr>
        <w:tc>
          <w:tcPr>
            <w:tcW w:w="2320" w:type="dxa"/>
            <w:vAlign w:val="bottom"/>
            <w:tcBorders>
              <w:left w:val="single" w:sz="8" w:color="auto"/>
              <w:bottom w:val="single" w:sz="8" w:color="auto"/>
              <w:right w:val="single" w:sz="8" w:color="auto"/>
            </w:tcBorders>
            <w:shd w:val="clear" w:color="auto" w:fill="F0FFFF"/>
          </w:tcPr>
          <w:p>
            <w:pPr>
              <w:ind w:left="40"/>
              <w:spacing w:after="0" w:line="186" w:lineRule="exact"/>
              <w:rPr>
                <w:sz w:val="20"/>
                <w:szCs w:val="20"/>
                <w:color w:val="auto"/>
              </w:rPr>
            </w:pPr>
            <w:r>
              <w:rPr>
                <w:rFonts w:ascii="Arial" w:cs="Arial" w:eastAsia="Arial" w:hAnsi="Arial"/>
                <w:sz w:val="13"/>
                <w:szCs w:val="13"/>
                <w:color w:val="auto"/>
              </w:rPr>
              <w:t>Nasdaq-100 Index</w:t>
            </w:r>
            <w:r>
              <w:rPr>
                <w:rFonts w:ascii="Arial" w:cs="Arial" w:eastAsia="Arial" w:hAnsi="Arial"/>
                <w:sz w:val="17"/>
                <w:szCs w:val="17"/>
                <w:color w:val="auto"/>
                <w:vertAlign w:val="superscript"/>
              </w:rPr>
              <w:t>®</w:t>
            </w:r>
          </w:p>
        </w:tc>
        <w:tc>
          <w:tcPr>
            <w:tcW w:w="102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6</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10%</w:t>
            </w:r>
          </w:p>
        </w:tc>
        <w:tc>
          <w:tcPr>
            <w:tcW w:w="320" w:type="dxa"/>
            <w:vAlign w:val="bottom"/>
            <w:tcBorders>
              <w:bottom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w w:val="92"/>
              </w:rPr>
              <w:t>30%</w:t>
            </w:r>
          </w:p>
        </w:tc>
        <w:tc>
          <w:tcPr>
            <w:tcW w:w="860" w:type="dxa"/>
            <w:vAlign w:val="bottom"/>
            <w:tcBorders>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Cap Rate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93915" cy="3810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-5382260</wp:posOffset>
            </wp:positionV>
            <wp:extent cx="3842385" cy="6362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842385" cy="63627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-4607560</wp:posOffset>
            </wp:positionV>
            <wp:extent cx="3842385" cy="1384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842385" cy="13843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-4330065</wp:posOffset>
            </wp:positionV>
            <wp:extent cx="3842385" cy="1320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842385" cy="1320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-4065905</wp:posOffset>
            </wp:positionV>
            <wp:extent cx="3842385" cy="1320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842385" cy="1320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-3801110</wp:posOffset>
            </wp:positionV>
            <wp:extent cx="3842385" cy="1320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842385" cy="1320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-3536315</wp:posOffset>
            </wp:positionV>
            <wp:extent cx="3842385" cy="1320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842385" cy="1320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-3272155</wp:posOffset>
            </wp:positionV>
            <wp:extent cx="3842385" cy="1320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842385" cy="1320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-3007360</wp:posOffset>
            </wp:positionV>
            <wp:extent cx="3842385" cy="1320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842385" cy="1320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-2742565</wp:posOffset>
            </wp:positionV>
            <wp:extent cx="3842385" cy="1320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842385" cy="1320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-2478405</wp:posOffset>
            </wp:positionV>
            <wp:extent cx="3842385" cy="1320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842385" cy="1320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-2213610</wp:posOffset>
            </wp:positionV>
            <wp:extent cx="3842385" cy="1384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842385" cy="13843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-1936750</wp:posOffset>
            </wp:positionV>
            <wp:extent cx="3842385" cy="1384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842385" cy="13843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-1659255</wp:posOffset>
            </wp:positionV>
            <wp:extent cx="3842385" cy="1384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842385" cy="13843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-1382395</wp:posOffset>
            </wp:positionV>
            <wp:extent cx="3842385" cy="1384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842385" cy="13843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-1104900</wp:posOffset>
            </wp:positionV>
            <wp:extent cx="3842385" cy="1384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842385" cy="13843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-828040</wp:posOffset>
            </wp:positionV>
            <wp:extent cx="3842385" cy="1384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842385" cy="13843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-550545</wp:posOffset>
            </wp:positionV>
            <wp:extent cx="3842385" cy="1384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842385" cy="13843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-273685</wp:posOffset>
            </wp:positionV>
            <wp:extent cx="3842385" cy="1384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842385" cy="138430"/>
                    </a:xfrm>
                    <a:prstGeom prst="rect">
                      <a:avLst/>
                    </a:prstGeom>
                    <a:noFill/>
                  </pic:spPr>
                </pic:pic>
              </a:graphicData>
            </a:graphic>
          </wp:anchor>
        </w:drawing>
      </w:r>
    </w:p>
    <w:p>
      <w:pPr>
        <w:spacing w:after="0" w:line="42" w:lineRule="exact"/>
        <w:rPr>
          <w:sz w:val="20"/>
          <w:szCs w:val="20"/>
          <w:color w:val="auto"/>
        </w:rPr>
      </w:pPr>
    </w:p>
    <w:p>
      <w:pPr>
        <w:jc w:val="both"/>
        <w:ind w:left="1" w:right="3199" w:hanging="1"/>
        <w:spacing w:after="0" w:line="243" w:lineRule="auto"/>
        <w:tabs>
          <w:tab w:leader="none" w:pos="77" w:val="left"/>
        </w:tabs>
        <w:numPr>
          <w:ilvl w:val="0"/>
          <w:numId w:val="5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 xml:space="preserve">Each </w:t>
      </w:r>
      <w:r>
        <w:rPr>
          <w:rFonts w:ascii="Times New Roman" w:cs="Times New Roman" w:eastAsia="Times New Roman" w:hAnsi="Times New Roman"/>
          <w:sz w:val="13"/>
          <w:szCs w:val="13"/>
          <w:u w:val="single" w:color="auto"/>
          <w:color w:val="auto"/>
        </w:rPr>
        <w:t>Index</w:t>
      </w:r>
      <w:r>
        <w:rPr>
          <w:rFonts w:ascii="Times New Roman" w:cs="Times New Roman" w:eastAsia="Times New Roman" w:hAnsi="Times New Roman"/>
          <w:sz w:val="13"/>
          <w:szCs w:val="13"/>
          <w:color w:val="auto"/>
        </w:rPr>
        <w:t xml:space="preserve"> is a “price return index,” not a “total return index,” and therefore does not reflect dividends declared by any of the companies in the </w:t>
      </w:r>
      <w:r>
        <w:rPr>
          <w:rFonts w:ascii="Times New Roman" w:cs="Times New Roman" w:eastAsia="Times New Roman" w:hAnsi="Times New Roman"/>
          <w:sz w:val="13"/>
          <w:szCs w:val="13"/>
          <w:u w:val="single" w:color="auto"/>
          <w:color w:val="auto"/>
        </w:rPr>
        <w:t>Index</w:t>
      </w:r>
      <w:r>
        <w:rPr>
          <w:rFonts w:ascii="Times New Roman" w:cs="Times New Roman" w:eastAsia="Times New Roman" w:hAnsi="Times New Roman"/>
          <w:sz w:val="13"/>
          <w:szCs w:val="13"/>
          <w:color w:val="auto"/>
        </w:rPr>
        <w:t xml:space="preserve">. This will reduce the </w:t>
      </w:r>
      <w:r>
        <w:rPr>
          <w:rFonts w:ascii="Times New Roman" w:cs="Times New Roman" w:eastAsia="Times New Roman" w:hAnsi="Times New Roman"/>
          <w:sz w:val="13"/>
          <w:szCs w:val="13"/>
          <w:u w:val="single" w:color="auto"/>
          <w:color w:val="auto"/>
        </w:rPr>
        <w:t>Index Performance</w:t>
      </w:r>
      <w:r>
        <w:rPr>
          <w:rFonts w:ascii="Times New Roman" w:cs="Times New Roman" w:eastAsia="Times New Roman" w:hAnsi="Times New Roman"/>
          <w:sz w:val="13"/>
          <w:szCs w:val="13"/>
          <w:color w:val="auto"/>
        </w:rPr>
        <w:t xml:space="preserve"> and will cause the </w:t>
      </w:r>
      <w:r>
        <w:rPr>
          <w:rFonts w:ascii="Times New Roman" w:cs="Times New Roman" w:eastAsia="Times New Roman" w:hAnsi="Times New Roman"/>
          <w:sz w:val="13"/>
          <w:szCs w:val="13"/>
          <w:u w:val="single" w:color="auto"/>
          <w:color w:val="auto"/>
        </w:rPr>
        <w:t>Index</w:t>
      </w:r>
      <w:r>
        <w:rPr>
          <w:rFonts w:ascii="Times New Roman" w:cs="Times New Roman" w:eastAsia="Times New Roman" w:hAnsi="Times New Roman"/>
          <w:sz w:val="13"/>
          <w:szCs w:val="13"/>
          <w:color w:val="auto"/>
        </w:rPr>
        <w:t xml:space="preserve"> to underperform a direct investment in the securities composing the </w:t>
      </w:r>
      <w:r>
        <w:rPr>
          <w:rFonts w:ascii="Times New Roman" w:cs="Times New Roman" w:eastAsia="Times New Roman" w:hAnsi="Times New Roman"/>
          <w:sz w:val="13"/>
          <w:szCs w:val="13"/>
          <w:u w:val="single" w:color="auto"/>
          <w:color w:val="auto"/>
        </w:rPr>
        <w:t>Index</w:t>
      </w:r>
      <w:r>
        <w:rPr>
          <w:rFonts w:ascii="Times New Roman" w:cs="Times New Roman" w:eastAsia="Times New Roman" w:hAnsi="Times New Roman"/>
          <w:sz w:val="13"/>
          <w:szCs w:val="13"/>
          <w:color w:val="auto"/>
        </w:rPr>
        <w:t>.</w:t>
      </w:r>
    </w:p>
    <w:p>
      <w:pPr>
        <w:spacing w:after="0" w:line="63" w:lineRule="exact"/>
        <w:rPr>
          <w:sz w:val="20"/>
          <w:szCs w:val="20"/>
          <w:color w:val="auto"/>
        </w:rPr>
      </w:pPr>
    </w:p>
    <w:p>
      <w:pPr>
        <w:jc w:val="both"/>
        <w:ind w:left="1" w:right="3199"/>
        <w:spacing w:after="0" w:line="273" w:lineRule="auto"/>
        <w:rPr>
          <w:sz w:val="20"/>
          <w:szCs w:val="20"/>
          <w:color w:val="auto"/>
        </w:rPr>
      </w:pPr>
      <w:r>
        <w:rPr>
          <w:rFonts w:ascii="Times New Roman" w:cs="Times New Roman" w:eastAsia="Times New Roman" w:hAnsi="Times New Roman"/>
          <w:sz w:val="13"/>
          <w:szCs w:val="13"/>
          <w:b w:val="1"/>
          <w:bCs w:val="1"/>
          <w:color w:val="auto"/>
        </w:rPr>
        <w:t xml:space="preserve">We do not guarantee that there will always be a </w:t>
      </w:r>
      <w:r>
        <w:rPr>
          <w:rFonts w:ascii="Times New Roman" w:cs="Times New Roman" w:eastAsia="Times New Roman" w:hAnsi="Times New Roman"/>
          <w:sz w:val="13"/>
          <w:szCs w:val="13"/>
          <w:b w:val="1"/>
          <w:bCs w:val="1"/>
          <w:u w:val="single" w:color="auto"/>
          <w:color w:val="auto"/>
        </w:rPr>
        <w:t>Shield Option</w:t>
      </w:r>
      <w:r>
        <w:rPr>
          <w:rFonts w:ascii="Times New Roman" w:cs="Times New Roman" w:eastAsia="Times New Roman" w:hAnsi="Times New Roman"/>
          <w:sz w:val="13"/>
          <w:szCs w:val="13"/>
          <w:b w:val="1"/>
          <w:bCs w:val="1"/>
          <w:color w:val="auto"/>
        </w:rPr>
        <w:t xml:space="preserve"> under the </w:t>
      </w:r>
      <w:r>
        <w:rPr>
          <w:rFonts w:ascii="Times New Roman" w:cs="Times New Roman" w:eastAsia="Times New Roman" w:hAnsi="Times New Roman"/>
          <w:sz w:val="13"/>
          <w:szCs w:val="13"/>
          <w:b w:val="1"/>
          <w:bCs w:val="1"/>
          <w:u w:val="single" w:color="auto"/>
          <w:color w:val="auto"/>
        </w:rPr>
        <w:t>Contract</w:t>
      </w:r>
      <w:r>
        <w:rPr>
          <w:rFonts w:ascii="Times New Roman" w:cs="Times New Roman" w:eastAsia="Times New Roman" w:hAnsi="Times New Roman"/>
          <w:sz w:val="13"/>
          <w:szCs w:val="13"/>
          <w:b w:val="1"/>
          <w:bCs w:val="1"/>
          <w:color w:val="auto"/>
        </w:rPr>
        <w:t xml:space="preserve"> that provides this minimum amount of downside protection; however, there will always be at least one </w:t>
      </w:r>
      <w:r>
        <w:rPr>
          <w:rFonts w:ascii="Times New Roman" w:cs="Times New Roman" w:eastAsia="Times New Roman" w:hAnsi="Times New Roman"/>
          <w:sz w:val="13"/>
          <w:szCs w:val="13"/>
          <w:b w:val="1"/>
          <w:bCs w:val="1"/>
          <w:u w:val="single" w:color="auto"/>
          <w:color w:val="auto"/>
        </w:rPr>
        <w:t>Shield Option</w:t>
      </w:r>
      <w:r>
        <w:rPr>
          <w:rFonts w:ascii="Times New Roman" w:cs="Times New Roman" w:eastAsia="Times New Roman" w:hAnsi="Times New Roman"/>
          <w:sz w:val="13"/>
          <w:szCs w:val="13"/>
          <w:b w:val="1"/>
          <w:bCs w:val="1"/>
          <w:color w:val="auto"/>
        </w:rPr>
        <w:t xml:space="preserve"> available that offers downside protection, although it may not be substantially similar to one of the currently available </w:t>
      </w:r>
      <w:r>
        <w:rPr>
          <w:rFonts w:ascii="Times New Roman" w:cs="Times New Roman" w:eastAsia="Times New Roman" w:hAnsi="Times New Roman"/>
          <w:sz w:val="13"/>
          <w:szCs w:val="13"/>
          <w:b w:val="1"/>
          <w:bCs w:val="1"/>
          <w:u w:val="single" w:color="auto"/>
          <w:color w:val="auto"/>
        </w:rPr>
        <w:t>Shield Options</w:t>
      </w:r>
      <w:r>
        <w:rPr>
          <w:rFonts w:ascii="Times New Roman" w:cs="Times New Roman" w:eastAsia="Times New Roman" w:hAnsi="Times New Roman"/>
          <w:sz w:val="13"/>
          <w:szCs w:val="13"/>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1227455</wp:posOffset>
            </wp:positionH>
            <wp:positionV relativeFrom="paragraph">
              <wp:posOffset>-31115</wp:posOffset>
            </wp:positionV>
            <wp:extent cx="25400" cy="63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5400" cy="6350"/>
                    </a:xfrm>
                    <a:prstGeom prst="rect">
                      <a:avLst/>
                    </a:prstGeom>
                    <a:noFill/>
                  </pic:spPr>
                </pic:pic>
              </a:graphicData>
            </a:graphic>
          </wp:anchor>
        </w:drawing>
      </w:r>
    </w:p>
    <w:p>
      <w:pPr>
        <w:spacing w:after="0" w:line="145" w:lineRule="exact"/>
        <w:rPr>
          <w:sz w:val="20"/>
          <w:szCs w:val="20"/>
          <w:color w:val="auto"/>
        </w:rPr>
      </w:pPr>
    </w:p>
    <w:p>
      <w:pPr>
        <w:ind w:left="2941"/>
        <w:spacing w:after="0"/>
        <w:rPr>
          <w:sz w:val="20"/>
          <w:szCs w:val="20"/>
          <w:color w:val="auto"/>
        </w:rPr>
      </w:pPr>
      <w:r>
        <w:rPr>
          <w:rFonts w:ascii="Times New Roman" w:cs="Times New Roman" w:eastAsia="Times New Roman" w:hAnsi="Times New Roman"/>
          <w:sz w:val="13"/>
          <w:szCs w:val="13"/>
          <w:color w:val="auto"/>
        </w:rPr>
        <w:t>A-2</w:t>
      </w:r>
    </w:p>
    <w:p>
      <w:pPr>
        <w:sectPr>
          <w:pgSz w:w="11900" w:h="16838" w:orient="portrait"/>
          <w:cols w:equalWidth="0" w:num="1">
            <w:col w:w="9261"/>
          </w:cols>
          <w:pgMar w:left="1199" w:top="1037" w:right="1440" w:bottom="1440" w:gutter="0" w:footer="0" w:header="0"/>
        </w:sectPr>
      </w:pPr>
    </w:p>
    <w:bookmarkStart w:id="78" w:name="page79"/>
    <w:bookmarkEnd w:id="78"/>
    <w:p>
      <w:pPr>
        <w:jc w:val="both"/>
        <w:ind w:left="1" w:right="3199"/>
        <w:spacing w:after="0" w:line="260"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93915" cy="38100"/>
                    </a:xfrm>
                    <a:prstGeom prst="rect">
                      <a:avLst/>
                    </a:prstGeom>
                    <a:noFill/>
                  </pic:spPr>
                </pic:pic>
              </a:graphicData>
            </a:graphic>
          </wp:anchor>
        </w:drawing>
        <w:t xml:space="preserve">The Minimum Guaranteed </w:t>
      </w:r>
      <w:r>
        <w:rPr>
          <w:rFonts w:ascii="Times New Roman" w:cs="Times New Roman" w:eastAsia="Times New Roman" w:hAnsi="Times New Roman"/>
          <w:sz w:val="13"/>
          <w:szCs w:val="13"/>
          <w:b w:val="1"/>
          <w:bCs w:val="1"/>
          <w:u w:val="single" w:color="auto"/>
          <w:color w:val="auto"/>
        </w:rPr>
        <w:t>Cap Rate</w:t>
      </w:r>
      <w:r>
        <w:rPr>
          <w:rFonts w:ascii="Times New Roman" w:cs="Times New Roman" w:eastAsia="Times New Roman" w:hAnsi="Times New Roman"/>
          <w:sz w:val="13"/>
          <w:szCs w:val="13"/>
          <w:b w:val="1"/>
          <w:bCs w:val="1"/>
          <w:color w:val="auto"/>
        </w:rPr>
        <w:t xml:space="preserve"> for your </w:t>
      </w:r>
      <w:r>
        <w:rPr>
          <w:rFonts w:ascii="Times New Roman" w:cs="Times New Roman" w:eastAsia="Times New Roman" w:hAnsi="Times New Roman"/>
          <w:sz w:val="13"/>
          <w:szCs w:val="13"/>
          <w:b w:val="1"/>
          <w:bCs w:val="1"/>
          <w:u w:val="single" w:color="auto"/>
          <w:color w:val="auto"/>
        </w:rPr>
        <w:t>Contract</w:t>
      </w:r>
      <w:r>
        <w:rPr>
          <w:rFonts w:ascii="Times New Roman" w:cs="Times New Roman" w:eastAsia="Times New Roman" w:hAnsi="Times New Roman"/>
          <w:sz w:val="13"/>
          <w:szCs w:val="13"/>
          <w:b w:val="1"/>
          <w:bCs w:val="1"/>
          <w:color w:val="auto"/>
        </w:rPr>
        <w:t xml:space="preserve"> is the amount shown on your </w:t>
      </w:r>
      <w:r>
        <w:rPr>
          <w:rFonts w:ascii="Times New Roman" w:cs="Times New Roman" w:eastAsia="Times New Roman" w:hAnsi="Times New Roman"/>
          <w:sz w:val="13"/>
          <w:szCs w:val="13"/>
          <w:b w:val="1"/>
          <w:bCs w:val="1"/>
          <w:u w:val="single" w:color="auto"/>
          <w:color w:val="auto"/>
        </w:rPr>
        <w:t>Contract Schedule</w:t>
      </w:r>
      <w:r>
        <w:rPr>
          <w:rFonts w:ascii="Times New Roman" w:cs="Times New Roman" w:eastAsia="Times New Roman" w:hAnsi="Times New Roman"/>
          <w:sz w:val="13"/>
          <w:szCs w:val="13"/>
          <w:b w:val="1"/>
          <w:bCs w:val="1"/>
          <w:color w:val="auto"/>
        </w:rPr>
        <w:t xml:space="preserve"> and may vary by </w:t>
      </w:r>
      <w:r>
        <w:rPr>
          <w:rFonts w:ascii="Times New Roman" w:cs="Times New Roman" w:eastAsia="Times New Roman" w:hAnsi="Times New Roman"/>
          <w:sz w:val="13"/>
          <w:szCs w:val="13"/>
          <w:b w:val="1"/>
          <w:bCs w:val="1"/>
          <w:u w:val="single" w:color="auto"/>
          <w:color w:val="auto"/>
        </w:rPr>
        <w:t>Shield Rate</w:t>
      </w:r>
      <w:r>
        <w:rPr>
          <w:rFonts w:ascii="Times New Roman" w:cs="Times New Roman" w:eastAsia="Times New Roman" w:hAnsi="Times New Roman"/>
          <w:sz w:val="13"/>
          <w:szCs w:val="13"/>
          <w:b w:val="1"/>
          <w:bCs w:val="1"/>
          <w:color w:val="auto"/>
        </w:rPr>
        <w:t xml:space="preserve"> , but will not be less than 3.5% for </w:t>
      </w:r>
      <w:r>
        <w:rPr>
          <w:rFonts w:ascii="Times New Roman" w:cs="Times New Roman" w:eastAsia="Times New Roman" w:hAnsi="Times New Roman"/>
          <w:sz w:val="13"/>
          <w:szCs w:val="13"/>
          <w:b w:val="1"/>
          <w:bCs w:val="1"/>
          <w:u w:val="single" w:color="auto"/>
          <w:color w:val="auto"/>
        </w:rPr>
        <w:t>Shield Options</w:t>
      </w:r>
      <w:r>
        <w:rPr>
          <w:rFonts w:ascii="Times New Roman" w:cs="Times New Roman" w:eastAsia="Times New Roman" w:hAnsi="Times New Roman"/>
          <w:sz w:val="13"/>
          <w:szCs w:val="13"/>
          <w:b w:val="1"/>
          <w:bCs w:val="1"/>
          <w:color w:val="auto"/>
        </w:rPr>
        <w:t xml:space="preserve"> with a 1-Year </w:t>
      </w:r>
      <w:r>
        <w:rPr>
          <w:rFonts w:ascii="Times New Roman" w:cs="Times New Roman" w:eastAsia="Times New Roman" w:hAnsi="Times New Roman"/>
          <w:sz w:val="13"/>
          <w:szCs w:val="13"/>
          <w:b w:val="1"/>
          <w:bCs w:val="1"/>
          <w:u w:val="single" w:color="auto"/>
          <w:color w:val="auto"/>
        </w:rPr>
        <w:t>Term</w:t>
      </w:r>
      <w:r>
        <w:rPr>
          <w:rFonts w:ascii="Times New Roman" w:cs="Times New Roman" w:eastAsia="Times New Roman" w:hAnsi="Times New Roman"/>
          <w:sz w:val="13"/>
          <w:szCs w:val="13"/>
          <w:b w:val="1"/>
          <w:bCs w:val="1"/>
          <w:color w:val="auto"/>
        </w:rPr>
        <w:t xml:space="preserve">, 13.5% for </w:t>
      </w:r>
      <w:r>
        <w:rPr>
          <w:rFonts w:ascii="Times New Roman" w:cs="Times New Roman" w:eastAsia="Times New Roman" w:hAnsi="Times New Roman"/>
          <w:sz w:val="13"/>
          <w:szCs w:val="13"/>
          <w:b w:val="1"/>
          <w:bCs w:val="1"/>
          <w:u w:val="single" w:color="auto"/>
          <w:color w:val="auto"/>
        </w:rPr>
        <w:t>Shield Options</w:t>
      </w:r>
      <w:r>
        <w:rPr>
          <w:rFonts w:ascii="Times New Roman" w:cs="Times New Roman" w:eastAsia="Times New Roman" w:hAnsi="Times New Roman"/>
          <w:sz w:val="13"/>
          <w:szCs w:val="13"/>
          <w:b w:val="1"/>
          <w:bCs w:val="1"/>
          <w:color w:val="auto"/>
        </w:rPr>
        <w:t xml:space="preserve"> with a 3-Year </w:t>
      </w:r>
      <w:r>
        <w:rPr>
          <w:rFonts w:ascii="Times New Roman" w:cs="Times New Roman" w:eastAsia="Times New Roman" w:hAnsi="Times New Roman"/>
          <w:sz w:val="13"/>
          <w:szCs w:val="13"/>
          <w:b w:val="1"/>
          <w:bCs w:val="1"/>
          <w:u w:val="single" w:color="auto"/>
          <w:color w:val="auto"/>
        </w:rPr>
        <w:t>Term</w:t>
      </w:r>
      <w:r>
        <w:rPr>
          <w:rFonts w:ascii="Times New Roman" w:cs="Times New Roman" w:eastAsia="Times New Roman" w:hAnsi="Times New Roman"/>
          <w:sz w:val="13"/>
          <w:szCs w:val="13"/>
          <w:b w:val="1"/>
          <w:bCs w:val="1"/>
          <w:color w:val="auto"/>
        </w:rPr>
        <w:t xml:space="preserve"> and 21% for </w:t>
      </w:r>
      <w:r>
        <w:rPr>
          <w:rFonts w:ascii="Times New Roman" w:cs="Times New Roman" w:eastAsia="Times New Roman" w:hAnsi="Times New Roman"/>
          <w:sz w:val="13"/>
          <w:szCs w:val="13"/>
          <w:b w:val="1"/>
          <w:bCs w:val="1"/>
          <w:u w:val="single" w:color="auto"/>
          <w:color w:val="auto"/>
        </w:rPr>
        <w:t>Shield Options</w:t>
      </w:r>
      <w:r>
        <w:rPr>
          <w:rFonts w:ascii="Times New Roman" w:cs="Times New Roman" w:eastAsia="Times New Roman" w:hAnsi="Times New Roman"/>
          <w:sz w:val="13"/>
          <w:szCs w:val="13"/>
          <w:b w:val="1"/>
          <w:bCs w:val="1"/>
          <w:color w:val="auto"/>
        </w:rPr>
        <w:t xml:space="preserve"> with a 6-Year </w:t>
      </w:r>
      <w:r>
        <w:rPr>
          <w:rFonts w:ascii="Times New Roman" w:cs="Times New Roman" w:eastAsia="Times New Roman" w:hAnsi="Times New Roman"/>
          <w:sz w:val="13"/>
          <w:szCs w:val="13"/>
          <w:b w:val="1"/>
          <w:bCs w:val="1"/>
          <w:u w:val="single" w:color="auto"/>
          <w:color w:val="auto"/>
        </w:rPr>
        <w:t>Term</w:t>
      </w:r>
      <w:r>
        <w:rPr>
          <w:rFonts w:ascii="Times New Roman" w:cs="Times New Roman" w:eastAsia="Times New Roman" w:hAnsi="Times New Roman"/>
          <w:sz w:val="13"/>
          <w:szCs w:val="13"/>
          <w:b w:val="1"/>
          <w:bCs w:val="1"/>
          <w:color w:val="auto"/>
        </w:rPr>
        <w:t xml:space="preserve">. The Minimum Guaranteed </w:t>
      </w:r>
      <w:r>
        <w:rPr>
          <w:rFonts w:ascii="Times New Roman" w:cs="Times New Roman" w:eastAsia="Times New Roman" w:hAnsi="Times New Roman"/>
          <w:sz w:val="13"/>
          <w:szCs w:val="13"/>
          <w:b w:val="1"/>
          <w:bCs w:val="1"/>
          <w:u w:val="single" w:color="auto"/>
          <w:color w:val="auto"/>
        </w:rPr>
        <w:t>Step Rate</w:t>
      </w:r>
      <w:r>
        <w:rPr>
          <w:rFonts w:ascii="Times New Roman" w:cs="Times New Roman" w:eastAsia="Times New Roman" w:hAnsi="Times New Roman"/>
          <w:sz w:val="13"/>
          <w:szCs w:val="13"/>
          <w:b w:val="1"/>
          <w:bCs w:val="1"/>
          <w:color w:val="auto"/>
        </w:rPr>
        <w:t xml:space="preserve"> for your </w:t>
      </w:r>
      <w:r>
        <w:rPr>
          <w:rFonts w:ascii="Times New Roman" w:cs="Times New Roman" w:eastAsia="Times New Roman" w:hAnsi="Times New Roman"/>
          <w:sz w:val="13"/>
          <w:szCs w:val="13"/>
          <w:b w:val="1"/>
          <w:bCs w:val="1"/>
          <w:u w:val="single" w:color="auto"/>
          <w:color w:val="auto"/>
        </w:rPr>
        <w:t>Contract</w:t>
      </w:r>
      <w:r>
        <w:rPr>
          <w:rFonts w:ascii="Times New Roman" w:cs="Times New Roman" w:eastAsia="Times New Roman" w:hAnsi="Times New Roman"/>
          <w:sz w:val="13"/>
          <w:szCs w:val="13"/>
          <w:b w:val="1"/>
          <w:bCs w:val="1"/>
          <w:color w:val="auto"/>
        </w:rPr>
        <w:t xml:space="preserve"> is the amount shown on your </w:t>
      </w:r>
      <w:r>
        <w:rPr>
          <w:rFonts w:ascii="Times New Roman" w:cs="Times New Roman" w:eastAsia="Times New Roman" w:hAnsi="Times New Roman"/>
          <w:sz w:val="13"/>
          <w:szCs w:val="13"/>
          <w:b w:val="1"/>
          <w:bCs w:val="1"/>
          <w:u w:val="single" w:color="auto"/>
          <w:color w:val="auto"/>
        </w:rPr>
        <w:t>Contract Schedule</w:t>
      </w:r>
      <w:r>
        <w:rPr>
          <w:rFonts w:ascii="Times New Roman" w:cs="Times New Roman" w:eastAsia="Times New Roman" w:hAnsi="Times New Roman"/>
          <w:sz w:val="13"/>
          <w:szCs w:val="13"/>
          <w:b w:val="1"/>
          <w:bCs w:val="1"/>
          <w:color w:val="auto"/>
        </w:rPr>
        <w:t xml:space="preserve"> and may vary by </w:t>
      </w:r>
      <w:r>
        <w:rPr>
          <w:rFonts w:ascii="Times New Roman" w:cs="Times New Roman" w:eastAsia="Times New Roman" w:hAnsi="Times New Roman"/>
          <w:sz w:val="13"/>
          <w:szCs w:val="13"/>
          <w:b w:val="1"/>
          <w:bCs w:val="1"/>
          <w:u w:val="single" w:color="auto"/>
          <w:color w:val="auto"/>
        </w:rPr>
        <w:t>Shield Rate</w:t>
      </w:r>
      <w:r>
        <w:rPr>
          <w:rFonts w:ascii="Times New Roman" w:cs="Times New Roman" w:eastAsia="Times New Roman" w:hAnsi="Times New Roman"/>
          <w:sz w:val="13"/>
          <w:szCs w:val="13"/>
          <w:b w:val="1"/>
          <w:bCs w:val="1"/>
          <w:color w:val="auto"/>
        </w:rPr>
        <w:t xml:space="preserve">, but will not be less than 4.5% for </w:t>
      </w:r>
      <w:r>
        <w:rPr>
          <w:rFonts w:ascii="Times New Roman" w:cs="Times New Roman" w:eastAsia="Times New Roman" w:hAnsi="Times New Roman"/>
          <w:sz w:val="13"/>
          <w:szCs w:val="13"/>
          <w:b w:val="1"/>
          <w:bCs w:val="1"/>
          <w:u w:val="single" w:color="auto"/>
          <w:color w:val="auto"/>
        </w:rPr>
        <w:t>Shield Options</w:t>
      </w:r>
      <w:r>
        <w:rPr>
          <w:rFonts w:ascii="Times New Roman" w:cs="Times New Roman" w:eastAsia="Times New Roman" w:hAnsi="Times New Roman"/>
          <w:sz w:val="13"/>
          <w:szCs w:val="13"/>
          <w:b w:val="1"/>
          <w:bCs w:val="1"/>
          <w:color w:val="auto"/>
        </w:rPr>
        <w:t xml:space="preserve"> with a 1-Year </w:t>
      </w:r>
      <w:r>
        <w:rPr>
          <w:rFonts w:ascii="Times New Roman" w:cs="Times New Roman" w:eastAsia="Times New Roman" w:hAnsi="Times New Roman"/>
          <w:sz w:val="13"/>
          <w:szCs w:val="13"/>
          <w:b w:val="1"/>
          <w:bCs w:val="1"/>
          <w:u w:val="single" w:color="auto"/>
          <w:color w:val="auto"/>
        </w:rPr>
        <w:t>Term</w:t>
      </w:r>
      <w:r>
        <w:rPr>
          <w:rFonts w:ascii="Times New Roman" w:cs="Times New Roman" w:eastAsia="Times New Roman" w:hAnsi="Times New Roman"/>
          <w:sz w:val="13"/>
          <w:szCs w:val="13"/>
          <w:b w:val="1"/>
          <w:bCs w:val="1"/>
          <w:color w:val="auto"/>
        </w:rPr>
        <w:t xml:space="preserve"> and 9% for </w:t>
      </w:r>
      <w:r>
        <w:rPr>
          <w:rFonts w:ascii="Times New Roman" w:cs="Times New Roman" w:eastAsia="Times New Roman" w:hAnsi="Times New Roman"/>
          <w:sz w:val="13"/>
          <w:szCs w:val="13"/>
          <w:b w:val="1"/>
          <w:bCs w:val="1"/>
          <w:u w:val="single" w:color="auto"/>
          <w:color w:val="auto"/>
        </w:rPr>
        <w:t>Shield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b w:val="1"/>
          <w:bCs w:val="1"/>
          <w:u w:val="single" w:color="auto"/>
          <w:color w:val="auto"/>
        </w:rPr>
        <w:t>Options</w:t>
      </w:r>
      <w:r>
        <w:rPr>
          <w:rFonts w:ascii="Times New Roman" w:cs="Times New Roman" w:eastAsia="Times New Roman" w:hAnsi="Times New Roman"/>
          <w:sz w:val="13"/>
          <w:szCs w:val="13"/>
          <w:b w:val="1"/>
          <w:bCs w:val="1"/>
          <w:color w:val="auto"/>
        </w:rPr>
        <w:t xml:space="preserve"> with a 2-Year </w:t>
      </w:r>
      <w:r>
        <w:rPr>
          <w:rFonts w:ascii="Times New Roman" w:cs="Times New Roman" w:eastAsia="Times New Roman" w:hAnsi="Times New Roman"/>
          <w:sz w:val="13"/>
          <w:szCs w:val="13"/>
          <w:b w:val="1"/>
          <w:bCs w:val="1"/>
          <w:u w:val="single" w:color="auto"/>
          <w:color w:val="auto"/>
        </w:rPr>
        <w:t>Term</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The Minimum Guaranteed </w:t>
      </w:r>
      <w:r>
        <w:rPr>
          <w:rFonts w:ascii="Times New Roman" w:cs="Times New Roman" w:eastAsia="Times New Roman" w:hAnsi="Times New Roman"/>
          <w:sz w:val="13"/>
          <w:szCs w:val="13"/>
          <w:b w:val="1"/>
          <w:bCs w:val="1"/>
          <w:u w:val="single" w:color="auto"/>
          <w:color w:val="auto"/>
        </w:rPr>
        <w:t>Edge Rate</w:t>
      </w:r>
      <w:r>
        <w:rPr>
          <w:rFonts w:ascii="Times New Roman" w:cs="Times New Roman" w:eastAsia="Times New Roman" w:hAnsi="Times New Roman"/>
          <w:sz w:val="13"/>
          <w:szCs w:val="13"/>
          <w:b w:val="1"/>
          <w:bCs w:val="1"/>
          <w:color w:val="auto"/>
        </w:rPr>
        <w:t xml:space="preserve"> for your </w:t>
      </w:r>
      <w:r>
        <w:rPr>
          <w:rFonts w:ascii="Times New Roman" w:cs="Times New Roman" w:eastAsia="Times New Roman" w:hAnsi="Times New Roman"/>
          <w:sz w:val="13"/>
          <w:szCs w:val="13"/>
          <w:b w:val="1"/>
          <w:bCs w:val="1"/>
          <w:u w:val="single" w:color="auto"/>
          <w:color w:val="auto"/>
        </w:rPr>
        <w:t>Contract</w:t>
      </w:r>
      <w:r>
        <w:rPr>
          <w:rFonts w:ascii="Times New Roman" w:cs="Times New Roman" w:eastAsia="Times New Roman" w:hAnsi="Times New Roman"/>
          <w:sz w:val="13"/>
          <w:szCs w:val="13"/>
          <w:b w:val="1"/>
          <w:bCs w:val="1"/>
          <w:color w:val="auto"/>
        </w:rPr>
        <w:t xml:space="preserve"> is the amount shown on your </w:t>
      </w:r>
      <w:r>
        <w:rPr>
          <w:rFonts w:ascii="Times New Roman" w:cs="Times New Roman" w:eastAsia="Times New Roman" w:hAnsi="Times New Roman"/>
          <w:sz w:val="13"/>
          <w:szCs w:val="13"/>
          <w:b w:val="1"/>
          <w:bCs w:val="1"/>
          <w:u w:val="single" w:color="auto"/>
          <w:color w:val="auto"/>
        </w:rPr>
        <w:t>Contract Schedule</w:t>
      </w:r>
      <w:r>
        <w:rPr>
          <w:rFonts w:ascii="Times New Roman" w:cs="Times New Roman" w:eastAsia="Times New Roman" w:hAnsi="Times New Roman"/>
          <w:sz w:val="13"/>
          <w:szCs w:val="13"/>
          <w:b w:val="1"/>
          <w:bCs w:val="1"/>
          <w:color w:val="auto"/>
        </w:rPr>
        <w:t xml:space="preserve"> and may vary by </w:t>
      </w:r>
      <w:r>
        <w:rPr>
          <w:rFonts w:ascii="Times New Roman" w:cs="Times New Roman" w:eastAsia="Times New Roman" w:hAnsi="Times New Roman"/>
          <w:sz w:val="13"/>
          <w:szCs w:val="13"/>
          <w:b w:val="1"/>
          <w:bCs w:val="1"/>
          <w:u w:val="single" w:color="auto"/>
          <w:color w:val="auto"/>
        </w:rPr>
        <w:t>Shield Rate</w:t>
      </w:r>
      <w:r>
        <w:rPr>
          <w:rFonts w:ascii="Times New Roman" w:cs="Times New Roman" w:eastAsia="Times New Roman" w:hAnsi="Times New Roman"/>
          <w:sz w:val="13"/>
          <w:szCs w:val="13"/>
          <w:b w:val="1"/>
          <w:bCs w:val="1"/>
          <w:color w:val="auto"/>
        </w:rPr>
        <w:t xml:space="preserve"> , but will not be less than 4.5% for </w:t>
      </w:r>
      <w:r>
        <w:rPr>
          <w:rFonts w:ascii="Times New Roman" w:cs="Times New Roman" w:eastAsia="Times New Roman" w:hAnsi="Times New Roman"/>
          <w:sz w:val="13"/>
          <w:szCs w:val="13"/>
          <w:b w:val="1"/>
          <w:bCs w:val="1"/>
          <w:u w:val="single" w:color="auto"/>
          <w:color w:val="auto"/>
        </w:rPr>
        <w:t>Shield Options</w:t>
      </w:r>
      <w:r>
        <w:rPr>
          <w:rFonts w:ascii="Times New Roman" w:cs="Times New Roman" w:eastAsia="Times New Roman" w:hAnsi="Times New Roman"/>
          <w:sz w:val="13"/>
          <w:szCs w:val="13"/>
          <w:b w:val="1"/>
          <w:bCs w:val="1"/>
          <w:color w:val="auto"/>
        </w:rPr>
        <w:t xml:space="preserve"> with a 1-Year </w:t>
      </w:r>
      <w:r>
        <w:rPr>
          <w:rFonts w:ascii="Times New Roman" w:cs="Times New Roman" w:eastAsia="Times New Roman" w:hAnsi="Times New Roman"/>
          <w:sz w:val="13"/>
          <w:szCs w:val="13"/>
          <w:b w:val="1"/>
          <w:bCs w:val="1"/>
          <w:u w:val="single" w:color="auto"/>
          <w:color w:val="auto"/>
        </w:rPr>
        <w:t>Term</w:t>
      </w:r>
      <w:r>
        <w:rPr>
          <w:rFonts w:ascii="Times New Roman" w:cs="Times New Roman" w:eastAsia="Times New Roman" w:hAnsi="Times New Roman"/>
          <w:sz w:val="13"/>
          <w:szCs w:val="13"/>
          <w:b w:val="1"/>
          <w:bCs w:val="1"/>
          <w:color w:val="auto"/>
        </w:rPr>
        <w:t xml:space="preserve"> and 9% for </w:t>
      </w:r>
      <w:r>
        <w:rPr>
          <w:rFonts w:ascii="Times New Roman" w:cs="Times New Roman" w:eastAsia="Times New Roman" w:hAnsi="Times New Roman"/>
          <w:sz w:val="13"/>
          <w:szCs w:val="13"/>
          <w:b w:val="1"/>
          <w:bCs w:val="1"/>
          <w:u w:val="single" w:color="auto"/>
          <w:color w:val="auto"/>
        </w:rPr>
        <w:t>Shield Options</w:t>
      </w:r>
      <w:r>
        <w:rPr>
          <w:rFonts w:ascii="Times New Roman" w:cs="Times New Roman" w:eastAsia="Times New Roman" w:hAnsi="Times New Roman"/>
          <w:sz w:val="13"/>
          <w:szCs w:val="13"/>
          <w:b w:val="1"/>
          <w:bCs w:val="1"/>
          <w:color w:val="auto"/>
        </w:rPr>
        <w:t xml:space="preserve"> with a 2-Year </w:t>
      </w:r>
      <w:r>
        <w:rPr>
          <w:rFonts w:ascii="Times New Roman" w:cs="Times New Roman" w:eastAsia="Times New Roman" w:hAnsi="Times New Roman"/>
          <w:sz w:val="13"/>
          <w:szCs w:val="13"/>
          <w:b w:val="1"/>
          <w:bCs w:val="1"/>
          <w:u w:val="single" w:color="auto"/>
          <w:color w:val="auto"/>
        </w:rPr>
        <w:t>Term</w:t>
      </w:r>
      <w:r>
        <w:rPr>
          <w:rFonts w:ascii="Times New Roman" w:cs="Times New Roman" w:eastAsia="Times New Roman" w:hAnsi="Times New Roman"/>
          <w:sz w:val="13"/>
          <w:szCs w:val="13"/>
          <w:color w:val="auto"/>
        </w:rPr>
        <w:t>.</w:t>
      </w:r>
    </w:p>
    <w:p>
      <w:pPr>
        <w:spacing w:after="0" w:line="56" w:lineRule="exact"/>
        <w:rPr>
          <w:sz w:val="20"/>
          <w:szCs w:val="20"/>
          <w:color w:val="auto"/>
        </w:rPr>
      </w:pPr>
    </w:p>
    <w:p>
      <w:pPr>
        <w:jc w:val="both"/>
        <w:ind w:left="1" w:right="3199"/>
        <w:spacing w:after="0" w:line="266" w:lineRule="auto"/>
        <w:rPr>
          <w:sz w:val="20"/>
          <w:szCs w:val="20"/>
          <w:color w:val="auto"/>
        </w:rPr>
      </w:pPr>
      <w:r>
        <w:rPr>
          <w:rFonts w:ascii="Times New Roman" w:cs="Times New Roman" w:eastAsia="Times New Roman" w:hAnsi="Times New Roman"/>
          <w:sz w:val="13"/>
          <w:szCs w:val="13"/>
          <w:color w:val="auto"/>
        </w:rPr>
        <w:t xml:space="preserve">The following is a list of </w:t>
      </w:r>
      <w:r>
        <w:rPr>
          <w:rFonts w:ascii="Times New Roman" w:cs="Times New Roman" w:eastAsia="Times New Roman" w:hAnsi="Times New Roman"/>
          <w:sz w:val="13"/>
          <w:szCs w:val="13"/>
          <w:u w:val="single" w:color="auto"/>
          <w:color w:val="auto"/>
        </w:rPr>
        <w:t>Fixed Options</w:t>
      </w:r>
      <w:r>
        <w:rPr>
          <w:rFonts w:ascii="Times New Roman" w:cs="Times New Roman" w:eastAsia="Times New Roman" w:hAnsi="Times New Roman"/>
          <w:sz w:val="13"/>
          <w:szCs w:val="13"/>
          <w:color w:val="auto"/>
        </w:rPr>
        <w:t xml:space="preserve"> currently available under the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We may change the features of the </w:t>
      </w:r>
      <w:r>
        <w:rPr>
          <w:rFonts w:ascii="Times New Roman" w:cs="Times New Roman" w:eastAsia="Times New Roman" w:hAnsi="Times New Roman"/>
          <w:sz w:val="13"/>
          <w:szCs w:val="13"/>
          <w:u w:val="single" w:color="auto"/>
          <w:color w:val="auto"/>
        </w:rPr>
        <w:t>Fixed Options</w:t>
      </w:r>
      <w:r>
        <w:rPr>
          <w:rFonts w:ascii="Times New Roman" w:cs="Times New Roman" w:eastAsia="Times New Roman" w:hAnsi="Times New Roman"/>
          <w:sz w:val="13"/>
          <w:szCs w:val="13"/>
          <w:color w:val="auto"/>
        </w:rPr>
        <w:t xml:space="preserve"> listed below, offer new </w:t>
      </w:r>
      <w:r>
        <w:rPr>
          <w:rFonts w:ascii="Times New Roman" w:cs="Times New Roman" w:eastAsia="Times New Roman" w:hAnsi="Times New Roman"/>
          <w:sz w:val="13"/>
          <w:szCs w:val="13"/>
          <w:u w:val="single" w:color="auto"/>
          <w:color w:val="auto"/>
        </w:rPr>
        <w:t>Fixed Options</w:t>
      </w:r>
      <w:r>
        <w:rPr>
          <w:rFonts w:ascii="Times New Roman" w:cs="Times New Roman" w:eastAsia="Times New Roman" w:hAnsi="Times New Roman"/>
          <w:sz w:val="13"/>
          <w:szCs w:val="13"/>
          <w:color w:val="auto"/>
        </w:rPr>
        <w:t xml:space="preserve">, and terminate existing </w:t>
      </w:r>
      <w:r>
        <w:rPr>
          <w:rFonts w:ascii="Times New Roman" w:cs="Times New Roman" w:eastAsia="Times New Roman" w:hAnsi="Times New Roman"/>
          <w:sz w:val="13"/>
          <w:szCs w:val="13"/>
          <w:u w:val="single" w:color="auto"/>
          <w:color w:val="auto"/>
        </w:rPr>
        <w:t>Fixed Options</w:t>
      </w:r>
      <w:r>
        <w:rPr>
          <w:rFonts w:ascii="Times New Roman" w:cs="Times New Roman" w:eastAsia="Times New Roman" w:hAnsi="Times New Roman"/>
          <w:sz w:val="13"/>
          <w:szCs w:val="13"/>
          <w:color w:val="auto"/>
        </w:rPr>
        <w:t xml:space="preserve">. We will provide you with written notice before doing so. See “THE </w:t>
      </w:r>
      <w:r>
        <w:rPr>
          <w:rFonts w:ascii="Times New Roman" w:cs="Times New Roman" w:eastAsia="Times New Roman" w:hAnsi="Times New Roman"/>
          <w:sz w:val="13"/>
          <w:szCs w:val="13"/>
          <w:u w:val="single" w:color="auto"/>
          <w:color w:val="auto"/>
        </w:rPr>
        <w:t>FIXED ACCOUNT</w:t>
      </w:r>
      <w:r>
        <w:rPr>
          <w:rFonts w:ascii="Times New Roman" w:cs="Times New Roman" w:eastAsia="Times New Roman" w:hAnsi="Times New Roman"/>
          <w:sz w:val="13"/>
          <w:szCs w:val="13"/>
          <w:color w:val="auto"/>
        </w:rPr>
        <w:t xml:space="preserve"> ” section in the prospectus and Appendix E in the prospectus for information regarding the </w:t>
      </w:r>
      <w:r>
        <w:rPr>
          <w:rFonts w:ascii="Times New Roman" w:cs="Times New Roman" w:eastAsia="Times New Roman" w:hAnsi="Times New Roman"/>
          <w:sz w:val="13"/>
          <w:szCs w:val="13"/>
          <w:u w:val="single" w:color="auto"/>
          <w:color w:val="auto"/>
        </w:rPr>
        <w:t>Fixed Account</w:t>
      </w:r>
      <w:r>
        <w:rPr>
          <w:rFonts w:ascii="Times New Roman" w:cs="Times New Roman" w:eastAsia="Times New Roman" w:hAnsi="Times New Roman"/>
          <w:sz w:val="13"/>
          <w:szCs w:val="13"/>
          <w:color w:val="auto"/>
        </w:rPr>
        <w:t>.</w:t>
      </w:r>
    </w:p>
    <w:p>
      <w:pPr>
        <w:spacing w:after="0" w:line="79" w:lineRule="exact"/>
        <w:rPr>
          <w:sz w:val="20"/>
          <w:szCs w:val="20"/>
          <w:color w:val="auto"/>
        </w:rPr>
      </w:pPr>
    </w:p>
    <w:tbl>
      <w:tblPr>
        <w:tblLayout w:type="fixed"/>
        <w:tblInd w:w="11" w:type="dxa"/>
        <w:tblCellMar>
          <w:top w:w="0" w:type="dxa"/>
          <w:left w:w="0" w:type="dxa"/>
          <w:bottom w:w="0" w:type="dxa"/>
          <w:right w:w="0" w:type="dxa"/>
        </w:tblCellMar>
      </w:tblPr>
      <w:tr>
        <w:trPr>
          <w:trHeight w:val="223"/>
        </w:trPr>
        <w:tc>
          <w:tcPr>
            <w:tcW w:w="22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Name</w:t>
            </w:r>
          </w:p>
        </w:tc>
        <w:tc>
          <w:tcPr>
            <w:tcW w:w="144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Fixed Account Term</w:t>
            </w:r>
          </w:p>
        </w:tc>
        <w:tc>
          <w:tcPr>
            <w:tcW w:w="236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Minimum Guaranteed Interest Rate</w:t>
            </w:r>
            <w:r>
              <w:rPr>
                <w:rFonts w:ascii="Arial" w:cs="Arial" w:eastAsia="Arial" w:hAnsi="Arial"/>
                <w:sz w:val="17"/>
                <w:szCs w:val="17"/>
                <w:b w:val="1"/>
                <w:bCs w:val="1"/>
                <w:color w:val="auto"/>
                <w:vertAlign w:val="superscript"/>
              </w:rPr>
              <w:t>2</w:t>
            </w:r>
          </w:p>
        </w:tc>
      </w:tr>
      <w:tr>
        <w:trPr>
          <w:trHeight w:val="173"/>
        </w:trPr>
        <w:tc>
          <w:tcPr>
            <w:tcW w:w="228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Fixed Account</w:t>
            </w:r>
          </w:p>
        </w:tc>
        <w:tc>
          <w:tcPr>
            <w:tcW w:w="144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 Year</w:t>
            </w:r>
          </w:p>
        </w:tc>
        <w:tc>
          <w:tcPr>
            <w:tcW w:w="236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-267335</wp:posOffset>
            </wp:positionV>
            <wp:extent cx="3842385" cy="1384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842385" cy="138430"/>
                    </a:xfrm>
                    <a:prstGeom prst="rect">
                      <a:avLst/>
                    </a:prstGeom>
                    <a:noFill/>
                  </pic:spPr>
                </pic:pic>
              </a:graphicData>
            </a:graphic>
          </wp:anchor>
        </w:drawing>
      </w:r>
    </w:p>
    <w:p>
      <w:pPr>
        <w:spacing w:after="0" w:line="42" w:lineRule="exact"/>
        <w:rPr>
          <w:sz w:val="20"/>
          <w:szCs w:val="20"/>
          <w:color w:val="auto"/>
        </w:rPr>
      </w:pPr>
    </w:p>
    <w:p>
      <w:pPr>
        <w:ind w:left="1" w:right="3199" w:hanging="1"/>
        <w:spacing w:after="0" w:line="248" w:lineRule="auto"/>
        <w:tabs>
          <w:tab w:leader="none" w:pos="77" w:val="left"/>
        </w:tabs>
        <w:numPr>
          <w:ilvl w:val="0"/>
          <w:numId w:val="5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 xml:space="preserve">The actual Minimum Guaranteed Interest Rate for your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is the amount shown on your </w:t>
      </w:r>
      <w:r>
        <w:rPr>
          <w:rFonts w:ascii="Times New Roman" w:cs="Times New Roman" w:eastAsia="Times New Roman" w:hAnsi="Times New Roman"/>
          <w:sz w:val="13"/>
          <w:szCs w:val="13"/>
          <w:u w:val="single" w:color="auto"/>
          <w:color w:val="auto"/>
        </w:rPr>
        <w:t>Contract Schedule</w:t>
      </w:r>
      <w:r>
        <w:rPr>
          <w:rFonts w:ascii="Times New Roman" w:cs="Times New Roman" w:eastAsia="Times New Roman" w:hAnsi="Times New Roman"/>
          <w:sz w:val="13"/>
          <w:szCs w:val="13"/>
          <w:color w:val="auto"/>
        </w:rPr>
        <w:t xml:space="preserve"> and applies only to amounts in the </w:t>
      </w:r>
      <w:r>
        <w:rPr>
          <w:rFonts w:ascii="Times New Roman" w:cs="Times New Roman" w:eastAsia="Times New Roman" w:hAnsi="Times New Roman"/>
          <w:sz w:val="13"/>
          <w:szCs w:val="13"/>
          <w:u w:val="single" w:color="auto"/>
          <w:color w:val="auto"/>
        </w:rPr>
        <w:t>Fixed Account</w:t>
      </w:r>
      <w:r>
        <w:rPr>
          <w:rFonts w:ascii="Times New Roman" w:cs="Times New Roman" w:eastAsia="Times New Roman" w:hAnsi="Times New Roman"/>
          <w:sz w:val="13"/>
          <w:szCs w:val="13"/>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1669415</wp:posOffset>
            </wp:positionH>
            <wp:positionV relativeFrom="paragraph">
              <wp:posOffset>-22225</wp:posOffset>
            </wp:positionV>
            <wp:extent cx="25400" cy="63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540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941"/>
        <w:spacing w:after="0"/>
        <w:rPr>
          <w:sz w:val="20"/>
          <w:szCs w:val="20"/>
          <w:color w:val="auto"/>
        </w:rPr>
      </w:pPr>
      <w:r>
        <w:rPr>
          <w:rFonts w:ascii="Times New Roman" w:cs="Times New Roman" w:eastAsia="Times New Roman" w:hAnsi="Times New Roman"/>
          <w:sz w:val="13"/>
          <w:szCs w:val="13"/>
          <w:color w:val="auto"/>
        </w:rPr>
        <w:t>A-3</w:t>
      </w:r>
    </w:p>
    <w:p>
      <w:pPr>
        <w:sectPr>
          <w:pgSz w:w="11900" w:h="16838" w:orient="portrait"/>
          <w:cols w:equalWidth="0" w:num="1">
            <w:col w:w="9261"/>
          </w:cols>
          <w:pgMar w:left="1199" w:top="1047" w:right="1440" w:bottom="1440" w:gutter="0" w:footer="0" w:header="0"/>
        </w:sectPr>
      </w:pPr>
    </w:p>
    <w:bookmarkStart w:id="79" w:name="page80"/>
    <w:bookmarkEnd w:id="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3520" w:type="dxa"/>
            <w:vAlign w:val="bottom"/>
            <w:vMerge w:val="restart"/>
          </w:tcPr>
          <w:p>
            <w:pPr>
              <w:ind w:left="820"/>
              <w:spacing w:after="0"/>
              <w:rPr>
                <w:sz w:val="20"/>
                <w:szCs w:val="20"/>
                <w:color w:val="auto"/>
              </w:rPr>
            </w:pPr>
            <w:r>
              <w:rPr>
                <w:rFonts w:ascii="Times New Roman" w:cs="Times New Roman" w:eastAsia="Times New Roman" w:hAnsi="Times New Roman"/>
                <w:sz w:val="13"/>
                <w:szCs w:val="13"/>
                <w:color w:val="auto"/>
                <w:w w:val="99"/>
              </w:rPr>
              <w:t>(THIS PAGE INTENTIONALLY LEFT BLANK.)</w:t>
            </w:r>
          </w:p>
        </w:tc>
        <w:tc>
          <w:tcPr>
            <w:tcW w:w="0" w:type="dxa"/>
            <w:vAlign w:val="bottom"/>
          </w:tcPr>
          <w:p>
            <w:pPr>
              <w:spacing w:after="0"/>
              <w:rPr>
                <w:sz w:val="1"/>
                <w:szCs w:val="1"/>
                <w:color w:val="auto"/>
              </w:rPr>
            </w:pPr>
          </w:p>
        </w:tc>
      </w:tr>
      <w:tr>
        <w:trPr>
          <w:trHeight w:val="67"/>
        </w:trPr>
        <w:tc>
          <w:tcPr>
            <w:tcW w:w="860" w:type="dxa"/>
            <w:vAlign w:val="bottom"/>
          </w:tcPr>
          <w:p>
            <w:pPr>
              <w:spacing w:after="0"/>
              <w:rPr>
                <w:sz w:val="5"/>
                <w:szCs w:val="5"/>
                <w:color w:val="auto"/>
              </w:rPr>
            </w:pPr>
          </w:p>
        </w:tc>
        <w:tc>
          <w:tcPr>
            <w:tcW w:w="3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259"/>
          </w:cols>
          <w:pgMar w:left="1200" w:top="1440" w:right="1440" w:bottom="1440" w:gutter="0" w:footer="0" w:header="0"/>
        </w:sectPr>
      </w:pPr>
    </w:p>
    <w:bookmarkStart w:id="80" w:name="page81"/>
    <w:bookmarkEnd w:id="80"/>
    <w:p>
      <w:pPr>
        <w:jc w:val="center"/>
        <w:ind w:right="319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93915" cy="38100"/>
                    </a:xfrm>
                    <a:prstGeom prst="rect">
                      <a:avLst/>
                    </a:prstGeom>
                    <a:noFill/>
                  </pic:spPr>
                </pic:pic>
              </a:graphicData>
            </a:graphic>
          </wp:anchor>
        </w:drawing>
        <w:t>APPENDIX B</w:t>
      </w:r>
    </w:p>
    <w:p>
      <w:pPr>
        <w:spacing w:after="0" w:line="99" w:lineRule="exact"/>
        <w:rPr>
          <w:sz w:val="20"/>
          <w:szCs w:val="20"/>
          <w:color w:val="auto"/>
        </w:rPr>
      </w:pPr>
    </w:p>
    <w:p>
      <w:pPr>
        <w:jc w:val="center"/>
        <w:ind w:right="3179"/>
        <w:spacing w:after="0"/>
        <w:rPr>
          <w:sz w:val="20"/>
          <w:szCs w:val="20"/>
          <w:color w:val="auto"/>
        </w:rPr>
      </w:pPr>
      <w:r>
        <w:rPr>
          <w:rFonts w:ascii="Times New Roman" w:cs="Times New Roman" w:eastAsia="Times New Roman" w:hAnsi="Times New Roman"/>
          <w:sz w:val="13"/>
          <w:szCs w:val="13"/>
          <w:b w:val="1"/>
          <w:bCs w:val="1"/>
          <w:color w:val="auto"/>
        </w:rPr>
        <w:t>INDEX PUBLISHERS</w:t>
      </w:r>
    </w:p>
    <w:p>
      <w:pPr>
        <w:spacing w:after="0" w:line="91" w:lineRule="exact"/>
        <w:rPr>
          <w:sz w:val="20"/>
          <w:szCs w:val="20"/>
          <w:color w:val="auto"/>
        </w:rPr>
      </w:pPr>
    </w:p>
    <w:p>
      <w:pPr>
        <w:jc w:val="both"/>
        <w:ind w:right="3199" w:firstLine="265"/>
        <w:spacing w:after="0" w:line="272" w:lineRule="auto"/>
        <w:rPr>
          <w:sz w:val="20"/>
          <w:szCs w:val="20"/>
          <w:color w:val="auto"/>
        </w:rPr>
      </w:pPr>
      <w:r>
        <w:rPr>
          <w:rFonts w:ascii="Times New Roman" w:cs="Times New Roman" w:eastAsia="Times New Roman" w:hAnsi="Times New Roman"/>
          <w:sz w:val="13"/>
          <w:szCs w:val="13"/>
          <w:color w:val="auto"/>
        </w:rPr>
        <w:t>BLNY uses the Indices under license from the Indices’ respective publishers. The following information about the Indices is included in this prospectus in accordance with BLNY’s license agreements with the publishers of the Indices:</w:t>
      </w:r>
    </w:p>
    <w:p>
      <w:pPr>
        <w:spacing w:after="0" w:line="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S&amp;P Opco, LLC requires that the following disclaimer be included in this prospectus:</w:t>
      </w:r>
    </w:p>
    <w:p>
      <w:pPr>
        <w:spacing w:after="0" w:line="86" w:lineRule="exact"/>
        <w:rPr>
          <w:sz w:val="20"/>
          <w:szCs w:val="20"/>
          <w:color w:val="auto"/>
        </w:rPr>
      </w:pPr>
    </w:p>
    <w:p>
      <w:pPr>
        <w:jc w:val="both"/>
        <w:ind w:right="3179" w:firstLine="265"/>
        <w:spacing w:after="0" w:line="227" w:lineRule="auto"/>
        <w:rPr>
          <w:sz w:val="20"/>
          <w:szCs w:val="20"/>
          <w:color w:val="auto"/>
        </w:rPr>
      </w:pPr>
      <w:r>
        <w:rPr>
          <w:rFonts w:ascii="Times New Roman" w:cs="Times New Roman" w:eastAsia="Times New Roman" w:hAnsi="Times New Roman"/>
          <w:sz w:val="13"/>
          <w:szCs w:val="13"/>
          <w:color w:val="auto"/>
        </w:rPr>
        <w:t>The S&amp;P 500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is a product of S&amp;P Dow Jones Indices LLC or its affiliates (“SPDJI”) and has been licensed for use by affiliates of Brighthouse Financial, Inc., including Brighthouse Services, LLC and Brighthouse Life Insurance Company (collectively, “Brighthouse Financial”). S&amp;P</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S&amp;P 500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US 500, The 500, iBoxx</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iTraxx</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and CDX</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are trademarks of S&amp;P Global, Inc. or its affiliates (“S&amp;P”); Dow Jones</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is a registered trademark of Dow Jones Trademark Holdings LLC (“Dow Jones”); and these trademarks have been licensed for use by SPDJI and sublicensed for certain purposes by Brighthouse Financial. It is not possible to invest directly in an index. Brighthouse Shield</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Level II 6-Year Annuity is not sponsored, endorsed, sold or promoted by SPDJI, Dow Jones, S&amp;P, any of their respective affiliates (collectively, “S&amp;P Dow Jones Indices”). S&amp;P Dow Jones Indices makes no representation or warranty, express or implied, to the owners of Brighthouse Shield</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Level II 6-Year Annuity or any member of the public regarding the advisability of investing in securities generally or in Brighthouse Shield</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Level II 6-Year Annuity particularly or the ability of the S&amp;P 500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to track general market performance. Past performance of an index is not an indication or guarantee of future results. S&amp;P Dow Jones Indices’ only relationship to Brighthouse Financial with respect to the S&amp;P 500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is the licensing of the Index and certain trademarks, service marks and/or trade names of S&amp;P Dow Jones Indices and/or its licensors. The S&amp;P 500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is determined, composed and calculated by S&amp;P Dow Jones Indices without regard to Brighthouse Financial or Brighthouse Shield</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Level II 6-Year Annuity. S&amp;P Dow Jones Indices have no obligation to take the needs of Brighthouse Financial or the owners of Brighthouse Shield</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Level II 6-Year Annuity into consideration in determining, composing or calculating the S&amp;P 500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S&amp;P Dow Jones Indices have no obligation or liability in connection with the administration, marketing or trading of Brighthouse Shield</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Level II 6-Year Annuity. There is no assurance that investment products based on the S&amp;P 500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will accurately track index performance or provide positive investment returns. S&amp;P Dow Jones Indices LLC is not an investment adviser, commodity trading advisory, commodity pool operator, broker dealer, fiduciary, promoter” (as defined in the Investment Company Act of 1940, as amended), “expert” as enumerated within 15 U.S.C. § 77k(a) or tax advisor. Inclusion of a security, commodity, crypto currency or other asset within an index is not a recommendation by S&amp;P Dow Jones Indices to buy, sell, or hold such security, commodity, crypto currency or other asset, nor is it considered to be investment advice or commodity trading advice.</w:t>
      </w:r>
    </w:p>
    <w:p>
      <w:pPr>
        <w:spacing w:after="0" w:line="72" w:lineRule="exact"/>
        <w:rPr>
          <w:sz w:val="20"/>
          <w:szCs w:val="20"/>
          <w:color w:val="auto"/>
        </w:rPr>
      </w:pPr>
    </w:p>
    <w:p>
      <w:pPr>
        <w:jc w:val="both"/>
        <w:ind w:right="3199" w:firstLine="265"/>
        <w:spacing w:after="0" w:line="244" w:lineRule="auto"/>
        <w:rPr>
          <w:sz w:val="20"/>
          <w:szCs w:val="20"/>
          <w:color w:val="auto"/>
        </w:rPr>
      </w:pPr>
      <w:r>
        <w:rPr>
          <w:rFonts w:ascii="Times New Roman" w:cs="Times New Roman" w:eastAsia="Times New Roman" w:hAnsi="Times New Roman"/>
          <w:sz w:val="13"/>
          <w:szCs w:val="13"/>
          <w:color w:val="auto"/>
        </w:rPr>
        <w:t>NEITHER S&amp;P DOW JONES INDICES NOR THIRD PARTY LICENSOR GUARANTEES THE ADEQUACY, ACCURACY, TIMELINESS AND/OR THE COMPLETENESS OF THE S&amp;P 500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INDEX OR ANY DATA RELATED THERETO OR ANY COMMUNICATION, INCLUDING BUT NOT LIMITED TO, ORAL OR WRITTEN COMMUNICATION (INCLUDING ELECTRONIC COMMUNICATIONS) WITH RESPECT THERETO. S&amp;P DOW JONES INDICES SHALL NOT BE SUBJECT TO ANY DAMAGES OR LIABILITY FOR ANY ERRORS, OMISSIONS, OR DELAYS THEREIN. S&amp;P DOW JONES INDICES MAKES NO EXPRESS OR IMPLIED WARRANTIES, AND EXPRESSLY DISCLAIMS ALL WARRANTIES, OF MERCHANTABILITY OR FITNESS FOR A PARTICULAR PURPOSE OR USE OR AS TO RESULTS TO BE OBTAINED BY BRIGHTHOUSE FINANCIAL, OWNERS OF BRIGHTHOUSE SHIELD</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LEVEL II 6-YEAR ANNUITY, OR ANY OTHER PERSON OR ENTITY FROM THE USE OF THE S&amp;P 500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OR WITH RESPECT TO ANY DATA RELATED THERETO. WITHOUT LIMITING ANY OF THE FOREGOING, IN NO EVENT WHATSOEVER SHALL S&amp;P DOW JONES INDICES BE LIABLE FOR ANY INDIRECT, SPECIAL, INCIDENTAL, PUNITIVE, OR CONSEQUENTIAL DAMAGES INCLUDING BUT NOT LIMITED TO, LOSS OF PROFITS, TRADING LOSSES, LOST TIME OR GOODWILL, EVEN IF THEY HAVE BEEN ADVISED OF THE POSSIBILITY OF SUCH DAMAGES, WHETHER IN CONTRACT, TORT, STRICT LIABILITY, OR OTHERWISE. S&amp;P DOW JONES INDICES HAS NOT REVIEWED, PREPARED AND/OR CERTIFIED ANY PORTION OF, NOR DOES S&amp;P DOW JONES INDICES HAVE ANY CONTROL OVER, THE LICENSEE BRIGHTHOUSE SHIELD</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LEVEL II 6-YEAR ANNUITY REGISTRATION STATEMENT, PROSPECTUS OR OTHER OFFERING MATERIALS. THERE ARE NO THIRD-PARTY BENEFICIARIES OF ANY AGREEMENTS OR ARRANGEMENTS BETWEEN S&amp;P DOW JONES INDICES AND BRIGHTHOUSE FINANCIAL, OTHER THAN THE LICENSORS OF S&amp;P DOW JONES INDICES.</w:t>
      </w:r>
    </w:p>
    <w:p>
      <w:pPr>
        <w:spacing w:after="0" w:line="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Frank Russell Company requires that the following disclaimer be included in this prospectus:</w:t>
      </w:r>
    </w:p>
    <w:p>
      <w:pPr>
        <w:spacing w:after="0" w:line="76" w:lineRule="exact"/>
        <w:rPr>
          <w:sz w:val="20"/>
          <w:szCs w:val="20"/>
          <w:color w:val="auto"/>
        </w:rPr>
      </w:pPr>
    </w:p>
    <w:p>
      <w:pPr>
        <w:jc w:val="both"/>
        <w:ind w:right="3199" w:firstLine="265"/>
        <w:spacing w:after="0"/>
        <w:rPr>
          <w:sz w:val="20"/>
          <w:szCs w:val="20"/>
          <w:color w:val="auto"/>
        </w:rPr>
      </w:pPr>
      <w:r>
        <w:rPr>
          <w:rFonts w:ascii="Times New Roman" w:cs="Times New Roman" w:eastAsia="Times New Roman" w:hAnsi="Times New Roman"/>
          <w:sz w:val="13"/>
          <w:szCs w:val="13"/>
          <w:color w:val="auto"/>
        </w:rPr>
        <w:t>The Brighthouse Shield</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Level II 6-Year Annuity is not sponsored, endorsed, sold or promoted by Frank Russell Company (“Russell”). Russell makes no representation or warranty, express or implied, to the owners of the Brighthouse Shield</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Level II 6-Year Annuity or any member of the public regarding the advisability of investing in securities generally or in the Brighthouse Shield</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Level II 6-Year Annuity particularly or the ability of the Russell 2000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Index to track general stock market performance or a segment of the same. Russell’s publication of the Russell 2000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Index in no way suggests or implies an opinion by Russell as to the advisability of investment in any or all of the securities upon which the Russell 2000® Index is based. Russell’s only relationship to affiliates of Brighthouse Financial, Inc., including Brighthouse Services, LLC and Brighthouse Life Insurance Company (collectively, “Brighthouse Financial”) is the licensing of certain trademarks and trade names of Russell and of the Russell 2000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Index which is determined, composed and calculated by Russell without regard to</w:t>
      </w:r>
    </w:p>
    <w:p>
      <w:pPr>
        <w:spacing w:after="0" w:line="24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3"/>
          <w:szCs w:val="13"/>
          <w:color w:val="auto"/>
        </w:rPr>
        <w:t>B-1</w:t>
      </w:r>
    </w:p>
    <w:p>
      <w:pPr>
        <w:sectPr>
          <w:pgSz w:w="11900" w:h="16838" w:orient="portrait"/>
          <w:cols w:equalWidth="0" w:num="1">
            <w:col w:w="9259"/>
          </w:cols>
          <w:pgMar w:left="1200" w:top="1047" w:right="1440" w:bottom="1440" w:gutter="0" w:footer="0" w:header="0"/>
        </w:sectPr>
      </w:pPr>
    </w:p>
    <w:bookmarkStart w:id="81" w:name="page82"/>
    <w:bookmarkEnd w:id="81"/>
    <w:p>
      <w:pPr>
        <w:jc w:val="both"/>
        <w:ind w:right="3199"/>
        <w:spacing w:after="0" w:line="23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93915" cy="38100"/>
                    </a:xfrm>
                    <a:prstGeom prst="rect">
                      <a:avLst/>
                    </a:prstGeom>
                    <a:noFill/>
                  </pic:spPr>
                </pic:pic>
              </a:graphicData>
            </a:graphic>
          </wp:anchor>
        </w:drawing>
        <w:t>Brighthouse Financial or the Brighthouse Shield</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Level II 6-Year Annuity. Russell is not responsible for and has not reviewed the Brighthouse Shield</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Level II 6-Year Annuity nor any associated literature or publications and Russell makes no representation or warranty express or implied as to their accuracy or completeness, or otherwise. Russell reserves the right, at any time and without notice, to alter, amend, terminate or in any way change the Russell 2000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Index. Russell has no obligation or liability in connection with the administration, marketing or trading of the Brighthouse Shield</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Level II 6-Year Annuity.</w:t>
      </w:r>
    </w:p>
    <w:p>
      <w:pPr>
        <w:spacing w:after="0" w:line="39" w:lineRule="exact"/>
        <w:rPr>
          <w:sz w:val="20"/>
          <w:szCs w:val="20"/>
          <w:color w:val="auto"/>
        </w:rPr>
      </w:pPr>
    </w:p>
    <w:p>
      <w:pPr>
        <w:jc w:val="both"/>
        <w:ind w:right="3199" w:firstLine="265"/>
        <w:spacing w:after="0" w:line="237" w:lineRule="auto"/>
        <w:rPr>
          <w:sz w:val="20"/>
          <w:szCs w:val="20"/>
          <w:color w:val="auto"/>
        </w:rPr>
      </w:pPr>
      <w:r>
        <w:rPr>
          <w:rFonts w:ascii="Times New Roman" w:cs="Times New Roman" w:eastAsia="Times New Roman" w:hAnsi="Times New Roman"/>
          <w:sz w:val="13"/>
          <w:szCs w:val="13"/>
          <w:color w:val="auto"/>
        </w:rPr>
        <w:t>RUSSELL DOES NOT GUARANTEE THE ACCURACY AND/OR THE COMPLETENESS OF THE RUSSELL 2000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INDEX OR ANY DATA INCLUDED THEREIN AND RUSSELL SHALL HAVE NO LIABILITY FOR ANY ERRORS, OMISSIONS, OR INTERRUPTIONS THEREIN. RUSSELL MAKES NO WARRANTY, EXPRESS OR IMPLIED, AS TO RESULTS TO BE OBTAINED BY BRIGHTHOUSE FINANCIAL, INVESTORS, OWNERS OF THE BRIGHTHOUSE SHIELD</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LEVEL II 6-YEAR ANNUITY OR ANY OTHER PERSON OR ENTITY FROM THE USE OF THE RUSSELL 2000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INDEX OR ANY DATA INCLUDED THEREIN. RUSSELL MAKES NO EXPRESS OR IMPLIED WARRANTIES, AND EXPRESSLY DISCLAIMS ALL WARRANTIES OF MERCHANTABILITY OR FITNESS FOR A PARTICULAR PURPOSE OR USE WITH RESPECT TO THE RUSSELL 2000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INDEX OR ANY DATA INCLUDED THEREIN. WITHOUT LIMITING ANY OF THE FOREGOING, IN NO EVENT SHALL RUSSELL HAVE ANY LIABILITY FOR ANY SPECIAL, PUNITIVE, INDIRECT, OR CONSEQUENTIAL DAMAGES (INCLUDING LOST PROFITS), EVEN IF NOTIFIED OF THE POSSIBILITY OF SUCH DAMAGES.</w:t>
      </w:r>
    </w:p>
    <w:p>
      <w:pPr>
        <w:spacing w:after="0" w:line="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MSCI Inc. requires that the following disclaimer be included in this prospectus:</w:t>
      </w:r>
    </w:p>
    <w:p>
      <w:pPr>
        <w:spacing w:after="0" w:line="76" w:lineRule="exact"/>
        <w:rPr>
          <w:sz w:val="20"/>
          <w:szCs w:val="20"/>
          <w:color w:val="auto"/>
        </w:rPr>
      </w:pPr>
    </w:p>
    <w:p>
      <w:pPr>
        <w:jc w:val="both"/>
        <w:ind w:right="3199" w:firstLine="265"/>
        <w:spacing w:after="0" w:line="254" w:lineRule="auto"/>
        <w:rPr>
          <w:sz w:val="20"/>
          <w:szCs w:val="20"/>
          <w:color w:val="auto"/>
        </w:rPr>
      </w:pPr>
      <w:r>
        <w:rPr>
          <w:rFonts w:ascii="Times New Roman" w:cs="Times New Roman" w:eastAsia="Times New Roman" w:hAnsi="Times New Roman"/>
          <w:sz w:val="13"/>
          <w:szCs w:val="13"/>
          <w:color w:val="auto"/>
        </w:rPr>
        <w:t>THE BRIGHTHOUSE SHIELD</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LEVEL II 6-YEAR ANNUITY IS NOT SPONSORED, ENDORSED, SOLD OR PROMOTED BY MSCI INC. (“MSCI”), ANY OF ITS AFFILIATES, ANY OF ITS INFORMATION PROVIDERS OR ANY OTHER THIRD PARTY INVOLVED IN, OR RELATED TO, COMPILING, COMPUTING OR CREATING ANY MSCI INDEX (COLLECTIVELY, THE “MSCI PARTIES”). THE MSCI INDEXES ARE THE EXCLUSIVE PROPERTY OF MSCI. MSCI AND THE MSCI INDEX NAMES ARE SERVICE MARK(S) OF MSCI OR ITS AFFILIATES AND HAVE BEEN LICENSED FOR USE FOR CERTAIN PURPOSES BY AFFILIATES OF BRIGHTHOUSE FINANCIAL, INC. INCLUDING BRIGHTHOUSE SERVICES, LLC, BRIGHTHOUSE LIFE INSURANCE COMPANY, AND BRIGHTHOUSE LIFE INSURANCE COMPANY OF NY (COLLECTIVELY, “BRIGHTHOUSE FINANCIAL”). NONE OF THE MSCI PARTIES MAKES ANY REPRESENTATION OR WARRANTY, EXPRESS OR IMPLIED, TO THE ISSUER OR OWNERS OF THIS PRODUCT OR ANY OTHER PERSON OR ENTITY REGARDING THE ADVISABILITY OF INVESTING IN PRODUCTS GENERALLY OR IN THIS PRODUCT PARTICULARLY OR THE ABILITY OF ANY MSCI INDEX TO TRACK CORRESPONDING STOCK MARKET PERFORMANCE. MSCI OR ITS AFFILIATES ARE THE LICENSORS OF CERTAIN TRADEMARKS, SERVICE MARKS AND TRADE NAMES AND OF THE MSCI INDEXES WHICH ARE DETERMINED, COMPOSED AND CALCULATED BY MSCI WITHOUT REGARD TO THIS PRODUCT OR THE ISSUER OR OWNERS OF THIS PRODUCT OR ANY OTHER PERSON OR ENTITY. NONE OF THE MSCI PARTIES HAS ANY OBLIGATION TO TAKE THE NEEDS OF THE ISSUER OR OWNERS OF THIS PRODUCT OR ANY OTHER PERSON OR ENTITY INTO CONSIDERATION IN DETERMINING, COMPOSING OR CALCULATING THE MSCI INDEXES. NONE OF THE MSCI PARTIES IS RESPONSIBLE FOR OR HAS PARTICIPATED IN THE DETERMINATION OF THE TIMING OF, PRICES AT, OR QUANTITIES OF THIS PRODUCT TO BE ISSUED OR IN THE DETERMINATION OR CALCULATION OF THE EQUATION BY OR THE CONSIDERATION INTO WHICH THIS PRODUCT IS REDEEMABLE. FURTHER, NONE OF THE MSCI PARTIES HAS ANY OBLIGATION OR LIABILITY TO THE ISSUER OR OWNERS OF THIS PRODUCT OR ANY OTHER PERSON OR ENTITY IN CONNECTION WITH THE ADMINISTRATION, MARKETING OR OFFERING OF THIS PRODUCT.</w:t>
      </w:r>
    </w:p>
    <w:p>
      <w:pPr>
        <w:spacing w:after="0" w:line="66" w:lineRule="exact"/>
        <w:rPr>
          <w:sz w:val="20"/>
          <w:szCs w:val="20"/>
          <w:color w:val="auto"/>
        </w:rPr>
      </w:pPr>
    </w:p>
    <w:p>
      <w:pPr>
        <w:jc w:val="both"/>
        <w:ind w:right="3199" w:firstLine="265"/>
        <w:spacing w:after="0" w:line="257" w:lineRule="auto"/>
        <w:rPr>
          <w:sz w:val="20"/>
          <w:szCs w:val="20"/>
          <w:color w:val="auto"/>
        </w:rPr>
      </w:pPr>
      <w:r>
        <w:rPr>
          <w:rFonts w:ascii="Times New Roman" w:cs="Times New Roman" w:eastAsia="Times New Roman" w:hAnsi="Times New Roman"/>
          <w:sz w:val="13"/>
          <w:szCs w:val="13"/>
          <w:color w:val="auto"/>
        </w:rPr>
        <w:t>ALTHOUGH MSCI SHALL OBTAIN INFORMATION FOR INCLUSION IN OR FOR USE IN THE CALCULATION OF THE MSCI INDEXES FROM SOURCES THAT MSCI CONSIDERS RELIABLE, NONE OF THE MSCI PARTIES WARRANTS OR GUARANTEES THE ORIGINALITY, ACCURACY AND/OR THE COMPLETENESS OF ANY MSCI INDEX OR ANY DATA INCLUDED THEREIN. NONE OF THE MSCI PARTIES MAKES ANY WARRANTY, EXPRESS OR IMPLIED, AS TO RESULTS TO BE OBTAINED BY THE ISSUER OF THE PRODUCT, OWNERS OF THE PRODUCT, OR ANY OTHER PERSON OR ENTITY, FROM THE USE OF ANY MSCI INDEX OR ANY DATA INCLUDED THEREIN. NONE OF THE MSCI PARTIES SHALL HAVE ANY LIABILITY FOR ANY ERRORS, OMISSIONS OR INTERRUPTIONS OF OR IN CONNECTION WITH ANY MSCI INDEX OR ANY DATA INCLUDED THEREIN. FURTHER, NONE OF THE MSCI PARTIES MAKES ANY EXPRESS OR IMPLIED WARRANTIES OF ANY KIND, AND THE MSCI PARTIES HEREBY EXPRESSLY DISCLAIM ALL WARRANTIES OF MERCHANTABILITY AND FITNESS FOR A PARTICULAR PURPOSE, WITH RESPECT TO EACH MSCI INDEX AND ANY DATA INCLUDED THEREIN. WITHOUT LIMITING ANY OF THE FOREGOING, IN NO EVENT SHALL ANY OF THE MSCI PARTIES HAVE ANY LIABILITY FOR ANY DIRECT, INDIRECT, SPECIAL, PUNITIVE, CONSEQUENTIAL OR ANY OTHER DAMAGES (INCLUDING LOST PROFITS) EVEN IF NOTIFIED OF THE POSSIBILITY OF SUCH DAMAGES.</w:t>
      </w:r>
    </w:p>
    <w:p>
      <w:pPr>
        <w:spacing w:after="0" w:line="46" w:lineRule="exact"/>
        <w:rPr>
          <w:sz w:val="20"/>
          <w:szCs w:val="20"/>
          <w:color w:val="auto"/>
        </w:rPr>
      </w:pPr>
    </w:p>
    <w:p>
      <w:pPr>
        <w:jc w:val="both"/>
        <w:ind w:right="3199" w:firstLine="265"/>
        <w:spacing w:after="0" w:line="253" w:lineRule="auto"/>
        <w:rPr>
          <w:sz w:val="20"/>
          <w:szCs w:val="20"/>
          <w:color w:val="auto"/>
        </w:rPr>
      </w:pPr>
      <w:r>
        <w:rPr>
          <w:rFonts w:ascii="Times New Roman" w:cs="Times New Roman" w:eastAsia="Times New Roman" w:hAnsi="Times New Roman"/>
          <w:sz w:val="13"/>
          <w:szCs w:val="13"/>
          <w:color w:val="auto"/>
        </w:rPr>
        <w:t>No purchaser, seller or holder of the Brighthouse Shield</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Level II 6-Year Annuity, or any other person or entity, should use or refer to any MSCI trade name, trademark or service mark to sponsor, endorse, market or promote this security without first contacting MSCI to determine whether MSCI’s permission is required. Under no circumstances may any person or entity claim any affiliation with MSCI without the prior written permission of MSCI.</w:t>
      </w:r>
    </w:p>
    <w:p>
      <w:pPr>
        <w:spacing w:after="0" w:line="178"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3"/>
          <w:szCs w:val="13"/>
          <w:color w:val="auto"/>
        </w:rPr>
        <w:t>B-2</w:t>
      </w:r>
    </w:p>
    <w:p>
      <w:pPr>
        <w:sectPr>
          <w:pgSz w:w="11900" w:h="16838" w:orient="portrait"/>
          <w:cols w:equalWidth="0" w:num="1">
            <w:col w:w="9259"/>
          </w:cols>
          <w:pgMar w:left="1200" w:top="1037" w:right="1440" w:bottom="1440" w:gutter="0" w:footer="0" w:header="0"/>
        </w:sectPr>
      </w:pPr>
    </w:p>
    <w:bookmarkStart w:id="82" w:name="page83"/>
    <w:bookmarkEnd w:id="82"/>
    <w:p>
      <w:pPr>
        <w:ind w:left="26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93915" cy="38100"/>
                    </a:xfrm>
                    <a:prstGeom prst="rect">
                      <a:avLst/>
                    </a:prstGeom>
                    <a:noFill/>
                  </pic:spPr>
                </pic:pic>
              </a:graphicData>
            </a:graphic>
          </wp:anchor>
        </w:drawing>
        <w:t>Nasdaq, Inc. requires that the following disclaimer be included in this prospectus:</w:t>
      </w:r>
    </w:p>
    <w:p>
      <w:pPr>
        <w:spacing w:after="0" w:line="76" w:lineRule="exact"/>
        <w:rPr>
          <w:sz w:val="20"/>
          <w:szCs w:val="20"/>
          <w:color w:val="auto"/>
        </w:rPr>
      </w:pPr>
    </w:p>
    <w:p>
      <w:pPr>
        <w:jc w:val="both"/>
        <w:ind w:right="3199" w:firstLine="265"/>
        <w:spacing w:after="0" w:line="228" w:lineRule="auto"/>
        <w:rPr>
          <w:sz w:val="20"/>
          <w:szCs w:val="20"/>
          <w:color w:val="auto"/>
        </w:rPr>
      </w:pPr>
      <w:r>
        <w:rPr>
          <w:rFonts w:ascii="Times New Roman" w:cs="Times New Roman" w:eastAsia="Times New Roman" w:hAnsi="Times New Roman"/>
          <w:sz w:val="13"/>
          <w:szCs w:val="13"/>
          <w:color w:val="auto"/>
        </w:rPr>
        <w:t>Brighthouse Shield</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Level II 6-Year Annuity is not sponsored, endorsed, sold or promoted by Nasdaq, Inc. or its affiliates (Nasdaq, Inc. with its affiliates, are referred to as the “Corporations”). The Corporations have not passed on the legality or suitability of, or the accuracy or adequacy of descriptions and disclosures relating to, Brighthouse Shield</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Level II 6-Year Annuity. The Corporations make no representation or warranty, express or implied to the owners of Brighthouse Shield</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Level II 6-Year Annuity or any member of the public regarding the advisability of investing in securities generally or in Brighthouse Shield</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Level II 6-Year Annuity particularly, or the ability of the Nasdaq-100 Index</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to track general stock market performance. The Corporations' only relationship to Brighthouse Life Insurance Company (“Licensee”) is in the licensing of the Nasdaq-100 Index</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and certain trade names of the Corporations and the use of the Nasdaq-100 Index</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which is determined, composed and calculated by Nasdaq</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without regard to Licensee or Brighthouse Shield</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Level II 6-Year Annuity. Nasdaq</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has no obligation to take the needs of the Licensee or the owners of Brighthouse Shield</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Level II 6-Year Annuity into consideration in determining, composing or calculating the Nasdaq-100 Index</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The Corporations are not responsible for and have not participated in the determination of the timing of, prices at, or quantities of Brighthouse Shield</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Level II 6-Year Annuity to be issued or in the determination or calculation of the equation by which Brighthouse Shield</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Level II 6-Year Annuity is to be converted into cash. The Corporations have no liability in connection with the administration, marketing or trading of Brighthouse Shield</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Level II 6-Year Annuity.</w:t>
      </w:r>
    </w:p>
    <w:p>
      <w:pPr>
        <w:spacing w:after="0" w:line="79" w:lineRule="exact"/>
        <w:rPr>
          <w:sz w:val="20"/>
          <w:szCs w:val="20"/>
          <w:color w:val="auto"/>
        </w:rPr>
      </w:pPr>
    </w:p>
    <w:p>
      <w:pPr>
        <w:jc w:val="both"/>
        <w:ind w:right="3199" w:firstLine="265"/>
        <w:spacing w:after="0" w:line="236" w:lineRule="auto"/>
        <w:rPr>
          <w:sz w:val="20"/>
          <w:szCs w:val="20"/>
          <w:color w:val="auto"/>
        </w:rPr>
      </w:pPr>
      <w:r>
        <w:rPr>
          <w:rFonts w:ascii="Times New Roman" w:cs="Times New Roman" w:eastAsia="Times New Roman" w:hAnsi="Times New Roman"/>
          <w:sz w:val="13"/>
          <w:szCs w:val="13"/>
          <w:color w:val="auto"/>
        </w:rPr>
        <w:t>THE CORPORATIONS DO NOT GUARANTEE THE ACCURACY AND/OR UNINTERRUPTED CALCULATION OF NASDAQ-100 INDEX</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OR ANY DATA INCLUDED THEREIN. THE CORPORATIONS MAKE NO WARRANTY, EXPRESS OR IMPLIED, AS TO RESULTS TO BE OBTAINED BY LICENSEE, OWNERS OF BRIGHTHOUSE SHIELD</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LEVEL II 6-YEAR ANNUITY, OR ANY OTHER PERSON OR ENTITY FROM THE USE OF THE NASDAQ-100 INDEX</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OR ANY DATA INCLUDED THEREIN. THE CORPORATIONS MAKE NO EXPRESS OR IMPLIED WARRANTIES, AND EXPRESSLY DISCLAIM ALL WARRANTIES OF MERCHANTABILITY OR FITNESS FOR A PARTICULAR PURPOSE OR USE WITH RESPECT TO THE NASDAQ-100 INDEX</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OR ANY DATA INCLUDED THEREIN. WITHOUT LIMITING ANY OF THE FOREGOING, IN NO EVENT SHALL THE CORPORATIONS HAVE ANY LIABILITY FOR ANY LOST PROFITS OR SPECIAL, INCIDENTAL, PUNITIVE, INDIRECT, OR CONSEQUENTIAL DAMAGES, EVEN IF NOTIFIED OF THE POSSIBILITY OF SUCH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3"/>
          <w:szCs w:val="13"/>
          <w:color w:val="auto"/>
        </w:rPr>
        <w:t>B-3</w:t>
      </w:r>
    </w:p>
    <w:p>
      <w:pPr>
        <w:sectPr>
          <w:pgSz w:w="11900" w:h="16838" w:orient="portrait"/>
          <w:cols w:equalWidth="0" w:num="1">
            <w:col w:w="9259"/>
          </w:cols>
          <w:pgMar w:left="1200" w:top="1049" w:right="1440" w:bottom="1440" w:gutter="0" w:footer="0" w:header="0"/>
        </w:sectPr>
      </w:pPr>
    </w:p>
    <w:bookmarkStart w:id="83" w:name="page84"/>
    <w:bookmarkEnd w:id="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3520" w:type="dxa"/>
            <w:vAlign w:val="bottom"/>
            <w:vMerge w:val="restart"/>
          </w:tcPr>
          <w:p>
            <w:pPr>
              <w:ind w:left="820"/>
              <w:spacing w:after="0"/>
              <w:rPr>
                <w:sz w:val="20"/>
                <w:szCs w:val="20"/>
                <w:color w:val="auto"/>
              </w:rPr>
            </w:pPr>
            <w:r>
              <w:rPr>
                <w:rFonts w:ascii="Times New Roman" w:cs="Times New Roman" w:eastAsia="Times New Roman" w:hAnsi="Times New Roman"/>
                <w:sz w:val="13"/>
                <w:szCs w:val="13"/>
                <w:color w:val="auto"/>
                <w:w w:val="99"/>
              </w:rPr>
              <w:t>(THIS PAGE INTENTIONALLY LEFT BLANK.)</w:t>
            </w:r>
          </w:p>
        </w:tc>
        <w:tc>
          <w:tcPr>
            <w:tcW w:w="0" w:type="dxa"/>
            <w:vAlign w:val="bottom"/>
          </w:tcPr>
          <w:p>
            <w:pPr>
              <w:spacing w:after="0"/>
              <w:rPr>
                <w:sz w:val="1"/>
                <w:szCs w:val="1"/>
                <w:color w:val="auto"/>
              </w:rPr>
            </w:pPr>
          </w:p>
        </w:tc>
      </w:tr>
      <w:tr>
        <w:trPr>
          <w:trHeight w:val="67"/>
        </w:trPr>
        <w:tc>
          <w:tcPr>
            <w:tcW w:w="860" w:type="dxa"/>
            <w:vAlign w:val="bottom"/>
          </w:tcPr>
          <w:p>
            <w:pPr>
              <w:spacing w:after="0"/>
              <w:rPr>
                <w:sz w:val="5"/>
                <w:szCs w:val="5"/>
                <w:color w:val="auto"/>
              </w:rPr>
            </w:pPr>
          </w:p>
        </w:tc>
        <w:tc>
          <w:tcPr>
            <w:tcW w:w="3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259"/>
          </w:cols>
          <w:pgMar w:left="1200" w:top="1440" w:right="1440" w:bottom="1440" w:gutter="0" w:footer="0" w:header="0"/>
        </w:sectPr>
      </w:pPr>
    </w:p>
    <w:bookmarkStart w:id="84" w:name="page85"/>
    <w:bookmarkEnd w:id="84"/>
    <w:p>
      <w:pPr>
        <w:jc w:val="center"/>
        <w:ind w:right="3198"/>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93915" cy="38100"/>
                    </a:xfrm>
                    <a:prstGeom prst="rect">
                      <a:avLst/>
                    </a:prstGeom>
                    <a:noFill/>
                  </pic:spPr>
                </pic:pic>
              </a:graphicData>
            </a:graphic>
          </wp:anchor>
        </w:drawing>
        <w:t>APPENDIX C</w:t>
      </w:r>
    </w:p>
    <w:p>
      <w:pPr>
        <w:spacing w:after="0" w:line="89" w:lineRule="exact"/>
        <w:rPr>
          <w:sz w:val="20"/>
          <w:szCs w:val="20"/>
          <w:color w:val="auto"/>
        </w:rPr>
      </w:pPr>
    </w:p>
    <w:p>
      <w:pPr>
        <w:jc w:val="center"/>
        <w:ind w:right="3198"/>
        <w:spacing w:after="0"/>
        <w:rPr>
          <w:sz w:val="20"/>
          <w:szCs w:val="20"/>
          <w:color w:val="auto"/>
        </w:rPr>
      </w:pPr>
      <w:r>
        <w:rPr>
          <w:rFonts w:ascii="Times New Roman" w:cs="Times New Roman" w:eastAsia="Times New Roman" w:hAnsi="Times New Roman"/>
          <w:sz w:val="13"/>
          <w:szCs w:val="13"/>
          <w:b w:val="1"/>
          <w:bCs w:val="1"/>
          <w:color w:val="auto"/>
        </w:rPr>
        <w:t>INDEX SUBSTITUTION INVESTMENT AMOUNT EXAMPLE</w:t>
      </w:r>
    </w:p>
    <w:p>
      <w:pPr>
        <w:spacing w:after="0" w:line="91" w:lineRule="exact"/>
        <w:rPr>
          <w:sz w:val="20"/>
          <w:szCs w:val="20"/>
          <w:color w:val="auto"/>
        </w:rPr>
      </w:pPr>
    </w:p>
    <w:p>
      <w:pPr>
        <w:jc w:val="both"/>
        <w:ind w:left="1" w:right="3199" w:firstLine="265"/>
        <w:spacing w:after="0" w:line="265" w:lineRule="auto"/>
        <w:rPr>
          <w:sz w:val="20"/>
          <w:szCs w:val="20"/>
          <w:color w:val="auto"/>
        </w:rPr>
      </w:pPr>
      <w:r>
        <w:rPr>
          <w:rFonts w:ascii="Times New Roman" w:cs="Times New Roman" w:eastAsia="Times New Roman" w:hAnsi="Times New Roman"/>
          <w:sz w:val="13"/>
          <w:szCs w:val="13"/>
          <w:color w:val="auto"/>
        </w:rPr>
        <w:t>The following example illustrates how we would calculate your Investment Amount on a Term End Date when there is an Index substitution. We assume no withdrawals and a $100,000 Purchase Payment into a Shield Option with a 1-Year Term / Shield 10 / S&amp;P 500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Index with a Cap Rate of 10%.</w:t>
      </w:r>
    </w:p>
    <w:p>
      <w:pPr>
        <w:spacing w:after="0" w:line="9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Initial Account Value:</w:t>
      </w:r>
    </w:p>
    <w:p>
      <w:pPr>
        <w:spacing w:after="0" w:line="39" w:lineRule="exact"/>
        <w:rPr>
          <w:sz w:val="20"/>
          <w:szCs w:val="20"/>
          <w:color w:val="auto"/>
        </w:rPr>
      </w:pPr>
    </w:p>
    <w:tbl>
      <w:tblPr>
        <w:tblLayout w:type="fixed"/>
        <w:tblInd w:w="11" w:type="dxa"/>
        <w:tblCellMar>
          <w:top w:w="0" w:type="dxa"/>
          <w:left w:w="0" w:type="dxa"/>
          <w:bottom w:w="0" w:type="dxa"/>
          <w:right w:w="0" w:type="dxa"/>
        </w:tblCellMar>
      </w:tblPr>
      <w:tr>
        <w:trPr>
          <w:trHeight w:val="204"/>
        </w:trPr>
        <w:tc>
          <w:tcPr>
            <w:tcW w:w="3500" w:type="dxa"/>
            <w:vAlign w:val="bottom"/>
            <w:tcBorders>
              <w:top w:val="single" w:sz="8" w:color="auto"/>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Investment Amount at Term Start Date</w:t>
            </w:r>
          </w:p>
        </w:tc>
        <w:tc>
          <w:tcPr>
            <w:tcW w:w="13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$100,000</w:t>
            </w:r>
          </w:p>
        </w:tc>
      </w:tr>
      <w:tr>
        <w:trPr>
          <w:trHeight w:val="188"/>
        </w:trPr>
        <w:tc>
          <w:tcPr>
            <w:tcW w:w="3500" w:type="dxa"/>
            <w:vAlign w:val="bottom"/>
            <w:tcBorders>
              <w:left w:val="single" w:sz="8" w:color="auto"/>
              <w:bottom w:val="single" w:sz="8" w:color="auto"/>
              <w:right w:val="single" w:sz="8" w:color="auto"/>
            </w:tcBorders>
            <w:gridSpan w:val="2"/>
            <w:shd w:val="clear" w:color="auto" w:fill="F0FFFF"/>
          </w:tcPr>
          <w:p>
            <w:pPr>
              <w:ind w:left="80"/>
              <w:spacing w:after="0"/>
              <w:rPr>
                <w:sz w:val="20"/>
                <w:szCs w:val="20"/>
                <w:color w:val="auto"/>
              </w:rPr>
            </w:pPr>
            <w:r>
              <w:rPr>
                <w:rFonts w:ascii="Times New Roman" w:cs="Times New Roman" w:eastAsia="Times New Roman" w:hAnsi="Times New Roman"/>
                <w:sz w:val="13"/>
                <w:szCs w:val="13"/>
                <w:color w:val="auto"/>
              </w:rPr>
              <w:t>Term</w:t>
            </w:r>
          </w:p>
        </w:tc>
        <w:tc>
          <w:tcPr>
            <w:tcW w:w="13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w w:val="94"/>
              </w:rPr>
              <w:t>1-Year</w:t>
            </w:r>
          </w:p>
        </w:tc>
      </w:tr>
      <w:tr>
        <w:trPr>
          <w:trHeight w:val="208"/>
        </w:trPr>
        <w:tc>
          <w:tcPr>
            <w:tcW w:w="350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Initial Index</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S&amp;P 500</w:t>
            </w:r>
            <w:r>
              <w:rPr>
                <w:rFonts w:ascii="Times New Roman" w:cs="Times New Roman" w:eastAsia="Times New Roman" w:hAnsi="Times New Roman"/>
                <w:sz w:val="17"/>
                <w:szCs w:val="17"/>
                <w:color w:val="auto"/>
                <w:w w:val="99"/>
                <w:vertAlign w:val="superscript"/>
              </w:rPr>
              <w:t>®</w:t>
            </w:r>
            <w:r>
              <w:rPr>
                <w:rFonts w:ascii="Times New Roman" w:cs="Times New Roman" w:eastAsia="Times New Roman" w:hAnsi="Times New Roman"/>
                <w:sz w:val="13"/>
                <w:szCs w:val="13"/>
                <w:color w:val="auto"/>
                <w:w w:val="99"/>
              </w:rPr>
              <w:t xml:space="preserve"> Index</w:t>
            </w:r>
          </w:p>
        </w:tc>
      </w:tr>
      <w:tr>
        <w:trPr>
          <w:trHeight w:val="198"/>
        </w:trPr>
        <w:tc>
          <w:tcPr>
            <w:tcW w:w="3500" w:type="dxa"/>
            <w:vAlign w:val="bottom"/>
            <w:tcBorders>
              <w:left w:val="single" w:sz="8" w:color="auto"/>
              <w:bottom w:val="single" w:sz="8" w:color="auto"/>
              <w:right w:val="single" w:sz="8" w:color="auto"/>
            </w:tcBorders>
            <w:gridSpan w:val="2"/>
            <w:shd w:val="clear" w:color="auto" w:fill="F0FFFF"/>
          </w:tcPr>
          <w:p>
            <w:pPr>
              <w:ind w:left="80"/>
              <w:spacing w:after="0"/>
              <w:rPr>
                <w:sz w:val="20"/>
                <w:szCs w:val="20"/>
                <w:color w:val="auto"/>
              </w:rPr>
            </w:pPr>
            <w:r>
              <w:rPr>
                <w:rFonts w:ascii="Times New Roman" w:cs="Times New Roman" w:eastAsia="Times New Roman" w:hAnsi="Times New Roman"/>
                <w:sz w:val="13"/>
                <w:szCs w:val="13"/>
                <w:color w:val="auto"/>
              </w:rPr>
              <w:t>Index Value on Term Start Date for S&amp;P 500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Index</w:t>
            </w:r>
          </w:p>
        </w:tc>
        <w:tc>
          <w:tcPr>
            <w:tcW w:w="13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1,400</w:t>
            </w:r>
          </w:p>
        </w:tc>
      </w:tr>
      <w:tr>
        <w:trPr>
          <w:trHeight w:val="179"/>
        </w:trPr>
        <w:tc>
          <w:tcPr>
            <w:tcW w:w="350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Cap Rate</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10%</w:t>
            </w:r>
          </w:p>
        </w:tc>
      </w:tr>
      <w:tr>
        <w:trPr>
          <w:trHeight w:val="183"/>
        </w:trPr>
        <w:tc>
          <w:tcPr>
            <w:tcW w:w="3500" w:type="dxa"/>
            <w:vAlign w:val="bottom"/>
            <w:tcBorders>
              <w:left w:val="single" w:sz="8" w:color="auto"/>
              <w:bottom w:val="single" w:sz="8" w:color="auto"/>
              <w:right w:val="single" w:sz="8" w:color="auto"/>
            </w:tcBorders>
            <w:gridSpan w:val="2"/>
            <w:shd w:val="clear" w:color="auto" w:fill="F0FFFF"/>
          </w:tcPr>
          <w:p>
            <w:pPr>
              <w:ind w:left="80"/>
              <w:spacing w:after="0"/>
              <w:rPr>
                <w:sz w:val="20"/>
                <w:szCs w:val="20"/>
                <w:color w:val="auto"/>
              </w:rPr>
            </w:pPr>
            <w:r>
              <w:rPr>
                <w:rFonts w:ascii="Times New Roman" w:cs="Times New Roman" w:eastAsia="Times New Roman" w:hAnsi="Times New Roman"/>
                <w:sz w:val="13"/>
                <w:szCs w:val="13"/>
                <w:color w:val="auto"/>
              </w:rPr>
              <w:t>Shield Rate</w:t>
            </w:r>
          </w:p>
        </w:tc>
        <w:tc>
          <w:tcPr>
            <w:tcW w:w="13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10%</w:t>
            </w:r>
          </w:p>
        </w:tc>
      </w:tr>
      <w:tr>
        <w:trPr>
          <w:trHeight w:val="392"/>
        </w:trPr>
        <w:tc>
          <w:tcPr>
            <w:tcW w:w="35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On date of Index Substitution halfway through the Term:</w:t>
            </w:r>
          </w:p>
        </w:tc>
        <w:tc>
          <w:tcPr>
            <w:tcW w:w="1320" w:type="dxa"/>
            <w:vAlign w:val="bottom"/>
          </w:tcPr>
          <w:p>
            <w:pPr>
              <w:spacing w:after="0"/>
              <w:rPr>
                <w:sz w:val="24"/>
                <w:szCs w:val="24"/>
                <w:color w:val="auto"/>
              </w:rPr>
            </w:pPr>
          </w:p>
        </w:tc>
      </w:tr>
      <w:tr>
        <w:trPr>
          <w:trHeight w:val="34"/>
        </w:trPr>
        <w:tc>
          <w:tcPr>
            <w:tcW w:w="8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4"/>
        </w:trPr>
        <w:tc>
          <w:tcPr>
            <w:tcW w:w="350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Index substitution</w:t>
            </w:r>
          </w:p>
        </w:tc>
        <w:tc>
          <w:tcPr>
            <w:tcW w:w="1320" w:type="dxa"/>
            <w:vAlign w:val="bottom"/>
            <w:tcBorders>
              <w:bottom w:val="single" w:sz="8" w:color="auto"/>
              <w:right w:val="single" w:sz="8" w:color="auto"/>
            </w:tcBorders>
          </w:tcPr>
          <w:p>
            <w:pPr>
              <w:spacing w:after="0"/>
              <w:rPr>
                <w:sz w:val="15"/>
                <w:szCs w:val="15"/>
                <w:color w:val="auto"/>
              </w:rPr>
            </w:pPr>
          </w:p>
        </w:tc>
      </w:tr>
      <w:tr>
        <w:trPr>
          <w:trHeight w:val="188"/>
        </w:trPr>
        <w:tc>
          <w:tcPr>
            <w:tcW w:w="3500" w:type="dxa"/>
            <w:vAlign w:val="bottom"/>
            <w:tcBorders>
              <w:left w:val="single" w:sz="8" w:color="auto"/>
              <w:bottom w:val="single" w:sz="8" w:color="auto"/>
              <w:right w:val="single" w:sz="8" w:color="auto"/>
            </w:tcBorders>
            <w:gridSpan w:val="2"/>
            <w:shd w:val="clear" w:color="auto" w:fill="F0FFFF"/>
          </w:tcPr>
          <w:p>
            <w:pPr>
              <w:ind w:left="80"/>
              <w:spacing w:after="0"/>
              <w:rPr>
                <w:sz w:val="20"/>
                <w:szCs w:val="20"/>
                <w:color w:val="auto"/>
              </w:rPr>
            </w:pPr>
            <w:r>
              <w:rPr>
                <w:rFonts w:ascii="Times New Roman" w:cs="Times New Roman" w:eastAsia="Times New Roman" w:hAnsi="Times New Roman"/>
                <w:sz w:val="13"/>
                <w:szCs w:val="13"/>
                <w:color w:val="auto"/>
              </w:rPr>
              <w:t>Number of days since Term Start Date</w:t>
            </w:r>
          </w:p>
        </w:tc>
        <w:tc>
          <w:tcPr>
            <w:tcW w:w="13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183</w:t>
            </w:r>
          </w:p>
        </w:tc>
      </w:tr>
      <w:tr>
        <w:trPr>
          <w:trHeight w:val="208"/>
        </w:trPr>
        <w:tc>
          <w:tcPr>
            <w:tcW w:w="350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Index Value for S&amp;P 500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Index</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1,330</w:t>
            </w:r>
          </w:p>
        </w:tc>
      </w:tr>
      <w:tr>
        <w:trPr>
          <w:trHeight w:val="198"/>
        </w:trPr>
        <w:tc>
          <w:tcPr>
            <w:tcW w:w="3500" w:type="dxa"/>
            <w:vAlign w:val="bottom"/>
            <w:tcBorders>
              <w:left w:val="single" w:sz="8" w:color="auto"/>
              <w:bottom w:val="single" w:sz="8" w:color="auto"/>
              <w:right w:val="single" w:sz="8" w:color="auto"/>
            </w:tcBorders>
            <w:gridSpan w:val="2"/>
            <w:shd w:val="clear" w:color="auto" w:fill="F0FFFF"/>
          </w:tcPr>
          <w:p>
            <w:pPr>
              <w:ind w:left="80"/>
              <w:spacing w:after="0"/>
              <w:rPr>
                <w:sz w:val="20"/>
                <w:szCs w:val="20"/>
                <w:color w:val="auto"/>
              </w:rPr>
            </w:pPr>
            <w:r>
              <w:rPr>
                <w:rFonts w:ascii="Times New Roman" w:cs="Times New Roman" w:eastAsia="Times New Roman" w:hAnsi="Times New Roman"/>
                <w:sz w:val="13"/>
                <w:szCs w:val="13"/>
                <w:color w:val="auto"/>
              </w:rPr>
              <w:t>Index Performance for S&amp;P 500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Index</w:t>
            </w:r>
            <w:r>
              <w:rPr>
                <w:rFonts w:ascii="Times New Roman" w:cs="Times New Roman" w:eastAsia="Times New Roman" w:hAnsi="Times New Roman"/>
                <w:sz w:val="17"/>
                <w:szCs w:val="17"/>
                <w:color w:val="auto"/>
                <w:vertAlign w:val="superscript"/>
              </w:rPr>
              <w:t>(1)</w:t>
            </w:r>
          </w:p>
        </w:tc>
        <w:tc>
          <w:tcPr>
            <w:tcW w:w="13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–5%</w:t>
            </w:r>
          </w:p>
        </w:tc>
      </w:tr>
      <w:tr>
        <w:trPr>
          <w:trHeight w:val="198"/>
        </w:trPr>
        <w:tc>
          <w:tcPr>
            <w:tcW w:w="350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Substituted Index</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Russell 2000</w:t>
            </w:r>
            <w:r>
              <w:rPr>
                <w:rFonts w:ascii="Times New Roman" w:cs="Times New Roman" w:eastAsia="Times New Roman" w:hAnsi="Times New Roman"/>
                <w:sz w:val="17"/>
                <w:szCs w:val="17"/>
                <w:color w:val="auto"/>
                <w:w w:val="99"/>
                <w:vertAlign w:val="superscript"/>
              </w:rPr>
              <w:t>®</w:t>
            </w:r>
            <w:r>
              <w:rPr>
                <w:rFonts w:ascii="Times New Roman" w:cs="Times New Roman" w:eastAsia="Times New Roman" w:hAnsi="Times New Roman"/>
                <w:sz w:val="13"/>
                <w:szCs w:val="13"/>
                <w:color w:val="auto"/>
                <w:w w:val="99"/>
              </w:rPr>
              <w:t xml:space="preserve"> Index</w:t>
            </w:r>
          </w:p>
        </w:tc>
      </w:tr>
      <w:tr>
        <w:trPr>
          <w:trHeight w:val="186"/>
        </w:trPr>
        <w:tc>
          <w:tcPr>
            <w:tcW w:w="3500" w:type="dxa"/>
            <w:vAlign w:val="bottom"/>
            <w:tcBorders>
              <w:left w:val="single" w:sz="8" w:color="auto"/>
              <w:bottom w:val="single" w:sz="8" w:color="auto"/>
              <w:right w:val="single" w:sz="8" w:color="auto"/>
            </w:tcBorders>
            <w:gridSpan w:val="2"/>
            <w:shd w:val="clear" w:color="auto" w:fill="F0FFFF"/>
          </w:tcPr>
          <w:p>
            <w:pPr>
              <w:ind w:left="80"/>
              <w:spacing w:after="0" w:line="186" w:lineRule="exact"/>
              <w:rPr>
                <w:sz w:val="20"/>
                <w:szCs w:val="20"/>
                <w:color w:val="auto"/>
              </w:rPr>
            </w:pPr>
            <w:r>
              <w:rPr>
                <w:rFonts w:ascii="Times New Roman" w:cs="Times New Roman" w:eastAsia="Times New Roman" w:hAnsi="Times New Roman"/>
                <w:sz w:val="13"/>
                <w:szCs w:val="13"/>
                <w:color w:val="auto"/>
              </w:rPr>
              <w:t>Index Value for Russell 2000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Index on substitution date</w:t>
            </w:r>
          </w:p>
        </w:tc>
        <w:tc>
          <w:tcPr>
            <w:tcW w:w="13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1,250</w:t>
            </w:r>
          </w:p>
        </w:tc>
      </w:tr>
      <w:tr>
        <w:trPr>
          <w:trHeight w:val="390"/>
        </w:trPr>
        <w:tc>
          <w:tcPr>
            <w:tcW w:w="35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Calculation of Investment Amount at Term End Date:</w:t>
            </w:r>
          </w:p>
        </w:tc>
        <w:tc>
          <w:tcPr>
            <w:tcW w:w="1320" w:type="dxa"/>
            <w:vAlign w:val="bottom"/>
          </w:tcPr>
          <w:p>
            <w:pPr>
              <w:spacing w:after="0"/>
              <w:rPr>
                <w:sz w:val="24"/>
                <w:szCs w:val="24"/>
                <w:color w:val="auto"/>
              </w:rPr>
            </w:pPr>
          </w:p>
        </w:tc>
      </w:tr>
      <w:tr>
        <w:trPr>
          <w:trHeight w:val="34"/>
        </w:trPr>
        <w:tc>
          <w:tcPr>
            <w:tcW w:w="8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3"/>
        </w:trPr>
        <w:tc>
          <w:tcPr>
            <w:tcW w:w="350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Index Value for Russell 2000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Index</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1,375</w:t>
            </w:r>
          </w:p>
        </w:tc>
      </w:tr>
      <w:tr>
        <w:trPr>
          <w:trHeight w:val="198"/>
        </w:trPr>
        <w:tc>
          <w:tcPr>
            <w:tcW w:w="3500" w:type="dxa"/>
            <w:vAlign w:val="bottom"/>
            <w:tcBorders>
              <w:left w:val="single" w:sz="8" w:color="auto"/>
              <w:bottom w:val="single" w:sz="8" w:color="auto"/>
              <w:right w:val="single" w:sz="8" w:color="auto"/>
            </w:tcBorders>
            <w:gridSpan w:val="2"/>
            <w:shd w:val="clear" w:color="auto" w:fill="F0FFFF"/>
          </w:tcPr>
          <w:p>
            <w:pPr>
              <w:ind w:left="80"/>
              <w:spacing w:after="0"/>
              <w:rPr>
                <w:sz w:val="20"/>
                <w:szCs w:val="20"/>
                <w:color w:val="auto"/>
              </w:rPr>
            </w:pPr>
            <w:r>
              <w:rPr>
                <w:rFonts w:ascii="Times New Roman" w:cs="Times New Roman" w:eastAsia="Times New Roman" w:hAnsi="Times New Roman"/>
                <w:sz w:val="13"/>
                <w:szCs w:val="13"/>
                <w:color w:val="auto"/>
              </w:rPr>
              <w:t>Index Performance for S&amp;P 500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Index</w:t>
            </w:r>
            <w:r>
              <w:rPr>
                <w:rFonts w:ascii="Times New Roman" w:cs="Times New Roman" w:eastAsia="Times New Roman" w:hAnsi="Times New Roman"/>
                <w:sz w:val="17"/>
                <w:szCs w:val="17"/>
                <w:color w:val="auto"/>
                <w:vertAlign w:val="superscript"/>
              </w:rPr>
              <w:t>(1)</w:t>
            </w:r>
          </w:p>
        </w:tc>
        <w:tc>
          <w:tcPr>
            <w:tcW w:w="13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–5%</w:t>
            </w:r>
          </w:p>
        </w:tc>
      </w:tr>
      <w:tr>
        <w:trPr>
          <w:trHeight w:val="198"/>
        </w:trPr>
        <w:tc>
          <w:tcPr>
            <w:tcW w:w="350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Index Performance for Russell 2000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Index</w:t>
            </w:r>
            <w:r>
              <w:rPr>
                <w:rFonts w:ascii="Times New Roman" w:cs="Times New Roman" w:eastAsia="Times New Roman" w:hAnsi="Times New Roman"/>
                <w:sz w:val="17"/>
                <w:szCs w:val="17"/>
                <w:color w:val="auto"/>
                <w:vertAlign w:val="superscript"/>
              </w:rPr>
              <w:t>(2)</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10%</w:t>
            </w:r>
          </w:p>
        </w:tc>
      </w:tr>
      <w:tr>
        <w:trPr>
          <w:trHeight w:val="198"/>
        </w:trPr>
        <w:tc>
          <w:tcPr>
            <w:tcW w:w="3500" w:type="dxa"/>
            <w:vAlign w:val="bottom"/>
            <w:tcBorders>
              <w:left w:val="single" w:sz="8" w:color="auto"/>
              <w:bottom w:val="single" w:sz="8" w:color="auto"/>
              <w:right w:val="single" w:sz="8" w:color="auto"/>
            </w:tcBorders>
            <w:gridSpan w:val="2"/>
            <w:shd w:val="clear" w:color="auto" w:fill="F0FFFF"/>
          </w:tcPr>
          <w:p>
            <w:pPr>
              <w:ind w:left="80"/>
              <w:spacing w:after="0"/>
              <w:rPr>
                <w:sz w:val="20"/>
                <w:szCs w:val="20"/>
                <w:color w:val="auto"/>
              </w:rPr>
            </w:pPr>
            <w:r>
              <w:rPr>
                <w:rFonts w:ascii="Times New Roman" w:cs="Times New Roman" w:eastAsia="Times New Roman" w:hAnsi="Times New Roman"/>
                <w:sz w:val="13"/>
                <w:szCs w:val="13"/>
                <w:color w:val="auto"/>
              </w:rPr>
              <w:t>Total Index Performance for the Term</w:t>
            </w:r>
            <w:r>
              <w:rPr>
                <w:rFonts w:ascii="Times New Roman" w:cs="Times New Roman" w:eastAsia="Times New Roman" w:hAnsi="Times New Roman"/>
                <w:sz w:val="17"/>
                <w:szCs w:val="17"/>
                <w:color w:val="auto"/>
                <w:vertAlign w:val="superscript"/>
              </w:rPr>
              <w:t>(3)</w:t>
            </w:r>
          </w:p>
        </w:tc>
        <w:tc>
          <w:tcPr>
            <w:tcW w:w="13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w w:val="95"/>
              </w:rPr>
              <w:t>4.5%</w:t>
            </w:r>
          </w:p>
        </w:tc>
      </w:tr>
      <w:tr>
        <w:trPr>
          <w:trHeight w:val="179"/>
        </w:trPr>
        <w:tc>
          <w:tcPr>
            <w:tcW w:w="350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Cap Rate</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10%</w:t>
            </w:r>
          </w:p>
        </w:tc>
      </w:tr>
      <w:tr>
        <w:trPr>
          <w:trHeight w:val="188"/>
        </w:trPr>
        <w:tc>
          <w:tcPr>
            <w:tcW w:w="3500" w:type="dxa"/>
            <w:vAlign w:val="bottom"/>
            <w:tcBorders>
              <w:left w:val="single" w:sz="8" w:color="auto"/>
              <w:bottom w:val="single" w:sz="8" w:color="auto"/>
              <w:right w:val="single" w:sz="8" w:color="auto"/>
            </w:tcBorders>
            <w:gridSpan w:val="2"/>
            <w:shd w:val="clear" w:color="auto" w:fill="F0FFFF"/>
          </w:tcPr>
          <w:p>
            <w:pPr>
              <w:ind w:left="80"/>
              <w:spacing w:after="0"/>
              <w:rPr>
                <w:sz w:val="20"/>
                <w:szCs w:val="20"/>
                <w:color w:val="auto"/>
              </w:rPr>
            </w:pPr>
            <w:r>
              <w:rPr>
                <w:rFonts w:ascii="Times New Roman" w:cs="Times New Roman" w:eastAsia="Times New Roman" w:hAnsi="Times New Roman"/>
                <w:sz w:val="13"/>
                <w:szCs w:val="13"/>
                <w:color w:val="auto"/>
              </w:rPr>
              <w:t>Shield Rate</w:t>
            </w:r>
          </w:p>
        </w:tc>
        <w:tc>
          <w:tcPr>
            <w:tcW w:w="13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10%</w:t>
            </w:r>
          </w:p>
        </w:tc>
      </w:tr>
      <w:tr>
        <w:trPr>
          <w:trHeight w:val="208"/>
        </w:trPr>
        <w:tc>
          <w:tcPr>
            <w:tcW w:w="350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Performance Rate</w:t>
            </w:r>
            <w:r>
              <w:rPr>
                <w:rFonts w:ascii="Times New Roman" w:cs="Times New Roman" w:eastAsia="Times New Roman" w:hAnsi="Times New Roman"/>
                <w:sz w:val="17"/>
                <w:szCs w:val="17"/>
                <w:color w:val="auto"/>
                <w:vertAlign w:val="superscript"/>
              </w:rPr>
              <w:t>(4)</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4.5%</w:t>
            </w:r>
          </w:p>
        </w:tc>
      </w:tr>
      <w:tr>
        <w:trPr>
          <w:trHeight w:val="198"/>
        </w:trPr>
        <w:tc>
          <w:tcPr>
            <w:tcW w:w="3500" w:type="dxa"/>
            <w:vAlign w:val="bottom"/>
            <w:tcBorders>
              <w:left w:val="single" w:sz="8" w:color="auto"/>
              <w:bottom w:val="single" w:sz="8" w:color="auto"/>
              <w:right w:val="single" w:sz="8" w:color="auto"/>
            </w:tcBorders>
            <w:gridSpan w:val="2"/>
            <w:shd w:val="clear" w:color="auto" w:fill="F0FFFF"/>
          </w:tcPr>
          <w:p>
            <w:pPr>
              <w:ind w:left="80"/>
              <w:spacing w:after="0"/>
              <w:rPr>
                <w:sz w:val="20"/>
                <w:szCs w:val="20"/>
                <w:color w:val="auto"/>
              </w:rPr>
            </w:pPr>
            <w:r>
              <w:rPr>
                <w:rFonts w:ascii="Times New Roman" w:cs="Times New Roman" w:eastAsia="Times New Roman" w:hAnsi="Times New Roman"/>
                <w:sz w:val="13"/>
                <w:szCs w:val="13"/>
                <w:color w:val="auto"/>
              </w:rPr>
              <w:t>Performance Rate Adjustment</w:t>
            </w:r>
            <w:r>
              <w:rPr>
                <w:rFonts w:ascii="Times New Roman" w:cs="Times New Roman" w:eastAsia="Times New Roman" w:hAnsi="Times New Roman"/>
                <w:sz w:val="17"/>
                <w:szCs w:val="17"/>
                <w:color w:val="auto"/>
                <w:vertAlign w:val="superscript"/>
              </w:rPr>
              <w:t>(5)</w:t>
            </w:r>
          </w:p>
        </w:tc>
        <w:tc>
          <w:tcPr>
            <w:tcW w:w="13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$4,500</w:t>
            </w:r>
          </w:p>
        </w:tc>
      </w:tr>
      <w:tr>
        <w:trPr>
          <w:trHeight w:val="183"/>
        </w:trPr>
        <w:tc>
          <w:tcPr>
            <w:tcW w:w="3500" w:type="dxa"/>
            <w:vAlign w:val="bottom"/>
            <w:tcBorders>
              <w:left w:val="single" w:sz="8" w:color="auto"/>
              <w:bottom w:val="single" w:sz="8" w:color="auto"/>
              <w:right w:val="single" w:sz="8" w:color="auto"/>
            </w:tcBorders>
            <w:gridSpan w:val="2"/>
          </w:tcPr>
          <w:p>
            <w:pPr>
              <w:ind w:left="80"/>
              <w:spacing w:after="0" w:line="184" w:lineRule="exact"/>
              <w:rPr>
                <w:sz w:val="20"/>
                <w:szCs w:val="20"/>
                <w:color w:val="auto"/>
              </w:rPr>
            </w:pPr>
            <w:r>
              <w:rPr>
                <w:rFonts w:ascii="Times New Roman" w:cs="Times New Roman" w:eastAsia="Times New Roman" w:hAnsi="Times New Roman"/>
                <w:sz w:val="13"/>
                <w:szCs w:val="13"/>
                <w:color w:val="auto"/>
              </w:rPr>
              <w:t>Investment Amount at Term End Date</w:t>
            </w:r>
            <w:r>
              <w:rPr>
                <w:rFonts w:ascii="Times New Roman" w:cs="Times New Roman" w:eastAsia="Times New Roman" w:hAnsi="Times New Roman"/>
                <w:sz w:val="17"/>
                <w:szCs w:val="17"/>
                <w:color w:val="auto"/>
                <w:vertAlign w:val="superscript"/>
              </w:rPr>
              <w:t>(6)</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$104,500</w:t>
            </w:r>
          </w:p>
        </w:tc>
      </w:tr>
      <w:tr>
        <w:trPr>
          <w:trHeight w:val="134"/>
        </w:trPr>
        <w:tc>
          <w:tcPr>
            <w:tcW w:w="820" w:type="dxa"/>
            <w:vAlign w:val="bottom"/>
            <w:tcBorders>
              <w:bottom w:val="single" w:sz="8" w:color="auto"/>
            </w:tcBorders>
          </w:tcPr>
          <w:p>
            <w:pPr>
              <w:spacing w:after="0"/>
              <w:rPr>
                <w:sz w:val="11"/>
                <w:szCs w:val="11"/>
                <w:color w:val="auto"/>
              </w:rPr>
            </w:pPr>
          </w:p>
        </w:tc>
        <w:tc>
          <w:tcPr>
            <w:tcW w:w="2680" w:type="dxa"/>
            <w:vAlign w:val="bottom"/>
          </w:tcPr>
          <w:p>
            <w:pPr>
              <w:spacing w:after="0"/>
              <w:rPr>
                <w:sz w:val="11"/>
                <w:szCs w:val="11"/>
                <w:color w:val="auto"/>
              </w:rPr>
            </w:pPr>
          </w:p>
        </w:tc>
        <w:tc>
          <w:tcPr>
            <w:tcW w:w="13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-3508375</wp:posOffset>
            </wp:positionV>
            <wp:extent cx="3048635" cy="1320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048635" cy="1320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-3243580</wp:posOffset>
            </wp:positionV>
            <wp:extent cx="3048635" cy="1384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048635" cy="13843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-2966085</wp:posOffset>
            </wp:positionV>
            <wp:extent cx="3048635" cy="1320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048635" cy="1320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-2424430</wp:posOffset>
            </wp:positionV>
            <wp:extent cx="3048635" cy="1320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048635" cy="1320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-2160270</wp:posOffset>
            </wp:positionV>
            <wp:extent cx="3048635" cy="1384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048635" cy="13843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-1882775</wp:posOffset>
            </wp:positionV>
            <wp:extent cx="3048635" cy="1384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048635" cy="13843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-1328420</wp:posOffset>
            </wp:positionV>
            <wp:extent cx="3048635" cy="1384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048635" cy="13843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-1051560</wp:posOffset>
            </wp:positionV>
            <wp:extent cx="3048635" cy="1384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048635" cy="13843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-774065</wp:posOffset>
            </wp:positionV>
            <wp:extent cx="3048635" cy="1320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048635" cy="1320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-509905</wp:posOffset>
            </wp:positionV>
            <wp:extent cx="3048635" cy="1384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048635" cy="13843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-232410</wp:posOffset>
            </wp:positionV>
            <wp:extent cx="3048635" cy="1257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048635" cy="125730"/>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-31115</wp:posOffset>
            </wp:positionV>
            <wp:extent cx="31750" cy="444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1750" cy="4445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-31115</wp:posOffset>
            </wp:positionV>
            <wp:extent cx="31750" cy="444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1750" cy="44450"/>
                    </a:xfrm>
                    <a:prstGeom prst="rect">
                      <a:avLst/>
                    </a:prstGeom>
                    <a:noFill/>
                  </pic:spPr>
                </pic:pic>
              </a:graphicData>
            </a:graphic>
          </wp:anchor>
        </w:drawing>
      </w:r>
    </w:p>
    <w:p>
      <w:pPr>
        <w:spacing w:after="0" w:line="45" w:lineRule="exact"/>
        <w:rPr>
          <w:sz w:val="20"/>
          <w:szCs w:val="20"/>
          <w:color w:val="auto"/>
        </w:rPr>
      </w:pPr>
    </w:p>
    <w:p>
      <w:pPr>
        <w:ind w:left="1" w:right="3519"/>
        <w:spacing w:after="0" w:line="266" w:lineRule="auto"/>
        <w:rPr>
          <w:sz w:val="20"/>
          <w:szCs w:val="20"/>
          <w:color w:val="auto"/>
        </w:rPr>
      </w:pPr>
      <w:r>
        <w:rPr>
          <w:rFonts w:ascii="Times New Roman" w:cs="Times New Roman" w:eastAsia="Times New Roman" w:hAnsi="Times New Roman"/>
          <w:sz w:val="13"/>
          <w:szCs w:val="13"/>
          <w:b w:val="1"/>
          <w:bCs w:val="1"/>
          <w:color w:val="auto"/>
        </w:rPr>
        <w:t>The following notes to the tables above provide important calculations showing how certain values are determined.</w:t>
      </w:r>
    </w:p>
    <w:p>
      <w:pPr>
        <w:spacing w:after="0" w:line="28" w:lineRule="exact"/>
        <w:rPr>
          <w:sz w:val="20"/>
          <w:szCs w:val="20"/>
          <w:color w:val="auto"/>
        </w:rPr>
      </w:pPr>
    </w:p>
    <w:p>
      <w:pPr>
        <w:ind w:left="261" w:right="3259" w:hanging="261"/>
        <w:spacing w:after="0" w:line="223" w:lineRule="auto"/>
        <w:tabs>
          <w:tab w:leader="none" w:pos="261" w:val="left"/>
        </w:tabs>
        <w:numPr>
          <w:ilvl w:val="0"/>
          <w:numId w:val="5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Index Performance is equal to the percentage change in the Index Value measured from the Term Start Date to the date of the Index substitution. Index Performance is calculated as follows:</w:t>
      </w:r>
    </w:p>
    <w:p>
      <w:pPr>
        <w:spacing w:after="0" w:line="37" w:lineRule="exact"/>
        <w:rPr>
          <w:sz w:val="20"/>
          <w:szCs w:val="20"/>
          <w:color w:val="auto"/>
        </w:rPr>
      </w:pPr>
    </w:p>
    <w:p>
      <w:pPr>
        <w:jc w:val="center"/>
        <w:ind w:right="3218"/>
        <w:spacing w:after="0"/>
        <w:rPr>
          <w:sz w:val="20"/>
          <w:szCs w:val="20"/>
          <w:color w:val="auto"/>
        </w:rPr>
      </w:pPr>
      <w:r>
        <w:rPr>
          <w:rFonts w:ascii="Times New Roman" w:cs="Times New Roman" w:eastAsia="Times New Roman" w:hAnsi="Times New Roman"/>
          <w:sz w:val="13"/>
          <w:szCs w:val="13"/>
          <w:color w:val="auto"/>
        </w:rPr>
        <w:t>(1330 [Index Value at date of substitution] — 1400 [Index Value at Term Start Date])</w:t>
      </w:r>
    </w:p>
    <w:p>
      <w:pPr>
        <w:spacing w:after="0" w:line="13" w:lineRule="exact"/>
        <w:rPr>
          <w:sz w:val="20"/>
          <w:szCs w:val="20"/>
          <w:color w:val="auto"/>
        </w:rPr>
      </w:pPr>
    </w:p>
    <w:p>
      <w:pPr>
        <w:jc w:val="center"/>
        <w:ind w:right="3198"/>
        <w:spacing w:after="0"/>
        <w:rPr>
          <w:sz w:val="20"/>
          <w:szCs w:val="20"/>
          <w:color w:val="auto"/>
        </w:rPr>
      </w:pPr>
      <w:r>
        <w:rPr>
          <w:rFonts w:ascii="Times New Roman" w:cs="Times New Roman" w:eastAsia="Times New Roman" w:hAnsi="Times New Roman"/>
          <w:sz w:val="13"/>
          <w:szCs w:val="13"/>
          <w:color w:val="auto"/>
        </w:rPr>
        <w:t>÷ 1400 [Index Value at Term Start Date]) = –5%</w:t>
      </w:r>
    </w:p>
    <w:p>
      <w:pPr>
        <w:ind w:left="1"/>
        <w:spacing w:after="0" w:line="204" w:lineRule="auto"/>
        <w:rPr>
          <w:sz w:val="20"/>
          <w:szCs w:val="20"/>
          <w:color w:val="auto"/>
        </w:rPr>
      </w:pPr>
      <w:r>
        <w:rPr>
          <w:rFonts w:ascii="Times New Roman" w:cs="Times New Roman" w:eastAsia="Times New Roman" w:hAnsi="Times New Roman"/>
          <w:sz w:val="5"/>
          <w:szCs w:val="5"/>
          <w:color w:val="auto"/>
        </w:rPr>
        <w:t>(2)</w:t>
      </w:r>
    </w:p>
    <w:p>
      <w:pPr>
        <w:ind w:left="261"/>
        <w:spacing w:after="0" w:line="223" w:lineRule="auto"/>
        <w:rPr>
          <w:sz w:val="20"/>
          <w:szCs w:val="20"/>
          <w:color w:val="auto"/>
        </w:rPr>
      </w:pPr>
      <w:r>
        <w:rPr>
          <w:rFonts w:ascii="Times New Roman" w:cs="Times New Roman" w:eastAsia="Times New Roman" w:hAnsi="Times New Roman"/>
          <w:sz w:val="13"/>
          <w:szCs w:val="13"/>
          <w:color w:val="auto"/>
        </w:rPr>
        <w:t>Index Performance is equal to the percentage change in the Index Value measured from the date of the</w:t>
      </w:r>
    </w:p>
    <w:p>
      <w:pPr>
        <w:ind w:left="261"/>
        <w:spacing w:after="0"/>
        <w:rPr>
          <w:sz w:val="20"/>
          <w:szCs w:val="20"/>
          <w:color w:val="auto"/>
        </w:rPr>
      </w:pPr>
      <w:r>
        <w:rPr>
          <w:rFonts w:ascii="Times New Roman" w:cs="Times New Roman" w:eastAsia="Times New Roman" w:hAnsi="Times New Roman"/>
          <w:sz w:val="13"/>
          <w:szCs w:val="13"/>
          <w:color w:val="auto"/>
        </w:rPr>
        <w:t>Index substitution to the Term End Date. Index Performance is calculated as follows:</w:t>
      </w:r>
    </w:p>
    <w:p>
      <w:pPr>
        <w:spacing w:after="0" w:line="45" w:lineRule="exact"/>
        <w:rPr>
          <w:sz w:val="20"/>
          <w:szCs w:val="20"/>
          <w:color w:val="auto"/>
        </w:rPr>
      </w:pPr>
    </w:p>
    <w:p>
      <w:pPr>
        <w:ind w:left="681"/>
        <w:spacing w:after="0"/>
        <w:rPr>
          <w:sz w:val="20"/>
          <w:szCs w:val="20"/>
          <w:color w:val="auto"/>
        </w:rPr>
      </w:pPr>
      <w:r>
        <w:rPr>
          <w:rFonts w:ascii="Times New Roman" w:cs="Times New Roman" w:eastAsia="Times New Roman" w:hAnsi="Times New Roman"/>
          <w:sz w:val="13"/>
          <w:szCs w:val="13"/>
          <w:color w:val="auto"/>
        </w:rPr>
        <w:t>(1375 [Index Value at Term End Date] — 1250 [Index Value at date of the substitution])</w:t>
      </w:r>
    </w:p>
    <w:p>
      <w:pPr>
        <w:spacing w:after="0" w:line="13" w:lineRule="exact"/>
        <w:rPr>
          <w:sz w:val="20"/>
          <w:szCs w:val="20"/>
          <w:color w:val="auto"/>
        </w:rPr>
      </w:pPr>
    </w:p>
    <w:p>
      <w:pPr>
        <w:ind w:left="1781" w:hanging="110"/>
        <w:spacing w:after="0"/>
        <w:tabs>
          <w:tab w:leader="none" w:pos="1781" w:val="left"/>
        </w:tabs>
        <w:numPr>
          <w:ilvl w:val="1"/>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1250 [Index Value at date of substitution]) = 10%</w:t>
      </w:r>
    </w:p>
    <w:p>
      <w:pPr>
        <w:spacing w:after="0" w:line="22" w:lineRule="exact"/>
        <w:rPr>
          <w:rFonts w:ascii="Times New Roman" w:cs="Times New Roman" w:eastAsia="Times New Roman" w:hAnsi="Times New Roman"/>
          <w:sz w:val="13"/>
          <w:szCs w:val="13"/>
          <w:color w:val="auto"/>
        </w:rPr>
      </w:pPr>
    </w:p>
    <w:p>
      <w:pPr>
        <w:jc w:val="both"/>
        <w:ind w:left="261" w:right="3259" w:hanging="261"/>
        <w:spacing w:after="0" w:line="218" w:lineRule="auto"/>
        <w:tabs>
          <w:tab w:leader="none" w:pos="261" w:val="left"/>
        </w:tabs>
        <w:numPr>
          <w:ilvl w:val="0"/>
          <w:numId w:val="6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Since there was an Index substitution from the S&amp;P 500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Index (initial Index) to the Russell 2000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Index (substituted Index), the total Index Performance for the Term is equal to the S&amp;P 500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Index Value at the Index substitution date</w:t>
      </w:r>
    </w:p>
    <w:p>
      <w:pPr>
        <w:spacing w:after="0" w:line="236" w:lineRule="exact"/>
        <w:rPr>
          <w:sz w:val="20"/>
          <w:szCs w:val="20"/>
          <w:color w:val="auto"/>
        </w:rPr>
      </w:pPr>
    </w:p>
    <w:p>
      <w:pPr>
        <w:ind w:left="2941"/>
        <w:spacing w:after="0"/>
        <w:rPr>
          <w:sz w:val="20"/>
          <w:szCs w:val="20"/>
          <w:color w:val="auto"/>
        </w:rPr>
      </w:pPr>
      <w:r>
        <w:rPr>
          <w:rFonts w:ascii="Times New Roman" w:cs="Times New Roman" w:eastAsia="Times New Roman" w:hAnsi="Times New Roman"/>
          <w:sz w:val="13"/>
          <w:szCs w:val="13"/>
          <w:color w:val="auto"/>
        </w:rPr>
        <w:t>C-1</w:t>
      </w:r>
    </w:p>
    <w:p>
      <w:pPr>
        <w:sectPr>
          <w:pgSz w:w="11900" w:h="16838" w:orient="portrait"/>
          <w:cols w:equalWidth="0" w:num="1">
            <w:col w:w="9261"/>
          </w:cols>
          <w:pgMar w:left="1199" w:top="1047" w:right="1440" w:bottom="1440" w:gutter="0" w:footer="0" w:header="0"/>
        </w:sectPr>
      </w:pPr>
    </w:p>
    <w:bookmarkStart w:id="85" w:name="page86"/>
    <w:bookmarkEnd w:id="85"/>
    <w:p>
      <w:pPr>
        <w:jc w:val="both"/>
        <w:ind w:left="260" w:right="3199"/>
        <w:spacing w:after="0" w:line="21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93915" cy="38100"/>
                    </a:xfrm>
                    <a:prstGeom prst="rect">
                      <a:avLst/>
                    </a:prstGeom>
                    <a:noFill/>
                  </pic:spPr>
                </pic:pic>
              </a:graphicData>
            </a:graphic>
          </wp:anchor>
        </w:drawing>
        <w:t>divided by the S&amp;P 500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Index Value at the Term Start Date multiplied by the Russell 2000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Index Value at the Term End Date divided by the Russell 2000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Index Value at the substitution date –1. Total Index Performance for the Term is calculated as follows:</w:t>
      </w:r>
    </w:p>
    <w:p>
      <w:pPr>
        <w:spacing w:after="0" w:line="37" w:lineRule="exact"/>
        <w:rPr>
          <w:sz w:val="20"/>
          <w:szCs w:val="20"/>
          <w:color w:val="auto"/>
        </w:rPr>
      </w:pPr>
    </w:p>
    <w:p>
      <w:pPr>
        <w:jc w:val="center"/>
        <w:ind w:right="3219"/>
        <w:spacing w:after="0"/>
        <w:rPr>
          <w:sz w:val="20"/>
          <w:szCs w:val="20"/>
          <w:color w:val="auto"/>
        </w:rPr>
      </w:pPr>
      <w:r>
        <w:rPr>
          <w:rFonts w:ascii="Times New Roman" w:cs="Times New Roman" w:eastAsia="Times New Roman" w:hAnsi="Times New Roman"/>
          <w:sz w:val="13"/>
          <w:szCs w:val="13"/>
          <w:color w:val="auto"/>
        </w:rPr>
        <w:t>(1330 [initial Index at Index substitution date] ÷ 1400 [initial Index at Term Start Date])</w:t>
      </w:r>
    </w:p>
    <w:p>
      <w:pPr>
        <w:spacing w:after="0" w:line="13" w:lineRule="exact"/>
        <w:rPr>
          <w:sz w:val="20"/>
          <w:szCs w:val="20"/>
          <w:color w:val="auto"/>
        </w:rPr>
      </w:pPr>
    </w:p>
    <w:p>
      <w:pPr>
        <w:jc w:val="center"/>
        <w:ind w:right="3199"/>
        <w:spacing w:after="0"/>
        <w:rPr>
          <w:sz w:val="20"/>
          <w:szCs w:val="20"/>
          <w:color w:val="auto"/>
        </w:rPr>
      </w:pPr>
      <w:r>
        <w:rPr>
          <w:rFonts w:ascii="Times New Roman" w:cs="Times New Roman" w:eastAsia="Times New Roman" w:hAnsi="Times New Roman"/>
          <w:sz w:val="13"/>
          <w:szCs w:val="13"/>
          <w:color w:val="auto"/>
        </w:rPr>
        <w:t>x (1375 [substituted Index at Term End Date] ÷ 1250 [substituted Index at substitution date]) –1 = 4.5%</w:t>
      </w:r>
    </w:p>
    <w:p>
      <w:pPr>
        <w:spacing w:after="0" w:line="204" w:lineRule="auto"/>
        <w:rPr>
          <w:sz w:val="20"/>
          <w:szCs w:val="20"/>
          <w:color w:val="auto"/>
        </w:rPr>
      </w:pPr>
      <w:r>
        <w:rPr>
          <w:rFonts w:ascii="Times New Roman" w:cs="Times New Roman" w:eastAsia="Times New Roman" w:hAnsi="Times New Roman"/>
          <w:sz w:val="5"/>
          <w:szCs w:val="5"/>
          <w:color w:val="auto"/>
        </w:rPr>
        <w:t>(4)</w:t>
      </w:r>
    </w:p>
    <w:p>
      <w:pPr>
        <w:jc w:val="both"/>
        <w:ind w:left="260" w:right="3259"/>
        <w:spacing w:after="0"/>
        <w:rPr>
          <w:sz w:val="20"/>
          <w:szCs w:val="20"/>
          <w:color w:val="auto"/>
        </w:rPr>
      </w:pPr>
      <w:r>
        <w:rPr>
          <w:rFonts w:ascii="Times New Roman" w:cs="Times New Roman" w:eastAsia="Times New Roman" w:hAnsi="Times New Roman"/>
          <w:sz w:val="13"/>
          <w:szCs w:val="13"/>
          <w:color w:val="auto"/>
        </w:rPr>
        <w:t>The Performance Rate is equal to the Index Performance (4.5%) because the total Index Performance for the Term is greater than zero and less than the Cap Rate.</w:t>
      </w:r>
    </w:p>
    <w:p>
      <w:pPr>
        <w:spacing w:after="0" w:line="201" w:lineRule="auto"/>
        <w:rPr>
          <w:sz w:val="20"/>
          <w:szCs w:val="20"/>
          <w:color w:val="auto"/>
        </w:rPr>
      </w:pPr>
      <w:r>
        <w:rPr>
          <w:rFonts w:ascii="Times New Roman" w:cs="Times New Roman" w:eastAsia="Times New Roman" w:hAnsi="Times New Roman"/>
          <w:sz w:val="5"/>
          <w:szCs w:val="5"/>
          <w:color w:val="auto"/>
        </w:rPr>
        <w:t>(5)</w:t>
      </w:r>
    </w:p>
    <w:p>
      <w:pPr>
        <w:jc w:val="both"/>
        <w:ind w:left="260" w:right="3259"/>
        <w:spacing w:after="0" w:line="238" w:lineRule="auto"/>
        <w:rPr>
          <w:sz w:val="20"/>
          <w:szCs w:val="20"/>
          <w:color w:val="auto"/>
        </w:rPr>
      </w:pPr>
      <w:r>
        <w:rPr>
          <w:rFonts w:ascii="Times New Roman" w:cs="Times New Roman" w:eastAsia="Times New Roman" w:hAnsi="Times New Roman"/>
          <w:sz w:val="13"/>
          <w:szCs w:val="13"/>
          <w:color w:val="auto"/>
        </w:rPr>
        <w:t>The Performance Rate Adjustment is equal to the product of the Investment Amount at the Term Start Date adjusted for any withdrawals (including any applicable Withdrawal Charge) (there are no withdrawals in the example) multiplied by the Performance Rate. The Performance Rate Adjustment is calculated as follows:</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3"/>
          <w:szCs w:val="13"/>
          <w:color w:val="auto"/>
        </w:rPr>
        <w:t>$100,000 [Investment Amount at Term Start Date] x 4.5% [Performance Rate] = $4,500</w:t>
      </w:r>
    </w:p>
    <w:p>
      <w:pPr>
        <w:spacing w:after="0" w:line="218" w:lineRule="auto"/>
        <w:rPr>
          <w:sz w:val="20"/>
          <w:szCs w:val="20"/>
          <w:color w:val="auto"/>
        </w:rPr>
      </w:pPr>
      <w:r>
        <w:rPr>
          <w:rFonts w:ascii="Times New Roman" w:cs="Times New Roman" w:eastAsia="Times New Roman" w:hAnsi="Times New Roman"/>
          <w:sz w:val="6"/>
          <w:szCs w:val="6"/>
          <w:color w:val="auto"/>
        </w:rPr>
        <w:t>(6)</w:t>
      </w:r>
    </w:p>
    <w:p>
      <w:pPr>
        <w:jc w:val="both"/>
        <w:ind w:left="260" w:right="3259"/>
        <w:spacing w:after="0"/>
        <w:rPr>
          <w:sz w:val="20"/>
          <w:szCs w:val="20"/>
          <w:color w:val="auto"/>
        </w:rPr>
      </w:pPr>
      <w:r>
        <w:rPr>
          <w:rFonts w:ascii="Times New Roman" w:cs="Times New Roman" w:eastAsia="Times New Roman" w:hAnsi="Times New Roman"/>
          <w:sz w:val="13"/>
          <w:szCs w:val="13"/>
          <w:color w:val="auto"/>
        </w:rPr>
        <w:t>The Investment Amount at Term End Date is equal to the Investment Amount at the Term Start Date adjusted for any withdrawals (including any applicable Withdrawal Charge) (there are no withdrawals in the example) plus the Performance Rate Adjustment. The Investment Amount at Term End Date is calculated as follows: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$100,000 [Investment Amount at Term Start Date] + $4,500 [Performance Rate Adjustment] = $104,500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3"/>
          <w:szCs w:val="13"/>
          <w:color w:val="auto"/>
        </w:rPr>
        <w:t>C-2</w:t>
      </w:r>
    </w:p>
    <w:p>
      <w:pPr>
        <w:sectPr>
          <w:pgSz w:w="11900" w:h="16838" w:orient="portrait"/>
          <w:cols w:equalWidth="0" w:num="1">
            <w:col w:w="9259"/>
          </w:cols>
          <w:pgMar w:left="1200" w:top="1027" w:right="1440" w:bottom="1440" w:gutter="0" w:footer="0" w:header="0"/>
        </w:sectPr>
      </w:pPr>
    </w:p>
    <w:bookmarkStart w:id="86" w:name="page87"/>
    <w:bookmarkEnd w:id="86"/>
    <w:p>
      <w:pPr>
        <w:jc w:val="center"/>
        <w:ind w:right="317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93915" cy="38100"/>
                    </a:xfrm>
                    <a:prstGeom prst="rect">
                      <a:avLst/>
                    </a:prstGeom>
                    <a:noFill/>
                  </pic:spPr>
                </pic:pic>
              </a:graphicData>
            </a:graphic>
          </wp:anchor>
        </w:drawing>
        <w:t>APPENDIX D</w:t>
      </w:r>
    </w:p>
    <w:p>
      <w:pPr>
        <w:spacing w:after="0" w:line="89" w:lineRule="exact"/>
        <w:rPr>
          <w:sz w:val="20"/>
          <w:szCs w:val="20"/>
          <w:color w:val="auto"/>
        </w:rPr>
      </w:pPr>
    </w:p>
    <w:p>
      <w:pPr>
        <w:jc w:val="center"/>
        <w:ind w:right="3199"/>
        <w:spacing w:after="0"/>
        <w:rPr>
          <w:sz w:val="20"/>
          <w:szCs w:val="20"/>
          <w:color w:val="auto"/>
        </w:rPr>
      </w:pPr>
      <w:r>
        <w:rPr>
          <w:rFonts w:ascii="Times New Roman" w:cs="Times New Roman" w:eastAsia="Times New Roman" w:hAnsi="Times New Roman"/>
          <w:sz w:val="13"/>
          <w:szCs w:val="13"/>
          <w:b w:val="1"/>
          <w:bCs w:val="1"/>
          <w:color w:val="auto"/>
        </w:rPr>
        <w:t>RETURN OF PREMIUM DEATH BENEFIT EXAMPLE</w:t>
      </w:r>
    </w:p>
    <w:p>
      <w:pPr>
        <w:spacing w:after="0" w:line="91" w:lineRule="exact"/>
        <w:rPr>
          <w:sz w:val="20"/>
          <w:szCs w:val="20"/>
          <w:color w:val="auto"/>
        </w:rPr>
      </w:pPr>
    </w:p>
    <w:p>
      <w:pPr>
        <w:jc w:val="both"/>
        <w:ind w:right="3199" w:firstLine="265"/>
        <w:spacing w:after="0" w:line="263" w:lineRule="auto"/>
        <w:rPr>
          <w:sz w:val="20"/>
          <w:szCs w:val="20"/>
          <w:color w:val="auto"/>
        </w:rPr>
      </w:pPr>
      <w:r>
        <w:rPr>
          <w:rFonts w:ascii="Times New Roman" w:cs="Times New Roman" w:eastAsia="Times New Roman" w:hAnsi="Times New Roman"/>
          <w:sz w:val="13"/>
          <w:szCs w:val="13"/>
          <w:color w:val="auto"/>
        </w:rPr>
        <w:t xml:space="preserve">The purpose of this example is to illustrate the operation of the Return of Premium death benefit. The investment results shown are hypothetical and are not representative of past or future performance. Actual investment results may be more or less than those shown and will depend upon a number of factors, including the allocation made by an Owner and the Index Performance for the Shield Options chosen. </w:t>
      </w:r>
      <w:r>
        <w:rPr>
          <w:rFonts w:ascii="Times New Roman" w:cs="Times New Roman" w:eastAsia="Times New Roman" w:hAnsi="Times New Roman"/>
          <w:sz w:val="13"/>
          <w:szCs w:val="13"/>
          <w:b w:val="1"/>
          <w:bCs w:val="1"/>
          <w:color w:val="auto"/>
        </w:rPr>
        <w:t>The examples do not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reflect the deduction of fees and charges, if any, Withdrawal Charges or income taxes and tax penalties.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Return of Premium Death Benefit</w:t>
      </w:r>
    </w:p>
    <w:p>
      <w:pPr>
        <w:spacing w:after="0" w:line="91" w:lineRule="exact"/>
        <w:rPr>
          <w:sz w:val="20"/>
          <w:szCs w:val="20"/>
          <w:color w:val="auto"/>
        </w:rPr>
      </w:pPr>
    </w:p>
    <w:p>
      <w:pPr>
        <w:jc w:val="both"/>
        <w:ind w:right="3199" w:firstLine="265"/>
        <w:spacing w:after="0" w:line="272" w:lineRule="auto"/>
        <w:rPr>
          <w:sz w:val="20"/>
          <w:szCs w:val="20"/>
          <w:color w:val="auto"/>
        </w:rPr>
      </w:pPr>
      <w:r>
        <w:rPr>
          <w:rFonts w:ascii="Times New Roman" w:cs="Times New Roman" w:eastAsia="Times New Roman" w:hAnsi="Times New Roman"/>
          <w:sz w:val="13"/>
          <w:szCs w:val="13"/>
          <w:color w:val="auto"/>
        </w:rPr>
        <w:t>The purpose of this example is to show how partial withdrawals reduce the Return of Premium death benefit proportionally by the percentage reduction in Account Value of the Shield Option(s) and the Fixed Account for each partial withdrawal.</w:t>
      </w:r>
    </w:p>
    <w:p>
      <w:pPr>
        <w:spacing w:after="0" w:line="75"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280" w:type="dxa"/>
            <w:vAlign w:val="bottom"/>
            <w:tcBorders>
              <w:top w:val="single" w:sz="8" w:color="auto"/>
              <w:left w:val="single" w:sz="8" w:color="auto"/>
              <w:right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0" w:type="dxa"/>
            <w:vAlign w:val="bottom"/>
            <w:tcBorders>
              <w:top w:val="single" w:sz="8" w:color="auto"/>
              <w:right w:val="single" w:sz="8" w:color="auto"/>
            </w:tcBorders>
          </w:tcPr>
          <w:p>
            <w:pPr>
              <w:spacing w:after="0"/>
              <w:rPr>
                <w:sz w:val="14"/>
                <w:szCs w:val="14"/>
                <w:color w:val="auto"/>
              </w:rPr>
            </w:pPr>
          </w:p>
        </w:tc>
        <w:tc>
          <w:tcPr>
            <w:tcW w:w="2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Date</w:t>
            </w:r>
          </w:p>
        </w:tc>
        <w:tc>
          <w:tcPr>
            <w:tcW w:w="1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Amount</w:t>
            </w:r>
          </w:p>
        </w:tc>
      </w:tr>
      <w:tr>
        <w:trPr>
          <w:trHeight w:val="37"/>
        </w:trPr>
        <w:tc>
          <w:tcPr>
            <w:tcW w:w="280" w:type="dxa"/>
            <w:vAlign w:val="bottom"/>
            <w:tcBorders>
              <w:left w:val="single" w:sz="8" w:color="auto"/>
              <w:right w:val="single" w:sz="8" w:color="auto"/>
            </w:tcBorders>
          </w:tcPr>
          <w:p>
            <w:pPr>
              <w:spacing w:after="0"/>
              <w:rPr>
                <w:sz w:val="3"/>
                <w:szCs w:val="3"/>
                <w:color w:val="auto"/>
              </w:rPr>
            </w:pPr>
          </w:p>
        </w:tc>
        <w:tc>
          <w:tcPr>
            <w:tcW w:w="740" w:type="dxa"/>
            <w:vAlign w:val="bottom"/>
          </w:tcPr>
          <w:p>
            <w:pPr>
              <w:spacing w:after="0"/>
              <w:rPr>
                <w:sz w:val="3"/>
                <w:szCs w:val="3"/>
                <w:color w:val="auto"/>
              </w:rPr>
            </w:pPr>
          </w:p>
        </w:tc>
        <w:tc>
          <w:tcPr>
            <w:tcW w:w="1200" w:type="dxa"/>
            <w:vAlign w:val="bottom"/>
            <w:tcBorders>
              <w:right w:val="single" w:sz="8" w:color="auto"/>
            </w:tcBorders>
          </w:tcPr>
          <w:p>
            <w:pPr>
              <w:spacing w:after="0"/>
              <w:rPr>
                <w:sz w:val="3"/>
                <w:szCs w:val="3"/>
                <w:color w:val="auto"/>
              </w:rPr>
            </w:pPr>
          </w:p>
        </w:tc>
        <w:tc>
          <w:tcPr>
            <w:tcW w:w="256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r>
      <w:tr>
        <w:trPr>
          <w:trHeight w:val="188"/>
        </w:trPr>
        <w:tc>
          <w:tcPr>
            <w:tcW w:w="280" w:type="dxa"/>
            <w:vAlign w:val="bottom"/>
            <w:tcBorders>
              <w:left w:val="single" w:sz="8" w:color="auto"/>
              <w:bottom w:val="single" w:sz="8" w:color="auto"/>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3"/>
                <w:szCs w:val="13"/>
                <w:color w:val="auto"/>
              </w:rPr>
              <w:t>A</w:t>
            </w:r>
          </w:p>
        </w:tc>
        <w:tc>
          <w:tcPr>
            <w:tcW w:w="1940" w:type="dxa"/>
            <w:vAlign w:val="bottom"/>
            <w:tcBorders>
              <w:bottom w:val="single" w:sz="8" w:color="auto"/>
              <w:right w:val="single" w:sz="8" w:color="auto"/>
            </w:tcBorders>
            <w:gridSpan w:val="2"/>
            <w:shd w:val="clear" w:color="auto" w:fill="F0FFFF"/>
          </w:tcPr>
          <w:p>
            <w:pPr>
              <w:ind w:left="60"/>
              <w:spacing w:after="0"/>
              <w:rPr>
                <w:sz w:val="20"/>
                <w:szCs w:val="20"/>
                <w:color w:val="auto"/>
              </w:rPr>
            </w:pPr>
            <w:r>
              <w:rPr>
                <w:rFonts w:ascii="Times New Roman" w:cs="Times New Roman" w:eastAsia="Times New Roman" w:hAnsi="Times New Roman"/>
                <w:sz w:val="13"/>
                <w:szCs w:val="13"/>
                <w:color w:val="auto"/>
              </w:rPr>
              <w:t>Purchase Payment</w:t>
            </w:r>
          </w:p>
        </w:tc>
        <w:tc>
          <w:tcPr>
            <w:tcW w:w="256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Issue Date</w:t>
            </w:r>
          </w:p>
        </w:tc>
        <w:tc>
          <w:tcPr>
            <w:tcW w:w="13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$100,000</w:t>
            </w:r>
          </w:p>
        </w:tc>
      </w:tr>
      <w:tr>
        <w:trPr>
          <w:trHeight w:val="198"/>
        </w:trPr>
        <w:tc>
          <w:tcPr>
            <w:tcW w:w="2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B</w:t>
            </w:r>
          </w:p>
        </w:tc>
        <w:tc>
          <w:tcPr>
            <w:tcW w:w="194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Account Value</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First Contract Anniversary</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$90,000</w:t>
            </w:r>
          </w:p>
        </w:tc>
      </w:tr>
      <w:tr>
        <w:trPr>
          <w:trHeight w:val="185"/>
        </w:trPr>
        <w:tc>
          <w:tcPr>
            <w:tcW w:w="280" w:type="dxa"/>
            <w:vAlign w:val="bottom"/>
            <w:tcBorders>
              <w:left w:val="single" w:sz="8" w:color="auto"/>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3"/>
                <w:szCs w:val="13"/>
                <w:color w:val="auto"/>
              </w:rPr>
              <w:t>C</w:t>
            </w:r>
          </w:p>
        </w:tc>
        <w:tc>
          <w:tcPr>
            <w:tcW w:w="1940" w:type="dxa"/>
            <w:vAlign w:val="bottom"/>
            <w:tcBorders>
              <w:right w:val="single" w:sz="8" w:color="auto"/>
            </w:tcBorders>
            <w:gridSpan w:val="2"/>
            <w:shd w:val="clear" w:color="auto" w:fill="F0FFFF"/>
          </w:tcPr>
          <w:p>
            <w:pPr>
              <w:ind w:left="60"/>
              <w:spacing w:after="0"/>
              <w:rPr>
                <w:sz w:val="20"/>
                <w:szCs w:val="20"/>
                <w:color w:val="auto"/>
              </w:rPr>
            </w:pPr>
            <w:r>
              <w:rPr>
                <w:rFonts w:ascii="Times New Roman" w:cs="Times New Roman" w:eastAsia="Times New Roman" w:hAnsi="Times New Roman"/>
                <w:sz w:val="13"/>
                <w:szCs w:val="13"/>
                <w:color w:val="auto"/>
              </w:rPr>
              <w:t>Death Benefit</w:t>
            </w:r>
          </w:p>
        </w:tc>
        <w:tc>
          <w:tcPr>
            <w:tcW w:w="256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First Contract Anniversary</w:t>
            </w:r>
          </w:p>
        </w:tc>
        <w:tc>
          <w:tcPr>
            <w:tcW w:w="132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$100,000</w:t>
            </w:r>
          </w:p>
        </w:tc>
      </w:tr>
      <w:tr>
        <w:trPr>
          <w:trHeight w:val="206"/>
        </w:trPr>
        <w:tc>
          <w:tcPr>
            <w:tcW w:w="280" w:type="dxa"/>
            <w:vAlign w:val="bottom"/>
            <w:tcBorders>
              <w:left w:val="single" w:sz="8" w:color="auto"/>
              <w:bottom w:val="single" w:sz="8" w:color="F0FFFF"/>
              <w:right w:val="single" w:sz="8" w:color="auto"/>
            </w:tcBorders>
            <w:shd w:val="clear" w:color="auto" w:fill="F0FFFF"/>
          </w:tcPr>
          <w:p>
            <w:pPr>
              <w:spacing w:after="0"/>
              <w:rPr>
                <w:sz w:val="17"/>
                <w:szCs w:val="17"/>
                <w:color w:val="auto"/>
              </w:rPr>
            </w:pPr>
          </w:p>
        </w:tc>
        <w:tc>
          <w:tcPr>
            <w:tcW w:w="740" w:type="dxa"/>
            <w:vAlign w:val="bottom"/>
            <w:tcBorders>
              <w:bottom w:val="single" w:sz="8" w:color="F0FFFF"/>
            </w:tcBorders>
            <w:shd w:val="clear" w:color="auto" w:fill="F0FFFF"/>
          </w:tcPr>
          <w:p>
            <w:pPr>
              <w:spacing w:after="0"/>
              <w:rPr>
                <w:sz w:val="17"/>
                <w:szCs w:val="17"/>
                <w:color w:val="auto"/>
              </w:rPr>
            </w:pPr>
          </w:p>
        </w:tc>
        <w:tc>
          <w:tcPr>
            <w:tcW w:w="1200" w:type="dxa"/>
            <w:vAlign w:val="bottom"/>
            <w:tcBorders>
              <w:bottom w:val="single" w:sz="8" w:color="F0FFFF"/>
              <w:right w:val="single" w:sz="8" w:color="auto"/>
            </w:tcBorders>
            <w:shd w:val="clear" w:color="auto" w:fill="F0FFFF"/>
          </w:tcPr>
          <w:p>
            <w:pPr>
              <w:spacing w:after="0"/>
              <w:rPr>
                <w:sz w:val="17"/>
                <w:szCs w:val="17"/>
                <w:color w:val="auto"/>
              </w:rPr>
            </w:pPr>
          </w:p>
        </w:tc>
        <w:tc>
          <w:tcPr>
            <w:tcW w:w="2560" w:type="dxa"/>
            <w:vAlign w:val="bottom"/>
            <w:tcBorders>
              <w:bottom w:val="single" w:sz="8" w:color="F0FFFF"/>
              <w:right w:val="single" w:sz="8" w:color="auto"/>
            </w:tcBorders>
            <w:shd w:val="clear" w:color="auto" w:fill="F0FFFF"/>
          </w:tcPr>
          <w:p>
            <w:pPr>
              <w:spacing w:after="0"/>
              <w:rPr>
                <w:sz w:val="17"/>
                <w:szCs w:val="17"/>
                <w:color w:val="auto"/>
              </w:rPr>
            </w:pPr>
          </w:p>
        </w:tc>
        <w:tc>
          <w:tcPr>
            <w:tcW w:w="13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 greater of A and B)</w:t>
            </w:r>
          </w:p>
        </w:tc>
      </w:tr>
      <w:tr>
        <w:trPr>
          <w:trHeight w:val="188"/>
        </w:trPr>
        <w:tc>
          <w:tcPr>
            <w:tcW w:w="2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D</w:t>
            </w:r>
          </w:p>
        </w:tc>
        <w:tc>
          <w:tcPr>
            <w:tcW w:w="1940" w:type="dxa"/>
            <w:vAlign w:val="bottom"/>
            <w:tcBorders>
              <w:top w:val="single" w:sz="8" w:color="auto"/>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Withdrawal</w:t>
            </w:r>
          </w:p>
        </w:tc>
        <w:tc>
          <w:tcPr>
            <w:tcW w:w="25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One Day after the First Contract Anniversary</w:t>
            </w:r>
          </w:p>
        </w:tc>
        <w:tc>
          <w:tcPr>
            <w:tcW w:w="13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$9,000</w:t>
            </w:r>
          </w:p>
        </w:tc>
      </w:tr>
      <w:tr>
        <w:trPr>
          <w:trHeight w:val="185"/>
        </w:trPr>
        <w:tc>
          <w:tcPr>
            <w:tcW w:w="280" w:type="dxa"/>
            <w:vAlign w:val="bottom"/>
            <w:tcBorders>
              <w:left w:val="single" w:sz="8" w:color="auto"/>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3"/>
                <w:szCs w:val="13"/>
                <w:color w:val="auto"/>
              </w:rPr>
              <w:t>E</w:t>
            </w:r>
          </w:p>
        </w:tc>
        <w:tc>
          <w:tcPr>
            <w:tcW w:w="1940" w:type="dxa"/>
            <w:vAlign w:val="bottom"/>
            <w:tcBorders>
              <w:right w:val="single" w:sz="8" w:color="auto"/>
            </w:tcBorders>
            <w:gridSpan w:val="2"/>
            <w:shd w:val="clear" w:color="auto" w:fill="F0FFFF"/>
          </w:tcPr>
          <w:p>
            <w:pPr>
              <w:ind w:left="60"/>
              <w:spacing w:after="0"/>
              <w:rPr>
                <w:sz w:val="20"/>
                <w:szCs w:val="20"/>
                <w:color w:val="auto"/>
              </w:rPr>
            </w:pPr>
            <w:r>
              <w:rPr>
                <w:rFonts w:ascii="Times New Roman" w:cs="Times New Roman" w:eastAsia="Times New Roman" w:hAnsi="Times New Roman"/>
                <w:sz w:val="13"/>
                <w:szCs w:val="13"/>
                <w:color w:val="auto"/>
              </w:rPr>
              <w:t>Percentage Reduction in Account</w:t>
            </w:r>
          </w:p>
        </w:tc>
        <w:tc>
          <w:tcPr>
            <w:tcW w:w="256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One Day after the First Contract Anniversary</w:t>
            </w:r>
          </w:p>
        </w:tc>
        <w:tc>
          <w:tcPr>
            <w:tcW w:w="132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10% (= D/B)</w:t>
            </w:r>
          </w:p>
        </w:tc>
      </w:tr>
      <w:tr>
        <w:trPr>
          <w:trHeight w:val="206"/>
        </w:trPr>
        <w:tc>
          <w:tcPr>
            <w:tcW w:w="280" w:type="dxa"/>
            <w:vAlign w:val="bottom"/>
            <w:tcBorders>
              <w:left w:val="single" w:sz="8" w:color="auto"/>
              <w:bottom w:val="single" w:sz="8" w:color="F0FFFF"/>
              <w:right w:val="single" w:sz="8" w:color="auto"/>
            </w:tcBorders>
            <w:shd w:val="clear" w:color="auto" w:fill="F0FFFF"/>
          </w:tcPr>
          <w:p>
            <w:pPr>
              <w:spacing w:after="0"/>
              <w:rPr>
                <w:sz w:val="17"/>
                <w:szCs w:val="17"/>
                <w:color w:val="auto"/>
              </w:rPr>
            </w:pPr>
          </w:p>
        </w:tc>
        <w:tc>
          <w:tcPr>
            <w:tcW w:w="1940" w:type="dxa"/>
            <w:vAlign w:val="bottom"/>
            <w:tcBorders>
              <w:bottom w:val="single" w:sz="8" w:color="F0FFFF"/>
              <w:right w:val="single" w:sz="8" w:color="auto"/>
            </w:tcBorders>
            <w:gridSpan w:val="2"/>
            <w:shd w:val="clear" w:color="auto" w:fill="F0FFFF"/>
          </w:tcPr>
          <w:p>
            <w:pPr>
              <w:ind w:left="60"/>
              <w:spacing w:after="0"/>
              <w:rPr>
                <w:sz w:val="20"/>
                <w:szCs w:val="20"/>
                <w:color w:val="auto"/>
              </w:rPr>
            </w:pPr>
            <w:r>
              <w:rPr>
                <w:rFonts w:ascii="Times New Roman" w:cs="Times New Roman" w:eastAsia="Times New Roman" w:hAnsi="Times New Roman"/>
                <w:sz w:val="13"/>
                <w:szCs w:val="13"/>
                <w:color w:val="auto"/>
              </w:rPr>
              <w:t>Value</w:t>
            </w:r>
          </w:p>
        </w:tc>
        <w:tc>
          <w:tcPr>
            <w:tcW w:w="2560" w:type="dxa"/>
            <w:vAlign w:val="bottom"/>
            <w:tcBorders>
              <w:bottom w:val="single" w:sz="8" w:color="F0FFFF"/>
              <w:right w:val="single" w:sz="8" w:color="auto"/>
            </w:tcBorders>
            <w:shd w:val="clear" w:color="auto" w:fill="F0FFFF"/>
          </w:tcPr>
          <w:p>
            <w:pPr>
              <w:spacing w:after="0"/>
              <w:rPr>
                <w:sz w:val="17"/>
                <w:szCs w:val="17"/>
                <w:color w:val="auto"/>
              </w:rPr>
            </w:pPr>
          </w:p>
        </w:tc>
        <w:tc>
          <w:tcPr>
            <w:tcW w:w="1320" w:type="dxa"/>
            <w:vAlign w:val="bottom"/>
            <w:tcBorders>
              <w:bottom w:val="single" w:sz="8" w:color="F0FFFF"/>
              <w:right w:val="single" w:sz="8" w:color="auto"/>
            </w:tcBorders>
            <w:shd w:val="clear" w:color="auto" w:fill="F0FFFF"/>
          </w:tcPr>
          <w:p>
            <w:pPr>
              <w:spacing w:after="0"/>
              <w:rPr>
                <w:sz w:val="17"/>
                <w:szCs w:val="17"/>
                <w:color w:val="auto"/>
              </w:rPr>
            </w:pPr>
          </w:p>
        </w:tc>
      </w:tr>
      <w:tr>
        <w:trPr>
          <w:trHeight w:val="188"/>
        </w:trPr>
        <w:tc>
          <w:tcPr>
            <w:tcW w:w="2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F</w:t>
            </w:r>
          </w:p>
        </w:tc>
        <w:tc>
          <w:tcPr>
            <w:tcW w:w="1940" w:type="dxa"/>
            <w:vAlign w:val="bottom"/>
            <w:tcBorders>
              <w:top w:val="single" w:sz="8" w:color="auto"/>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Account Value after Withdrawal</w:t>
            </w:r>
          </w:p>
        </w:tc>
        <w:tc>
          <w:tcPr>
            <w:tcW w:w="25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One Day after the First Contract Anniversary</w:t>
            </w:r>
          </w:p>
        </w:tc>
        <w:tc>
          <w:tcPr>
            <w:tcW w:w="13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$81,000 (= B-D)</w:t>
            </w:r>
          </w:p>
        </w:tc>
      </w:tr>
      <w:tr>
        <w:trPr>
          <w:trHeight w:val="185"/>
        </w:trPr>
        <w:tc>
          <w:tcPr>
            <w:tcW w:w="280" w:type="dxa"/>
            <w:vAlign w:val="bottom"/>
            <w:tcBorders>
              <w:left w:val="single" w:sz="8" w:color="auto"/>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3"/>
                <w:szCs w:val="13"/>
                <w:color w:val="auto"/>
              </w:rPr>
              <w:t>G</w:t>
            </w:r>
          </w:p>
        </w:tc>
        <w:tc>
          <w:tcPr>
            <w:tcW w:w="1940" w:type="dxa"/>
            <w:vAlign w:val="bottom"/>
            <w:tcBorders>
              <w:right w:val="single" w:sz="8" w:color="auto"/>
            </w:tcBorders>
            <w:gridSpan w:val="2"/>
            <w:shd w:val="clear" w:color="auto" w:fill="F0FFFF"/>
          </w:tcPr>
          <w:p>
            <w:pPr>
              <w:ind w:left="60"/>
              <w:spacing w:after="0"/>
              <w:rPr>
                <w:sz w:val="20"/>
                <w:szCs w:val="20"/>
                <w:color w:val="auto"/>
              </w:rPr>
            </w:pPr>
            <w:r>
              <w:rPr>
                <w:rFonts w:ascii="Times New Roman" w:cs="Times New Roman" w:eastAsia="Times New Roman" w:hAnsi="Times New Roman"/>
                <w:sz w:val="13"/>
                <w:szCs w:val="13"/>
                <w:color w:val="auto"/>
              </w:rPr>
              <w:t>Purchase Payment Reduced for</w:t>
            </w:r>
          </w:p>
        </w:tc>
        <w:tc>
          <w:tcPr>
            <w:tcW w:w="256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One Day after the First Contract Anniversary</w:t>
            </w:r>
          </w:p>
        </w:tc>
        <w:tc>
          <w:tcPr>
            <w:tcW w:w="132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w w:val="99"/>
              </w:rPr>
              <w:t>$90,000</w:t>
            </w:r>
          </w:p>
        </w:tc>
      </w:tr>
      <w:tr>
        <w:trPr>
          <w:trHeight w:val="206"/>
        </w:trPr>
        <w:tc>
          <w:tcPr>
            <w:tcW w:w="280" w:type="dxa"/>
            <w:vAlign w:val="bottom"/>
            <w:tcBorders>
              <w:left w:val="single" w:sz="8" w:color="auto"/>
              <w:bottom w:val="single" w:sz="8" w:color="F0FFFF"/>
              <w:right w:val="single" w:sz="8" w:color="auto"/>
            </w:tcBorders>
            <w:shd w:val="clear" w:color="auto" w:fill="F0FFFF"/>
          </w:tcPr>
          <w:p>
            <w:pPr>
              <w:spacing w:after="0"/>
              <w:rPr>
                <w:sz w:val="17"/>
                <w:szCs w:val="17"/>
                <w:color w:val="auto"/>
              </w:rPr>
            </w:pPr>
          </w:p>
        </w:tc>
        <w:tc>
          <w:tcPr>
            <w:tcW w:w="1940" w:type="dxa"/>
            <w:vAlign w:val="bottom"/>
            <w:tcBorders>
              <w:bottom w:val="single" w:sz="8" w:color="F0FFFF"/>
              <w:right w:val="single" w:sz="8" w:color="auto"/>
            </w:tcBorders>
            <w:gridSpan w:val="2"/>
            <w:shd w:val="clear" w:color="auto" w:fill="F0FFFF"/>
          </w:tcPr>
          <w:p>
            <w:pPr>
              <w:ind w:left="60"/>
              <w:spacing w:after="0"/>
              <w:rPr>
                <w:sz w:val="20"/>
                <w:szCs w:val="20"/>
                <w:color w:val="auto"/>
              </w:rPr>
            </w:pPr>
            <w:r>
              <w:rPr>
                <w:rFonts w:ascii="Times New Roman" w:cs="Times New Roman" w:eastAsia="Times New Roman" w:hAnsi="Times New Roman"/>
                <w:sz w:val="13"/>
                <w:szCs w:val="13"/>
                <w:color w:val="auto"/>
              </w:rPr>
              <w:t>Withdrawal</w:t>
            </w:r>
          </w:p>
        </w:tc>
        <w:tc>
          <w:tcPr>
            <w:tcW w:w="2560" w:type="dxa"/>
            <w:vAlign w:val="bottom"/>
            <w:tcBorders>
              <w:bottom w:val="single" w:sz="8" w:color="F0FFFF"/>
              <w:right w:val="single" w:sz="8" w:color="auto"/>
            </w:tcBorders>
            <w:shd w:val="clear" w:color="auto" w:fill="F0FFFF"/>
          </w:tcPr>
          <w:p>
            <w:pPr>
              <w:spacing w:after="0"/>
              <w:rPr>
                <w:sz w:val="17"/>
                <w:szCs w:val="17"/>
                <w:color w:val="auto"/>
              </w:rPr>
            </w:pPr>
          </w:p>
        </w:tc>
        <w:tc>
          <w:tcPr>
            <w:tcW w:w="13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 A-(A × E))</w:t>
            </w:r>
          </w:p>
        </w:tc>
      </w:tr>
      <w:tr>
        <w:trPr>
          <w:trHeight w:val="156"/>
        </w:trPr>
        <w:tc>
          <w:tcPr>
            <w:tcW w:w="28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H</w:t>
            </w:r>
          </w:p>
        </w:tc>
        <w:tc>
          <w:tcPr>
            <w:tcW w:w="1940" w:type="dxa"/>
            <w:vAlign w:val="bottom"/>
            <w:tcBorders>
              <w:top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Death Benefit</w:t>
            </w:r>
          </w:p>
        </w:tc>
        <w:tc>
          <w:tcPr>
            <w:tcW w:w="2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One Day after the First Contract Anniversary</w:t>
            </w:r>
          </w:p>
        </w:tc>
        <w:tc>
          <w:tcPr>
            <w:tcW w:w="1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$90,000</w:t>
            </w:r>
          </w:p>
        </w:tc>
      </w:tr>
      <w:tr>
        <w:trPr>
          <w:trHeight w:val="186"/>
        </w:trPr>
        <w:tc>
          <w:tcPr>
            <w:tcW w:w="280" w:type="dxa"/>
            <w:vAlign w:val="bottom"/>
            <w:tcBorders>
              <w:left w:val="single" w:sz="8" w:color="auto"/>
              <w:bottom w:val="single" w:sz="8" w:color="auto"/>
              <w:right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c>
          <w:tcPr>
            <w:tcW w:w="256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 greater of F and G)</w:t>
            </w:r>
          </w:p>
        </w:tc>
      </w:tr>
      <w:tr>
        <w:trPr>
          <w:trHeight w:val="203"/>
        </w:trPr>
        <w:tc>
          <w:tcPr>
            <w:tcW w:w="22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Notes to Example.</w:t>
            </w:r>
          </w:p>
        </w:tc>
        <w:tc>
          <w:tcPr>
            <w:tcW w:w="25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-1807210</wp:posOffset>
            </wp:positionV>
            <wp:extent cx="3861435" cy="1257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861435" cy="1257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-1542415</wp:posOffset>
            </wp:positionV>
            <wp:extent cx="3861435" cy="1384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861435" cy="1384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-1151890</wp:posOffset>
            </wp:positionV>
            <wp:extent cx="3861435" cy="1384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861435" cy="1384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-761365</wp:posOffset>
            </wp:positionV>
            <wp:extent cx="3861435" cy="1384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861435" cy="1384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-370840</wp:posOffset>
            </wp:positionV>
            <wp:extent cx="3861435" cy="22669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861435" cy="22669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Purchaser is age 60 at issue.</w:t>
      </w:r>
    </w:p>
    <w:p>
      <w:pPr>
        <w:spacing w:after="0" w:line="89" w:lineRule="exact"/>
        <w:rPr>
          <w:sz w:val="20"/>
          <w:szCs w:val="20"/>
          <w:color w:val="auto"/>
        </w:rPr>
      </w:pPr>
    </w:p>
    <w:p>
      <w:pPr>
        <w:ind w:right="3199"/>
        <w:spacing w:after="0" w:line="290" w:lineRule="auto"/>
        <w:rPr>
          <w:sz w:val="20"/>
          <w:szCs w:val="20"/>
          <w:color w:val="auto"/>
        </w:rPr>
      </w:pPr>
      <w:r>
        <w:rPr>
          <w:rFonts w:ascii="Times New Roman" w:cs="Times New Roman" w:eastAsia="Times New Roman" w:hAnsi="Times New Roman"/>
          <w:sz w:val="13"/>
          <w:szCs w:val="13"/>
          <w:color w:val="auto"/>
        </w:rPr>
        <w:t>The Account Values on the First Contract Anniversary and One Day after the First Contract Anniversary are assumed to be equal prior to the withdrawal.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3"/>
          <w:szCs w:val="13"/>
          <w:color w:val="auto"/>
        </w:rPr>
        <w:t>D-1</w:t>
      </w:r>
    </w:p>
    <w:p>
      <w:pPr>
        <w:sectPr>
          <w:pgSz w:w="11900" w:h="16838" w:orient="portrait"/>
          <w:cols w:equalWidth="0" w:num="1">
            <w:col w:w="9259"/>
          </w:cols>
          <w:pgMar w:left="1200" w:top="1047" w:right="1440" w:bottom="1440" w:gutter="0" w:footer="0" w:header="0"/>
        </w:sectPr>
      </w:pPr>
    </w:p>
    <w:bookmarkStart w:id="87" w:name="page88"/>
    <w:bookmarkEnd w:id="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3520" w:type="dxa"/>
            <w:vAlign w:val="bottom"/>
            <w:vMerge w:val="restart"/>
          </w:tcPr>
          <w:p>
            <w:pPr>
              <w:ind w:left="820"/>
              <w:spacing w:after="0"/>
              <w:rPr>
                <w:sz w:val="20"/>
                <w:szCs w:val="20"/>
                <w:color w:val="auto"/>
              </w:rPr>
            </w:pPr>
            <w:r>
              <w:rPr>
                <w:rFonts w:ascii="Times New Roman" w:cs="Times New Roman" w:eastAsia="Times New Roman" w:hAnsi="Times New Roman"/>
                <w:sz w:val="13"/>
                <w:szCs w:val="13"/>
                <w:color w:val="auto"/>
                <w:w w:val="99"/>
              </w:rPr>
              <w:t>(THIS PAGE INTENTIONALLY LEFT BLANK.)</w:t>
            </w:r>
          </w:p>
        </w:tc>
        <w:tc>
          <w:tcPr>
            <w:tcW w:w="0" w:type="dxa"/>
            <w:vAlign w:val="bottom"/>
          </w:tcPr>
          <w:p>
            <w:pPr>
              <w:spacing w:after="0"/>
              <w:rPr>
                <w:sz w:val="1"/>
                <w:szCs w:val="1"/>
                <w:color w:val="auto"/>
              </w:rPr>
            </w:pPr>
          </w:p>
        </w:tc>
      </w:tr>
      <w:tr>
        <w:trPr>
          <w:trHeight w:val="67"/>
        </w:trPr>
        <w:tc>
          <w:tcPr>
            <w:tcW w:w="860" w:type="dxa"/>
            <w:vAlign w:val="bottom"/>
          </w:tcPr>
          <w:p>
            <w:pPr>
              <w:spacing w:after="0"/>
              <w:rPr>
                <w:sz w:val="5"/>
                <w:szCs w:val="5"/>
                <w:color w:val="auto"/>
              </w:rPr>
            </w:pPr>
          </w:p>
        </w:tc>
        <w:tc>
          <w:tcPr>
            <w:tcW w:w="3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259"/>
          </w:cols>
          <w:pgMar w:left="1200" w:top="1440" w:right="1440" w:bottom="1440" w:gutter="0" w:footer="0" w:header="0"/>
        </w:sectPr>
      </w:pPr>
    </w:p>
    <w:bookmarkStart w:id="88" w:name="page89"/>
    <w:bookmarkEnd w:id="88"/>
    <w:p>
      <w:pPr>
        <w:jc w:val="center"/>
        <w:ind w:right="319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93915" cy="38100"/>
                    </a:xfrm>
                    <a:prstGeom prst="rect">
                      <a:avLst/>
                    </a:prstGeom>
                    <a:noFill/>
                  </pic:spPr>
                </pic:pic>
              </a:graphicData>
            </a:graphic>
          </wp:anchor>
        </w:drawing>
        <w:t>APPENDIX E</w:t>
      </w:r>
    </w:p>
    <w:p>
      <w:pPr>
        <w:spacing w:after="0" w:line="99" w:lineRule="exact"/>
        <w:rPr>
          <w:sz w:val="20"/>
          <w:szCs w:val="20"/>
          <w:color w:val="auto"/>
        </w:rPr>
      </w:pPr>
    </w:p>
    <w:p>
      <w:pPr>
        <w:jc w:val="center"/>
        <w:ind w:right="3179"/>
        <w:spacing w:after="0"/>
        <w:rPr>
          <w:sz w:val="20"/>
          <w:szCs w:val="20"/>
          <w:color w:val="auto"/>
        </w:rPr>
      </w:pPr>
      <w:r>
        <w:rPr>
          <w:rFonts w:ascii="Times New Roman" w:cs="Times New Roman" w:eastAsia="Times New Roman" w:hAnsi="Times New Roman"/>
          <w:sz w:val="13"/>
          <w:szCs w:val="13"/>
          <w:b w:val="1"/>
          <w:bCs w:val="1"/>
          <w:color w:val="auto"/>
        </w:rPr>
        <w:t>THE FIXED ACCOUNT</w:t>
      </w:r>
    </w:p>
    <w:p>
      <w:pPr>
        <w:spacing w:after="0" w:line="89" w:lineRule="exact"/>
        <w:rPr>
          <w:sz w:val="20"/>
          <w:szCs w:val="20"/>
          <w:color w:val="auto"/>
        </w:rPr>
      </w:pPr>
    </w:p>
    <w:p>
      <w:pPr>
        <w:jc w:val="center"/>
        <w:ind w:right="3179"/>
        <w:spacing w:after="0"/>
        <w:rPr>
          <w:sz w:val="20"/>
          <w:szCs w:val="20"/>
          <w:color w:val="auto"/>
        </w:rPr>
      </w:pPr>
      <w:r>
        <w:rPr>
          <w:rFonts w:ascii="Times New Roman" w:cs="Times New Roman" w:eastAsia="Times New Roman" w:hAnsi="Times New Roman"/>
          <w:sz w:val="13"/>
          <w:szCs w:val="13"/>
          <w:i w:val="1"/>
          <w:iCs w:val="1"/>
          <w:color w:val="auto"/>
        </w:rPr>
        <w:t>See Appendix F for more information about the Holding Account</w:t>
      </w:r>
    </w:p>
    <w:p>
      <w:pPr>
        <w:spacing w:after="0" w:line="101" w:lineRule="exact"/>
        <w:rPr>
          <w:sz w:val="20"/>
          <w:szCs w:val="20"/>
          <w:color w:val="auto"/>
        </w:rPr>
      </w:pPr>
    </w:p>
    <w:p>
      <w:pPr>
        <w:jc w:val="both"/>
        <w:ind w:right="3199" w:firstLine="265"/>
        <w:spacing w:after="0" w:line="272" w:lineRule="auto"/>
        <w:rPr>
          <w:sz w:val="20"/>
          <w:szCs w:val="20"/>
          <w:color w:val="auto"/>
        </w:rPr>
      </w:pPr>
      <w:r>
        <w:rPr>
          <w:rFonts w:ascii="Times New Roman" w:cs="Times New Roman" w:eastAsia="Times New Roman" w:hAnsi="Times New Roman"/>
          <w:sz w:val="13"/>
          <w:szCs w:val="13"/>
          <w:color w:val="auto"/>
        </w:rPr>
        <w:t>The Fixed Account is a funding option that may be available and is part of BLNY’s General Account assets. These General Account assets include all assets of BLNY other than those held in the Separate Accounts sponsored by BLNY or its affiliates.</w:t>
      </w:r>
    </w:p>
    <w:p>
      <w:pPr>
        <w:spacing w:after="0" w:line="57" w:lineRule="exact"/>
        <w:rPr>
          <w:sz w:val="20"/>
          <w:szCs w:val="20"/>
          <w:color w:val="auto"/>
        </w:rPr>
      </w:pPr>
    </w:p>
    <w:p>
      <w:pPr>
        <w:jc w:val="both"/>
        <w:ind w:right="3199" w:firstLine="265"/>
        <w:spacing w:after="0" w:line="263" w:lineRule="auto"/>
        <w:rPr>
          <w:sz w:val="20"/>
          <w:szCs w:val="20"/>
          <w:color w:val="auto"/>
        </w:rPr>
      </w:pPr>
      <w:r>
        <w:rPr>
          <w:rFonts w:ascii="Times New Roman" w:cs="Times New Roman" w:eastAsia="Times New Roman" w:hAnsi="Times New Roman"/>
          <w:sz w:val="13"/>
          <w:szCs w:val="13"/>
          <w:color w:val="auto"/>
        </w:rPr>
        <w:t>Any interest in the Fixed Account is not a security under the Securities Act of 1933 and the Fixed Account is not registered under or regulated by the Investment Company Act of 1940. Accordingly, the Fixed Account is not offered by virtue of the prospectus. Disclosure regarding the Fixed Account and the General Account may, however, be subject to certain provisions of the Federal securities laws relating to the accuracy and completeness of statements made in the prospectus.</w:t>
      </w:r>
    </w:p>
    <w:p>
      <w:pPr>
        <w:spacing w:after="0" w:line="54" w:lineRule="exact"/>
        <w:rPr>
          <w:sz w:val="20"/>
          <w:szCs w:val="20"/>
          <w:color w:val="auto"/>
        </w:rPr>
      </w:pPr>
    </w:p>
    <w:p>
      <w:pPr>
        <w:jc w:val="both"/>
        <w:ind w:right="3199" w:firstLine="265"/>
        <w:spacing w:after="0" w:line="266" w:lineRule="auto"/>
        <w:rPr>
          <w:sz w:val="20"/>
          <w:szCs w:val="20"/>
          <w:color w:val="auto"/>
        </w:rPr>
      </w:pPr>
      <w:r>
        <w:rPr>
          <w:rFonts w:ascii="Times New Roman" w:cs="Times New Roman" w:eastAsia="Times New Roman" w:hAnsi="Times New Roman"/>
          <w:sz w:val="13"/>
          <w:szCs w:val="13"/>
          <w:color w:val="auto"/>
        </w:rPr>
        <w:t>Under the Fixed Account, BLNY assumes the risk of investment gain or loss, guarantees a specified interest rate, and guarantees a specified periodic Annuity Payment. We guarantee that, at any time, the Fixed Account Value will not be less than the amount of the Purchase Payments allocated to the Fixed Account, plus interest credited as described below, less any applicable Premium Taxes or prior withdrawals.</w:t>
      </w:r>
    </w:p>
    <w:p>
      <w:pPr>
        <w:spacing w:after="0" w:line="52" w:lineRule="exact"/>
        <w:rPr>
          <w:sz w:val="20"/>
          <w:szCs w:val="20"/>
          <w:color w:val="auto"/>
        </w:rPr>
      </w:pPr>
    </w:p>
    <w:p>
      <w:pPr>
        <w:jc w:val="both"/>
        <w:ind w:right="3199" w:firstLine="265"/>
        <w:spacing w:after="0" w:line="259" w:lineRule="auto"/>
        <w:rPr>
          <w:sz w:val="20"/>
          <w:szCs w:val="20"/>
          <w:color w:val="auto"/>
        </w:rPr>
      </w:pPr>
      <w:r>
        <w:rPr>
          <w:rFonts w:ascii="Times New Roman" w:cs="Times New Roman" w:eastAsia="Times New Roman" w:hAnsi="Times New Roman"/>
          <w:sz w:val="13"/>
          <w:szCs w:val="13"/>
          <w:color w:val="auto"/>
        </w:rPr>
        <w:t>Account Value allocated to the Fixed Account and any transfers made to the Fixed Account become part of BLNY’s General Account, which supports insurance and annuity obligations. We reserve the right to restrict Investment Amounts into the Fixed Account whenever the credited interest rate on the Fixed Account is equal to the Minimum Guaranteed Interest Rate specified in your Contract. Because of exemptive and exclusionary provisions, interests in the Fixed Account have not been registered under the Securities Act of 1933, neither the Fixed Account nor the General Account is registered or regulated under the Investment Company Act of 1940. We will invest the assets of the Fixed Account at our discretion. Investment income from such Fixed Account assets will be allocated to us and to the Contracts participating in the Fixed Account.</w:t>
      </w:r>
    </w:p>
    <w:p>
      <w:pPr>
        <w:spacing w:after="0" w:line="59" w:lineRule="exact"/>
        <w:rPr>
          <w:sz w:val="20"/>
          <w:szCs w:val="20"/>
          <w:color w:val="auto"/>
        </w:rPr>
      </w:pPr>
    </w:p>
    <w:p>
      <w:pPr>
        <w:jc w:val="both"/>
        <w:ind w:right="3199" w:firstLine="265"/>
        <w:spacing w:after="0" w:line="272" w:lineRule="auto"/>
        <w:rPr>
          <w:sz w:val="20"/>
          <w:szCs w:val="20"/>
          <w:color w:val="auto"/>
        </w:rPr>
      </w:pPr>
      <w:r>
        <w:rPr>
          <w:rFonts w:ascii="Times New Roman" w:cs="Times New Roman" w:eastAsia="Times New Roman" w:hAnsi="Times New Roman"/>
          <w:sz w:val="13"/>
          <w:szCs w:val="13"/>
          <w:color w:val="auto"/>
        </w:rPr>
        <w:t>Investment income from the Fixed Account allocated to us includes compensation for risks borne by us in connection with Fixed Account Contracts. The amount of such investment income allocated to the Contracts will vary from year to year in our sole discretion at such rate or rates as we prospectively declare from time to time.</w:t>
      </w:r>
    </w:p>
    <w:p>
      <w:pPr>
        <w:spacing w:after="0" w:line="47" w:lineRule="exact"/>
        <w:rPr>
          <w:sz w:val="20"/>
          <w:szCs w:val="20"/>
          <w:color w:val="auto"/>
        </w:rPr>
      </w:pPr>
    </w:p>
    <w:p>
      <w:pPr>
        <w:jc w:val="both"/>
        <w:ind w:right="3199" w:firstLine="265"/>
        <w:spacing w:after="0" w:line="259" w:lineRule="auto"/>
        <w:rPr>
          <w:sz w:val="20"/>
          <w:szCs w:val="20"/>
          <w:color w:val="auto"/>
        </w:rPr>
      </w:pPr>
      <w:r>
        <w:rPr>
          <w:rFonts w:ascii="Times New Roman" w:cs="Times New Roman" w:eastAsia="Times New Roman" w:hAnsi="Times New Roman"/>
          <w:sz w:val="13"/>
          <w:szCs w:val="13"/>
          <w:color w:val="auto"/>
        </w:rPr>
        <w:t>We guarantee that for the life of the Contract interest credited to your Fixed Account Value during the Fixed Account Term beginning on the Issue Date will not be accumulated at less than the Minimum Guaranteed Interest Rate allowed by state law. The current Minimum Guaranteed Interest Rate applicable to any Contract will not be less than 1%. We reserve the right to change the rate subject to state law. We will determine any interest we credit to amounts allocated to the Fixed Account in excess of the Minimum Guaranteed Interest Rate at our sole discretion. You assume the risk that interest credited to the Fixed Account may not exceed the Minimum Guaranteed Interest Rate for any given year. We have no specific formula for determining the interest rate. Some factors we may consider are regulatory and tax requirements, general economic trends and competitive factors.</w:t>
      </w:r>
    </w:p>
    <w:p>
      <w:pPr>
        <w:spacing w:after="0" w:line="59" w:lineRule="exact"/>
        <w:rPr>
          <w:sz w:val="20"/>
          <w:szCs w:val="20"/>
          <w:color w:val="auto"/>
        </w:rPr>
      </w:pPr>
    </w:p>
    <w:p>
      <w:pPr>
        <w:jc w:val="both"/>
        <w:ind w:right="3179" w:firstLine="265"/>
        <w:spacing w:after="0" w:line="260" w:lineRule="auto"/>
        <w:rPr>
          <w:sz w:val="20"/>
          <w:szCs w:val="20"/>
          <w:color w:val="auto"/>
        </w:rPr>
      </w:pPr>
      <w:r>
        <w:rPr>
          <w:rFonts w:ascii="Times New Roman" w:cs="Times New Roman" w:eastAsia="Times New Roman" w:hAnsi="Times New Roman"/>
          <w:sz w:val="13"/>
          <w:szCs w:val="13"/>
          <w:color w:val="auto"/>
        </w:rPr>
        <w:t>For renewals into the Fixed Account, the new guaranteed interest rate will be declared for each subsequent Fixed Account Term. At the Fixed Account Term End Date, the Fixed Account Value will automatically be renewed into the same Fixed Account Term, with the new interest rate, unless otherwise instructed by you. If the Fixed Account is not available at the end of the existing Fixed Account Term, these amounts will automatically transfer into the Holding Account at the end of the Fixed Account Term unless otherwise instructed by you to transfer into one or more available Shield Options. You have the Transfer Period to notify us that you want to transfer some or all of your Fixed Account Value to a new Shield Option(s).</w:t>
      </w:r>
    </w:p>
    <w:p>
      <w:pPr>
        <w:spacing w:after="0" w:line="55" w:lineRule="exact"/>
        <w:rPr>
          <w:sz w:val="20"/>
          <w:szCs w:val="20"/>
          <w:color w:val="auto"/>
        </w:rPr>
      </w:pPr>
    </w:p>
    <w:p>
      <w:pPr>
        <w:jc w:val="both"/>
        <w:ind w:right="3199" w:firstLine="265"/>
        <w:spacing w:after="0" w:line="260" w:lineRule="auto"/>
        <w:rPr>
          <w:sz w:val="20"/>
          <w:szCs w:val="20"/>
          <w:color w:val="auto"/>
        </w:rPr>
      </w:pPr>
      <w:r>
        <w:rPr>
          <w:rFonts w:ascii="Times New Roman" w:cs="Times New Roman" w:eastAsia="Times New Roman" w:hAnsi="Times New Roman"/>
          <w:sz w:val="13"/>
          <w:szCs w:val="13"/>
          <w:i w:val="1"/>
          <w:iCs w:val="1"/>
          <w:color w:val="auto"/>
        </w:rPr>
        <w:t xml:space="preserve">Fixed Account Value. </w:t>
      </w:r>
      <w:r>
        <w:rPr>
          <w:rFonts w:ascii="Times New Roman" w:cs="Times New Roman" w:eastAsia="Times New Roman" w:hAnsi="Times New Roman"/>
          <w:sz w:val="13"/>
          <w:szCs w:val="13"/>
          <w:color w:val="auto"/>
        </w:rPr>
        <w:t>We credit interest to the portion of the Account Value allocated to the Fixed Account.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(See “Interest Crediting” below.) The Fixed Account is part of our General Account. We guarantee that the interest credited to your initial allocation to the Fixed Account during the Fixed Account Term beginning on the Issue Date will not be accumulated at less than the Minimum Guaranteed Interest Rate. Thereafter, we will declare an interest rate as of each subsequent Fixed Account Term and such rate will not be less than the Minimum Guaranteed Interest Rate. If the declared interest rate equals the Minimum Guaranteed Interest Rate specified in your Contract and we are unable to support the Minimum Guaranteed Interest Rate, we reserve the right, with thirty (30) days advance written Notice, to restrict transfers and allocations into the Fixed Account.</w:t>
      </w:r>
    </w:p>
    <w:p>
      <w:pPr>
        <w:spacing w:after="0" w:line="56" w:lineRule="exact"/>
        <w:rPr>
          <w:sz w:val="20"/>
          <w:szCs w:val="20"/>
          <w:color w:val="auto"/>
        </w:rPr>
      </w:pPr>
    </w:p>
    <w:p>
      <w:pPr>
        <w:jc w:val="both"/>
        <w:ind w:right="3199" w:firstLine="265"/>
        <w:spacing w:after="0" w:line="266" w:lineRule="auto"/>
        <w:rPr>
          <w:sz w:val="20"/>
          <w:szCs w:val="20"/>
          <w:color w:val="auto"/>
        </w:rPr>
      </w:pPr>
      <w:r>
        <w:rPr>
          <w:rFonts w:ascii="Times New Roman" w:cs="Times New Roman" w:eastAsia="Times New Roman" w:hAnsi="Times New Roman"/>
          <w:sz w:val="13"/>
          <w:szCs w:val="13"/>
          <w:color w:val="auto"/>
        </w:rPr>
        <w:t>The initial Fixed Account Value is the amount initially allocated to the Fixed Account. Thereafter, the Fixed Account Value equals: (a) the initial Fixed Account Value or the Fixed Account Value on the most recent Contract Anniversary, as applicable, including any transfers; plus (b) any interest credited by us; less (c) the amount of any withdrawals (including any Withdrawal Charges); and less (d) any Premium Tax or other taxes, if applicable.</w:t>
      </w:r>
    </w:p>
    <w:p>
      <w:pPr>
        <w:spacing w:after="0" w:line="50" w:lineRule="exact"/>
        <w:rPr>
          <w:sz w:val="20"/>
          <w:szCs w:val="20"/>
          <w:color w:val="auto"/>
        </w:rPr>
      </w:pPr>
    </w:p>
    <w:p>
      <w:pPr>
        <w:jc w:val="both"/>
        <w:ind w:right="3199" w:firstLine="265"/>
        <w:spacing w:after="0" w:line="274" w:lineRule="auto"/>
        <w:rPr>
          <w:sz w:val="20"/>
          <w:szCs w:val="20"/>
          <w:color w:val="auto"/>
        </w:rPr>
      </w:pPr>
      <w:r>
        <w:rPr>
          <w:rFonts w:ascii="Times New Roman" w:cs="Times New Roman" w:eastAsia="Times New Roman" w:hAnsi="Times New Roman"/>
          <w:sz w:val="13"/>
          <w:szCs w:val="13"/>
          <w:i w:val="1"/>
          <w:iCs w:val="1"/>
          <w:color w:val="auto"/>
        </w:rPr>
        <w:t xml:space="preserve">Interest Crediting. </w:t>
      </w:r>
      <w:r>
        <w:rPr>
          <w:rFonts w:ascii="Times New Roman" w:cs="Times New Roman" w:eastAsia="Times New Roman" w:hAnsi="Times New Roman"/>
          <w:sz w:val="13"/>
          <w:szCs w:val="13"/>
          <w:color w:val="auto"/>
        </w:rPr>
        <w:t>Interest will be compounded and credited daily to the Fixed Account at an annual effective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interest rate declared by us. Interest will be credited on amounts allocated to the Fixed Account through the effective date such amounts are withdrawn or transferred from the Fixed Account.</w:t>
      </w:r>
    </w:p>
    <w:p>
      <w:pPr>
        <w:spacing w:after="0" w:line="17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3"/>
          <w:szCs w:val="13"/>
          <w:color w:val="auto"/>
        </w:rPr>
        <w:t>E-1</w:t>
      </w:r>
    </w:p>
    <w:p>
      <w:pPr>
        <w:sectPr>
          <w:pgSz w:w="11900" w:h="16838" w:orient="portrait"/>
          <w:cols w:equalWidth="0" w:num="1">
            <w:col w:w="9259"/>
          </w:cols>
          <w:pgMar w:left="1200" w:top="1047" w:right="1440" w:bottom="1440" w:gutter="0" w:footer="0" w:header="0"/>
        </w:sectPr>
      </w:pPr>
    </w:p>
    <w:bookmarkStart w:id="89" w:name="page90"/>
    <w:bookmarkEnd w:id="89"/>
    <w:p>
      <w:pPr>
        <w:jc w:val="both"/>
        <w:ind w:right="3199" w:firstLine="265"/>
        <w:spacing w:after="0" w:line="293" w:lineRule="auto"/>
        <w:rPr>
          <w:sz w:val="20"/>
          <w:szCs w:val="20"/>
          <w:color w:val="auto"/>
        </w:rPr>
      </w:pPr>
      <w:r>
        <w:rPr>
          <w:rFonts w:ascii="Times New Roman" w:cs="Times New Roman" w:eastAsia="Times New Roman" w:hAnsi="Times New Roman"/>
          <w:sz w:val="13"/>
          <w:szCs w:val="13"/>
          <w:i w:val="1"/>
          <w:iCs w:val="1"/>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93915" cy="38100"/>
                    </a:xfrm>
                    <a:prstGeom prst="rect">
                      <a:avLst/>
                    </a:prstGeom>
                    <a:noFill/>
                  </pic:spPr>
                </pic:pic>
              </a:graphicData>
            </a:graphic>
          </wp:anchor>
        </w:drawing>
        <w:t xml:space="preserve">Deferral of Payments. </w:t>
      </w:r>
      <w:r>
        <w:rPr>
          <w:rFonts w:ascii="Times New Roman" w:cs="Times New Roman" w:eastAsia="Times New Roman" w:hAnsi="Times New Roman"/>
          <w:sz w:val="13"/>
          <w:szCs w:val="13"/>
          <w:color w:val="auto"/>
        </w:rPr>
        <w:t>After receipt of a Notice of withdrawal, we reserve the right to defer payment for a</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withdrawal for the period permitted by law but not for more than six (6) months.</w:t>
      </w:r>
    </w:p>
    <w:p>
      <w:pPr>
        <w:spacing w:after="0" w:line="32" w:lineRule="exact"/>
        <w:rPr>
          <w:sz w:val="20"/>
          <w:szCs w:val="20"/>
          <w:color w:val="auto"/>
        </w:rPr>
      </w:pPr>
    </w:p>
    <w:p>
      <w:pPr>
        <w:jc w:val="both"/>
        <w:ind w:right="3199" w:firstLine="265"/>
        <w:spacing w:after="0" w:line="262" w:lineRule="auto"/>
        <w:rPr>
          <w:sz w:val="20"/>
          <w:szCs w:val="20"/>
          <w:color w:val="auto"/>
        </w:rPr>
      </w:pPr>
      <w:r>
        <w:rPr>
          <w:rFonts w:ascii="Times New Roman" w:cs="Times New Roman" w:eastAsia="Times New Roman" w:hAnsi="Times New Roman"/>
          <w:sz w:val="13"/>
          <w:szCs w:val="13"/>
          <w:i w:val="1"/>
          <w:iCs w:val="1"/>
          <w:color w:val="auto"/>
        </w:rPr>
        <w:t xml:space="preserve">Interest of Delayed Payments. </w:t>
      </w:r>
      <w:r>
        <w:rPr>
          <w:rFonts w:ascii="Times New Roman" w:cs="Times New Roman" w:eastAsia="Times New Roman" w:hAnsi="Times New Roman"/>
          <w:sz w:val="13"/>
          <w:szCs w:val="13"/>
          <w:color w:val="auto"/>
        </w:rPr>
        <w:t>For the value of the Shield Options, we will pay interest on any payments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death benefits not made within seven (7) calendar days of receipt of due proof of death and the first acceptable election. For the Fixed Account Value, we will pay interest on any payments of death benefits from the date of death. We will also pay interest on withdrawals paid ten (10) Business Days or later after receipt by us of any Notice to complete the transactions. Interest, in either instance, will be paid in accordance with laws and regulations in effect in the state of New York.</w:t>
      </w:r>
    </w:p>
    <w:p>
      <w:pPr>
        <w:spacing w:after="0" w:line="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Important terms that will help you understand this Appendix E:</w:t>
      </w:r>
    </w:p>
    <w:p>
      <w:pPr>
        <w:spacing w:after="0" w:line="87" w:lineRule="exact"/>
        <w:rPr>
          <w:sz w:val="20"/>
          <w:szCs w:val="20"/>
          <w:color w:val="auto"/>
        </w:rPr>
      </w:pPr>
    </w:p>
    <w:p>
      <w:pPr>
        <w:jc w:val="both"/>
        <w:ind w:right="3199" w:firstLine="265"/>
        <w:spacing w:after="0" w:line="274" w:lineRule="auto"/>
        <w:rPr>
          <w:sz w:val="20"/>
          <w:szCs w:val="20"/>
          <w:color w:val="auto"/>
        </w:rPr>
      </w:pPr>
      <w:r>
        <w:rPr>
          <w:rFonts w:ascii="Times New Roman" w:cs="Times New Roman" w:eastAsia="Times New Roman" w:hAnsi="Times New Roman"/>
          <w:sz w:val="13"/>
          <w:szCs w:val="13"/>
          <w:b w:val="1"/>
          <w:bCs w:val="1"/>
          <w:color w:val="auto"/>
        </w:rPr>
        <w:t xml:space="preserve">Fixed Account Term.  </w:t>
      </w:r>
      <w:r>
        <w:rPr>
          <w:rFonts w:ascii="Times New Roman" w:cs="Times New Roman" w:eastAsia="Times New Roman" w:hAnsi="Times New Roman"/>
          <w:sz w:val="13"/>
          <w:szCs w:val="13"/>
          <w:color w:val="auto"/>
        </w:rPr>
        <w:t>The length of time over which the current Fixed Account interest rate is guaranteed.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No Fixed Account Term will extend beyond the Annuity Date. The minimum Fixed Account Term depends on the date your Contract is issued but will not be less than one (1) year.</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color w:val="auto"/>
        </w:rPr>
        <w:t xml:space="preserve">Fixed Account Value.   </w:t>
      </w:r>
      <w:r>
        <w:rPr>
          <w:rFonts w:ascii="Times New Roman" w:cs="Times New Roman" w:eastAsia="Times New Roman" w:hAnsi="Times New Roman"/>
          <w:sz w:val="13"/>
          <w:szCs w:val="13"/>
          <w:color w:val="auto"/>
        </w:rPr>
        <w:t>The Fixed Account Value at the end of the Fixed Account Term.</w:t>
      </w:r>
    </w:p>
    <w:p>
      <w:pPr>
        <w:spacing w:after="0" w:line="89" w:lineRule="exact"/>
        <w:rPr>
          <w:sz w:val="20"/>
          <w:szCs w:val="20"/>
          <w:color w:val="auto"/>
        </w:rPr>
      </w:pPr>
    </w:p>
    <w:p>
      <w:pPr>
        <w:jc w:val="both"/>
        <w:ind w:right="3199" w:firstLine="265"/>
        <w:spacing w:after="0" w:line="264" w:lineRule="auto"/>
        <w:rPr>
          <w:sz w:val="20"/>
          <w:szCs w:val="20"/>
          <w:color w:val="auto"/>
        </w:rPr>
      </w:pPr>
      <w:r>
        <w:rPr>
          <w:rFonts w:ascii="Times New Roman" w:cs="Times New Roman" w:eastAsia="Times New Roman" w:hAnsi="Times New Roman"/>
          <w:sz w:val="13"/>
          <w:szCs w:val="13"/>
          <w:b w:val="1"/>
          <w:bCs w:val="1"/>
          <w:color w:val="auto"/>
        </w:rPr>
        <w:t xml:space="preserve">Transfers.  </w:t>
      </w:r>
      <w:r>
        <w:rPr>
          <w:rFonts w:ascii="Times New Roman" w:cs="Times New Roman" w:eastAsia="Times New Roman" w:hAnsi="Times New Roman"/>
          <w:sz w:val="13"/>
          <w:szCs w:val="13"/>
          <w:color w:val="auto"/>
        </w:rPr>
        <w:t>During the Accumulation Period you may only make a transfer to or from the Fixed Account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and/or to or from a new Shield Option(s) during the Transfer Period. Once we receive allocation instructions from you, we will transfer the amounts in the Fixed Account to the Shield Option(s) on the next Contract Anniversary. The effective date of such transfer is the first day of the Fixed Account Term and/or a Term(s) in which the transfer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3"/>
          <w:szCs w:val="13"/>
          <w:color w:val="auto"/>
        </w:rPr>
        <w:t>E-2</w:t>
      </w:r>
    </w:p>
    <w:p>
      <w:pPr>
        <w:sectPr>
          <w:pgSz w:w="11900" w:h="16838" w:orient="portrait"/>
          <w:cols w:equalWidth="0" w:num="1">
            <w:col w:w="9259"/>
          </w:cols>
          <w:pgMar w:left="1200" w:top="1047" w:right="1440" w:bottom="1440" w:gutter="0" w:footer="0" w:header="0"/>
        </w:sectPr>
      </w:pPr>
    </w:p>
    <w:bookmarkStart w:id="90" w:name="page91"/>
    <w:bookmarkEnd w:id="90"/>
    <w:p>
      <w:pPr>
        <w:jc w:val="center"/>
        <w:ind w:right="317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93915" cy="38100"/>
                    </a:xfrm>
                    <a:prstGeom prst="rect">
                      <a:avLst/>
                    </a:prstGeom>
                    <a:noFill/>
                  </pic:spPr>
                </pic:pic>
              </a:graphicData>
            </a:graphic>
          </wp:anchor>
        </w:drawing>
        <w:t>APPENDIX F</w:t>
      </w:r>
    </w:p>
    <w:p>
      <w:pPr>
        <w:spacing w:after="0" w:line="89" w:lineRule="exact"/>
        <w:rPr>
          <w:sz w:val="20"/>
          <w:szCs w:val="20"/>
          <w:color w:val="auto"/>
        </w:rPr>
      </w:pPr>
    </w:p>
    <w:p>
      <w:pPr>
        <w:jc w:val="center"/>
        <w:ind w:right="3179"/>
        <w:spacing w:after="0"/>
        <w:rPr>
          <w:sz w:val="20"/>
          <w:szCs w:val="20"/>
          <w:color w:val="auto"/>
        </w:rPr>
      </w:pPr>
      <w:r>
        <w:rPr>
          <w:rFonts w:ascii="Times New Roman" w:cs="Times New Roman" w:eastAsia="Times New Roman" w:hAnsi="Times New Roman"/>
          <w:sz w:val="13"/>
          <w:szCs w:val="13"/>
          <w:b w:val="1"/>
          <w:bCs w:val="1"/>
          <w:color w:val="auto"/>
        </w:rPr>
        <w:t>THE HOLDING ACCOUNT</w:t>
      </w:r>
    </w:p>
    <w:p>
      <w:pPr>
        <w:spacing w:after="0" w:line="91" w:lineRule="exact"/>
        <w:rPr>
          <w:sz w:val="20"/>
          <w:szCs w:val="20"/>
          <w:color w:val="auto"/>
        </w:rPr>
      </w:pPr>
    </w:p>
    <w:p>
      <w:pPr>
        <w:jc w:val="both"/>
        <w:ind w:right="3179" w:firstLine="265"/>
        <w:spacing w:after="0" w:line="258" w:lineRule="auto"/>
        <w:rPr>
          <w:sz w:val="20"/>
          <w:szCs w:val="20"/>
          <w:color w:val="auto"/>
        </w:rPr>
      </w:pPr>
      <w:r>
        <w:rPr>
          <w:rFonts w:ascii="Times New Roman" w:cs="Times New Roman" w:eastAsia="Times New Roman" w:hAnsi="Times New Roman"/>
          <w:sz w:val="13"/>
          <w:szCs w:val="13"/>
          <w:color w:val="auto"/>
        </w:rPr>
        <w:t>The Holding Account is part of our General Account. You may not allocate your Purchase Payment or Account Value to the Holding Account. The Holding Account is a limited purpose account and only under certain circumstances will we transfer amounts to the Holding Account. If you have a Shield Option that has reached its Term End Date, the amount in that Shield Option will be automatically renewed into the same Shield Option unless you instruct us to transfer such amount into a different Shield Option(s) or the Fixed Account during the Transfer Period. If the same Shield Option is no longer available, the amount will automatically transfer into the Fixed Account at the Term End Date. If the Fixed Account is not available, the amount will automatically transfer into the Holding Account. If you are allocated to a Shield Option that will not be available at the end of the existing Term, we will send a notification, written or electronic depending on your selected preference, describing any changes to the Shield Option, as required by law. If the Fixed Account is not available, this notification will also inform you of the current interest rate for the Holding Account and that on the Term End Date, the amounts in the discontinued Shield Option will be transferred to the Holding Account, unless otherwise instructed by you.</w:t>
      </w:r>
    </w:p>
    <w:p>
      <w:pPr>
        <w:spacing w:after="0" w:line="56" w:lineRule="exact"/>
        <w:rPr>
          <w:sz w:val="20"/>
          <w:szCs w:val="20"/>
          <w:color w:val="auto"/>
        </w:rPr>
      </w:pPr>
    </w:p>
    <w:p>
      <w:pPr>
        <w:jc w:val="both"/>
        <w:ind w:right="3199" w:firstLine="265"/>
        <w:spacing w:after="0" w:line="263" w:lineRule="auto"/>
        <w:rPr>
          <w:sz w:val="20"/>
          <w:szCs w:val="20"/>
          <w:color w:val="auto"/>
        </w:rPr>
      </w:pPr>
      <w:r>
        <w:rPr>
          <w:rFonts w:ascii="Times New Roman" w:cs="Times New Roman" w:eastAsia="Times New Roman" w:hAnsi="Times New Roman"/>
          <w:sz w:val="13"/>
          <w:szCs w:val="13"/>
          <w:color w:val="auto"/>
        </w:rPr>
        <w:t>The amounts will remain in the Holding Account until you provide us with new allocation instructions. Once we receive allocation instructions from you, we will transfer the amounts in the Holding Account to the Shield Option(s) on the next Contract Anniversary. During the Transfer Period, we will allow you to make transfers, and we will treat the transfer as if it occurred on the Contract Anniversary. Before the amounts in the Holding Account are transferred into the Shield Option(s), you can change your allocation instructions.</w:t>
      </w:r>
    </w:p>
    <w:p>
      <w:pPr>
        <w:spacing w:after="0" w:line="54" w:lineRule="exact"/>
        <w:rPr>
          <w:sz w:val="20"/>
          <w:szCs w:val="20"/>
          <w:color w:val="auto"/>
        </w:rPr>
      </w:pPr>
    </w:p>
    <w:p>
      <w:pPr>
        <w:jc w:val="both"/>
        <w:ind w:right="3199" w:firstLine="265"/>
        <w:spacing w:after="0" w:line="263" w:lineRule="auto"/>
        <w:rPr>
          <w:sz w:val="20"/>
          <w:szCs w:val="20"/>
          <w:color w:val="auto"/>
        </w:rPr>
      </w:pPr>
      <w:r>
        <w:rPr>
          <w:rFonts w:ascii="Times New Roman" w:cs="Times New Roman" w:eastAsia="Times New Roman" w:hAnsi="Times New Roman"/>
          <w:sz w:val="13"/>
          <w:szCs w:val="13"/>
          <w:color w:val="auto"/>
        </w:rPr>
        <w:t>The Holding Account has its own Holding Account interest rate and interest is credited daily at an effective annual rate that we declare periodically. The Holding Account guaranteed minimum interest rate will not be less than 1%. The Holding Account guaranteed minimum interest rate can be found on your Contract Schedule. Your financial professional can tell you the current and guaranteed minimum interest rate. We reserve the right to change the Holding Account interest rate.</w:t>
      </w:r>
    </w:p>
    <w:p>
      <w:pPr>
        <w:spacing w:after="0" w:line="54" w:lineRule="exact"/>
        <w:rPr>
          <w:sz w:val="20"/>
          <w:szCs w:val="20"/>
          <w:color w:val="auto"/>
        </w:rPr>
      </w:pPr>
    </w:p>
    <w:p>
      <w:pPr>
        <w:jc w:val="both"/>
        <w:ind w:right="3199" w:firstLine="265"/>
        <w:spacing w:after="0" w:line="262" w:lineRule="auto"/>
        <w:rPr>
          <w:sz w:val="20"/>
          <w:szCs w:val="20"/>
          <w:color w:val="auto"/>
        </w:rPr>
      </w:pPr>
      <w:r>
        <w:rPr>
          <w:rFonts w:ascii="Times New Roman" w:cs="Times New Roman" w:eastAsia="Times New Roman" w:hAnsi="Times New Roman"/>
          <w:sz w:val="13"/>
          <w:szCs w:val="13"/>
          <w:color w:val="auto"/>
        </w:rPr>
        <w:t>Thirty (30) days before the current Term expires, we will send you a notification, written or electronic depending on your selected preferences, indicating your maturing Shield Options and how you can obtain the new Cap Rates, Step Rates, and Edge Rates. You may also access our website at https://www.brighthousefinancial.com/products/rates/ where at least two months of renewal rates for the Rate Crediting Types, the Fixed Account and, if applicable, the interest rate for the Holding Account are posted – i.e., for the current month and the following month. See “RATE CREDITING TYPES.”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3"/>
          <w:szCs w:val="13"/>
          <w:color w:val="auto"/>
        </w:rPr>
        <w:t>F-1</w:t>
      </w:r>
    </w:p>
    <w:p>
      <w:pPr>
        <w:sectPr>
          <w:pgSz w:w="11900" w:h="16838" w:orient="portrait"/>
          <w:cols w:equalWidth="0" w:num="1">
            <w:col w:w="9259"/>
          </w:cols>
          <w:pgMar w:left="1200" w:top="1047" w:right="1440" w:bottom="1440" w:gutter="0" w:footer="0" w:header="0"/>
        </w:sectPr>
      </w:pPr>
    </w:p>
    <w:bookmarkStart w:id="91" w:name="page92"/>
    <w:bookmarkEnd w:id="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3520" w:type="dxa"/>
            <w:vAlign w:val="bottom"/>
            <w:vMerge w:val="restart"/>
          </w:tcPr>
          <w:p>
            <w:pPr>
              <w:ind w:left="820"/>
              <w:spacing w:after="0"/>
              <w:rPr>
                <w:sz w:val="20"/>
                <w:szCs w:val="20"/>
                <w:color w:val="auto"/>
              </w:rPr>
            </w:pPr>
            <w:r>
              <w:rPr>
                <w:rFonts w:ascii="Times New Roman" w:cs="Times New Roman" w:eastAsia="Times New Roman" w:hAnsi="Times New Roman"/>
                <w:sz w:val="13"/>
                <w:szCs w:val="13"/>
                <w:color w:val="auto"/>
                <w:w w:val="99"/>
              </w:rPr>
              <w:t>(THIS PAGE INTENTIONALLY LEFT BLANK.)</w:t>
            </w:r>
          </w:p>
        </w:tc>
        <w:tc>
          <w:tcPr>
            <w:tcW w:w="0" w:type="dxa"/>
            <w:vAlign w:val="bottom"/>
          </w:tcPr>
          <w:p>
            <w:pPr>
              <w:spacing w:after="0"/>
              <w:rPr>
                <w:sz w:val="1"/>
                <w:szCs w:val="1"/>
                <w:color w:val="auto"/>
              </w:rPr>
            </w:pPr>
          </w:p>
        </w:tc>
      </w:tr>
      <w:tr>
        <w:trPr>
          <w:trHeight w:val="57"/>
        </w:trPr>
        <w:tc>
          <w:tcPr>
            <w:tcW w:w="860" w:type="dxa"/>
            <w:vAlign w:val="bottom"/>
          </w:tcPr>
          <w:p>
            <w:pPr>
              <w:spacing w:after="0"/>
              <w:rPr>
                <w:sz w:val="4"/>
                <w:szCs w:val="4"/>
                <w:color w:val="auto"/>
              </w:rPr>
            </w:pPr>
          </w:p>
        </w:tc>
        <w:tc>
          <w:tcPr>
            <w:tcW w:w="3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9259"/>
          </w:cols>
          <w:pgMar w:left="1200" w:top="1440" w:right="1440" w:bottom="1440" w:gutter="0" w:footer="0" w:header="0"/>
        </w:sectPr>
      </w:pPr>
    </w:p>
    <w:bookmarkStart w:id="92" w:name="page93"/>
    <w:bookmarkEnd w:id="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3520" w:type="dxa"/>
            <w:vAlign w:val="bottom"/>
            <w:vMerge w:val="restart"/>
          </w:tcPr>
          <w:p>
            <w:pPr>
              <w:ind w:left="820"/>
              <w:spacing w:after="0"/>
              <w:rPr>
                <w:sz w:val="20"/>
                <w:szCs w:val="20"/>
                <w:color w:val="auto"/>
              </w:rPr>
            </w:pPr>
            <w:r>
              <w:rPr>
                <w:rFonts w:ascii="Times New Roman" w:cs="Times New Roman" w:eastAsia="Times New Roman" w:hAnsi="Times New Roman"/>
                <w:sz w:val="13"/>
                <w:szCs w:val="13"/>
                <w:color w:val="auto"/>
                <w:w w:val="99"/>
              </w:rPr>
              <w:t>(THIS PAGE INTENTIONALLY LEFT BLANK.)</w:t>
            </w:r>
          </w:p>
        </w:tc>
        <w:tc>
          <w:tcPr>
            <w:tcW w:w="0" w:type="dxa"/>
            <w:vAlign w:val="bottom"/>
          </w:tcPr>
          <w:p>
            <w:pPr>
              <w:spacing w:after="0"/>
              <w:rPr>
                <w:sz w:val="1"/>
                <w:szCs w:val="1"/>
                <w:color w:val="auto"/>
              </w:rPr>
            </w:pPr>
          </w:p>
        </w:tc>
      </w:tr>
      <w:tr>
        <w:trPr>
          <w:trHeight w:val="57"/>
        </w:trPr>
        <w:tc>
          <w:tcPr>
            <w:tcW w:w="860" w:type="dxa"/>
            <w:vAlign w:val="bottom"/>
          </w:tcPr>
          <w:p>
            <w:pPr>
              <w:spacing w:after="0"/>
              <w:rPr>
                <w:sz w:val="4"/>
                <w:szCs w:val="4"/>
                <w:color w:val="auto"/>
              </w:rPr>
            </w:pPr>
          </w:p>
        </w:tc>
        <w:tc>
          <w:tcPr>
            <w:tcW w:w="3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9259"/>
          </w:cols>
          <w:pgMar w:left="1200" w:top="1440" w:right="1440" w:bottom="1440" w:gutter="0" w:footer="0" w:header="0"/>
        </w:sectPr>
      </w:pPr>
    </w:p>
    <w:bookmarkStart w:id="93" w:name="page94"/>
    <w:bookmarkEnd w:id="93"/>
    <w:p>
      <w:pPr>
        <w:jc w:val="both"/>
        <w:ind w:right="2659" w:firstLine="264"/>
        <w:spacing w:after="0" w:line="27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93915" cy="38100"/>
                    </a:xfrm>
                    <a:prstGeom prst="rect">
                      <a:avLst/>
                    </a:prstGeom>
                    <a:noFill/>
                  </pic:spPr>
                </pic:pic>
              </a:graphicData>
            </a:graphic>
          </wp:anchor>
        </w:drawing>
        <w:t>The statement of additional information (“SAI”) dated April 28, 2025 includes additional information about the Contract and BLNY. The SAI is incorporated by reference. The SAI is available, without charge, upon request. For a free copy of the SAI, or to request other information about the Contract, and to make investor inquiries, call us at (888) 243-1932.</w:t>
      </w:r>
    </w:p>
    <w:p>
      <w:pPr>
        <w:spacing w:after="0" w:line="47" w:lineRule="exact"/>
        <w:rPr>
          <w:sz w:val="20"/>
          <w:szCs w:val="20"/>
          <w:color w:val="auto"/>
        </w:rPr>
      </w:pPr>
    </w:p>
    <w:p>
      <w:pPr>
        <w:jc w:val="both"/>
        <w:ind w:right="2659" w:firstLine="264"/>
        <w:spacing w:after="0" w:line="272" w:lineRule="auto"/>
        <w:rPr>
          <w:sz w:val="20"/>
          <w:szCs w:val="20"/>
          <w:color w:val="auto"/>
        </w:rPr>
      </w:pPr>
      <w:r>
        <w:rPr>
          <w:rFonts w:ascii="Times New Roman" w:cs="Times New Roman" w:eastAsia="Times New Roman" w:hAnsi="Times New Roman"/>
          <w:sz w:val="13"/>
          <w:szCs w:val="13"/>
          <w:color w:val="auto"/>
        </w:rPr>
        <w:t>Reports and other information about BLNY are available on the SEC’s website at https://www.sec.gov/, and copies of this information may be obtained, upon payment of a duplicating fee, by electronic request at the following email address: publicinfo@sec.gov.</w:t>
      </w:r>
    </w:p>
    <w:p>
      <w:pPr>
        <w:spacing w:after="0" w:line="4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3"/>
          <w:szCs w:val="13"/>
          <w:color w:val="auto"/>
        </w:rPr>
        <w:t>EDGAR Contract Identifier No. is C000261171</w:t>
      </w:r>
    </w:p>
    <w:p>
      <w:pPr>
        <w:sectPr>
          <w:pgSz w:w="11900" w:h="16838" w:orient="portrait"/>
          <w:cols w:equalWidth="0" w:num="1">
            <w:col w:w="9799"/>
          </w:cols>
          <w:pgMar w:left="660" w:top="1089" w:right="1440" w:bottom="1440"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177165</wp:posOffset>
            </wp:positionH>
            <wp:positionV relativeFrom="page">
              <wp:posOffset>120015</wp:posOffset>
            </wp:positionV>
            <wp:extent cx="719391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06615" cy="31750"/>
                    </a:xfrm>
                    <a:prstGeom prst="rect">
                      <a:avLst/>
                    </a:prstGeom>
                    <a:noFill/>
                  </pic:spPr>
                </pic:pic>
              </a:graphicData>
            </a:graphic>
          </wp:anchor>
        </w:drawing>
      </w:r>
    </w:p>
    <w:p>
      <w:pPr>
        <w:spacing w:after="0" w:line="258" w:lineRule="exact"/>
        <w:rPr>
          <w:sz w:val="20"/>
          <w:szCs w:val="20"/>
          <w:color w:val="auto"/>
        </w:rPr>
      </w:pPr>
    </w:p>
    <w:p>
      <w:pPr>
        <w:ind w:left="1244"/>
        <w:spacing w:after="0"/>
        <w:rPr>
          <w:sz w:val="20"/>
          <w:szCs w:val="20"/>
          <w:color w:val="auto"/>
        </w:rPr>
      </w:pPr>
      <w:r>
        <w:rPr>
          <w:rFonts w:ascii="Arial" w:cs="Arial" w:eastAsia="Arial" w:hAnsi="Arial"/>
          <w:sz w:val="26"/>
          <w:szCs w:val="26"/>
          <w:b w:val="1"/>
          <w:bCs w:val="1"/>
          <w:color w:val="auto"/>
        </w:rPr>
        <w:t>Statement of Additional Information</w:t>
      </w:r>
    </w:p>
    <w:p>
      <w:pPr>
        <w:spacing w:after="0" w:line="202" w:lineRule="exact"/>
        <w:rPr>
          <w:sz w:val="20"/>
          <w:szCs w:val="20"/>
          <w:color w:val="auto"/>
        </w:rPr>
      </w:pPr>
    </w:p>
    <w:p>
      <w:pPr>
        <w:ind w:left="444"/>
        <w:spacing w:after="0"/>
        <w:rPr>
          <w:sz w:val="20"/>
          <w:szCs w:val="20"/>
          <w:color w:val="auto"/>
        </w:rPr>
      </w:pPr>
      <w:r>
        <w:rPr>
          <w:rFonts w:ascii="Arial" w:cs="Arial" w:eastAsia="Arial" w:hAnsi="Arial"/>
          <w:sz w:val="26"/>
          <w:szCs w:val="26"/>
          <w:b w:val="1"/>
          <w:bCs w:val="1"/>
          <w:color w:val="auto"/>
        </w:rPr>
        <w:t>Individual Single Premium Deferred Index-linked</w:t>
      </w:r>
    </w:p>
    <w:p>
      <w:pPr>
        <w:jc w:val="center"/>
        <w:ind w:right="2775"/>
        <w:spacing w:after="0"/>
        <w:rPr>
          <w:sz w:val="20"/>
          <w:szCs w:val="20"/>
          <w:color w:val="auto"/>
        </w:rPr>
      </w:pPr>
      <w:r>
        <w:rPr>
          <w:rFonts w:ascii="Arial" w:cs="Arial" w:eastAsia="Arial" w:hAnsi="Arial"/>
          <w:sz w:val="26"/>
          <w:szCs w:val="26"/>
          <w:b w:val="1"/>
          <w:bCs w:val="1"/>
          <w:color w:val="auto"/>
        </w:rPr>
        <w:t>Annuity Contract</w:t>
      </w:r>
    </w:p>
    <w:p>
      <w:pPr>
        <w:spacing w:after="0" w:line="124" w:lineRule="exact"/>
        <w:rPr>
          <w:sz w:val="20"/>
          <w:szCs w:val="20"/>
          <w:color w:val="auto"/>
        </w:rPr>
      </w:pPr>
    </w:p>
    <w:p>
      <w:pPr>
        <w:ind w:left="1304"/>
        <w:spacing w:after="0"/>
        <w:rPr>
          <w:sz w:val="20"/>
          <w:szCs w:val="20"/>
          <w:color w:val="auto"/>
        </w:rPr>
      </w:pPr>
      <w:r>
        <w:rPr>
          <w:rFonts w:ascii="Arial" w:cs="Arial" w:eastAsia="Arial" w:hAnsi="Arial"/>
          <w:sz w:val="21"/>
          <w:szCs w:val="21"/>
          <w:b w:val="1"/>
          <w:bCs w:val="1"/>
          <w:color w:val="auto"/>
        </w:rPr>
        <w:t>Brighthouse Life Insurance Company of NY</w:t>
      </w:r>
    </w:p>
    <w:p>
      <w:pPr>
        <w:spacing w:after="0" w:line="148" w:lineRule="exact"/>
        <w:rPr>
          <w:sz w:val="20"/>
          <w:szCs w:val="20"/>
          <w:color w:val="auto"/>
        </w:rPr>
      </w:pPr>
    </w:p>
    <w:p>
      <w:pPr>
        <w:ind w:left="1324"/>
        <w:spacing w:after="0"/>
        <w:rPr>
          <w:sz w:val="20"/>
          <w:szCs w:val="20"/>
          <w:color w:val="auto"/>
        </w:rPr>
      </w:pPr>
      <w:r>
        <w:rPr>
          <w:rFonts w:ascii="Arial" w:cs="Arial" w:eastAsia="Arial" w:hAnsi="Arial"/>
          <w:sz w:val="21"/>
          <w:szCs w:val="21"/>
          <w:b w:val="1"/>
          <w:bCs w:val="1"/>
          <w:color w:val="auto"/>
        </w:rPr>
        <w:t>Brighthouse Shield</w:t>
      </w:r>
      <w:r>
        <w:rPr>
          <w:rFonts w:ascii="Arial" w:cs="Arial" w:eastAsia="Arial" w:hAnsi="Arial"/>
          <w:sz w:val="26"/>
          <w:szCs w:val="26"/>
          <w:b w:val="1"/>
          <w:bCs w:val="1"/>
          <w:color w:val="auto"/>
          <w:vertAlign w:val="superscript"/>
        </w:rPr>
        <w:t>®</w:t>
      </w:r>
      <w:r>
        <w:rPr>
          <w:rFonts w:ascii="Arial" w:cs="Arial" w:eastAsia="Arial" w:hAnsi="Arial"/>
          <w:sz w:val="21"/>
          <w:szCs w:val="21"/>
          <w:b w:val="1"/>
          <w:bCs w:val="1"/>
          <w:color w:val="auto"/>
        </w:rPr>
        <w:t xml:space="preserve"> Level II 6-Year Annuity</w:t>
      </w:r>
    </w:p>
    <w:p>
      <w:pPr>
        <w:spacing w:after="0" w:line="118" w:lineRule="exact"/>
        <w:rPr>
          <w:sz w:val="20"/>
          <w:szCs w:val="20"/>
          <w:color w:val="auto"/>
        </w:rPr>
      </w:pPr>
    </w:p>
    <w:p>
      <w:pPr>
        <w:ind w:left="4" w:right="2819"/>
        <w:spacing w:after="0" w:line="261" w:lineRule="auto"/>
        <w:rPr>
          <w:sz w:val="20"/>
          <w:szCs w:val="20"/>
          <w:color w:val="auto"/>
        </w:rPr>
      </w:pPr>
      <w:r>
        <w:rPr>
          <w:rFonts w:ascii="Times New Roman" w:cs="Times New Roman" w:eastAsia="Times New Roman" w:hAnsi="Times New Roman"/>
          <w:sz w:val="13"/>
          <w:szCs w:val="13"/>
          <w:color w:val="auto"/>
        </w:rPr>
        <w:t>This Statement of Additional Information (“SAI”) is not a prospectus but relates to, and should be read in conjunction with, the Prospectuses dated April 28, 2025. A copy of the Individual Single Premium Deferred Index-linked Annuity Contract Prospectuses may be obtained by writing to Brighthouse Life Insurance Company of NY, P.O. Box 4301, Clinton, IA 52733-4301, by calling</w:t>
      </w:r>
    </w:p>
    <w:p>
      <w:pPr>
        <w:spacing w:after="0" w:line="2" w:lineRule="exact"/>
        <w:rPr>
          <w:sz w:val="20"/>
          <w:szCs w:val="20"/>
          <w:color w:val="auto"/>
        </w:rPr>
      </w:pPr>
    </w:p>
    <w:p>
      <w:pPr>
        <w:ind w:left="4" w:right="2939" w:hanging="4"/>
        <w:spacing w:after="0" w:line="269" w:lineRule="auto"/>
        <w:tabs>
          <w:tab w:leader="none" w:pos="323"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243-1932, by visiting the website https://dfinview.com/BHF/PUFT/BHF246?site=BHF1 or by accessing the Securities and Exchange Commission's website at http://www.sec.gov.</w:t>
      </w:r>
    </w:p>
    <w:p>
      <w:pPr>
        <w:spacing w:after="0" w:line="128" w:lineRule="exact"/>
        <w:rPr>
          <w:sz w:val="20"/>
          <w:szCs w:val="20"/>
          <w:color w:val="auto"/>
        </w:rPr>
      </w:pPr>
    </w:p>
    <w:p>
      <w:pPr>
        <w:ind w:left="4" w:right="2879"/>
        <w:spacing w:after="0" w:line="272" w:lineRule="auto"/>
        <w:rPr>
          <w:sz w:val="20"/>
          <w:szCs w:val="20"/>
          <w:color w:val="auto"/>
        </w:rPr>
      </w:pPr>
      <w:r>
        <w:rPr>
          <w:rFonts w:ascii="Times New Roman" w:cs="Times New Roman" w:eastAsia="Times New Roman" w:hAnsi="Times New Roman"/>
          <w:sz w:val="13"/>
          <w:szCs w:val="13"/>
          <w:color w:val="auto"/>
        </w:rPr>
        <w:t>The SAI contains information in addition to the information described in the Prospectuses for the Individual Single Premium Deferred Index-linked Annuity Contract (the “Contract”) offered by Brighthouse Life Insurance Company of NY (“we”, “our”, or the “Company”).The Prospectuses concisely set forth information that a prospective investor ought to know before investing.</w:t>
      </w:r>
    </w:p>
    <w:p>
      <w:pPr>
        <w:spacing w:after="0" w:line="1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color w:val="auto"/>
        </w:rPr>
        <w:t>This Statement of Additional Information is dated April 28,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1"/>
          <w:szCs w:val="11"/>
          <w:color w:val="auto"/>
        </w:rPr>
        <w:t>Book 797 SAI</w:t>
      </w:r>
    </w:p>
    <w:p>
      <w:pPr>
        <w:sectPr>
          <w:pgSz w:w="11900" w:h="16838" w:orient="portrait"/>
          <w:cols w:equalWidth="0" w:num="1">
            <w:col w:w="9763"/>
          </w:cols>
          <w:pgMar w:left="696" w:top="1440" w:right="1440"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13"/>
        </w:trPr>
        <w:tc>
          <w:tcPr>
            <w:tcW w:w="1100" w:type="dxa"/>
            <w:vAlign w:val="bottom"/>
          </w:tcPr>
          <w:p>
            <w:pPr>
              <w:spacing w:after="0"/>
              <w:rPr>
                <w:sz w:val="18"/>
                <w:szCs w:val="18"/>
                <w:color w:val="auto"/>
              </w:rPr>
            </w:pPr>
          </w:p>
        </w:tc>
        <w:tc>
          <w:tcPr>
            <w:tcW w:w="3220" w:type="dxa"/>
            <w:vAlign w:val="bottom"/>
            <w:gridSpan w:val="12"/>
          </w:tcPr>
          <w:p>
            <w:pPr>
              <w:spacing w:after="0"/>
              <w:rPr>
                <w:sz w:val="20"/>
                <w:szCs w:val="20"/>
                <w:color w:val="auto"/>
              </w:rPr>
            </w:pPr>
            <w:r>
              <w:rPr>
                <w:rFonts w:ascii="Arial" w:cs="Arial" w:eastAsia="Arial" w:hAnsi="Arial"/>
                <w:sz w:val="17"/>
                <w:szCs w:val="17"/>
                <w:b w:val="1"/>
                <w:bCs w:val="1"/>
                <w:color w:val="auto"/>
              </w:rPr>
              <w:t>TABLE OF CONTENTS</w:t>
            </w:r>
          </w:p>
        </w:tc>
        <w:tc>
          <w:tcPr>
            <w:tcW w:w="1640" w:type="dxa"/>
            <w:vAlign w:val="bottom"/>
          </w:tcPr>
          <w:p>
            <w:pPr>
              <w:jc w:val="right"/>
              <w:ind w:right="1052"/>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218"/>
        </w:trPr>
        <w:tc>
          <w:tcPr>
            <w:tcW w:w="1100" w:type="dxa"/>
            <w:vAlign w:val="bottom"/>
            <w:tcBorders>
              <w:bottom w:val="single" w:sz="8" w:color="F0FFFF"/>
            </w:tcBorders>
            <w:shd w:val="clear" w:color="auto" w:fill="F0FFFF"/>
          </w:tcPr>
          <w:p>
            <w:pPr>
              <w:spacing w:after="0"/>
              <w:rPr>
                <w:sz w:val="18"/>
                <w:szCs w:val="18"/>
                <w:color w:val="auto"/>
              </w:rPr>
            </w:pPr>
          </w:p>
        </w:tc>
        <w:tc>
          <w:tcPr>
            <w:tcW w:w="680" w:type="dxa"/>
            <w:vAlign w:val="bottom"/>
            <w:tcBorders>
              <w:bottom w:val="single" w:sz="8" w:color="0000EE"/>
            </w:tcBorders>
            <w:gridSpan w:val="2"/>
            <w:shd w:val="clear" w:color="auto" w:fill="F0FFFF"/>
          </w:tcPr>
          <w:p>
            <w:pPr>
              <w:spacing w:after="0"/>
              <w:rPr>
                <w:sz w:val="20"/>
                <w:szCs w:val="20"/>
                <w:color w:val="auto"/>
              </w:rPr>
            </w:pPr>
            <w:r>
              <w:rPr>
                <w:rFonts w:ascii="Arial" w:cs="Arial" w:eastAsia="Arial" w:hAnsi="Arial"/>
                <w:sz w:val="13"/>
                <w:szCs w:val="13"/>
                <w:b w:val="1"/>
                <w:bCs w:val="1"/>
                <w:color w:val="0000EE"/>
                <w:w w:val="99"/>
              </w:rPr>
              <w:t>COMPANY</w:t>
            </w:r>
          </w:p>
        </w:tc>
        <w:tc>
          <w:tcPr>
            <w:tcW w:w="2540" w:type="dxa"/>
            <w:vAlign w:val="bottom"/>
            <w:tcBorders>
              <w:bottom w:val="single" w:sz="8" w:color="F0FFFF"/>
            </w:tcBorders>
            <w:gridSpan w:val="10"/>
            <w:shd w:val="clear" w:color="auto" w:fill="F0FFFF"/>
          </w:tcPr>
          <w:p>
            <w:pPr>
              <w:spacing w:after="0"/>
              <w:rPr>
                <w:sz w:val="18"/>
                <w:szCs w:val="18"/>
                <w:color w:val="auto"/>
              </w:rPr>
            </w:pPr>
          </w:p>
        </w:tc>
        <w:tc>
          <w:tcPr>
            <w:tcW w:w="1640" w:type="dxa"/>
            <w:vAlign w:val="bottom"/>
            <w:tcBorders>
              <w:bottom w:val="single" w:sz="8" w:color="F0FFFF"/>
            </w:tcBorders>
            <w:shd w:val="clear" w:color="auto" w:fill="F0FFFF"/>
          </w:tcPr>
          <w:p>
            <w:pPr>
              <w:jc w:val="right"/>
              <w:ind w:right="1052"/>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18"/>
        </w:trPr>
        <w:tc>
          <w:tcPr>
            <w:tcW w:w="1100" w:type="dxa"/>
            <w:vAlign w:val="bottom"/>
          </w:tcPr>
          <w:p>
            <w:pPr>
              <w:spacing w:after="0"/>
              <w:rPr>
                <w:sz w:val="18"/>
                <w:szCs w:val="18"/>
                <w:color w:val="auto"/>
              </w:rPr>
            </w:pPr>
          </w:p>
        </w:tc>
        <w:tc>
          <w:tcPr>
            <w:tcW w:w="680" w:type="dxa"/>
            <w:vAlign w:val="bottom"/>
            <w:tcBorders>
              <w:bottom w:val="single" w:sz="8" w:color="0000EE"/>
            </w:tcBorders>
            <w:gridSpan w:val="2"/>
          </w:tcPr>
          <w:p>
            <w:pPr>
              <w:spacing w:after="0"/>
              <w:rPr>
                <w:sz w:val="20"/>
                <w:szCs w:val="20"/>
                <w:color w:val="auto"/>
              </w:rPr>
            </w:pPr>
            <w:r>
              <w:rPr>
                <w:rFonts w:ascii="Arial" w:cs="Arial" w:eastAsia="Arial" w:hAnsi="Arial"/>
                <w:sz w:val="13"/>
                <w:szCs w:val="13"/>
                <w:b w:val="1"/>
                <w:bCs w:val="1"/>
                <w:color w:val="0000EE"/>
              </w:rPr>
              <w:t>SERVICES</w:t>
            </w:r>
          </w:p>
        </w:tc>
        <w:tc>
          <w:tcPr>
            <w:tcW w:w="2540" w:type="dxa"/>
            <w:vAlign w:val="bottom"/>
            <w:gridSpan w:val="10"/>
          </w:tcPr>
          <w:p>
            <w:pPr>
              <w:spacing w:after="0"/>
              <w:rPr>
                <w:sz w:val="18"/>
                <w:szCs w:val="18"/>
                <w:color w:val="auto"/>
              </w:rPr>
            </w:pPr>
          </w:p>
        </w:tc>
        <w:tc>
          <w:tcPr>
            <w:tcW w:w="1640" w:type="dxa"/>
            <w:vAlign w:val="bottom"/>
          </w:tcPr>
          <w:p>
            <w:pPr>
              <w:jc w:val="right"/>
              <w:ind w:right="1052"/>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18"/>
        </w:trPr>
        <w:tc>
          <w:tcPr>
            <w:tcW w:w="1100" w:type="dxa"/>
            <w:vAlign w:val="bottom"/>
            <w:tcBorders>
              <w:bottom w:val="single" w:sz="8" w:color="F0FFFF"/>
            </w:tcBorders>
            <w:shd w:val="clear" w:color="auto" w:fill="F0FFFF"/>
          </w:tcPr>
          <w:p>
            <w:pPr>
              <w:spacing w:after="0"/>
              <w:rPr>
                <w:sz w:val="18"/>
                <w:szCs w:val="18"/>
                <w:color w:val="auto"/>
              </w:rPr>
            </w:pPr>
          </w:p>
        </w:tc>
        <w:tc>
          <w:tcPr>
            <w:tcW w:w="1600" w:type="dxa"/>
            <w:vAlign w:val="bottom"/>
            <w:tcBorders>
              <w:bottom w:val="single" w:sz="8" w:color="0000EE"/>
            </w:tcBorders>
            <w:gridSpan w:val="6"/>
            <w:shd w:val="clear" w:color="auto" w:fill="F0FFFF"/>
          </w:tcPr>
          <w:p>
            <w:pPr>
              <w:spacing w:after="0"/>
              <w:rPr>
                <w:sz w:val="20"/>
                <w:szCs w:val="20"/>
                <w:color w:val="auto"/>
              </w:rPr>
            </w:pPr>
            <w:r>
              <w:rPr>
                <w:rFonts w:ascii="Arial" w:cs="Arial" w:eastAsia="Arial" w:hAnsi="Arial"/>
                <w:sz w:val="13"/>
                <w:szCs w:val="13"/>
                <w:b w:val="1"/>
                <w:bCs w:val="1"/>
                <w:color w:val="0000EE"/>
              </w:rPr>
              <w:t>INDEPENDENT AUDITOR</w:t>
            </w:r>
          </w:p>
        </w:tc>
        <w:tc>
          <w:tcPr>
            <w:tcW w:w="1620" w:type="dxa"/>
            <w:vAlign w:val="bottom"/>
            <w:tcBorders>
              <w:bottom w:val="single" w:sz="8" w:color="F0FFFF"/>
            </w:tcBorders>
            <w:gridSpan w:val="6"/>
            <w:shd w:val="clear" w:color="auto" w:fill="F0FFFF"/>
          </w:tcPr>
          <w:p>
            <w:pPr>
              <w:spacing w:after="0"/>
              <w:rPr>
                <w:sz w:val="18"/>
                <w:szCs w:val="18"/>
                <w:color w:val="auto"/>
              </w:rPr>
            </w:pPr>
          </w:p>
        </w:tc>
        <w:tc>
          <w:tcPr>
            <w:tcW w:w="1640" w:type="dxa"/>
            <w:vAlign w:val="bottom"/>
            <w:tcBorders>
              <w:bottom w:val="single" w:sz="8" w:color="F0FFFF"/>
            </w:tcBorders>
            <w:shd w:val="clear" w:color="auto" w:fill="F0FFFF"/>
          </w:tcPr>
          <w:p>
            <w:pPr>
              <w:jc w:val="right"/>
              <w:ind w:right="1052"/>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18"/>
        </w:trPr>
        <w:tc>
          <w:tcPr>
            <w:tcW w:w="1100" w:type="dxa"/>
            <w:vAlign w:val="bottom"/>
          </w:tcPr>
          <w:p>
            <w:pPr>
              <w:spacing w:after="0"/>
              <w:rPr>
                <w:sz w:val="18"/>
                <w:szCs w:val="18"/>
                <w:color w:val="auto"/>
              </w:rPr>
            </w:pPr>
          </w:p>
        </w:tc>
        <w:tc>
          <w:tcPr>
            <w:tcW w:w="3100" w:type="dxa"/>
            <w:vAlign w:val="bottom"/>
            <w:tcBorders>
              <w:bottom w:val="single" w:sz="8" w:color="0000EE"/>
            </w:tcBorders>
            <w:gridSpan w:val="11"/>
          </w:tcPr>
          <w:p>
            <w:pPr>
              <w:spacing w:after="0"/>
              <w:rPr>
                <w:sz w:val="20"/>
                <w:szCs w:val="20"/>
                <w:color w:val="auto"/>
              </w:rPr>
            </w:pPr>
            <w:r>
              <w:rPr>
                <w:rFonts w:ascii="Arial" w:cs="Arial" w:eastAsia="Arial" w:hAnsi="Arial"/>
                <w:sz w:val="13"/>
                <w:szCs w:val="13"/>
                <w:b w:val="1"/>
                <w:bCs w:val="1"/>
                <w:color w:val="0000EE"/>
              </w:rPr>
              <w:t>INTERIM VALUE CALCULATION AND EXAMPLES</w:t>
            </w:r>
          </w:p>
        </w:tc>
        <w:tc>
          <w:tcPr>
            <w:tcW w:w="120" w:type="dxa"/>
            <w:vAlign w:val="bottom"/>
          </w:tcPr>
          <w:p>
            <w:pPr>
              <w:spacing w:after="0"/>
              <w:rPr>
                <w:sz w:val="18"/>
                <w:szCs w:val="18"/>
                <w:color w:val="auto"/>
              </w:rPr>
            </w:pPr>
          </w:p>
        </w:tc>
        <w:tc>
          <w:tcPr>
            <w:tcW w:w="1640" w:type="dxa"/>
            <w:vAlign w:val="bottom"/>
          </w:tcPr>
          <w:p>
            <w:pPr>
              <w:jc w:val="right"/>
              <w:ind w:right="1052"/>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29"/>
        </w:trPr>
        <w:tc>
          <w:tcPr>
            <w:tcW w:w="1100" w:type="dxa"/>
            <w:vAlign w:val="bottom"/>
            <w:shd w:val="clear" w:color="auto" w:fill="F0FFFF"/>
          </w:tcPr>
          <w:p>
            <w:pPr>
              <w:spacing w:after="0"/>
              <w:rPr>
                <w:sz w:val="11"/>
                <w:szCs w:val="11"/>
                <w:color w:val="auto"/>
              </w:rPr>
            </w:pPr>
          </w:p>
        </w:tc>
        <w:tc>
          <w:tcPr>
            <w:tcW w:w="320" w:type="dxa"/>
            <w:vAlign w:val="bottom"/>
            <w:shd w:val="clear" w:color="auto" w:fill="F0FFFF"/>
          </w:tcPr>
          <w:p>
            <w:pPr>
              <w:spacing w:after="0"/>
              <w:rPr>
                <w:sz w:val="11"/>
                <w:szCs w:val="11"/>
                <w:color w:val="auto"/>
              </w:rPr>
            </w:pPr>
          </w:p>
        </w:tc>
        <w:tc>
          <w:tcPr>
            <w:tcW w:w="2900" w:type="dxa"/>
            <w:vAlign w:val="bottom"/>
            <w:gridSpan w:val="11"/>
            <w:shd w:val="clear" w:color="auto" w:fill="F0FFFF"/>
          </w:tcPr>
          <w:p>
            <w:pPr>
              <w:spacing w:after="0" w:line="129" w:lineRule="exact"/>
              <w:rPr>
                <w:sz w:val="20"/>
                <w:szCs w:val="20"/>
                <w:color w:val="auto"/>
              </w:rPr>
            </w:pPr>
            <w:r>
              <w:rPr>
                <w:rFonts w:ascii="Times New Roman" w:cs="Times New Roman" w:eastAsia="Times New Roman" w:hAnsi="Times New Roman"/>
                <w:sz w:val="13"/>
                <w:szCs w:val="13"/>
                <w:color w:val="0000EE"/>
              </w:rPr>
              <w:t>Interim Value</w:t>
            </w:r>
          </w:p>
        </w:tc>
        <w:tc>
          <w:tcPr>
            <w:tcW w:w="1640" w:type="dxa"/>
            <w:vAlign w:val="bottom"/>
            <w:shd w:val="clear" w:color="auto" w:fill="F0FFFF"/>
          </w:tcPr>
          <w:p>
            <w:pPr>
              <w:jc w:val="right"/>
              <w:ind w:right="1052"/>
              <w:spacing w:after="0" w:line="129"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30"/>
        </w:trPr>
        <w:tc>
          <w:tcPr>
            <w:tcW w:w="1100" w:type="dxa"/>
            <w:vAlign w:val="bottom"/>
            <w:shd w:val="clear" w:color="auto" w:fill="F0FFFF"/>
          </w:tcPr>
          <w:p>
            <w:pPr>
              <w:spacing w:after="0"/>
              <w:rPr>
                <w:sz w:val="2"/>
                <w:szCs w:val="2"/>
                <w:color w:val="auto"/>
              </w:rPr>
            </w:pPr>
          </w:p>
        </w:tc>
        <w:tc>
          <w:tcPr>
            <w:tcW w:w="320" w:type="dxa"/>
            <w:vAlign w:val="bottom"/>
            <w:shd w:val="clear" w:color="auto" w:fill="F0FFFF"/>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360" w:type="dxa"/>
            <w:vAlign w:val="bottom"/>
            <w:shd w:val="clear" w:color="auto" w:fill="F0FFFF"/>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40" w:type="dxa"/>
            <w:vAlign w:val="bottom"/>
            <w:shd w:val="clear" w:color="auto" w:fill="F0FFFF"/>
          </w:tcPr>
          <w:p>
            <w:pPr>
              <w:spacing w:after="0"/>
              <w:rPr>
                <w:sz w:val="2"/>
                <w:szCs w:val="2"/>
                <w:color w:val="auto"/>
              </w:rPr>
            </w:pPr>
          </w:p>
        </w:tc>
        <w:tc>
          <w:tcPr>
            <w:tcW w:w="60" w:type="dxa"/>
            <w:vAlign w:val="bottom"/>
            <w:shd w:val="clear" w:color="auto" w:fill="F0FFFF"/>
          </w:tcPr>
          <w:p>
            <w:pPr>
              <w:spacing w:after="0"/>
              <w:rPr>
                <w:sz w:val="2"/>
                <w:szCs w:val="2"/>
                <w:color w:val="auto"/>
              </w:rPr>
            </w:pPr>
          </w:p>
        </w:tc>
        <w:tc>
          <w:tcPr>
            <w:tcW w:w="1020" w:type="dxa"/>
            <w:vAlign w:val="bottom"/>
            <w:shd w:val="clear" w:color="auto" w:fill="F0FFFF"/>
          </w:tcPr>
          <w:p>
            <w:pPr>
              <w:spacing w:after="0"/>
              <w:rPr>
                <w:sz w:val="2"/>
                <w:szCs w:val="2"/>
                <w:color w:val="auto"/>
              </w:rPr>
            </w:pPr>
          </w:p>
        </w:tc>
        <w:tc>
          <w:tcPr>
            <w:tcW w:w="180" w:type="dxa"/>
            <w:vAlign w:val="bottom"/>
            <w:shd w:val="clear" w:color="auto" w:fill="F0FFFF"/>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64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tcBorders>
              <w:bottom w:val="single" w:sz="8" w:color="0000EE"/>
            </w:tcBorders>
            <w:gridSpan w:val="7"/>
          </w:tcPr>
          <w:p>
            <w:pPr>
              <w:spacing w:after="0" w:line="129" w:lineRule="exact"/>
              <w:rPr>
                <w:sz w:val="20"/>
                <w:szCs w:val="20"/>
                <w:color w:val="auto"/>
              </w:rPr>
            </w:pPr>
            <w:r>
              <w:rPr>
                <w:rFonts w:ascii="Times New Roman" w:cs="Times New Roman" w:eastAsia="Times New Roman" w:hAnsi="Times New Roman"/>
                <w:sz w:val="13"/>
                <w:szCs w:val="13"/>
                <w:color w:val="0000EE"/>
              </w:rPr>
              <w:t>Interim Value Calculation</w:t>
            </w:r>
          </w:p>
        </w:tc>
        <w:tc>
          <w:tcPr>
            <w:tcW w:w="1520" w:type="dxa"/>
            <w:vAlign w:val="bottom"/>
            <w:gridSpan w:val="4"/>
          </w:tcPr>
          <w:p>
            <w:pPr>
              <w:spacing w:after="0"/>
              <w:rPr>
                <w:sz w:val="12"/>
                <w:szCs w:val="12"/>
                <w:color w:val="auto"/>
              </w:rPr>
            </w:pPr>
          </w:p>
        </w:tc>
        <w:tc>
          <w:tcPr>
            <w:tcW w:w="1640" w:type="dxa"/>
            <w:vAlign w:val="bottom"/>
          </w:tcPr>
          <w:p>
            <w:pPr>
              <w:jc w:val="right"/>
              <w:ind w:right="1052"/>
              <w:spacing w:after="0" w:line="129"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08"/>
        </w:trPr>
        <w:tc>
          <w:tcPr>
            <w:tcW w:w="1100" w:type="dxa"/>
            <w:vAlign w:val="bottom"/>
            <w:shd w:val="clear" w:color="auto" w:fill="F0FFFF"/>
          </w:tcPr>
          <w:p>
            <w:pPr>
              <w:spacing w:after="0"/>
              <w:rPr>
                <w:sz w:val="18"/>
                <w:szCs w:val="18"/>
                <w:color w:val="auto"/>
              </w:rPr>
            </w:pPr>
          </w:p>
        </w:tc>
        <w:tc>
          <w:tcPr>
            <w:tcW w:w="3220" w:type="dxa"/>
            <w:vAlign w:val="bottom"/>
            <w:gridSpan w:val="12"/>
            <w:shd w:val="clear" w:color="auto" w:fill="F0FFFF"/>
          </w:tcPr>
          <w:p>
            <w:pPr>
              <w:spacing w:after="0"/>
              <w:rPr>
                <w:sz w:val="20"/>
                <w:szCs w:val="20"/>
                <w:color w:val="auto"/>
              </w:rPr>
            </w:pPr>
            <w:r>
              <w:rPr>
                <w:rFonts w:ascii="Arial" w:cs="Arial" w:eastAsia="Arial" w:hAnsi="Arial"/>
                <w:sz w:val="13"/>
                <w:szCs w:val="13"/>
                <w:b w:val="1"/>
                <w:bCs w:val="1"/>
                <w:color w:val="0000EE"/>
              </w:rPr>
              <w:t>DISTRIBUTION</w:t>
            </w:r>
          </w:p>
        </w:tc>
        <w:tc>
          <w:tcPr>
            <w:tcW w:w="1640" w:type="dxa"/>
            <w:vAlign w:val="bottom"/>
            <w:shd w:val="clear" w:color="auto" w:fill="F0FFFF"/>
          </w:tcPr>
          <w:p>
            <w:pPr>
              <w:jc w:val="right"/>
              <w:ind w:right="1052"/>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30"/>
        </w:trPr>
        <w:tc>
          <w:tcPr>
            <w:tcW w:w="1100" w:type="dxa"/>
            <w:vAlign w:val="bottom"/>
            <w:shd w:val="clear" w:color="auto" w:fill="F0FFFF"/>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tcBorders>
              <w:right w:val="single" w:sz="8" w:color="F0FFFF"/>
            </w:tcBorders>
            <w:shd w:val="clear" w:color="auto" w:fill="F0FFFF"/>
          </w:tcPr>
          <w:p>
            <w:pPr>
              <w:spacing w:after="0"/>
              <w:rPr>
                <w:sz w:val="2"/>
                <w:szCs w:val="2"/>
                <w:color w:val="auto"/>
              </w:rPr>
            </w:pPr>
          </w:p>
        </w:tc>
        <w:tc>
          <w:tcPr>
            <w:tcW w:w="360" w:type="dxa"/>
            <w:vAlign w:val="bottom"/>
            <w:shd w:val="clear" w:color="auto" w:fill="F0FFFF"/>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40" w:type="dxa"/>
            <w:vAlign w:val="bottom"/>
            <w:shd w:val="clear" w:color="auto" w:fill="F0FFFF"/>
          </w:tcPr>
          <w:p>
            <w:pPr>
              <w:spacing w:after="0"/>
              <w:rPr>
                <w:sz w:val="2"/>
                <w:szCs w:val="2"/>
                <w:color w:val="auto"/>
              </w:rPr>
            </w:pPr>
          </w:p>
        </w:tc>
        <w:tc>
          <w:tcPr>
            <w:tcW w:w="60" w:type="dxa"/>
            <w:vAlign w:val="bottom"/>
            <w:shd w:val="clear" w:color="auto" w:fill="F0FFFF"/>
          </w:tcPr>
          <w:p>
            <w:pPr>
              <w:spacing w:after="0"/>
              <w:rPr>
                <w:sz w:val="2"/>
                <w:szCs w:val="2"/>
                <w:color w:val="auto"/>
              </w:rPr>
            </w:pPr>
          </w:p>
        </w:tc>
        <w:tc>
          <w:tcPr>
            <w:tcW w:w="1020" w:type="dxa"/>
            <w:vAlign w:val="bottom"/>
            <w:shd w:val="clear" w:color="auto" w:fill="F0FFFF"/>
          </w:tcPr>
          <w:p>
            <w:pPr>
              <w:spacing w:after="0"/>
              <w:rPr>
                <w:sz w:val="2"/>
                <w:szCs w:val="2"/>
                <w:color w:val="auto"/>
              </w:rPr>
            </w:pPr>
          </w:p>
        </w:tc>
        <w:tc>
          <w:tcPr>
            <w:tcW w:w="180" w:type="dxa"/>
            <w:vAlign w:val="bottom"/>
            <w:shd w:val="clear" w:color="auto" w:fill="F0FFFF"/>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64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1100" w:type="dxa"/>
            <w:vAlign w:val="bottom"/>
          </w:tcPr>
          <w:p>
            <w:pPr>
              <w:spacing w:after="0"/>
              <w:rPr>
                <w:sz w:val="18"/>
                <w:szCs w:val="18"/>
                <w:color w:val="auto"/>
              </w:rPr>
            </w:pPr>
          </w:p>
        </w:tc>
        <w:tc>
          <w:tcPr>
            <w:tcW w:w="1460" w:type="dxa"/>
            <w:vAlign w:val="bottom"/>
            <w:tcBorders>
              <w:bottom w:val="single" w:sz="8" w:color="0000EE"/>
            </w:tcBorders>
            <w:gridSpan w:val="5"/>
          </w:tcPr>
          <w:p>
            <w:pPr>
              <w:spacing w:after="0"/>
              <w:rPr>
                <w:sz w:val="20"/>
                <w:szCs w:val="20"/>
                <w:color w:val="auto"/>
              </w:rPr>
            </w:pPr>
            <w:r>
              <w:rPr>
                <w:rFonts w:ascii="Arial" w:cs="Arial" w:eastAsia="Arial" w:hAnsi="Arial"/>
                <w:sz w:val="13"/>
                <w:szCs w:val="13"/>
                <w:b w:val="1"/>
                <w:bCs w:val="1"/>
                <w:color w:val="0000EE"/>
              </w:rPr>
              <w:t>ANNUITY PROVISIONS</w:t>
            </w:r>
          </w:p>
        </w:tc>
        <w:tc>
          <w:tcPr>
            <w:tcW w:w="1760" w:type="dxa"/>
            <w:vAlign w:val="bottom"/>
            <w:gridSpan w:val="7"/>
          </w:tcPr>
          <w:p>
            <w:pPr>
              <w:spacing w:after="0"/>
              <w:rPr>
                <w:sz w:val="18"/>
                <w:szCs w:val="18"/>
                <w:color w:val="auto"/>
              </w:rPr>
            </w:pPr>
          </w:p>
        </w:tc>
        <w:tc>
          <w:tcPr>
            <w:tcW w:w="1640" w:type="dxa"/>
            <w:vAlign w:val="bottom"/>
          </w:tcPr>
          <w:p>
            <w:pPr>
              <w:jc w:val="right"/>
              <w:ind w:right="1052"/>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39"/>
        </w:trPr>
        <w:tc>
          <w:tcPr>
            <w:tcW w:w="1100" w:type="dxa"/>
            <w:vAlign w:val="bottom"/>
            <w:tcBorders>
              <w:bottom w:val="single" w:sz="8" w:color="F0FFFF"/>
            </w:tcBorders>
            <w:shd w:val="clear" w:color="auto" w:fill="F0FFFF"/>
          </w:tcPr>
          <w:p>
            <w:pPr>
              <w:spacing w:after="0"/>
              <w:rPr>
                <w:sz w:val="12"/>
                <w:szCs w:val="12"/>
                <w:color w:val="auto"/>
              </w:rPr>
            </w:pPr>
          </w:p>
        </w:tc>
        <w:tc>
          <w:tcPr>
            <w:tcW w:w="320" w:type="dxa"/>
            <w:vAlign w:val="bottom"/>
            <w:tcBorders>
              <w:bottom w:val="single" w:sz="8" w:color="F0FFFF"/>
            </w:tcBorders>
            <w:shd w:val="clear" w:color="auto" w:fill="F0FFFF"/>
          </w:tcPr>
          <w:p>
            <w:pPr>
              <w:spacing w:after="0"/>
              <w:rPr>
                <w:sz w:val="12"/>
                <w:szCs w:val="12"/>
                <w:color w:val="auto"/>
              </w:rPr>
            </w:pPr>
          </w:p>
        </w:tc>
        <w:tc>
          <w:tcPr>
            <w:tcW w:w="780" w:type="dxa"/>
            <w:vAlign w:val="bottom"/>
            <w:tcBorders>
              <w:bottom w:val="single" w:sz="8" w:color="0000EE"/>
              <w:right w:val="single" w:sz="8" w:color="F0FFFF"/>
            </w:tcBorders>
            <w:gridSpan w:val="3"/>
            <w:shd w:val="clear" w:color="auto" w:fill="F0FFFF"/>
          </w:tcPr>
          <w:p>
            <w:pPr>
              <w:spacing w:after="0" w:line="129" w:lineRule="exact"/>
              <w:rPr>
                <w:sz w:val="20"/>
                <w:szCs w:val="20"/>
                <w:color w:val="auto"/>
              </w:rPr>
            </w:pPr>
            <w:r>
              <w:rPr>
                <w:rFonts w:ascii="Times New Roman" w:cs="Times New Roman" w:eastAsia="Times New Roman" w:hAnsi="Times New Roman"/>
                <w:sz w:val="13"/>
                <w:szCs w:val="13"/>
                <w:color w:val="0000EE"/>
                <w:w w:val="97"/>
              </w:rPr>
              <w:t>Fixed Annuity</w:t>
            </w:r>
          </w:p>
        </w:tc>
        <w:tc>
          <w:tcPr>
            <w:tcW w:w="2120" w:type="dxa"/>
            <w:vAlign w:val="bottom"/>
            <w:tcBorders>
              <w:bottom w:val="single" w:sz="8" w:color="F0FFFF"/>
            </w:tcBorders>
            <w:gridSpan w:val="8"/>
            <w:shd w:val="clear" w:color="auto" w:fill="F0FFFF"/>
          </w:tcPr>
          <w:p>
            <w:pPr>
              <w:spacing w:after="0"/>
              <w:rPr>
                <w:sz w:val="12"/>
                <w:szCs w:val="12"/>
                <w:color w:val="auto"/>
              </w:rPr>
            </w:pPr>
          </w:p>
        </w:tc>
        <w:tc>
          <w:tcPr>
            <w:tcW w:w="1640" w:type="dxa"/>
            <w:vAlign w:val="bottom"/>
            <w:tcBorders>
              <w:bottom w:val="single" w:sz="8" w:color="F0FFFF"/>
            </w:tcBorders>
            <w:shd w:val="clear" w:color="auto" w:fill="F0FFFF"/>
          </w:tcPr>
          <w:p>
            <w:pPr>
              <w:jc w:val="right"/>
              <w:ind w:right="1052"/>
              <w:spacing w:after="0" w:line="129" w:lineRule="exact"/>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18"/>
        </w:trPr>
        <w:tc>
          <w:tcPr>
            <w:tcW w:w="1100" w:type="dxa"/>
            <w:vAlign w:val="bottom"/>
          </w:tcPr>
          <w:p>
            <w:pPr>
              <w:spacing w:after="0"/>
              <w:rPr>
                <w:sz w:val="18"/>
                <w:szCs w:val="18"/>
                <w:color w:val="auto"/>
              </w:rPr>
            </w:pPr>
          </w:p>
        </w:tc>
        <w:tc>
          <w:tcPr>
            <w:tcW w:w="3220" w:type="dxa"/>
            <w:vAlign w:val="bottom"/>
            <w:gridSpan w:val="12"/>
          </w:tcPr>
          <w:p>
            <w:pPr>
              <w:spacing w:after="0"/>
              <w:rPr>
                <w:sz w:val="20"/>
                <w:szCs w:val="20"/>
                <w:color w:val="auto"/>
              </w:rPr>
            </w:pPr>
            <w:r>
              <w:rPr>
                <w:rFonts w:ascii="Arial" w:cs="Arial" w:eastAsia="Arial" w:hAnsi="Arial"/>
                <w:sz w:val="13"/>
                <w:szCs w:val="13"/>
                <w:b w:val="1"/>
                <w:bCs w:val="1"/>
                <w:color w:val="0000EE"/>
              </w:rPr>
              <w:t>LEGAL OR REGULATORY RESTRICTIONS ON</w:t>
            </w:r>
          </w:p>
        </w:tc>
        <w:tc>
          <w:tcPr>
            <w:tcW w:w="1640" w:type="dxa"/>
            <w:vAlign w:val="bottom"/>
            <w:vMerge w:val="restart"/>
          </w:tcPr>
          <w:p>
            <w:pPr>
              <w:jc w:val="right"/>
              <w:ind w:right="1052"/>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29"/>
        </w:trPr>
        <w:tc>
          <w:tcPr>
            <w:tcW w:w="1100" w:type="dxa"/>
            <w:vAlign w:val="bottom"/>
          </w:tcPr>
          <w:p>
            <w:pPr>
              <w:spacing w:after="0"/>
              <w:rPr>
                <w:sz w:val="11"/>
                <w:szCs w:val="11"/>
                <w:color w:val="auto"/>
              </w:rPr>
            </w:pPr>
          </w:p>
        </w:tc>
        <w:tc>
          <w:tcPr>
            <w:tcW w:w="1100" w:type="dxa"/>
            <w:vAlign w:val="bottom"/>
            <w:tcBorders>
              <w:top w:val="single" w:sz="8" w:color="0000EE"/>
              <w:bottom w:val="single" w:sz="8" w:color="0000EE"/>
            </w:tcBorders>
            <w:gridSpan w:val="4"/>
          </w:tcPr>
          <w:p>
            <w:pPr>
              <w:spacing w:after="0" w:line="119" w:lineRule="exact"/>
              <w:rPr>
                <w:sz w:val="20"/>
                <w:szCs w:val="20"/>
                <w:color w:val="auto"/>
              </w:rPr>
            </w:pPr>
            <w:r>
              <w:rPr>
                <w:rFonts w:ascii="Arial" w:cs="Arial" w:eastAsia="Arial" w:hAnsi="Arial"/>
                <w:sz w:val="13"/>
                <w:szCs w:val="13"/>
                <w:b w:val="1"/>
                <w:bCs w:val="1"/>
                <w:color w:val="0000EE"/>
              </w:rPr>
              <w:t>TRANSACTIONS</w:t>
            </w:r>
          </w:p>
        </w:tc>
        <w:tc>
          <w:tcPr>
            <w:tcW w:w="1800" w:type="dxa"/>
            <w:vAlign w:val="bottom"/>
            <w:tcBorders>
              <w:top w:val="single" w:sz="8" w:color="0000EE"/>
            </w:tcBorders>
            <w:gridSpan w:val="6"/>
          </w:tcPr>
          <w:p>
            <w:pPr>
              <w:spacing w:after="0"/>
              <w:rPr>
                <w:sz w:val="11"/>
                <w:szCs w:val="11"/>
                <w:color w:val="auto"/>
              </w:rPr>
            </w:pPr>
          </w:p>
        </w:tc>
        <w:tc>
          <w:tcPr>
            <w:tcW w:w="320" w:type="dxa"/>
            <w:vAlign w:val="bottom"/>
            <w:gridSpan w:val="2"/>
          </w:tcPr>
          <w:p>
            <w:pPr>
              <w:spacing w:after="0"/>
              <w:rPr>
                <w:sz w:val="11"/>
                <w:szCs w:val="11"/>
                <w:color w:val="auto"/>
              </w:rPr>
            </w:pPr>
          </w:p>
        </w:tc>
        <w:tc>
          <w:tcPr>
            <w:tcW w:w="1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1100" w:type="dxa"/>
            <w:vAlign w:val="bottom"/>
            <w:tcBorders>
              <w:bottom w:val="single" w:sz="8" w:color="F0FFFF"/>
            </w:tcBorders>
            <w:shd w:val="clear" w:color="auto" w:fill="F0FFFF"/>
          </w:tcPr>
          <w:p>
            <w:pPr>
              <w:spacing w:after="0"/>
              <w:rPr>
                <w:sz w:val="18"/>
                <w:szCs w:val="18"/>
                <w:color w:val="auto"/>
              </w:rPr>
            </w:pPr>
          </w:p>
        </w:tc>
        <w:tc>
          <w:tcPr>
            <w:tcW w:w="1640" w:type="dxa"/>
            <w:vAlign w:val="bottom"/>
            <w:tcBorders>
              <w:bottom w:val="single" w:sz="8" w:color="0000EE"/>
            </w:tcBorders>
            <w:gridSpan w:val="7"/>
            <w:shd w:val="clear" w:color="auto" w:fill="F0FFFF"/>
          </w:tcPr>
          <w:p>
            <w:pPr>
              <w:spacing w:after="0"/>
              <w:rPr>
                <w:sz w:val="20"/>
                <w:szCs w:val="20"/>
                <w:color w:val="auto"/>
              </w:rPr>
            </w:pPr>
            <w:r>
              <w:rPr>
                <w:rFonts w:ascii="Arial" w:cs="Arial" w:eastAsia="Arial" w:hAnsi="Arial"/>
                <w:sz w:val="13"/>
                <w:szCs w:val="13"/>
                <w:b w:val="1"/>
                <w:bCs w:val="1"/>
                <w:color w:val="0000EE"/>
              </w:rPr>
              <w:t>FINANCIAL STATEMENTS</w:t>
            </w:r>
          </w:p>
        </w:tc>
        <w:tc>
          <w:tcPr>
            <w:tcW w:w="1580" w:type="dxa"/>
            <w:vAlign w:val="bottom"/>
            <w:tcBorders>
              <w:bottom w:val="single" w:sz="8" w:color="F0FFFF"/>
            </w:tcBorders>
            <w:gridSpan w:val="5"/>
            <w:shd w:val="clear" w:color="auto" w:fill="F0FFFF"/>
          </w:tcPr>
          <w:p>
            <w:pPr>
              <w:spacing w:after="0"/>
              <w:rPr>
                <w:sz w:val="18"/>
                <w:szCs w:val="18"/>
                <w:color w:val="auto"/>
              </w:rPr>
            </w:pPr>
          </w:p>
        </w:tc>
        <w:tc>
          <w:tcPr>
            <w:tcW w:w="1640" w:type="dxa"/>
            <w:vAlign w:val="bottom"/>
            <w:tcBorders>
              <w:bottom w:val="single" w:sz="8" w:color="F0FFFF"/>
            </w:tcBorders>
            <w:shd w:val="clear" w:color="auto" w:fill="F0FFFF"/>
          </w:tcPr>
          <w:p>
            <w:pPr>
              <w:jc w:val="right"/>
              <w:ind w:right="1052"/>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79"/>
        </w:trPr>
        <w:tc>
          <w:tcPr>
            <w:tcW w:w="1100" w:type="dxa"/>
            <w:vAlign w:val="bottom"/>
          </w:tcPr>
          <w:p>
            <w:pPr>
              <w:spacing w:after="0"/>
              <w:rPr>
                <w:sz w:val="15"/>
                <w:szCs w:val="15"/>
                <w:color w:val="auto"/>
              </w:rPr>
            </w:pPr>
          </w:p>
        </w:tc>
        <w:tc>
          <w:tcPr>
            <w:tcW w:w="3220" w:type="dxa"/>
            <w:vAlign w:val="bottom"/>
            <w:gridSpan w:val="12"/>
          </w:tcPr>
          <w:p>
            <w:pPr>
              <w:spacing w:after="0"/>
              <w:rPr>
                <w:sz w:val="20"/>
                <w:szCs w:val="20"/>
                <w:color w:val="auto"/>
              </w:rPr>
            </w:pPr>
            <w:r>
              <w:rPr>
                <w:rFonts w:ascii="Arial" w:cs="Arial" w:eastAsia="Arial" w:hAnsi="Arial"/>
                <w:sz w:val="13"/>
                <w:szCs w:val="13"/>
                <w:b w:val="1"/>
                <w:bCs w:val="1"/>
                <w:color w:val="0000EE"/>
              </w:rPr>
              <w:t>CHANGES IN AND DISAGREEMENTS WITH</w:t>
            </w:r>
          </w:p>
        </w:tc>
        <w:tc>
          <w:tcPr>
            <w:tcW w:w="1640" w:type="dxa"/>
            <w:vAlign w:val="bottom"/>
            <w:vMerge w:val="restart"/>
          </w:tcPr>
          <w:p>
            <w:pPr>
              <w:jc w:val="right"/>
              <w:ind w:right="1052"/>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19"/>
        </w:trPr>
        <w:tc>
          <w:tcPr>
            <w:tcW w:w="1100" w:type="dxa"/>
            <w:vAlign w:val="bottom"/>
          </w:tcPr>
          <w:p>
            <w:pPr>
              <w:spacing w:after="0"/>
              <w:rPr>
                <w:sz w:val="10"/>
                <w:szCs w:val="10"/>
                <w:color w:val="auto"/>
              </w:rPr>
            </w:pPr>
          </w:p>
        </w:tc>
        <w:tc>
          <w:tcPr>
            <w:tcW w:w="1100" w:type="dxa"/>
            <w:vAlign w:val="bottom"/>
            <w:tcBorders>
              <w:top w:val="single" w:sz="8" w:color="0000EE"/>
              <w:bottom w:val="single" w:sz="8" w:color="0000EE"/>
            </w:tcBorders>
            <w:gridSpan w:val="4"/>
          </w:tcPr>
          <w:p>
            <w:pPr>
              <w:spacing w:after="0" w:line="119" w:lineRule="exact"/>
              <w:rPr>
                <w:sz w:val="20"/>
                <w:szCs w:val="20"/>
                <w:color w:val="auto"/>
              </w:rPr>
            </w:pPr>
            <w:r>
              <w:rPr>
                <w:rFonts w:ascii="Arial" w:cs="Arial" w:eastAsia="Arial" w:hAnsi="Arial"/>
                <w:sz w:val="13"/>
                <w:szCs w:val="13"/>
                <w:b w:val="1"/>
                <w:bCs w:val="1"/>
                <w:color w:val="0000EE"/>
              </w:rPr>
              <w:t>ACCOUNTANTS</w:t>
            </w:r>
          </w:p>
        </w:tc>
        <w:tc>
          <w:tcPr>
            <w:tcW w:w="1620" w:type="dxa"/>
            <w:vAlign w:val="bottom"/>
            <w:tcBorders>
              <w:top w:val="single" w:sz="8" w:color="0000EE"/>
            </w:tcBorders>
            <w:gridSpan w:val="5"/>
          </w:tcPr>
          <w:p>
            <w:pPr>
              <w:spacing w:after="0"/>
              <w:rPr>
                <w:sz w:val="10"/>
                <w:szCs w:val="10"/>
                <w:color w:val="auto"/>
              </w:rPr>
            </w:pPr>
          </w:p>
        </w:tc>
        <w:tc>
          <w:tcPr>
            <w:tcW w:w="500" w:type="dxa"/>
            <w:vAlign w:val="bottom"/>
            <w:gridSpan w:val="3"/>
          </w:tcPr>
          <w:p>
            <w:pPr>
              <w:spacing w:after="0"/>
              <w:rPr>
                <w:sz w:val="10"/>
                <w:szCs w:val="10"/>
                <w:color w:val="auto"/>
              </w:rPr>
            </w:pP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139"/>
          </w:cols>
          <w:pgMar w:left="1320" w:top="1315" w:right="1440" w:bottom="1440" w:gutter="0" w:footer="0" w:header="0"/>
        </w:sectPr>
      </w:pPr>
    </w:p>
    <w:bookmarkStart w:id="97" w:name="page98"/>
    <w:bookmarkEnd w:id="9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COMPANY</w:t>
      </w:r>
    </w:p>
    <w:p>
      <w:pPr>
        <w:spacing w:after="0" w:line="119" w:lineRule="exact"/>
        <w:rPr>
          <w:sz w:val="20"/>
          <w:szCs w:val="20"/>
          <w:color w:val="auto"/>
        </w:rPr>
      </w:pPr>
    </w:p>
    <w:p>
      <w:pPr>
        <w:ind w:right="2959"/>
        <w:spacing w:after="0" w:line="307" w:lineRule="auto"/>
        <w:rPr>
          <w:sz w:val="20"/>
          <w:szCs w:val="20"/>
          <w:color w:val="auto"/>
        </w:rPr>
      </w:pPr>
      <w:r>
        <w:rPr>
          <w:rFonts w:ascii="Times New Roman" w:cs="Times New Roman" w:eastAsia="Times New Roman" w:hAnsi="Times New Roman"/>
          <w:sz w:val="13"/>
          <w:szCs w:val="13"/>
          <w:color w:val="auto"/>
        </w:rPr>
        <w:t>Brighthouse Life Insurance Company of NY (“BLNY” or the “Company”) is a stock life insurance company organized under the laws of the State of New York in 1992. Prior to March 6, 2017, BLNY was known as First MetLife Investors Insurance Company. (Prior to February 12, 2001, the Company was known as First Cova Life Insurance Company, and prior to June 1, 1995, it was known as First Xerox Life Insurance Company.) BLNY is licensed to conduct business only in the State of New York.</w:t>
      </w:r>
    </w:p>
    <w:p>
      <w:pPr>
        <w:spacing w:after="0" w:line="76" w:lineRule="exact"/>
        <w:rPr>
          <w:sz w:val="20"/>
          <w:szCs w:val="20"/>
          <w:color w:val="auto"/>
        </w:rPr>
      </w:pPr>
    </w:p>
    <w:p>
      <w:pPr>
        <w:ind w:right="2919"/>
        <w:spacing w:after="0" w:line="303" w:lineRule="auto"/>
        <w:rPr>
          <w:sz w:val="20"/>
          <w:szCs w:val="20"/>
          <w:color w:val="auto"/>
        </w:rPr>
      </w:pPr>
      <w:r>
        <w:rPr>
          <w:rFonts w:ascii="Times New Roman" w:cs="Times New Roman" w:eastAsia="Times New Roman" w:hAnsi="Times New Roman"/>
          <w:sz w:val="13"/>
          <w:szCs w:val="13"/>
          <w:color w:val="auto"/>
        </w:rPr>
        <w:t>BLNY is a wholly-owned subsidiary of, and controlled by, Brighthouse Life Insurance Company (“BLIC”). BLIC is an indirect, wholly-owned subsidiary of, and ultimately controlled by, Brighthouse Financial, Inc. (“BHF”), a publicly-traded company. The Company was an indirect, wholly-owned subsidiary of MetLife, Inc. until August 4, 2017, when BHF became an independent, publicly-traded company following the completion of a separation transaction. BHF, through its subsidiaries and affiliates, is one of the largest providers of annuities and life insurance in the U.S. BLNY’s executive offices are located at 285 Madison Avenue, New York, NY 10017.</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SERVICES</w:t>
      </w:r>
    </w:p>
    <w:p>
      <w:pPr>
        <w:spacing w:after="0" w:line="119" w:lineRule="exact"/>
        <w:rPr>
          <w:sz w:val="20"/>
          <w:szCs w:val="20"/>
          <w:color w:val="auto"/>
        </w:rPr>
      </w:pPr>
    </w:p>
    <w:p>
      <w:pPr>
        <w:ind w:right="2939"/>
        <w:spacing w:after="0" w:line="303" w:lineRule="auto"/>
        <w:rPr>
          <w:sz w:val="20"/>
          <w:szCs w:val="20"/>
          <w:color w:val="auto"/>
        </w:rPr>
      </w:pPr>
      <w:r>
        <w:rPr>
          <w:rFonts w:ascii="Times New Roman" w:cs="Times New Roman" w:eastAsia="Times New Roman" w:hAnsi="Times New Roman"/>
          <w:sz w:val="13"/>
          <w:szCs w:val="13"/>
          <w:color w:val="auto"/>
        </w:rPr>
        <w:t>BLNY maintains certain books and records of Brighthouse Separate Accoun SA II (the “Separate Account”) and provides certain issuance and other administrative services for the Contracts. Pursuant to a services agreement, Computer Sciences Corporation, through its affiliate Alliance-One Services, Inc. provides certain other administrative and recordkeeping services for the Contracts as well as other contracts and policies issued by BLNY. The amount paid to Computer Sciences Corporation for the period January 1, 2024 through December 31, 2024 was $896,224. The Contracts were not offered before January 1, 2024.</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INDEPENDENT AUDITOR</w:t>
      </w:r>
    </w:p>
    <w:p>
      <w:pPr>
        <w:spacing w:after="0" w:line="119" w:lineRule="exact"/>
        <w:rPr>
          <w:sz w:val="20"/>
          <w:szCs w:val="20"/>
          <w:color w:val="auto"/>
        </w:rPr>
      </w:pPr>
    </w:p>
    <w:p>
      <w:pPr>
        <w:ind w:right="2859"/>
        <w:spacing w:after="0" w:line="306" w:lineRule="auto"/>
        <w:rPr>
          <w:sz w:val="20"/>
          <w:szCs w:val="20"/>
          <w:color w:val="auto"/>
        </w:rPr>
      </w:pPr>
      <w:r>
        <w:rPr>
          <w:rFonts w:ascii="Times New Roman" w:cs="Times New Roman" w:eastAsia="Times New Roman" w:hAnsi="Times New Roman"/>
          <w:sz w:val="13"/>
          <w:szCs w:val="13"/>
          <w:color w:val="auto"/>
        </w:rPr>
        <w:t>The statutory-basis financial statements of Brighthouse Life Insurance Company of NY as of December 31, 2024 and 2023 and for each of the two years in the period ended December 31, 2024, incorporated by reference in this Statement of Additional Information, have been audited by Deloitte &amp; Touche LLP, an independent auditor, as stated in their report which express an unqualified opinion on the statutory-basis financial statements and an adverse opinion on accounting principles generally accepted in the United States of America. Such financial statements are incorporated by reference in reliance upon the report of such firm given their authority as experts in accounting and auditing.</w:t>
      </w:r>
    </w:p>
    <w:p>
      <w:pPr>
        <w:spacing w:after="0" w:line="77" w:lineRule="exact"/>
        <w:rPr>
          <w:sz w:val="20"/>
          <w:szCs w:val="20"/>
          <w:color w:val="auto"/>
        </w:rPr>
      </w:pPr>
    </w:p>
    <w:p>
      <w:pPr>
        <w:ind w:right="3119"/>
        <w:spacing w:after="0" w:line="338" w:lineRule="auto"/>
        <w:rPr>
          <w:sz w:val="20"/>
          <w:szCs w:val="20"/>
          <w:color w:val="auto"/>
        </w:rPr>
      </w:pPr>
      <w:r>
        <w:rPr>
          <w:rFonts w:ascii="Times New Roman" w:cs="Times New Roman" w:eastAsia="Times New Roman" w:hAnsi="Times New Roman"/>
          <w:sz w:val="13"/>
          <w:szCs w:val="13"/>
          <w:color w:val="auto"/>
        </w:rPr>
        <w:t>The principal business address of Deloitte &amp; Touche LLP is 650 South Tryon Street, Suite 1800, Charlotte, North Carolina 28202-3512.</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INTERIM VALUE CALCULATION AND EXAMPLES</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Interim Value</w:t>
      </w:r>
    </w:p>
    <w:p>
      <w:pPr>
        <w:spacing w:after="0" w:line="105" w:lineRule="exact"/>
        <w:rPr>
          <w:sz w:val="20"/>
          <w:szCs w:val="20"/>
          <w:color w:val="auto"/>
        </w:rPr>
      </w:pPr>
    </w:p>
    <w:p>
      <w:pPr>
        <w:ind w:right="2879"/>
        <w:spacing w:after="0" w:line="309" w:lineRule="auto"/>
        <w:rPr>
          <w:sz w:val="20"/>
          <w:szCs w:val="20"/>
          <w:color w:val="auto"/>
        </w:rPr>
      </w:pPr>
      <w:r>
        <w:rPr>
          <w:rFonts w:ascii="Times New Roman" w:cs="Times New Roman" w:eastAsia="Times New Roman" w:hAnsi="Times New Roman"/>
          <w:sz w:val="13"/>
          <w:szCs w:val="13"/>
          <w:color w:val="auto"/>
        </w:rPr>
        <w:t>In setting the various rates we use in calculating the Investment Amount, we assume that you are going to hold a Shield Option until the Term End Date. Nevertheless, you have the right under the Contract to make withdrawals, Surrender the Contract, annuitize, and exercise Performance Lock before the Term End Date. Therefore, we calculate an Interim Value on each Business Day between the Term Start Date and prior to the Term End Date.</w:t>
      </w:r>
    </w:p>
    <w:p>
      <w:pPr>
        <w:spacing w:after="0" w:line="73" w:lineRule="exact"/>
        <w:rPr>
          <w:sz w:val="20"/>
          <w:szCs w:val="20"/>
          <w:color w:val="auto"/>
        </w:rPr>
      </w:pPr>
    </w:p>
    <w:p>
      <w:pPr>
        <w:ind w:right="3019"/>
        <w:spacing w:after="0" w:line="338" w:lineRule="auto"/>
        <w:rPr>
          <w:sz w:val="20"/>
          <w:szCs w:val="20"/>
          <w:color w:val="auto"/>
        </w:rPr>
      </w:pPr>
      <w:r>
        <w:rPr>
          <w:rFonts w:ascii="Times New Roman" w:cs="Times New Roman" w:eastAsia="Times New Roman" w:hAnsi="Times New Roman"/>
          <w:sz w:val="13"/>
          <w:szCs w:val="13"/>
          <w:color w:val="auto"/>
        </w:rPr>
        <w:t>Prior to the Term End Date, we use the Interim Value to calculate the amount that is available for (1) annuitization; (2) death benefits; (3) withdrawals (including RMDs and systematic withdrawals); (4) Surrenders; or (5) Performance</w:t>
      </w:r>
    </w:p>
    <w:p>
      <w:pPr>
        <w:spacing w:after="0" w:line="200" w:lineRule="exact"/>
        <w:rPr>
          <w:sz w:val="20"/>
          <w:szCs w:val="20"/>
          <w:color w:val="auto"/>
        </w:rPr>
      </w:pPr>
    </w:p>
    <w:p>
      <w:pPr>
        <w:spacing w:after="0" w:line="38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599"/>
          </w:cols>
          <w:pgMar w:left="860" w:top="1440" w:right="1440" w:bottom="1440" w:gutter="0" w:footer="0" w:header="0"/>
        </w:sectPr>
      </w:pPr>
    </w:p>
    <w:bookmarkStart w:id="98" w:name="page99"/>
    <w:bookmarkEnd w:id="98"/>
    <w:p>
      <w:pPr>
        <w:ind w:left="5" w:right="2999"/>
        <w:spacing w:after="0" w:line="30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93915" cy="38100"/>
                    </a:xfrm>
                    <a:prstGeom prst="rect">
                      <a:avLst/>
                    </a:prstGeom>
                    <a:noFill/>
                  </pic:spPr>
                </pic:pic>
              </a:graphicData>
            </a:graphic>
          </wp:anchor>
        </w:drawing>
        <w:t>Lock. The Interim Value is also used to determine how much the Investment Amount will be reduced by a withdrawal. You may obtain your Interim Value on any Business Day by calling us at (888) 243-1932 or by accessing our website at www.brighthousefinancial.com. However, Interim Values fluctuate daily, and the current value(s) quoted may differ from the actual value(s) calculated.</w:t>
      </w:r>
    </w:p>
    <w:p>
      <w:pPr>
        <w:spacing w:after="0" w:line="73" w:lineRule="exact"/>
        <w:rPr>
          <w:sz w:val="20"/>
          <w:szCs w:val="20"/>
          <w:color w:val="auto"/>
        </w:rPr>
      </w:pPr>
    </w:p>
    <w:p>
      <w:pPr>
        <w:ind w:left="5" w:right="2879"/>
        <w:spacing w:after="0" w:line="302" w:lineRule="auto"/>
        <w:rPr>
          <w:sz w:val="20"/>
          <w:szCs w:val="20"/>
          <w:color w:val="auto"/>
        </w:rPr>
      </w:pPr>
      <w:r>
        <w:rPr>
          <w:rFonts w:ascii="Times New Roman" w:cs="Times New Roman" w:eastAsia="Times New Roman" w:hAnsi="Times New Roman"/>
          <w:sz w:val="13"/>
          <w:szCs w:val="13"/>
          <w:color w:val="auto"/>
        </w:rPr>
        <w:t>We calculate the Interim Value of each Shield Option on any Business Day other than the Term Start Date and Term End Date. The Interim Value is based on a formula that reflects the value of each Shield Option taking into account the applicable Shield Rate and Rate Crediting Type, the current price of the underlying Index, the time remaining until the Term End Date, and the current value of the investments we have made to fund our obligations under the Shield Option. The Interim Value is an estimate of the current value of fixed income and derivative instruments we could purchase to assure our ability to meet our obligations to the Owner at a Term End Date. The Interim Value calculation is different than the calculation we use to calculate the Investment Amount for a Shield Option on the Term End Date. The Interim Value calculation is intended to protect the Company from losses on those fixed income and derivative instruments when amounts are withdrawn (or otherwise removed) from a Shield Option before the Term End Date. The Interim Value calculation transfers this risk from the Company to Contract Owners.</w:t>
      </w:r>
    </w:p>
    <w:p>
      <w:pPr>
        <w:spacing w:after="0" w:line="261" w:lineRule="exact"/>
        <w:rPr>
          <w:sz w:val="20"/>
          <w:szCs w:val="20"/>
          <w:color w:val="auto"/>
        </w:rPr>
      </w:pPr>
    </w:p>
    <w:p>
      <w:pPr>
        <w:ind w:left="5" w:right="2959"/>
        <w:spacing w:after="0" w:line="320" w:lineRule="auto"/>
        <w:rPr>
          <w:sz w:val="20"/>
          <w:szCs w:val="20"/>
          <w:color w:val="auto"/>
        </w:rPr>
      </w:pPr>
      <w:r>
        <w:rPr>
          <w:rFonts w:ascii="Times New Roman" w:cs="Times New Roman" w:eastAsia="Times New Roman" w:hAnsi="Times New Roman"/>
          <w:sz w:val="13"/>
          <w:szCs w:val="13"/>
          <w:color w:val="auto"/>
        </w:rPr>
        <w:t>The Interim Value assesses the fair value of the assets allocated to the Shield Option (Investment Amount) plus the current value of the portfolio of options utilized to replicate the performance of these Shield Options. There are many external factors that may impact the Interim Value including changes in the Indices, changes in the interest rate environment, and volatility.</w:t>
      </w:r>
    </w:p>
    <w:p>
      <w:pPr>
        <w:spacing w:after="0" w:line="162" w:lineRule="exact"/>
        <w:rPr>
          <w:sz w:val="20"/>
          <w:szCs w:val="20"/>
          <w:color w:val="auto"/>
        </w:rPr>
      </w:pPr>
    </w:p>
    <w:p>
      <w:pPr>
        <w:ind w:left="5"/>
        <w:spacing w:after="0"/>
        <w:rPr>
          <w:sz w:val="20"/>
          <w:szCs w:val="20"/>
          <w:color w:val="auto"/>
        </w:rPr>
      </w:pPr>
      <w:r>
        <w:rPr>
          <w:rFonts w:ascii="Arial" w:cs="Arial" w:eastAsia="Arial" w:hAnsi="Arial"/>
          <w:sz w:val="15"/>
          <w:szCs w:val="15"/>
          <w:b w:val="1"/>
          <w:bCs w:val="1"/>
          <w:color w:val="auto"/>
        </w:rPr>
        <w:t>Interim Value Calculation</w:t>
      </w:r>
    </w:p>
    <w:p>
      <w:pPr>
        <w:spacing w:after="0" w:line="11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color w:val="auto"/>
        </w:rPr>
        <w:t>The Interim Value for each Shield Option is equal to the sum of (1) and (2), where:</w:t>
      </w:r>
    </w:p>
    <w:p>
      <w:pPr>
        <w:spacing w:after="0" w:line="108" w:lineRule="exact"/>
        <w:rPr>
          <w:sz w:val="20"/>
          <w:szCs w:val="20"/>
          <w:color w:val="auto"/>
        </w:rPr>
      </w:pPr>
    </w:p>
    <w:p>
      <w:pPr>
        <w:ind w:left="265" w:right="3339" w:hanging="265"/>
        <w:spacing w:after="0" w:line="309" w:lineRule="auto"/>
        <w:tabs>
          <w:tab w:leader="none" w:pos="265"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the market value of the Fixed Income Asset Proxy (as defined below) on the Business Day the Interim Value is calculated. It is determined as (A – B) multiplied by [(1 + C) divided by (1 + D)]</w:t>
      </w:r>
      <w:r>
        <w:rPr>
          <w:rFonts w:ascii="Times New Roman" w:cs="Times New Roman" w:eastAsia="Times New Roman" w:hAnsi="Times New Roman"/>
          <w:sz w:val="17"/>
          <w:szCs w:val="17"/>
          <w:color w:val="auto"/>
          <w:vertAlign w:val="superscript"/>
        </w:rPr>
        <w:t>E</w:t>
      </w:r>
      <w:r>
        <w:rPr>
          <w:rFonts w:ascii="Times New Roman" w:cs="Times New Roman" w:eastAsia="Times New Roman" w:hAnsi="Times New Roman"/>
          <w:sz w:val="13"/>
          <w:szCs w:val="13"/>
          <w:color w:val="auto"/>
        </w:rPr>
        <w:t>, where:</w:t>
      </w:r>
    </w:p>
    <w:p>
      <w:pPr>
        <w:spacing w:after="0" w:line="22" w:lineRule="exact"/>
        <w:rPr>
          <w:rFonts w:ascii="Times New Roman" w:cs="Times New Roman" w:eastAsia="Times New Roman" w:hAnsi="Times New Roman"/>
          <w:sz w:val="13"/>
          <w:szCs w:val="13"/>
          <w:color w:val="auto"/>
        </w:rPr>
      </w:pPr>
    </w:p>
    <w:p>
      <w:pPr>
        <w:ind w:left="525" w:hanging="261"/>
        <w:spacing w:after="0"/>
        <w:tabs>
          <w:tab w:leader="none" w:pos="525" w:val="left"/>
        </w:tabs>
        <w:numPr>
          <w:ilvl w:val="1"/>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the Investment Amount on the Business Day the Interim Value is calculated;</w:t>
      </w:r>
    </w:p>
    <w:p>
      <w:pPr>
        <w:spacing w:after="0" w:line="108" w:lineRule="exact"/>
        <w:rPr>
          <w:rFonts w:ascii="Times New Roman" w:cs="Times New Roman" w:eastAsia="Times New Roman" w:hAnsi="Times New Roman"/>
          <w:sz w:val="13"/>
          <w:szCs w:val="13"/>
          <w:color w:val="auto"/>
        </w:rPr>
      </w:pPr>
    </w:p>
    <w:p>
      <w:pPr>
        <w:ind w:left="525" w:right="3019" w:hanging="261"/>
        <w:spacing w:after="0" w:line="338" w:lineRule="auto"/>
        <w:tabs>
          <w:tab w:leader="none" w:pos="525" w:val="left"/>
        </w:tabs>
        <w:numPr>
          <w:ilvl w:val="1"/>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the market value of the Derivative Asset Proxy (as defined below) under initial market conditions, with straight-line amortization to the end of the Term;</w:t>
      </w:r>
    </w:p>
    <w:p>
      <w:pPr>
        <w:spacing w:after="0" w:line="35" w:lineRule="exact"/>
        <w:rPr>
          <w:rFonts w:ascii="Times New Roman" w:cs="Times New Roman" w:eastAsia="Times New Roman" w:hAnsi="Times New Roman"/>
          <w:sz w:val="13"/>
          <w:szCs w:val="13"/>
          <w:color w:val="auto"/>
        </w:rPr>
      </w:pPr>
    </w:p>
    <w:p>
      <w:pPr>
        <w:ind w:left="525" w:hanging="261"/>
        <w:spacing w:after="0"/>
        <w:tabs>
          <w:tab w:leader="none" w:pos="525" w:val="left"/>
        </w:tabs>
        <w:numPr>
          <w:ilvl w:val="1"/>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the Market Value Rate (as defined below) on the Term Start Date;</w:t>
      </w:r>
    </w:p>
    <w:p>
      <w:pPr>
        <w:spacing w:after="0" w:line="108" w:lineRule="exact"/>
        <w:rPr>
          <w:rFonts w:ascii="Times New Roman" w:cs="Times New Roman" w:eastAsia="Times New Roman" w:hAnsi="Times New Roman"/>
          <w:sz w:val="13"/>
          <w:szCs w:val="13"/>
          <w:color w:val="auto"/>
        </w:rPr>
      </w:pPr>
    </w:p>
    <w:p>
      <w:pPr>
        <w:ind w:left="525" w:hanging="261"/>
        <w:spacing w:after="0"/>
        <w:tabs>
          <w:tab w:leader="none" w:pos="525" w:val="left"/>
        </w:tabs>
        <w:numPr>
          <w:ilvl w:val="1"/>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the Market Value Rate on the Business Day the Interim Value is calculated; and</w:t>
      </w:r>
    </w:p>
    <w:p>
      <w:pPr>
        <w:spacing w:after="0" w:line="118" w:lineRule="exact"/>
        <w:rPr>
          <w:rFonts w:ascii="Times New Roman" w:cs="Times New Roman" w:eastAsia="Times New Roman" w:hAnsi="Times New Roman"/>
          <w:sz w:val="13"/>
          <w:szCs w:val="13"/>
          <w:color w:val="auto"/>
        </w:rPr>
      </w:pPr>
    </w:p>
    <w:p>
      <w:pPr>
        <w:ind w:left="525" w:hanging="261"/>
        <w:spacing w:after="0"/>
        <w:tabs>
          <w:tab w:leader="none" w:pos="525" w:val="left"/>
        </w:tabs>
        <w:numPr>
          <w:ilvl w:val="1"/>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the total days remaining in the Term divided by 365.</w:t>
      </w:r>
    </w:p>
    <w:p>
      <w:pPr>
        <w:spacing w:after="0" w:line="118" w:lineRule="exact"/>
        <w:rPr>
          <w:rFonts w:ascii="Times New Roman" w:cs="Times New Roman" w:eastAsia="Times New Roman" w:hAnsi="Times New Roman"/>
          <w:sz w:val="13"/>
          <w:szCs w:val="13"/>
          <w:color w:val="auto"/>
        </w:rPr>
      </w:pPr>
    </w:p>
    <w:p>
      <w:pPr>
        <w:ind w:left="245" w:hanging="245"/>
        <w:spacing w:after="0"/>
        <w:tabs>
          <w:tab w:leader="none" w:pos="245"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the current market value of the Derivative Asset Proxy (as defined below).</w:t>
      </w:r>
    </w:p>
    <w:p>
      <w:pPr>
        <w:spacing w:after="0" w:line="138" w:lineRule="exact"/>
        <w:rPr>
          <w:sz w:val="20"/>
          <w:szCs w:val="20"/>
          <w:color w:val="auto"/>
        </w:rPr>
      </w:pPr>
    </w:p>
    <w:p>
      <w:pPr>
        <w:ind w:left="5" w:right="3259"/>
        <w:spacing w:after="0" w:line="338" w:lineRule="auto"/>
        <w:rPr>
          <w:sz w:val="20"/>
          <w:szCs w:val="20"/>
          <w:color w:val="auto"/>
        </w:rPr>
      </w:pPr>
      <w:r>
        <w:rPr>
          <w:rFonts w:ascii="Times New Roman" w:cs="Times New Roman" w:eastAsia="Times New Roman" w:hAnsi="Times New Roman"/>
          <w:sz w:val="13"/>
          <w:szCs w:val="13"/>
          <w:color w:val="auto"/>
        </w:rPr>
        <w:t>The Fixed Income Asset Proxy is meant to represent the market value of the fixed income assets supporting each Shield Option.</w:t>
      </w:r>
    </w:p>
    <w:p>
      <w:pPr>
        <w:spacing w:after="0" w:line="55" w:lineRule="exact"/>
        <w:rPr>
          <w:sz w:val="20"/>
          <w:szCs w:val="20"/>
          <w:color w:val="auto"/>
        </w:rPr>
      </w:pPr>
    </w:p>
    <w:p>
      <w:pPr>
        <w:ind w:left="5" w:right="3119"/>
        <w:spacing w:after="0" w:line="307" w:lineRule="auto"/>
        <w:rPr>
          <w:sz w:val="20"/>
          <w:szCs w:val="20"/>
          <w:color w:val="auto"/>
        </w:rPr>
      </w:pPr>
      <w:r>
        <w:rPr>
          <w:rFonts w:ascii="Times New Roman" w:cs="Times New Roman" w:eastAsia="Times New Roman" w:hAnsi="Times New Roman"/>
          <w:sz w:val="13"/>
          <w:szCs w:val="13"/>
          <w:color w:val="auto"/>
        </w:rPr>
        <w:t>The Market Value Rate change (C and D in the formula) is intended to apply a Market Value Adjustment to address any changes in interest rates from the Term Start Date to the day the Interim Value is calculated. In short, if interest rates have increased since the Term Start Date, the change in the Market Value Rate will result in a reduction of the fair value of the Investment Amount. Conversely, if interest rates have decreased since the Term Start Date, the change in the Market Value Rate will result in an increase of the fair value of the Investment Amount.</w:t>
      </w:r>
    </w:p>
    <w:p>
      <w:pPr>
        <w:spacing w:after="0" w:line="76" w:lineRule="exact"/>
        <w:rPr>
          <w:sz w:val="20"/>
          <w:szCs w:val="20"/>
          <w:color w:val="auto"/>
        </w:rPr>
      </w:pPr>
    </w:p>
    <w:p>
      <w:pPr>
        <w:ind w:left="5" w:right="3119"/>
        <w:spacing w:after="0" w:line="338" w:lineRule="auto"/>
        <w:rPr>
          <w:sz w:val="20"/>
          <w:szCs w:val="20"/>
          <w:color w:val="auto"/>
        </w:rPr>
      </w:pPr>
      <w:r>
        <w:rPr>
          <w:rFonts w:ascii="Times New Roman" w:cs="Times New Roman" w:eastAsia="Times New Roman" w:hAnsi="Times New Roman"/>
          <w:sz w:val="13"/>
          <w:szCs w:val="13"/>
          <w:color w:val="auto"/>
        </w:rPr>
        <w:t>The Market Value Rate will apply on a uniform basis for a class of Contract Owners in the same Shield Option and will be administered in a uniform and non-discriminatory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305"/>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604"/>
          </w:cols>
          <w:pgMar w:left="855" w:top="1178" w:right="1440" w:bottom="1440" w:gutter="0" w:footer="0" w:header="0"/>
        </w:sectPr>
      </w:pPr>
    </w:p>
    <w:bookmarkStart w:id="99" w:name="page100"/>
    <w:bookmarkEnd w:id="99"/>
    <w:p>
      <w:pPr>
        <w:ind w:right="2879"/>
        <w:spacing w:after="0" w:line="30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93915" cy="38100"/>
                    </a:xfrm>
                    <a:prstGeom prst="rect">
                      <a:avLst/>
                    </a:prstGeom>
                    <a:noFill/>
                  </pic:spPr>
                </pic:pic>
              </a:graphicData>
            </a:graphic>
          </wp:anchor>
        </w:drawing>
        <w:t>The Market Value Rate is the Constant Maturity Treasury (CMT) rate with a maturity equal to that of the Term. If a maturity of the CMT rate is not available that equals the Term, then the Market Value Rate will be linearly interpolated between the two closest available CMT maturities. The Market Value Rate will apply on a uniform basis for a class of Contract Owners in the same Shield Option and will be administered in a uniform and non-discriminatory manner.</w:t>
      </w:r>
    </w:p>
    <w:p>
      <w:pPr>
        <w:spacing w:after="0" w:line="73" w:lineRule="exact"/>
        <w:rPr>
          <w:sz w:val="20"/>
          <w:szCs w:val="20"/>
          <w:color w:val="auto"/>
        </w:rPr>
      </w:pPr>
    </w:p>
    <w:p>
      <w:pPr>
        <w:ind w:right="3019"/>
        <w:spacing w:after="0" w:line="338" w:lineRule="auto"/>
        <w:rPr>
          <w:sz w:val="20"/>
          <w:szCs w:val="20"/>
          <w:color w:val="auto"/>
        </w:rPr>
      </w:pPr>
      <w:r>
        <w:rPr>
          <w:rFonts w:ascii="Times New Roman" w:cs="Times New Roman" w:eastAsia="Times New Roman" w:hAnsi="Times New Roman"/>
          <w:sz w:val="13"/>
          <w:szCs w:val="13"/>
          <w:color w:val="auto"/>
        </w:rPr>
        <w:t>If the (CMT) rate is no longer published, or is discontinued, then we may substitute another suitable method for determining the Market Value Rate.</w:t>
      </w:r>
    </w:p>
    <w:p>
      <w:pPr>
        <w:spacing w:after="0" w:line="55" w:lineRule="exact"/>
        <w:rPr>
          <w:sz w:val="20"/>
          <w:szCs w:val="20"/>
          <w:color w:val="auto"/>
        </w:rPr>
      </w:pPr>
    </w:p>
    <w:p>
      <w:pPr>
        <w:ind w:right="2959"/>
        <w:spacing w:after="0" w:line="307" w:lineRule="auto"/>
        <w:rPr>
          <w:sz w:val="20"/>
          <w:szCs w:val="20"/>
          <w:color w:val="auto"/>
        </w:rPr>
      </w:pPr>
      <w:r>
        <w:rPr>
          <w:rFonts w:ascii="Times New Roman" w:cs="Times New Roman" w:eastAsia="Times New Roman" w:hAnsi="Times New Roman"/>
          <w:sz w:val="13"/>
          <w:szCs w:val="13"/>
          <w:color w:val="auto"/>
        </w:rPr>
        <w:t>The Derivative Asset Proxy is meant to represent an estimation of the market value of the possibility of gain or loss on the Term End Date. For the current market value of the Derivative Asset Proxy for each Shield Option, we utilize a fair market value methodology, the Black-Scholes Model, to value the replicating portfolio of options that support the Interim Value. The Derivative Asset Proxy is meant to represent the replicating portfolio of options designated by us and is used to estimate the market value of the possibility of gain or loss on the Term End Date. The value may be positive or negative.</w:t>
      </w:r>
    </w:p>
    <w:p>
      <w:pPr>
        <w:spacing w:after="0" w:line="76" w:lineRule="exact"/>
        <w:rPr>
          <w:sz w:val="20"/>
          <w:szCs w:val="20"/>
          <w:color w:val="auto"/>
        </w:rPr>
      </w:pPr>
    </w:p>
    <w:p>
      <w:pPr>
        <w:ind w:right="2959"/>
        <w:spacing w:after="0" w:line="307" w:lineRule="auto"/>
        <w:rPr>
          <w:sz w:val="20"/>
          <w:szCs w:val="20"/>
          <w:color w:val="auto"/>
        </w:rPr>
      </w:pPr>
      <w:r>
        <w:rPr>
          <w:rFonts w:ascii="Times New Roman" w:cs="Times New Roman" w:eastAsia="Times New Roman" w:hAnsi="Times New Roman"/>
          <w:sz w:val="13"/>
          <w:szCs w:val="13"/>
          <w:color w:val="auto"/>
        </w:rPr>
        <w:t>For each Shield Option, we solely designate and value options using the Black-Scholes Model, each of which is tied to the performance of the underlying Index associated with the Shield Option. We use derivatives to provide an estimate of the gain or loss on the Investment Amount allocated to the Shield Option that could occur on the Term End Date. This estimate also reflects the impact of the Cap Rate, Step Rate, Edge Rate, and Shield Rate at the end of the Term as well as the estimated cost of exiting the replicating options prior to the Term End Date.</w:t>
      </w:r>
    </w:p>
    <w:p>
      <w:pPr>
        <w:spacing w:after="0" w:line="76" w:lineRule="exact"/>
        <w:rPr>
          <w:sz w:val="20"/>
          <w:szCs w:val="20"/>
          <w:color w:val="auto"/>
        </w:rPr>
      </w:pPr>
    </w:p>
    <w:p>
      <w:pPr>
        <w:ind w:right="2859"/>
        <w:spacing w:after="0" w:line="307" w:lineRule="auto"/>
        <w:rPr>
          <w:sz w:val="20"/>
          <w:szCs w:val="20"/>
          <w:color w:val="auto"/>
        </w:rPr>
      </w:pPr>
      <w:r>
        <w:rPr>
          <w:rFonts w:ascii="Times New Roman" w:cs="Times New Roman" w:eastAsia="Times New Roman" w:hAnsi="Times New Roman"/>
          <w:sz w:val="13"/>
          <w:szCs w:val="13"/>
          <w:color w:val="auto"/>
        </w:rPr>
        <w:t>The valuation of the options is based on the Black-Scholes Model, which is one of the standard methods for valuing derivatives based on inputs from third party vendors. The methodology used to value these options as described above is determined solely by us and may vary, higher or lower, from other estimated valuations or the actual selling price of identical derivatives. Any variance between our estimated fair value price and other estimated or actual prices may be different from Shield Option type to Shield Option type and may also change from day to day.</w:t>
      </w:r>
    </w:p>
    <w:p>
      <w:pPr>
        <w:spacing w:after="0" w:line="76" w:lineRule="exact"/>
        <w:rPr>
          <w:sz w:val="20"/>
          <w:szCs w:val="20"/>
          <w:color w:val="auto"/>
        </w:rPr>
      </w:pPr>
    </w:p>
    <w:p>
      <w:pPr>
        <w:ind w:right="2979"/>
        <w:spacing w:after="0" w:line="312" w:lineRule="auto"/>
        <w:rPr>
          <w:sz w:val="20"/>
          <w:szCs w:val="20"/>
          <w:color w:val="auto"/>
        </w:rPr>
      </w:pPr>
      <w:r>
        <w:rPr>
          <w:rFonts w:ascii="Times New Roman" w:cs="Times New Roman" w:eastAsia="Times New Roman" w:hAnsi="Times New Roman"/>
          <w:sz w:val="13"/>
          <w:szCs w:val="13"/>
          <w:color w:val="auto"/>
        </w:rPr>
        <w:t>When we calculate the Interim Value, we will obtain market data for derivative pricing each Business Day from outside vendors. If these values are available and we are delayed in receiving these values, and cannot calculate a new Interim Value, we will use the prior Business Day’s Interim Value.</w:t>
      </w:r>
    </w:p>
    <w:p>
      <w:pPr>
        <w:spacing w:after="0" w:line="82" w:lineRule="exact"/>
        <w:rPr>
          <w:sz w:val="20"/>
          <w:szCs w:val="20"/>
          <w:color w:val="auto"/>
        </w:rPr>
      </w:pPr>
    </w:p>
    <w:p>
      <w:pPr>
        <w:ind w:right="2919"/>
        <w:spacing w:after="0" w:line="322" w:lineRule="auto"/>
        <w:rPr>
          <w:sz w:val="20"/>
          <w:szCs w:val="20"/>
          <w:color w:val="auto"/>
        </w:rPr>
      </w:pPr>
      <w:r>
        <w:rPr>
          <w:rFonts w:ascii="Times New Roman" w:cs="Times New Roman" w:eastAsia="Times New Roman" w:hAnsi="Times New Roman"/>
          <w:sz w:val="13"/>
          <w:szCs w:val="13"/>
          <w:color w:val="auto"/>
        </w:rPr>
        <w:t>The fair value of the replicating portfolio of options for each Shield Option is determined according to the following formulas, where,</w:t>
      </w:r>
    </w:p>
    <w:p>
      <w:pPr>
        <w:spacing w:after="0" w:line="35" w:lineRule="exact"/>
        <w:rPr>
          <w:sz w:val="20"/>
          <w:szCs w:val="20"/>
          <w:color w:val="auto"/>
        </w:rPr>
      </w:pPr>
    </w:p>
    <w:p>
      <w:pPr>
        <w:ind w:left="440" w:hanging="207"/>
        <w:spacing w:after="0"/>
        <w:tabs>
          <w:tab w:leader="none" w:pos="44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ATMC is an at-the-money call option,</w:t>
      </w:r>
    </w:p>
    <w:p>
      <w:pPr>
        <w:spacing w:after="0" w:line="88" w:lineRule="exact"/>
        <w:rPr>
          <w:rFonts w:ascii="Times New Roman" w:cs="Times New Roman" w:eastAsia="Times New Roman" w:hAnsi="Times New Roman"/>
          <w:sz w:val="13"/>
          <w:szCs w:val="13"/>
          <w:color w:val="auto"/>
        </w:rPr>
      </w:pPr>
    </w:p>
    <w:p>
      <w:pPr>
        <w:ind w:left="440" w:hanging="207"/>
        <w:spacing w:after="0"/>
        <w:tabs>
          <w:tab w:leader="none" w:pos="44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OTMC is an out-of-the-money call option,</w:t>
      </w:r>
    </w:p>
    <w:p>
      <w:pPr>
        <w:spacing w:after="0" w:line="88" w:lineRule="exact"/>
        <w:rPr>
          <w:rFonts w:ascii="Times New Roman" w:cs="Times New Roman" w:eastAsia="Times New Roman" w:hAnsi="Times New Roman"/>
          <w:sz w:val="13"/>
          <w:szCs w:val="13"/>
          <w:color w:val="auto"/>
        </w:rPr>
      </w:pPr>
    </w:p>
    <w:p>
      <w:pPr>
        <w:ind w:left="440" w:hanging="207"/>
        <w:spacing w:after="0"/>
        <w:tabs>
          <w:tab w:leader="none" w:pos="44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OTMP is an out-of-the-money put option,</w:t>
      </w:r>
    </w:p>
    <w:p>
      <w:pPr>
        <w:spacing w:after="0" w:line="88" w:lineRule="exact"/>
        <w:rPr>
          <w:rFonts w:ascii="Times New Roman" w:cs="Times New Roman" w:eastAsia="Times New Roman" w:hAnsi="Times New Roman"/>
          <w:sz w:val="13"/>
          <w:szCs w:val="13"/>
          <w:color w:val="auto"/>
        </w:rPr>
      </w:pPr>
    </w:p>
    <w:p>
      <w:pPr>
        <w:ind w:left="440" w:hanging="207"/>
        <w:spacing w:after="0"/>
        <w:tabs>
          <w:tab w:leader="none" w:pos="44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ATMBC is an at-the-money binary call option, and</w:t>
      </w:r>
    </w:p>
    <w:p>
      <w:pPr>
        <w:spacing w:after="0" w:line="88" w:lineRule="exact"/>
        <w:rPr>
          <w:rFonts w:ascii="Times New Roman" w:cs="Times New Roman" w:eastAsia="Times New Roman" w:hAnsi="Times New Roman"/>
          <w:sz w:val="13"/>
          <w:szCs w:val="13"/>
          <w:color w:val="auto"/>
        </w:rPr>
      </w:pPr>
    </w:p>
    <w:p>
      <w:pPr>
        <w:ind w:left="440" w:hanging="207"/>
        <w:spacing w:after="0"/>
        <w:tabs>
          <w:tab w:leader="none" w:pos="44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ITMBC is an in-the-money binary call option.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 Shield Options with a Cap Rate:</w:t>
      </w:r>
    </w:p>
    <w:p>
      <w:pPr>
        <w:spacing w:after="0" w:line="1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replicating portfolio of options is = ATMC – OTMC – OTMP</w:t>
      </w:r>
    </w:p>
    <w:p>
      <w:pPr>
        <w:spacing w:after="0" w:line="148" w:lineRule="exact"/>
        <w:rPr>
          <w:sz w:val="20"/>
          <w:szCs w:val="20"/>
          <w:color w:val="auto"/>
        </w:rPr>
      </w:pPr>
    </w:p>
    <w:p>
      <w:pPr>
        <w:ind w:right="3019"/>
        <w:spacing w:after="0" w:line="303" w:lineRule="auto"/>
        <w:rPr>
          <w:sz w:val="20"/>
          <w:szCs w:val="20"/>
          <w:color w:val="auto"/>
        </w:rPr>
      </w:pPr>
      <w:r>
        <w:rPr>
          <w:rFonts w:ascii="Times New Roman" w:cs="Times New Roman" w:eastAsia="Times New Roman" w:hAnsi="Times New Roman"/>
          <w:sz w:val="13"/>
          <w:szCs w:val="13"/>
          <w:color w:val="auto"/>
        </w:rPr>
        <w:t>With respect to our hypothetical portfolio formula, we designed the at-the-money call and out-of-the-money call to value the potential for a positive Performance Rate subject to any applicable Cap Rate. The out-of-the-money put is designed to value the potential for negative Index Performance in excess of the applicable Shield Rate for the Shield Option. It is important to note that the out-of-the-money put will almost always reduce the Interim Value, even when the current Index Value on a Business Day is higher than the Index Value on the Term Start Date. This is due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599"/>
          </w:cols>
          <w:pgMar w:left="860" w:top="1178" w:right="1440" w:bottom="1440" w:gutter="0" w:footer="0" w:header="0"/>
        </w:sectPr>
      </w:pPr>
    </w:p>
    <w:bookmarkStart w:id="100" w:name="page101"/>
    <w:bookmarkEnd w:id="100"/>
    <w:p>
      <w:pPr>
        <w:jc w:val="both"/>
        <w:ind w:left="20" w:right="3079"/>
        <w:spacing w:after="0" w:line="31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93915" cy="38100"/>
                    </a:xfrm>
                    <a:prstGeom prst="rect">
                      <a:avLst/>
                    </a:prstGeom>
                    <a:noFill/>
                  </pic:spPr>
                </pic:pic>
              </a:graphicData>
            </a:graphic>
          </wp:anchor>
        </w:drawing>
        <w:t>risk that the Index Value could be lower on the Term End Date whether or not the current Index Value on a Business Day is lower than the Index Value on the Term Start Date. For purposes of the Interim Value formula, the value of the out-of-the-money call will be zero if a Cap Rate Shield Option is uncapped.</w:t>
      </w:r>
    </w:p>
    <w:p>
      <w:pPr>
        <w:spacing w:after="0" w:line="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For Shield Options with a Step Rate:</w:t>
      </w:r>
    </w:p>
    <w:p>
      <w:pPr>
        <w:spacing w:after="0" w:line="1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The replicating portfolio of options is = [Step Rate x ATMBC] – OTMP</w:t>
      </w:r>
    </w:p>
    <w:p>
      <w:pPr>
        <w:spacing w:after="0" w:line="148" w:lineRule="exact"/>
        <w:rPr>
          <w:sz w:val="20"/>
          <w:szCs w:val="20"/>
          <w:color w:val="auto"/>
        </w:rPr>
      </w:pPr>
    </w:p>
    <w:p>
      <w:pPr>
        <w:jc w:val="both"/>
        <w:ind w:left="20" w:right="2979"/>
        <w:spacing w:after="0" w:line="303" w:lineRule="auto"/>
        <w:rPr>
          <w:sz w:val="20"/>
          <w:szCs w:val="20"/>
          <w:color w:val="auto"/>
        </w:rPr>
      </w:pPr>
      <w:r>
        <w:rPr>
          <w:rFonts w:ascii="Times New Roman" w:cs="Times New Roman" w:eastAsia="Times New Roman" w:hAnsi="Times New Roman"/>
          <w:sz w:val="13"/>
          <w:szCs w:val="13"/>
          <w:color w:val="auto"/>
        </w:rPr>
        <w:t>With respect to our hypothetical portfolio formula, we designed the at-the-money binary call to value the potential for gains equal to the Step Rate, if on the Term End Date, the Index Value is greater than or equal to the Index Value on the Term Start Date. The out-of-the-money put is designed to value the potential for a negative Performance Rate in excess of the applicable Shield Rate for the Shield Option. It is important to note that the out-of-the-money put will almost always reduce the Interim Value, even when the current Index Value on a Business Day is higher than the Index Value on the Term Start Date.</w:t>
      </w:r>
    </w:p>
    <w:p>
      <w:pPr>
        <w:spacing w:after="0" w:line="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For Shield Options with Step Rate Edge:</w:t>
      </w:r>
    </w:p>
    <w:p>
      <w:pPr>
        <w:spacing w:after="0" w:line="1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The replicating portfolio of options is = [Edge Rate x ITMBC] – OTMP</w:t>
      </w:r>
    </w:p>
    <w:p>
      <w:pPr>
        <w:spacing w:after="0" w:line="138" w:lineRule="exact"/>
        <w:rPr>
          <w:sz w:val="20"/>
          <w:szCs w:val="20"/>
          <w:color w:val="auto"/>
        </w:rPr>
      </w:pPr>
    </w:p>
    <w:p>
      <w:pPr>
        <w:jc w:val="both"/>
        <w:ind w:left="20" w:right="3019"/>
        <w:spacing w:after="0" w:line="307" w:lineRule="auto"/>
        <w:rPr>
          <w:sz w:val="20"/>
          <w:szCs w:val="20"/>
          <w:color w:val="auto"/>
        </w:rPr>
      </w:pPr>
      <w:r>
        <w:rPr>
          <w:rFonts w:ascii="Times New Roman" w:cs="Times New Roman" w:eastAsia="Times New Roman" w:hAnsi="Times New Roman"/>
          <w:sz w:val="13"/>
          <w:szCs w:val="13"/>
          <w:color w:val="auto"/>
        </w:rPr>
        <w:t>With respect to our hypothetical portfolio formula, we designed the in-the-money binary call to value the potential for gains equal to the Edge Rate if on the Term End Date, the Index Value is greater than or equal to the Shield Rate on the Term Start Date, and the out-of-the-money put to value the potential for negative Index Performance in excess of the applicable Shield Rate for the Shield Option. It is important to note that the out-of-the-money put will almost always reduce the Interim Value, even when the current Index Value on a Business Day is higher than the Index Value on the Term Start Date.</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Example — Calculating your Interim Value</w:t>
      </w:r>
    </w:p>
    <w:p>
      <w:pPr>
        <w:spacing w:after="0" w:line="148" w:lineRule="exact"/>
        <w:rPr>
          <w:sz w:val="20"/>
          <w:szCs w:val="20"/>
          <w:color w:val="auto"/>
        </w:rPr>
      </w:pPr>
    </w:p>
    <w:p>
      <w:pPr>
        <w:ind w:left="20" w:right="2939"/>
        <w:spacing w:after="0" w:line="303" w:lineRule="auto"/>
        <w:rPr>
          <w:sz w:val="20"/>
          <w:szCs w:val="20"/>
          <w:color w:val="auto"/>
        </w:rPr>
      </w:pPr>
      <w:r>
        <w:rPr>
          <w:rFonts w:ascii="Times New Roman" w:cs="Times New Roman" w:eastAsia="Times New Roman" w:hAnsi="Times New Roman"/>
          <w:sz w:val="13"/>
          <w:szCs w:val="13"/>
          <w:color w:val="auto"/>
        </w:rPr>
        <w:t>Examples A and B are intended to show how Interim Value is calculated. Example A will illustrate an Interim Value calculation with positive Index Performance and Example B will illustrate an Interim Value calculation with negative Index Performance. For the purposes of these examples, assume the activity that triggers the Interim Value calculation occurs six (6) months into the first year of the contract and that there are no withdrawals made as of the date the Interim Value is calculated. Additionally, months are assumed to have 30 days and years are assumed to have 365 days.</w:t>
      </w:r>
    </w:p>
    <w:p>
      <w:pPr>
        <w:spacing w:after="0" w:line="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Contract Effective Date: 8/2/2024</w:t>
      </w:r>
    </w:p>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Purchase Payment: $200,000.00</w:t>
      </w:r>
    </w:p>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u w:val="single" w:color="auto"/>
          <w:color w:val="auto"/>
        </w:rPr>
        <w:t>Allocated to:</w:t>
      </w:r>
    </w:p>
    <w:p>
      <w:pPr>
        <w:spacing w:after="0" w:line="118" w:lineRule="exact"/>
        <w:rPr>
          <w:sz w:val="20"/>
          <w:szCs w:val="20"/>
          <w:color w:val="auto"/>
        </w:rPr>
      </w:pPr>
    </w:p>
    <w:p>
      <w:pPr>
        <w:ind w:left="540" w:hanging="261"/>
        <w:spacing w:after="0"/>
        <w:tabs>
          <w:tab w:leader="none" w:pos="54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25% 1-Year Step Rate Edge; S&amp;P 500; Edge Rate 8.25%; 10% Shield Rate</w:t>
      </w:r>
    </w:p>
    <w:p>
      <w:pPr>
        <w:spacing w:after="0" w:line="118" w:lineRule="exact"/>
        <w:rPr>
          <w:rFonts w:ascii="Times New Roman" w:cs="Times New Roman" w:eastAsia="Times New Roman" w:hAnsi="Times New Roman"/>
          <w:sz w:val="13"/>
          <w:szCs w:val="13"/>
          <w:color w:val="auto"/>
        </w:rPr>
      </w:pPr>
    </w:p>
    <w:p>
      <w:pPr>
        <w:ind w:left="540" w:hanging="261"/>
        <w:spacing w:after="0"/>
        <w:tabs>
          <w:tab w:leader="none" w:pos="54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25% 2-Year Step Rate; S&amp;P 500; Step Rate 18%; 15% Shield Rate</w:t>
      </w:r>
    </w:p>
    <w:p>
      <w:pPr>
        <w:spacing w:after="0" w:line="108" w:lineRule="exact"/>
        <w:rPr>
          <w:rFonts w:ascii="Times New Roman" w:cs="Times New Roman" w:eastAsia="Times New Roman" w:hAnsi="Times New Roman"/>
          <w:sz w:val="13"/>
          <w:szCs w:val="13"/>
          <w:color w:val="auto"/>
        </w:rPr>
      </w:pPr>
    </w:p>
    <w:p>
      <w:pPr>
        <w:ind w:left="540" w:hanging="261"/>
        <w:spacing w:after="0"/>
        <w:tabs>
          <w:tab w:leader="none" w:pos="54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25% 3-Year Cap Rate; S&amp;P 500; Cap Rate 130%; 10% Shield Rate</w:t>
      </w:r>
    </w:p>
    <w:p>
      <w:pPr>
        <w:spacing w:after="0" w:line="118" w:lineRule="exact"/>
        <w:rPr>
          <w:rFonts w:ascii="Times New Roman" w:cs="Times New Roman" w:eastAsia="Times New Roman" w:hAnsi="Times New Roman"/>
          <w:sz w:val="13"/>
          <w:szCs w:val="13"/>
          <w:color w:val="auto"/>
        </w:rPr>
      </w:pPr>
    </w:p>
    <w:p>
      <w:pPr>
        <w:ind w:left="540" w:hanging="261"/>
        <w:spacing w:after="0"/>
        <w:tabs>
          <w:tab w:leader="none" w:pos="54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25% 6-Year Cap Rate; S&amp;P 500; Cap Rate 200%; 25% Shield Rate</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 </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b w:val="1"/>
          <w:bCs w:val="1"/>
          <w:u w:val="single" w:color="auto"/>
          <w:color w:val="auto"/>
        </w:rPr>
        <w:t>On the Contract Effective Date</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 </w:t>
      </w:r>
    </w:p>
    <w:p>
      <w:pPr>
        <w:spacing w:after="0" w:line="86"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300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120" w:type="dxa"/>
            <w:vAlign w:val="bottom"/>
            <w:tcBorders>
              <w:top w:val="single" w:sz="8" w:color="auto"/>
              <w:bottom w:val="single" w:sz="8" w:color="auto"/>
              <w:right w:val="single" w:sz="8" w:color="auto"/>
            </w:tcBorders>
          </w:tcPr>
          <w:p>
            <w:pPr>
              <w:jc w:val="right"/>
              <w:ind w:right="474"/>
              <w:spacing w:after="0"/>
              <w:rPr>
                <w:sz w:val="20"/>
                <w:szCs w:val="20"/>
                <w:color w:val="auto"/>
              </w:rPr>
            </w:pPr>
            <w:r>
              <w:rPr>
                <w:rFonts w:ascii="Arial" w:cs="Arial" w:eastAsia="Arial" w:hAnsi="Arial"/>
                <w:sz w:val="13"/>
                <w:szCs w:val="13"/>
                <w:b w:val="1"/>
                <w:bCs w:val="1"/>
                <w:color w:val="auto"/>
              </w:rPr>
              <w:t>1</w:t>
            </w:r>
          </w:p>
        </w:tc>
        <w:tc>
          <w:tcPr>
            <w:tcW w:w="880" w:type="dxa"/>
            <w:vAlign w:val="bottom"/>
            <w:tcBorders>
              <w:top w:val="single" w:sz="8" w:color="auto"/>
              <w:bottom w:val="single" w:sz="8" w:color="auto"/>
              <w:right w:val="single" w:sz="8" w:color="auto"/>
            </w:tcBorders>
          </w:tcPr>
          <w:p>
            <w:pPr>
              <w:jc w:val="right"/>
              <w:ind w:right="354"/>
              <w:spacing w:after="0"/>
              <w:rPr>
                <w:sz w:val="20"/>
                <w:szCs w:val="20"/>
                <w:color w:val="auto"/>
              </w:rPr>
            </w:pPr>
            <w:r>
              <w:rPr>
                <w:rFonts w:ascii="Arial" w:cs="Arial" w:eastAsia="Arial" w:hAnsi="Arial"/>
                <w:sz w:val="13"/>
                <w:szCs w:val="13"/>
                <w:b w:val="1"/>
                <w:bCs w:val="1"/>
                <w:color w:val="auto"/>
              </w:rPr>
              <w:t>2</w:t>
            </w:r>
          </w:p>
        </w:tc>
        <w:tc>
          <w:tcPr>
            <w:tcW w:w="880" w:type="dxa"/>
            <w:vAlign w:val="bottom"/>
            <w:tcBorders>
              <w:top w:val="single" w:sz="8" w:color="auto"/>
              <w:bottom w:val="single" w:sz="8" w:color="auto"/>
              <w:right w:val="single" w:sz="8" w:color="auto"/>
            </w:tcBorders>
          </w:tcPr>
          <w:p>
            <w:pPr>
              <w:jc w:val="right"/>
              <w:ind w:right="354"/>
              <w:spacing w:after="0"/>
              <w:rPr>
                <w:sz w:val="20"/>
                <w:szCs w:val="20"/>
                <w:color w:val="auto"/>
              </w:rPr>
            </w:pPr>
            <w:r>
              <w:rPr>
                <w:rFonts w:ascii="Arial" w:cs="Arial" w:eastAsia="Arial" w:hAnsi="Arial"/>
                <w:sz w:val="13"/>
                <w:szCs w:val="13"/>
                <w:b w:val="1"/>
                <w:bCs w:val="1"/>
                <w:color w:val="auto"/>
              </w:rPr>
              <w:t>3</w:t>
            </w:r>
          </w:p>
        </w:tc>
        <w:tc>
          <w:tcPr>
            <w:tcW w:w="880" w:type="dxa"/>
            <w:vAlign w:val="bottom"/>
            <w:tcBorders>
              <w:top w:val="single" w:sz="8" w:color="auto"/>
              <w:bottom w:val="single" w:sz="8" w:color="auto"/>
              <w:right w:val="single" w:sz="8" w:color="auto"/>
            </w:tcBorders>
          </w:tcPr>
          <w:p>
            <w:pPr>
              <w:jc w:val="right"/>
              <w:ind w:right="354"/>
              <w:spacing w:after="0"/>
              <w:rPr>
                <w:sz w:val="20"/>
                <w:szCs w:val="20"/>
                <w:color w:val="auto"/>
              </w:rPr>
            </w:pPr>
            <w:r>
              <w:rPr>
                <w:rFonts w:ascii="Arial" w:cs="Arial" w:eastAsia="Arial" w:hAnsi="Arial"/>
                <w:sz w:val="13"/>
                <w:szCs w:val="13"/>
                <w:b w:val="1"/>
                <w:bCs w:val="1"/>
                <w:color w:val="auto"/>
              </w:rPr>
              <w:t>4</w:t>
            </w:r>
          </w:p>
        </w:tc>
      </w:tr>
      <w:tr>
        <w:trPr>
          <w:trHeight w:val="191"/>
        </w:trPr>
        <w:tc>
          <w:tcPr>
            <w:tcW w:w="3000" w:type="dxa"/>
            <w:vAlign w:val="bottom"/>
            <w:tcBorders>
              <w:left w:val="single" w:sz="8" w:color="auto"/>
              <w:right w:val="single" w:sz="8" w:color="auto"/>
            </w:tcBorders>
            <w:shd w:val="clear" w:color="auto" w:fill="F0FFFF"/>
          </w:tcPr>
          <w:p>
            <w:pPr>
              <w:spacing w:after="0"/>
              <w:rPr>
                <w:sz w:val="16"/>
                <w:szCs w:val="16"/>
                <w:color w:val="auto"/>
              </w:rPr>
            </w:pPr>
          </w:p>
        </w:tc>
        <w:tc>
          <w:tcPr>
            <w:tcW w:w="1120" w:type="dxa"/>
            <w:vAlign w:val="bottom"/>
            <w:tcBorders>
              <w:right w:val="single" w:sz="8" w:color="auto"/>
            </w:tcBorders>
            <w:shd w:val="clear" w:color="auto" w:fill="F0FFFF"/>
          </w:tcPr>
          <w:p>
            <w:pPr>
              <w:ind w:left="60"/>
              <w:spacing w:after="0"/>
              <w:rPr>
                <w:sz w:val="20"/>
                <w:szCs w:val="20"/>
                <w:color w:val="auto"/>
              </w:rPr>
            </w:pPr>
            <w:r>
              <w:rPr>
                <w:rFonts w:ascii="Arial" w:cs="Arial" w:eastAsia="Arial" w:hAnsi="Arial"/>
                <w:sz w:val="13"/>
                <w:szCs w:val="13"/>
                <w:b w:val="1"/>
                <w:bCs w:val="1"/>
                <w:color w:val="auto"/>
              </w:rPr>
              <w:t>Step Rate Edge</w:t>
            </w:r>
          </w:p>
        </w:tc>
        <w:tc>
          <w:tcPr>
            <w:tcW w:w="880" w:type="dxa"/>
            <w:vAlign w:val="bottom"/>
            <w:tcBorders>
              <w:right w:val="single" w:sz="8" w:color="auto"/>
            </w:tcBorders>
            <w:shd w:val="clear" w:color="auto" w:fill="F0FFFF"/>
          </w:tcPr>
          <w:p>
            <w:pPr>
              <w:ind w:left="280"/>
              <w:spacing w:after="0"/>
              <w:rPr>
                <w:sz w:val="20"/>
                <w:szCs w:val="20"/>
                <w:color w:val="auto"/>
              </w:rPr>
            </w:pPr>
            <w:r>
              <w:rPr>
                <w:rFonts w:ascii="Arial" w:cs="Arial" w:eastAsia="Arial" w:hAnsi="Arial"/>
                <w:sz w:val="13"/>
                <w:szCs w:val="13"/>
                <w:b w:val="1"/>
                <w:bCs w:val="1"/>
                <w:color w:val="auto"/>
              </w:rPr>
              <w:t>Step</w:t>
            </w:r>
          </w:p>
        </w:tc>
        <w:tc>
          <w:tcPr>
            <w:tcW w:w="880" w:type="dxa"/>
            <w:vAlign w:val="bottom"/>
            <w:tcBorders>
              <w:right w:val="single" w:sz="8" w:color="auto"/>
            </w:tcBorders>
            <w:shd w:val="clear" w:color="auto" w:fill="F0FFFF"/>
          </w:tcPr>
          <w:p>
            <w:pPr>
              <w:ind w:left="300"/>
              <w:spacing w:after="0"/>
              <w:rPr>
                <w:sz w:val="20"/>
                <w:szCs w:val="20"/>
                <w:color w:val="auto"/>
              </w:rPr>
            </w:pPr>
            <w:r>
              <w:rPr>
                <w:rFonts w:ascii="Arial" w:cs="Arial" w:eastAsia="Arial" w:hAnsi="Arial"/>
                <w:sz w:val="13"/>
                <w:szCs w:val="13"/>
                <w:b w:val="1"/>
                <w:bCs w:val="1"/>
                <w:color w:val="auto"/>
              </w:rPr>
              <w:t>Cap</w:t>
            </w:r>
          </w:p>
        </w:tc>
        <w:tc>
          <w:tcPr>
            <w:tcW w:w="880" w:type="dxa"/>
            <w:vAlign w:val="bottom"/>
            <w:tcBorders>
              <w:right w:val="single" w:sz="8" w:color="auto"/>
            </w:tcBorders>
            <w:shd w:val="clear" w:color="auto" w:fill="F0FFFF"/>
          </w:tcPr>
          <w:p>
            <w:pPr>
              <w:ind w:left="300"/>
              <w:spacing w:after="0"/>
              <w:rPr>
                <w:sz w:val="20"/>
                <w:szCs w:val="20"/>
                <w:color w:val="auto"/>
              </w:rPr>
            </w:pPr>
            <w:r>
              <w:rPr>
                <w:rFonts w:ascii="Arial" w:cs="Arial" w:eastAsia="Arial" w:hAnsi="Arial"/>
                <w:sz w:val="13"/>
                <w:szCs w:val="13"/>
                <w:b w:val="1"/>
                <w:bCs w:val="1"/>
                <w:color w:val="auto"/>
              </w:rPr>
              <w:t>Cap</w:t>
            </w:r>
          </w:p>
        </w:tc>
      </w:tr>
      <w:tr>
        <w:trPr>
          <w:trHeight w:val="185"/>
        </w:trPr>
        <w:tc>
          <w:tcPr>
            <w:tcW w:w="3000" w:type="dxa"/>
            <w:vAlign w:val="bottom"/>
            <w:tcBorders>
              <w:left w:val="single" w:sz="8" w:color="auto"/>
              <w:bottom w:val="single" w:sz="8" w:color="auto"/>
              <w:right w:val="single" w:sz="8" w:color="auto"/>
            </w:tcBorders>
            <w:shd w:val="clear" w:color="auto" w:fill="F0FFFF"/>
          </w:tcPr>
          <w:p>
            <w:pPr>
              <w:spacing w:after="0"/>
              <w:rPr>
                <w:sz w:val="16"/>
                <w:szCs w:val="16"/>
                <w:color w:val="auto"/>
              </w:rPr>
            </w:pPr>
          </w:p>
        </w:tc>
        <w:tc>
          <w:tcPr>
            <w:tcW w:w="1120" w:type="dxa"/>
            <w:vAlign w:val="bottom"/>
            <w:tcBorders>
              <w:bottom w:val="single" w:sz="8" w:color="auto"/>
              <w:right w:val="single" w:sz="8" w:color="auto"/>
            </w:tcBorders>
            <w:shd w:val="clear" w:color="auto" w:fill="F0FFFF"/>
          </w:tcPr>
          <w:p>
            <w:pPr>
              <w:spacing w:after="0"/>
              <w:rPr>
                <w:sz w:val="16"/>
                <w:szCs w:val="16"/>
                <w:color w:val="auto"/>
              </w:rPr>
            </w:pPr>
          </w:p>
        </w:tc>
        <w:tc>
          <w:tcPr>
            <w:tcW w:w="880" w:type="dxa"/>
            <w:vAlign w:val="bottom"/>
            <w:tcBorders>
              <w:bottom w:val="single" w:sz="8" w:color="auto"/>
              <w:right w:val="single" w:sz="8" w:color="auto"/>
            </w:tcBorders>
            <w:shd w:val="clear" w:color="auto" w:fill="F0FFFF"/>
          </w:tcPr>
          <w:p>
            <w:pPr>
              <w:ind w:left="280"/>
              <w:spacing w:after="0"/>
              <w:rPr>
                <w:sz w:val="20"/>
                <w:szCs w:val="20"/>
                <w:color w:val="auto"/>
              </w:rPr>
            </w:pPr>
            <w:r>
              <w:rPr>
                <w:rFonts w:ascii="Arial" w:cs="Arial" w:eastAsia="Arial" w:hAnsi="Arial"/>
                <w:sz w:val="13"/>
                <w:szCs w:val="13"/>
                <w:b w:val="1"/>
                <w:bCs w:val="1"/>
                <w:color w:val="auto"/>
              </w:rPr>
              <w:t>Rate</w:t>
            </w:r>
          </w:p>
        </w:tc>
        <w:tc>
          <w:tcPr>
            <w:tcW w:w="880" w:type="dxa"/>
            <w:vAlign w:val="bottom"/>
            <w:tcBorders>
              <w:bottom w:val="single" w:sz="8" w:color="auto"/>
              <w:right w:val="single" w:sz="8" w:color="auto"/>
            </w:tcBorders>
            <w:shd w:val="clear" w:color="auto" w:fill="F0FFFF"/>
          </w:tcPr>
          <w:p>
            <w:pPr>
              <w:ind w:left="280"/>
              <w:spacing w:after="0"/>
              <w:rPr>
                <w:sz w:val="20"/>
                <w:szCs w:val="20"/>
                <w:color w:val="auto"/>
              </w:rPr>
            </w:pPr>
            <w:r>
              <w:rPr>
                <w:rFonts w:ascii="Arial" w:cs="Arial" w:eastAsia="Arial" w:hAnsi="Arial"/>
                <w:sz w:val="13"/>
                <w:szCs w:val="13"/>
                <w:b w:val="1"/>
                <w:bCs w:val="1"/>
                <w:color w:val="auto"/>
              </w:rPr>
              <w:t>Rate</w:t>
            </w:r>
          </w:p>
        </w:tc>
        <w:tc>
          <w:tcPr>
            <w:tcW w:w="880" w:type="dxa"/>
            <w:vAlign w:val="bottom"/>
            <w:tcBorders>
              <w:bottom w:val="single" w:sz="8" w:color="auto"/>
              <w:right w:val="single" w:sz="8" w:color="auto"/>
            </w:tcBorders>
            <w:shd w:val="clear" w:color="auto" w:fill="F0FFFF"/>
          </w:tcPr>
          <w:p>
            <w:pPr>
              <w:ind w:left="280"/>
              <w:spacing w:after="0"/>
              <w:rPr>
                <w:sz w:val="20"/>
                <w:szCs w:val="20"/>
                <w:color w:val="auto"/>
              </w:rPr>
            </w:pPr>
            <w:r>
              <w:rPr>
                <w:rFonts w:ascii="Arial" w:cs="Arial" w:eastAsia="Arial" w:hAnsi="Arial"/>
                <w:sz w:val="13"/>
                <w:szCs w:val="13"/>
                <w:b w:val="1"/>
                <w:bCs w:val="1"/>
                <w:color w:val="auto"/>
              </w:rPr>
              <w:t>Rate</w:t>
            </w:r>
          </w:p>
        </w:tc>
      </w:tr>
      <w:tr>
        <w:trPr>
          <w:trHeight w:val="189"/>
        </w:trPr>
        <w:tc>
          <w:tcPr>
            <w:tcW w:w="30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Term (in months)</w:t>
            </w:r>
          </w:p>
        </w:tc>
        <w:tc>
          <w:tcPr>
            <w:tcW w:w="1120" w:type="dxa"/>
            <w:vAlign w:val="bottom"/>
            <w:tcBorders>
              <w:bottom w:val="single" w:sz="8" w:color="auto"/>
              <w:right w:val="single" w:sz="8" w:color="auto"/>
            </w:tcBorders>
          </w:tcPr>
          <w:p>
            <w:pPr>
              <w:jc w:val="right"/>
              <w:ind w:right="434"/>
              <w:spacing w:after="0"/>
              <w:rPr>
                <w:sz w:val="20"/>
                <w:szCs w:val="20"/>
                <w:color w:val="auto"/>
              </w:rPr>
            </w:pPr>
            <w:r>
              <w:rPr>
                <w:rFonts w:ascii="Times New Roman" w:cs="Times New Roman" w:eastAsia="Times New Roman" w:hAnsi="Times New Roman"/>
                <w:sz w:val="13"/>
                <w:szCs w:val="13"/>
                <w:color w:val="auto"/>
              </w:rPr>
              <w:t>12</w:t>
            </w:r>
          </w:p>
        </w:tc>
        <w:tc>
          <w:tcPr>
            <w:tcW w:w="880" w:type="dxa"/>
            <w:vAlign w:val="bottom"/>
            <w:tcBorders>
              <w:bottom w:val="single" w:sz="8" w:color="auto"/>
              <w:right w:val="single" w:sz="8" w:color="auto"/>
            </w:tcBorders>
          </w:tcPr>
          <w:p>
            <w:pPr>
              <w:jc w:val="right"/>
              <w:ind w:right="314"/>
              <w:spacing w:after="0"/>
              <w:rPr>
                <w:sz w:val="20"/>
                <w:szCs w:val="20"/>
                <w:color w:val="auto"/>
              </w:rPr>
            </w:pPr>
            <w:r>
              <w:rPr>
                <w:rFonts w:ascii="Times New Roman" w:cs="Times New Roman" w:eastAsia="Times New Roman" w:hAnsi="Times New Roman"/>
                <w:sz w:val="13"/>
                <w:szCs w:val="13"/>
                <w:color w:val="auto"/>
              </w:rPr>
              <w:t>24</w:t>
            </w:r>
          </w:p>
        </w:tc>
        <w:tc>
          <w:tcPr>
            <w:tcW w:w="880" w:type="dxa"/>
            <w:vAlign w:val="bottom"/>
            <w:tcBorders>
              <w:bottom w:val="single" w:sz="8" w:color="auto"/>
              <w:right w:val="single" w:sz="8" w:color="auto"/>
            </w:tcBorders>
          </w:tcPr>
          <w:p>
            <w:pPr>
              <w:jc w:val="right"/>
              <w:ind w:right="314"/>
              <w:spacing w:after="0"/>
              <w:rPr>
                <w:sz w:val="20"/>
                <w:szCs w:val="20"/>
                <w:color w:val="auto"/>
              </w:rPr>
            </w:pPr>
            <w:r>
              <w:rPr>
                <w:rFonts w:ascii="Times New Roman" w:cs="Times New Roman" w:eastAsia="Times New Roman" w:hAnsi="Times New Roman"/>
                <w:sz w:val="13"/>
                <w:szCs w:val="13"/>
                <w:color w:val="auto"/>
              </w:rPr>
              <w:t>36</w:t>
            </w:r>
          </w:p>
        </w:tc>
        <w:tc>
          <w:tcPr>
            <w:tcW w:w="880" w:type="dxa"/>
            <w:vAlign w:val="bottom"/>
            <w:tcBorders>
              <w:bottom w:val="single" w:sz="8" w:color="auto"/>
              <w:right w:val="single" w:sz="8" w:color="auto"/>
            </w:tcBorders>
          </w:tcPr>
          <w:p>
            <w:pPr>
              <w:jc w:val="right"/>
              <w:ind w:right="314"/>
              <w:spacing w:after="0"/>
              <w:rPr>
                <w:sz w:val="20"/>
                <w:szCs w:val="20"/>
                <w:color w:val="auto"/>
              </w:rPr>
            </w:pPr>
            <w:r>
              <w:rPr>
                <w:rFonts w:ascii="Times New Roman" w:cs="Times New Roman" w:eastAsia="Times New Roman" w:hAnsi="Times New Roman"/>
                <w:sz w:val="13"/>
                <w:szCs w:val="13"/>
                <w:color w:val="auto"/>
              </w:rPr>
              <w:t>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-525145</wp:posOffset>
            </wp:positionV>
            <wp:extent cx="4271010" cy="1384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271010" cy="13843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-134620</wp:posOffset>
            </wp:positionV>
            <wp:extent cx="4271010" cy="1257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271010" cy="12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619"/>
          </w:cols>
          <w:pgMar w:left="840" w:top="1178" w:right="1440" w:bottom="1440" w:gutter="0" w:footer="0" w:header="0"/>
        </w:sectPr>
      </w:pPr>
    </w:p>
    <w:bookmarkStart w:id="101" w:name="page102"/>
    <w:bookmarkEnd w:id="101"/>
    <w:tbl>
      <w:tblPr>
        <w:tblLayout w:type="fixed"/>
        <w:tblInd w:w="10" w:type="dxa"/>
        <w:tblCellMar>
          <w:top w:w="0" w:type="dxa"/>
          <w:left w:w="0" w:type="dxa"/>
          <w:bottom w:w="0" w:type="dxa"/>
          <w:right w:w="0" w:type="dxa"/>
        </w:tblCellMar>
      </w:tblPr>
      <w:tr>
        <w:trPr>
          <w:trHeight w:val="218"/>
        </w:trPr>
        <w:tc>
          <w:tcPr>
            <w:tcW w:w="1060" w:type="dxa"/>
            <w:vAlign w:val="bottom"/>
            <w:tcBorders>
              <w:top w:val="single" w:sz="8" w:color="auto"/>
              <w:left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right w:val="single" w:sz="8" w:color="auto"/>
            </w:tcBorders>
          </w:tcPr>
          <w:p>
            <w:pPr>
              <w:spacing w:after="0"/>
              <w:rPr>
                <w:sz w:val="18"/>
                <w:szCs w:val="18"/>
                <w:color w:val="auto"/>
              </w:rPr>
            </w:pPr>
          </w:p>
        </w:tc>
        <w:tc>
          <w:tcPr>
            <w:tcW w:w="1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1</w:t>
            </w:r>
          </w:p>
        </w:tc>
        <w:tc>
          <w:tcPr>
            <w:tcW w:w="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w:t>
            </w:r>
          </w:p>
        </w:tc>
        <w:tc>
          <w:tcPr>
            <w:tcW w:w="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right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82"/>
              </w:rPr>
              <w:t>3</w:t>
            </w:r>
          </w:p>
        </w:tc>
        <w:tc>
          <w:tcPr>
            <w:tcW w:w="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4</w:t>
            </w:r>
          </w:p>
        </w:tc>
      </w:tr>
      <w:tr>
        <w:trPr>
          <w:trHeight w:val="194"/>
        </w:trPr>
        <w:tc>
          <w:tcPr>
            <w:tcW w:w="3020" w:type="dxa"/>
            <w:vAlign w:val="bottom"/>
            <w:tcBorders>
              <w:left w:val="single" w:sz="8" w:color="auto"/>
              <w:bottom w:val="single" w:sz="8" w:color="auto"/>
              <w:right w:val="single" w:sz="8" w:color="auto"/>
            </w:tcBorders>
            <w:gridSpan w:val="4"/>
            <w:shd w:val="clear" w:color="auto" w:fill="F0FFFF"/>
          </w:tcPr>
          <w:p>
            <w:pPr>
              <w:ind w:left="60"/>
              <w:spacing w:after="0"/>
              <w:rPr>
                <w:sz w:val="20"/>
                <w:szCs w:val="20"/>
                <w:color w:val="auto"/>
              </w:rPr>
            </w:pPr>
            <w:r>
              <w:rPr>
                <w:rFonts w:ascii="Times New Roman" w:cs="Times New Roman" w:eastAsia="Times New Roman" w:hAnsi="Times New Roman"/>
                <w:sz w:val="13"/>
                <w:szCs w:val="13"/>
                <w:color w:val="auto"/>
              </w:rPr>
              <w:t>Months elapsed since Term Start Date</w:t>
            </w:r>
          </w:p>
        </w:tc>
        <w:tc>
          <w:tcPr>
            <w:tcW w:w="11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w w:val="91"/>
              </w:rPr>
              <w:t>0</w:t>
            </w:r>
          </w:p>
        </w:tc>
        <w:tc>
          <w:tcPr>
            <w:tcW w:w="8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w w:val="91"/>
              </w:rPr>
              <w:t>0</w:t>
            </w:r>
          </w:p>
        </w:tc>
        <w:tc>
          <w:tcPr>
            <w:tcW w:w="60" w:type="dxa"/>
            <w:vAlign w:val="bottom"/>
            <w:tcBorders>
              <w:bottom w:val="single" w:sz="8" w:color="auto"/>
            </w:tcBorders>
            <w:shd w:val="clear" w:color="auto" w:fill="F0FFFF"/>
          </w:tcPr>
          <w:p>
            <w:pPr>
              <w:spacing w:after="0"/>
              <w:rPr>
                <w:sz w:val="16"/>
                <w:szCs w:val="16"/>
                <w:color w:val="auto"/>
              </w:rPr>
            </w:pPr>
          </w:p>
        </w:tc>
        <w:tc>
          <w:tcPr>
            <w:tcW w:w="800" w:type="dxa"/>
            <w:vAlign w:val="bottom"/>
            <w:tcBorders>
              <w:bottom w:val="single" w:sz="8" w:color="auto"/>
              <w:right w:val="single" w:sz="8" w:color="auto"/>
            </w:tcBorders>
            <w:shd w:val="clear" w:color="auto" w:fill="F0FFFF"/>
          </w:tcPr>
          <w:p>
            <w:pPr>
              <w:jc w:val="center"/>
              <w:ind w:right="34"/>
              <w:spacing w:after="0"/>
              <w:rPr>
                <w:sz w:val="20"/>
                <w:szCs w:val="20"/>
                <w:color w:val="auto"/>
              </w:rPr>
            </w:pPr>
            <w:r>
              <w:rPr>
                <w:rFonts w:ascii="Times New Roman" w:cs="Times New Roman" w:eastAsia="Times New Roman" w:hAnsi="Times New Roman"/>
                <w:sz w:val="13"/>
                <w:szCs w:val="13"/>
                <w:color w:val="auto"/>
                <w:w w:val="91"/>
              </w:rPr>
              <w:t>0</w:t>
            </w:r>
          </w:p>
        </w:tc>
        <w:tc>
          <w:tcPr>
            <w:tcW w:w="8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w w:val="91"/>
              </w:rPr>
              <w:t>0</w:t>
            </w:r>
          </w:p>
        </w:tc>
      </w:tr>
      <w:tr>
        <w:trPr>
          <w:trHeight w:val="198"/>
        </w:trPr>
        <w:tc>
          <w:tcPr>
            <w:tcW w:w="3020" w:type="dxa"/>
            <w:vAlign w:val="bottom"/>
            <w:tcBorders>
              <w:left w:val="single" w:sz="8" w:color="auto"/>
              <w:bottom w:val="single" w:sz="8" w:color="auto"/>
              <w:right w:val="single" w:sz="8" w:color="auto"/>
            </w:tcBorders>
            <w:gridSpan w:val="4"/>
          </w:tcPr>
          <w:p>
            <w:pPr>
              <w:ind w:left="60"/>
              <w:spacing w:after="0"/>
              <w:rPr>
                <w:sz w:val="20"/>
                <w:szCs w:val="20"/>
                <w:color w:val="auto"/>
              </w:rPr>
            </w:pPr>
            <w:r>
              <w:rPr>
                <w:rFonts w:ascii="Times New Roman" w:cs="Times New Roman" w:eastAsia="Times New Roman" w:hAnsi="Times New Roman"/>
                <w:sz w:val="13"/>
                <w:szCs w:val="13"/>
                <w:color w:val="auto"/>
              </w:rPr>
              <w:t>Investment Amount</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$50,000</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$50,000</w:t>
            </w:r>
          </w:p>
        </w:tc>
        <w:tc>
          <w:tcPr>
            <w:tcW w:w="6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center"/>
              <w:ind w:right="34"/>
              <w:spacing w:after="0"/>
              <w:rPr>
                <w:sz w:val="20"/>
                <w:szCs w:val="20"/>
                <w:color w:val="auto"/>
              </w:rPr>
            </w:pPr>
            <w:r>
              <w:rPr>
                <w:rFonts w:ascii="Times New Roman" w:cs="Times New Roman" w:eastAsia="Times New Roman" w:hAnsi="Times New Roman"/>
                <w:sz w:val="13"/>
                <w:szCs w:val="13"/>
                <w:color w:val="auto"/>
                <w:w w:val="99"/>
              </w:rPr>
              <w:t>$50,000</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$50,000</w:t>
            </w:r>
          </w:p>
        </w:tc>
      </w:tr>
      <w:tr>
        <w:trPr>
          <w:trHeight w:val="198"/>
        </w:trPr>
        <w:tc>
          <w:tcPr>
            <w:tcW w:w="3020" w:type="dxa"/>
            <w:vAlign w:val="bottom"/>
            <w:tcBorders>
              <w:left w:val="single" w:sz="8" w:color="auto"/>
              <w:bottom w:val="single" w:sz="8" w:color="auto"/>
              <w:right w:val="single" w:sz="8" w:color="auto"/>
            </w:tcBorders>
            <w:gridSpan w:val="4"/>
            <w:shd w:val="clear" w:color="auto" w:fill="F0FFFF"/>
          </w:tcPr>
          <w:p>
            <w:pPr>
              <w:ind w:left="60"/>
              <w:spacing w:after="0"/>
              <w:rPr>
                <w:sz w:val="20"/>
                <w:szCs w:val="20"/>
                <w:color w:val="auto"/>
              </w:rPr>
            </w:pPr>
            <w:r>
              <w:rPr>
                <w:rFonts w:ascii="Times New Roman" w:cs="Times New Roman" w:eastAsia="Times New Roman" w:hAnsi="Times New Roman"/>
                <w:sz w:val="13"/>
                <w:szCs w:val="13"/>
                <w:color w:val="auto"/>
              </w:rPr>
              <w:t>Shield Rate</w:t>
            </w:r>
          </w:p>
        </w:tc>
        <w:tc>
          <w:tcPr>
            <w:tcW w:w="11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880" w:type="dxa"/>
            <w:vAlign w:val="bottom"/>
            <w:tcBorders>
              <w:bottom w:val="single" w:sz="8" w:color="auto"/>
              <w:right w:val="single" w:sz="8" w:color="auto"/>
            </w:tcBorders>
            <w:shd w:val="clear" w:color="auto" w:fill="F0FFFF"/>
          </w:tcPr>
          <w:p>
            <w:pPr>
              <w:jc w:val="center"/>
              <w:ind w:right="14"/>
              <w:spacing w:after="0"/>
              <w:rPr>
                <w:sz w:val="20"/>
                <w:szCs w:val="20"/>
                <w:color w:val="auto"/>
              </w:rPr>
            </w:pPr>
            <w:r>
              <w:rPr>
                <w:rFonts w:ascii="Times New Roman" w:cs="Times New Roman" w:eastAsia="Times New Roman" w:hAnsi="Times New Roman"/>
                <w:sz w:val="13"/>
                <w:szCs w:val="13"/>
                <w:color w:val="auto"/>
              </w:rPr>
              <w:t>15%</w:t>
            </w:r>
          </w:p>
        </w:tc>
        <w:tc>
          <w:tcPr>
            <w:tcW w:w="60" w:type="dxa"/>
            <w:vAlign w:val="bottom"/>
            <w:tcBorders>
              <w:bottom w:val="single" w:sz="8" w:color="auto"/>
            </w:tcBorders>
            <w:shd w:val="clear" w:color="auto" w:fill="F0FFFF"/>
          </w:tcPr>
          <w:p>
            <w:pPr>
              <w:spacing w:after="0"/>
              <w:rPr>
                <w:sz w:val="17"/>
                <w:szCs w:val="17"/>
                <w:color w:val="auto"/>
              </w:rPr>
            </w:pPr>
          </w:p>
        </w:tc>
        <w:tc>
          <w:tcPr>
            <w:tcW w:w="800" w:type="dxa"/>
            <w:vAlign w:val="bottom"/>
            <w:tcBorders>
              <w:bottom w:val="single" w:sz="8" w:color="auto"/>
              <w:right w:val="single" w:sz="8" w:color="auto"/>
            </w:tcBorders>
            <w:shd w:val="clear" w:color="auto" w:fill="F0FFFF"/>
          </w:tcPr>
          <w:p>
            <w:pPr>
              <w:jc w:val="center"/>
              <w:ind w:right="14"/>
              <w:spacing w:after="0"/>
              <w:rPr>
                <w:sz w:val="20"/>
                <w:szCs w:val="20"/>
                <w:color w:val="auto"/>
              </w:rPr>
            </w:pPr>
            <w:r>
              <w:rPr>
                <w:rFonts w:ascii="Times New Roman" w:cs="Times New Roman" w:eastAsia="Times New Roman" w:hAnsi="Times New Roman"/>
                <w:sz w:val="13"/>
                <w:szCs w:val="13"/>
                <w:color w:val="auto"/>
              </w:rPr>
              <w:t>10%</w:t>
            </w:r>
          </w:p>
        </w:tc>
        <w:tc>
          <w:tcPr>
            <w:tcW w:w="8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25%</w:t>
            </w:r>
          </w:p>
        </w:tc>
      </w:tr>
      <w:tr>
        <w:trPr>
          <w:trHeight w:val="198"/>
        </w:trPr>
        <w:tc>
          <w:tcPr>
            <w:tcW w:w="3020" w:type="dxa"/>
            <w:vAlign w:val="bottom"/>
            <w:tcBorders>
              <w:left w:val="single" w:sz="8" w:color="auto"/>
              <w:bottom w:val="single" w:sz="8" w:color="auto"/>
              <w:right w:val="single" w:sz="8" w:color="auto"/>
            </w:tcBorders>
            <w:gridSpan w:val="4"/>
          </w:tcPr>
          <w:p>
            <w:pPr>
              <w:ind w:left="60"/>
              <w:spacing w:after="0"/>
              <w:rPr>
                <w:sz w:val="20"/>
                <w:szCs w:val="20"/>
                <w:color w:val="auto"/>
              </w:rPr>
            </w:pPr>
            <w:r>
              <w:rPr>
                <w:rFonts w:ascii="Times New Roman" w:cs="Times New Roman" w:eastAsia="Times New Roman" w:hAnsi="Times New Roman"/>
                <w:sz w:val="13"/>
                <w:szCs w:val="13"/>
                <w:color w:val="auto"/>
              </w:rPr>
              <w:t>Rate Crediting Type Rate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8.25%</w:t>
            </w:r>
          </w:p>
        </w:tc>
        <w:tc>
          <w:tcPr>
            <w:tcW w:w="880" w:type="dxa"/>
            <w:vAlign w:val="bottom"/>
            <w:tcBorders>
              <w:bottom w:val="single" w:sz="8" w:color="auto"/>
              <w:right w:val="single" w:sz="8" w:color="auto"/>
            </w:tcBorders>
          </w:tcPr>
          <w:p>
            <w:pPr>
              <w:jc w:val="center"/>
              <w:ind w:right="14"/>
              <w:spacing w:after="0"/>
              <w:rPr>
                <w:sz w:val="20"/>
                <w:szCs w:val="20"/>
                <w:color w:val="auto"/>
              </w:rPr>
            </w:pPr>
            <w:r>
              <w:rPr>
                <w:rFonts w:ascii="Times New Roman" w:cs="Times New Roman" w:eastAsia="Times New Roman" w:hAnsi="Times New Roman"/>
                <w:sz w:val="13"/>
                <w:szCs w:val="13"/>
                <w:color w:val="auto"/>
              </w:rPr>
              <w:t>18%</w:t>
            </w:r>
          </w:p>
        </w:tc>
        <w:tc>
          <w:tcPr>
            <w:tcW w:w="6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center"/>
              <w:ind w:right="34"/>
              <w:spacing w:after="0"/>
              <w:rPr>
                <w:sz w:val="20"/>
                <w:szCs w:val="20"/>
                <w:color w:val="auto"/>
              </w:rPr>
            </w:pPr>
            <w:r>
              <w:rPr>
                <w:rFonts w:ascii="Times New Roman" w:cs="Times New Roman" w:eastAsia="Times New Roman" w:hAnsi="Times New Roman"/>
                <w:sz w:val="13"/>
                <w:szCs w:val="13"/>
                <w:color w:val="auto"/>
                <w:w w:val="98"/>
              </w:rPr>
              <w:t>130%</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200%</w:t>
            </w:r>
          </w:p>
        </w:tc>
      </w:tr>
      <w:tr>
        <w:trPr>
          <w:trHeight w:val="198"/>
        </w:trPr>
        <w:tc>
          <w:tcPr>
            <w:tcW w:w="3020" w:type="dxa"/>
            <w:vAlign w:val="bottom"/>
            <w:tcBorders>
              <w:left w:val="single" w:sz="8" w:color="auto"/>
              <w:bottom w:val="single" w:sz="8" w:color="auto"/>
              <w:right w:val="single" w:sz="8" w:color="auto"/>
            </w:tcBorders>
            <w:gridSpan w:val="4"/>
            <w:shd w:val="clear" w:color="auto" w:fill="F0FFFF"/>
          </w:tcPr>
          <w:p>
            <w:pPr>
              <w:ind w:left="60"/>
              <w:spacing w:after="0"/>
              <w:rPr>
                <w:sz w:val="20"/>
                <w:szCs w:val="20"/>
                <w:color w:val="auto"/>
              </w:rPr>
            </w:pPr>
            <w:r>
              <w:rPr>
                <w:rFonts w:ascii="Times New Roman" w:cs="Times New Roman" w:eastAsia="Times New Roman" w:hAnsi="Times New Roman"/>
                <w:sz w:val="13"/>
                <w:szCs w:val="13"/>
                <w:color w:val="auto"/>
              </w:rPr>
              <w:t>Months until Term End Date</w:t>
            </w:r>
          </w:p>
        </w:tc>
        <w:tc>
          <w:tcPr>
            <w:tcW w:w="11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w w:val="91"/>
              </w:rPr>
              <w:t>12</w:t>
            </w:r>
          </w:p>
        </w:tc>
        <w:tc>
          <w:tcPr>
            <w:tcW w:w="8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24</w:t>
            </w:r>
          </w:p>
        </w:tc>
        <w:tc>
          <w:tcPr>
            <w:tcW w:w="60" w:type="dxa"/>
            <w:vAlign w:val="bottom"/>
            <w:tcBorders>
              <w:bottom w:val="single" w:sz="8" w:color="auto"/>
            </w:tcBorders>
            <w:shd w:val="clear" w:color="auto" w:fill="F0FFFF"/>
          </w:tcPr>
          <w:p>
            <w:pPr>
              <w:spacing w:after="0"/>
              <w:rPr>
                <w:sz w:val="17"/>
                <w:szCs w:val="17"/>
                <w:color w:val="auto"/>
              </w:rPr>
            </w:pPr>
          </w:p>
        </w:tc>
        <w:tc>
          <w:tcPr>
            <w:tcW w:w="800" w:type="dxa"/>
            <w:vAlign w:val="bottom"/>
            <w:tcBorders>
              <w:bottom w:val="single" w:sz="8" w:color="auto"/>
              <w:right w:val="single" w:sz="8" w:color="auto"/>
            </w:tcBorders>
            <w:shd w:val="clear" w:color="auto" w:fill="F0FFFF"/>
          </w:tcPr>
          <w:p>
            <w:pPr>
              <w:jc w:val="center"/>
              <w:ind w:right="34"/>
              <w:spacing w:after="0"/>
              <w:rPr>
                <w:sz w:val="20"/>
                <w:szCs w:val="20"/>
                <w:color w:val="auto"/>
              </w:rPr>
            </w:pPr>
            <w:r>
              <w:rPr>
                <w:rFonts w:ascii="Times New Roman" w:cs="Times New Roman" w:eastAsia="Times New Roman" w:hAnsi="Times New Roman"/>
                <w:sz w:val="13"/>
                <w:szCs w:val="13"/>
                <w:color w:val="auto"/>
              </w:rPr>
              <w:t>36</w:t>
            </w:r>
          </w:p>
        </w:tc>
        <w:tc>
          <w:tcPr>
            <w:tcW w:w="8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72</w:t>
            </w:r>
          </w:p>
        </w:tc>
      </w:tr>
      <w:tr>
        <w:trPr>
          <w:trHeight w:val="198"/>
        </w:trPr>
        <w:tc>
          <w:tcPr>
            <w:tcW w:w="3020" w:type="dxa"/>
            <w:vAlign w:val="bottom"/>
            <w:tcBorders>
              <w:left w:val="single" w:sz="8" w:color="auto"/>
              <w:bottom w:val="single" w:sz="8" w:color="auto"/>
              <w:right w:val="single" w:sz="8" w:color="auto"/>
            </w:tcBorders>
            <w:gridSpan w:val="4"/>
          </w:tcPr>
          <w:p>
            <w:pPr>
              <w:ind w:left="60"/>
              <w:spacing w:after="0"/>
              <w:rPr>
                <w:sz w:val="20"/>
                <w:szCs w:val="20"/>
                <w:color w:val="auto"/>
              </w:rPr>
            </w:pPr>
            <w:r>
              <w:rPr>
                <w:rFonts w:ascii="Times New Roman" w:cs="Times New Roman" w:eastAsia="Times New Roman" w:hAnsi="Times New Roman"/>
                <w:sz w:val="13"/>
                <w:szCs w:val="13"/>
                <w:color w:val="auto"/>
              </w:rPr>
              <w:t>Market Value Rate on Term Start Date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2.00%</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4.00%</w:t>
            </w:r>
          </w:p>
        </w:tc>
        <w:tc>
          <w:tcPr>
            <w:tcW w:w="6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center"/>
              <w:ind w:right="34"/>
              <w:spacing w:after="0"/>
              <w:rPr>
                <w:sz w:val="20"/>
                <w:szCs w:val="20"/>
                <w:color w:val="auto"/>
              </w:rPr>
            </w:pPr>
            <w:r>
              <w:rPr>
                <w:rFonts w:ascii="Times New Roman" w:cs="Times New Roman" w:eastAsia="Times New Roman" w:hAnsi="Times New Roman"/>
                <w:sz w:val="13"/>
                <w:szCs w:val="13"/>
                <w:color w:val="auto"/>
              </w:rPr>
              <w:t>6.00%</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8.00%</w:t>
            </w:r>
          </w:p>
        </w:tc>
      </w:tr>
      <w:tr>
        <w:trPr>
          <w:trHeight w:val="198"/>
        </w:trPr>
        <w:tc>
          <w:tcPr>
            <w:tcW w:w="3020" w:type="dxa"/>
            <w:vAlign w:val="bottom"/>
            <w:tcBorders>
              <w:left w:val="single" w:sz="8" w:color="auto"/>
              <w:bottom w:val="single" w:sz="8" w:color="auto"/>
              <w:right w:val="single" w:sz="8" w:color="auto"/>
            </w:tcBorders>
            <w:gridSpan w:val="4"/>
            <w:shd w:val="clear" w:color="auto" w:fill="F0FFFF"/>
          </w:tcPr>
          <w:p>
            <w:pPr>
              <w:ind w:left="60"/>
              <w:spacing w:after="0"/>
              <w:rPr>
                <w:sz w:val="20"/>
                <w:szCs w:val="20"/>
                <w:color w:val="auto"/>
              </w:rPr>
            </w:pPr>
            <w:r>
              <w:rPr>
                <w:rFonts w:ascii="Times New Roman" w:cs="Times New Roman" w:eastAsia="Times New Roman" w:hAnsi="Times New Roman"/>
                <w:sz w:val="13"/>
                <w:szCs w:val="13"/>
                <w:color w:val="auto"/>
              </w:rPr>
              <w:t>Starting Index Value</w:t>
            </w:r>
          </w:p>
        </w:tc>
        <w:tc>
          <w:tcPr>
            <w:tcW w:w="1120" w:type="dxa"/>
            <w:vAlign w:val="bottom"/>
            <w:tcBorders>
              <w:bottom w:val="single" w:sz="8" w:color="auto"/>
              <w:right w:val="single" w:sz="8" w:color="F0FFFF"/>
            </w:tcBorders>
            <w:shd w:val="clear" w:color="auto" w:fill="F0FFFF"/>
          </w:tcPr>
          <w:p>
            <w:pPr>
              <w:spacing w:after="0"/>
              <w:rPr>
                <w:sz w:val="17"/>
                <w:szCs w:val="17"/>
                <w:color w:val="auto"/>
              </w:rPr>
            </w:pPr>
          </w:p>
        </w:tc>
        <w:tc>
          <w:tcPr>
            <w:tcW w:w="940" w:type="dxa"/>
            <w:vAlign w:val="bottom"/>
            <w:tcBorders>
              <w:bottom w:val="single" w:sz="8" w:color="auto"/>
            </w:tcBorders>
            <w:gridSpan w:val="2"/>
            <w:shd w:val="clear" w:color="auto" w:fill="F0FFFF"/>
          </w:tcPr>
          <w:p>
            <w:pPr>
              <w:jc w:val="center"/>
              <w:ind w:left="474"/>
              <w:spacing w:after="0"/>
              <w:rPr>
                <w:sz w:val="20"/>
                <w:szCs w:val="20"/>
                <w:color w:val="auto"/>
              </w:rPr>
            </w:pPr>
            <w:r>
              <w:rPr>
                <w:rFonts w:ascii="Times New Roman" w:cs="Times New Roman" w:eastAsia="Times New Roman" w:hAnsi="Times New Roman"/>
                <w:sz w:val="13"/>
                <w:szCs w:val="13"/>
                <w:color w:val="auto"/>
                <w:w w:val="95"/>
              </w:rPr>
              <w:t>1,000</w:t>
            </w:r>
          </w:p>
        </w:tc>
        <w:tc>
          <w:tcPr>
            <w:tcW w:w="800" w:type="dxa"/>
            <w:vAlign w:val="bottom"/>
            <w:tcBorders>
              <w:bottom w:val="single" w:sz="8" w:color="auto"/>
              <w:right w:val="single" w:sz="8" w:color="F0FFFF"/>
            </w:tcBorders>
            <w:shd w:val="clear" w:color="auto" w:fill="F0FFFF"/>
          </w:tcPr>
          <w:p>
            <w:pPr>
              <w:spacing w:after="0"/>
              <w:rPr>
                <w:sz w:val="17"/>
                <w:szCs w:val="17"/>
                <w:color w:val="auto"/>
              </w:rPr>
            </w:pPr>
          </w:p>
        </w:tc>
        <w:tc>
          <w:tcPr>
            <w:tcW w:w="880" w:type="dxa"/>
            <w:vAlign w:val="bottom"/>
            <w:tcBorders>
              <w:bottom w:val="single" w:sz="8" w:color="auto"/>
              <w:right w:val="single" w:sz="8" w:color="auto"/>
            </w:tcBorders>
            <w:shd w:val="clear" w:color="auto" w:fill="F0FFFF"/>
          </w:tcPr>
          <w:p>
            <w:pPr>
              <w:spacing w:after="0"/>
              <w:rPr>
                <w:sz w:val="17"/>
                <w:szCs w:val="17"/>
                <w:color w:val="auto"/>
              </w:rPr>
            </w:pPr>
          </w:p>
        </w:tc>
      </w:tr>
      <w:tr>
        <w:trPr>
          <w:trHeight w:val="193"/>
        </w:trPr>
        <w:tc>
          <w:tcPr>
            <w:tcW w:w="3020" w:type="dxa"/>
            <w:vAlign w:val="bottom"/>
            <w:tcBorders>
              <w:left w:val="single" w:sz="8" w:color="auto"/>
              <w:bottom w:val="single" w:sz="8" w:color="auto"/>
              <w:right w:val="single" w:sz="8" w:color="auto"/>
            </w:tcBorders>
            <w:gridSpan w:val="4"/>
          </w:tcPr>
          <w:p>
            <w:pPr>
              <w:ind w:left="60"/>
              <w:spacing w:after="0"/>
              <w:rPr>
                <w:sz w:val="20"/>
                <w:szCs w:val="20"/>
                <w:color w:val="auto"/>
              </w:rPr>
            </w:pPr>
            <w:r>
              <w:rPr>
                <w:rFonts w:ascii="Arial" w:cs="Arial" w:eastAsia="Arial" w:hAnsi="Arial"/>
                <w:sz w:val="13"/>
                <w:szCs w:val="13"/>
                <w:b w:val="1"/>
                <w:bCs w:val="1"/>
                <w:color w:val="auto"/>
              </w:rPr>
              <w:t>Total Account Value</w:t>
            </w:r>
          </w:p>
        </w:tc>
        <w:tc>
          <w:tcPr>
            <w:tcW w:w="11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right="194"/>
              <w:spacing w:after="0"/>
              <w:rPr>
                <w:sz w:val="20"/>
                <w:szCs w:val="20"/>
                <w:color w:val="auto"/>
              </w:rPr>
            </w:pPr>
            <w:r>
              <w:rPr>
                <w:rFonts w:ascii="Arial" w:cs="Arial" w:eastAsia="Arial" w:hAnsi="Arial"/>
                <w:sz w:val="13"/>
                <w:szCs w:val="13"/>
                <w:b w:val="1"/>
                <w:bCs w:val="1"/>
                <w:color w:val="auto"/>
              </w:rPr>
              <w:t>$200,000</w:t>
            </w:r>
          </w:p>
        </w:tc>
        <w:tc>
          <w:tcPr>
            <w:tcW w:w="880" w:type="dxa"/>
            <w:vAlign w:val="bottom"/>
            <w:tcBorders>
              <w:bottom w:val="single" w:sz="8" w:color="auto"/>
              <w:right w:val="single" w:sz="8" w:color="auto"/>
            </w:tcBorders>
          </w:tcPr>
          <w:p>
            <w:pPr>
              <w:spacing w:after="0"/>
              <w:rPr>
                <w:sz w:val="16"/>
                <w:szCs w:val="16"/>
                <w:color w:val="auto"/>
              </w:rPr>
            </w:pPr>
          </w:p>
        </w:tc>
      </w:tr>
      <w:tr>
        <w:trPr>
          <w:trHeight w:val="280"/>
        </w:trPr>
        <w:tc>
          <w:tcPr>
            <w:tcW w:w="3020" w:type="dxa"/>
            <w:vAlign w:val="bottom"/>
            <w:gridSpan w:val="4"/>
          </w:tcPr>
          <w:p>
            <w:pPr>
              <w:ind w:left="20"/>
              <w:spacing w:after="0"/>
              <w:rPr>
                <w:sz w:val="20"/>
                <w:szCs w:val="20"/>
                <w:color w:val="auto"/>
              </w:rPr>
            </w:pPr>
            <w:r>
              <w:rPr>
                <w:rFonts w:ascii="Arial" w:cs="Arial" w:eastAsia="Arial" w:hAnsi="Arial"/>
                <w:sz w:val="13"/>
                <w:szCs w:val="13"/>
                <w:b w:val="1"/>
                <w:bCs w:val="1"/>
                <w:color w:val="auto"/>
              </w:rPr>
              <w:t> </w:t>
            </w: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42"/>
        </w:trPr>
        <w:tc>
          <w:tcPr>
            <w:tcW w:w="276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3"/>
                <w:szCs w:val="13"/>
                <w:b w:val="1"/>
                <w:bCs w:val="1"/>
                <w:color w:val="auto"/>
              </w:rPr>
              <w:t>Example A — Index Performance is Positive</w:t>
            </w:r>
          </w:p>
        </w:tc>
        <w:tc>
          <w:tcPr>
            <w:tcW w:w="260" w:type="dxa"/>
            <w:vAlign w:val="bottom"/>
            <w:gridSpan w:val="2"/>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99"/>
        </w:trPr>
        <w:tc>
          <w:tcPr>
            <w:tcW w:w="30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94"/>
        </w:trPr>
        <w:tc>
          <w:tcPr>
            <w:tcW w:w="106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r>
      <w:tr>
        <w:trPr>
          <w:trHeight w:val="198"/>
        </w:trPr>
        <w:tc>
          <w:tcPr>
            <w:tcW w:w="1060" w:type="dxa"/>
            <w:vAlign w:val="bottom"/>
            <w:tcBorders>
              <w:left w:val="single" w:sz="8" w:color="auto"/>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Step Rate Edge</w:t>
            </w:r>
          </w:p>
        </w:tc>
        <w:tc>
          <w:tcPr>
            <w:tcW w:w="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3"/>
                <w:szCs w:val="13"/>
                <w:b w:val="1"/>
                <w:bCs w:val="1"/>
                <w:color w:val="auto"/>
              </w:rPr>
              <w:t>Step Rate</w:t>
            </w:r>
          </w:p>
        </w:tc>
        <w:tc>
          <w:tcPr>
            <w:tcW w:w="6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Cap Rate</w:t>
            </w:r>
          </w:p>
        </w:tc>
        <w:tc>
          <w:tcPr>
            <w:tcW w:w="8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3"/>
                <w:szCs w:val="13"/>
                <w:b w:val="1"/>
                <w:bCs w:val="1"/>
                <w:color w:val="auto"/>
              </w:rPr>
              <w:t>Cap Rate</w:t>
            </w:r>
          </w:p>
        </w:tc>
      </w:tr>
      <w:tr>
        <w:trPr>
          <w:trHeight w:val="194"/>
        </w:trPr>
        <w:tc>
          <w:tcPr>
            <w:tcW w:w="3020" w:type="dxa"/>
            <w:vAlign w:val="bottom"/>
            <w:tcBorders>
              <w:left w:val="single" w:sz="8" w:color="auto"/>
              <w:bottom w:val="single" w:sz="8" w:color="auto"/>
              <w:right w:val="single" w:sz="8" w:color="auto"/>
            </w:tcBorders>
            <w:gridSpan w:val="4"/>
            <w:shd w:val="clear" w:color="auto" w:fill="F0FFFF"/>
          </w:tcPr>
          <w:p>
            <w:pPr>
              <w:ind w:left="60"/>
              <w:spacing w:after="0"/>
              <w:rPr>
                <w:sz w:val="20"/>
                <w:szCs w:val="20"/>
                <w:color w:val="auto"/>
              </w:rPr>
            </w:pPr>
            <w:r>
              <w:rPr>
                <w:rFonts w:ascii="Times New Roman" w:cs="Times New Roman" w:eastAsia="Times New Roman" w:hAnsi="Times New Roman"/>
                <w:sz w:val="13"/>
                <w:szCs w:val="13"/>
                <w:color w:val="auto"/>
              </w:rPr>
              <w:t>Months elapsed since Term Start Date</w:t>
            </w:r>
          </w:p>
        </w:tc>
        <w:tc>
          <w:tcPr>
            <w:tcW w:w="1120" w:type="dxa"/>
            <w:vAlign w:val="bottom"/>
            <w:tcBorders>
              <w:bottom w:val="single" w:sz="8" w:color="auto"/>
              <w:right w:val="single" w:sz="8" w:color="F0FFFF"/>
            </w:tcBorders>
            <w:shd w:val="clear" w:color="auto" w:fill="F0FFFF"/>
          </w:tcPr>
          <w:p>
            <w:pPr>
              <w:spacing w:after="0"/>
              <w:rPr>
                <w:sz w:val="16"/>
                <w:szCs w:val="16"/>
                <w:color w:val="auto"/>
              </w:rPr>
            </w:pPr>
          </w:p>
        </w:tc>
        <w:tc>
          <w:tcPr>
            <w:tcW w:w="880" w:type="dxa"/>
            <w:vAlign w:val="bottom"/>
            <w:tcBorders>
              <w:bottom w:val="single" w:sz="8" w:color="auto"/>
              <w:right w:val="single" w:sz="8" w:color="F0FFFF"/>
            </w:tcBorders>
            <w:shd w:val="clear" w:color="auto" w:fill="F0FFFF"/>
          </w:tcPr>
          <w:p>
            <w:pPr>
              <w:jc w:val="center"/>
              <w:ind w:left="534"/>
              <w:spacing w:after="0"/>
              <w:rPr>
                <w:sz w:val="20"/>
                <w:szCs w:val="20"/>
                <w:color w:val="auto"/>
              </w:rPr>
            </w:pPr>
            <w:r>
              <w:rPr>
                <w:rFonts w:ascii="Times New Roman" w:cs="Times New Roman" w:eastAsia="Times New Roman" w:hAnsi="Times New Roman"/>
                <w:sz w:val="13"/>
                <w:szCs w:val="13"/>
                <w:color w:val="auto"/>
              </w:rPr>
              <w:t>6</w:t>
            </w:r>
          </w:p>
        </w:tc>
        <w:tc>
          <w:tcPr>
            <w:tcW w:w="60" w:type="dxa"/>
            <w:vAlign w:val="bottom"/>
            <w:tcBorders>
              <w:bottom w:val="single" w:sz="8" w:color="auto"/>
            </w:tcBorders>
            <w:shd w:val="clear" w:color="auto" w:fill="F0FFFF"/>
          </w:tcPr>
          <w:p>
            <w:pPr>
              <w:spacing w:after="0"/>
              <w:rPr>
                <w:sz w:val="16"/>
                <w:szCs w:val="16"/>
                <w:color w:val="auto"/>
              </w:rPr>
            </w:pPr>
          </w:p>
        </w:tc>
        <w:tc>
          <w:tcPr>
            <w:tcW w:w="800" w:type="dxa"/>
            <w:vAlign w:val="bottom"/>
            <w:tcBorders>
              <w:bottom w:val="single" w:sz="8" w:color="auto"/>
              <w:right w:val="single" w:sz="8" w:color="F0FFFF"/>
            </w:tcBorders>
            <w:shd w:val="clear" w:color="auto" w:fill="F0FFFF"/>
          </w:tcPr>
          <w:p>
            <w:pPr>
              <w:spacing w:after="0"/>
              <w:rPr>
                <w:sz w:val="16"/>
                <w:szCs w:val="16"/>
                <w:color w:val="auto"/>
              </w:rPr>
            </w:pPr>
          </w:p>
        </w:tc>
        <w:tc>
          <w:tcPr>
            <w:tcW w:w="880" w:type="dxa"/>
            <w:vAlign w:val="bottom"/>
            <w:tcBorders>
              <w:bottom w:val="single" w:sz="8" w:color="auto"/>
              <w:right w:val="single" w:sz="8" w:color="auto"/>
            </w:tcBorders>
            <w:shd w:val="clear" w:color="auto" w:fill="F0FFFF"/>
          </w:tcPr>
          <w:p>
            <w:pPr>
              <w:spacing w:after="0"/>
              <w:rPr>
                <w:sz w:val="16"/>
                <w:szCs w:val="16"/>
                <w:color w:val="auto"/>
              </w:rPr>
            </w:pPr>
          </w:p>
        </w:tc>
      </w:tr>
      <w:tr>
        <w:trPr>
          <w:trHeight w:val="198"/>
        </w:trPr>
        <w:tc>
          <w:tcPr>
            <w:tcW w:w="3020" w:type="dxa"/>
            <w:vAlign w:val="bottom"/>
            <w:tcBorders>
              <w:left w:val="single" w:sz="8" w:color="auto"/>
              <w:bottom w:val="single" w:sz="8" w:color="auto"/>
              <w:right w:val="single" w:sz="8" w:color="auto"/>
            </w:tcBorders>
            <w:gridSpan w:val="4"/>
          </w:tcPr>
          <w:p>
            <w:pPr>
              <w:ind w:left="60"/>
              <w:spacing w:after="0"/>
              <w:rPr>
                <w:sz w:val="20"/>
                <w:szCs w:val="20"/>
                <w:color w:val="auto"/>
              </w:rPr>
            </w:pPr>
            <w:r>
              <w:rPr>
                <w:rFonts w:ascii="Times New Roman" w:cs="Times New Roman" w:eastAsia="Times New Roman" w:hAnsi="Times New Roman"/>
                <w:sz w:val="13"/>
                <w:szCs w:val="13"/>
                <w:color w:val="auto"/>
              </w:rPr>
              <w:t>Months until Term End Date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6</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18</w:t>
            </w:r>
          </w:p>
        </w:tc>
        <w:tc>
          <w:tcPr>
            <w:tcW w:w="6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center"/>
              <w:ind w:right="14"/>
              <w:spacing w:after="0"/>
              <w:rPr>
                <w:sz w:val="20"/>
                <w:szCs w:val="20"/>
                <w:color w:val="auto"/>
              </w:rPr>
            </w:pPr>
            <w:r>
              <w:rPr>
                <w:rFonts w:ascii="Times New Roman" w:cs="Times New Roman" w:eastAsia="Times New Roman" w:hAnsi="Times New Roman"/>
                <w:sz w:val="13"/>
                <w:szCs w:val="13"/>
                <w:color w:val="auto"/>
                <w:w w:val="91"/>
              </w:rPr>
              <w:t>30</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66</w:t>
            </w:r>
          </w:p>
        </w:tc>
      </w:tr>
      <w:tr>
        <w:trPr>
          <w:trHeight w:val="198"/>
        </w:trPr>
        <w:tc>
          <w:tcPr>
            <w:tcW w:w="3020" w:type="dxa"/>
            <w:vAlign w:val="bottom"/>
            <w:tcBorders>
              <w:left w:val="single" w:sz="8" w:color="auto"/>
              <w:bottom w:val="single" w:sz="8" w:color="auto"/>
              <w:right w:val="single" w:sz="8" w:color="auto"/>
            </w:tcBorders>
            <w:gridSpan w:val="4"/>
            <w:shd w:val="clear" w:color="auto" w:fill="F0FFFF"/>
          </w:tcPr>
          <w:p>
            <w:pPr>
              <w:ind w:left="60"/>
              <w:spacing w:after="0"/>
              <w:rPr>
                <w:sz w:val="20"/>
                <w:szCs w:val="20"/>
                <w:color w:val="auto"/>
              </w:rPr>
            </w:pPr>
            <w:r>
              <w:rPr>
                <w:rFonts w:ascii="Times New Roman" w:cs="Times New Roman" w:eastAsia="Times New Roman" w:hAnsi="Times New Roman"/>
                <w:sz w:val="13"/>
                <w:szCs w:val="13"/>
                <w:color w:val="auto"/>
              </w:rPr>
              <w:t>Index Value</w:t>
            </w:r>
          </w:p>
        </w:tc>
        <w:tc>
          <w:tcPr>
            <w:tcW w:w="1120" w:type="dxa"/>
            <w:vAlign w:val="bottom"/>
            <w:tcBorders>
              <w:bottom w:val="single" w:sz="8" w:color="auto"/>
              <w:right w:val="single" w:sz="8" w:color="F0FFFF"/>
            </w:tcBorders>
            <w:shd w:val="clear" w:color="auto" w:fill="F0FFFF"/>
          </w:tcPr>
          <w:p>
            <w:pPr>
              <w:spacing w:after="0"/>
              <w:rPr>
                <w:sz w:val="17"/>
                <w:szCs w:val="17"/>
                <w:color w:val="auto"/>
              </w:rPr>
            </w:pPr>
          </w:p>
        </w:tc>
        <w:tc>
          <w:tcPr>
            <w:tcW w:w="940" w:type="dxa"/>
            <w:vAlign w:val="bottom"/>
            <w:tcBorders>
              <w:bottom w:val="single" w:sz="8" w:color="auto"/>
            </w:tcBorders>
            <w:gridSpan w:val="2"/>
            <w:shd w:val="clear" w:color="auto" w:fill="F0FFFF"/>
          </w:tcPr>
          <w:p>
            <w:pPr>
              <w:jc w:val="center"/>
              <w:ind w:left="474"/>
              <w:spacing w:after="0"/>
              <w:rPr>
                <w:sz w:val="20"/>
                <w:szCs w:val="20"/>
                <w:color w:val="auto"/>
              </w:rPr>
            </w:pPr>
            <w:r>
              <w:rPr>
                <w:rFonts w:ascii="Times New Roman" w:cs="Times New Roman" w:eastAsia="Times New Roman" w:hAnsi="Times New Roman"/>
                <w:sz w:val="13"/>
                <w:szCs w:val="13"/>
                <w:color w:val="auto"/>
              </w:rPr>
              <w:t>1200</w:t>
            </w:r>
          </w:p>
        </w:tc>
        <w:tc>
          <w:tcPr>
            <w:tcW w:w="800" w:type="dxa"/>
            <w:vAlign w:val="bottom"/>
            <w:tcBorders>
              <w:bottom w:val="single" w:sz="8" w:color="auto"/>
              <w:right w:val="single" w:sz="8" w:color="F0FFFF"/>
            </w:tcBorders>
            <w:shd w:val="clear" w:color="auto" w:fill="F0FFFF"/>
          </w:tcPr>
          <w:p>
            <w:pPr>
              <w:spacing w:after="0"/>
              <w:rPr>
                <w:sz w:val="17"/>
                <w:szCs w:val="17"/>
                <w:color w:val="auto"/>
              </w:rPr>
            </w:pPr>
          </w:p>
        </w:tc>
        <w:tc>
          <w:tcPr>
            <w:tcW w:w="880" w:type="dxa"/>
            <w:vAlign w:val="bottom"/>
            <w:tcBorders>
              <w:bottom w:val="single" w:sz="8" w:color="auto"/>
              <w:right w:val="single" w:sz="8" w:color="auto"/>
            </w:tcBorders>
            <w:shd w:val="clear" w:color="auto" w:fill="F0FFFF"/>
          </w:tcPr>
          <w:p>
            <w:pPr>
              <w:spacing w:after="0"/>
              <w:rPr>
                <w:sz w:val="17"/>
                <w:szCs w:val="17"/>
                <w:color w:val="auto"/>
              </w:rPr>
            </w:pPr>
          </w:p>
        </w:tc>
      </w:tr>
      <w:tr>
        <w:trPr>
          <w:trHeight w:val="228"/>
        </w:trPr>
        <w:tc>
          <w:tcPr>
            <w:tcW w:w="3020" w:type="dxa"/>
            <w:vAlign w:val="bottom"/>
            <w:tcBorders>
              <w:left w:val="single" w:sz="8" w:color="auto"/>
              <w:bottom w:val="single" w:sz="8" w:color="auto"/>
              <w:right w:val="single" w:sz="8" w:color="auto"/>
            </w:tcBorders>
            <w:gridSpan w:val="4"/>
          </w:tcPr>
          <w:p>
            <w:pPr>
              <w:ind w:left="60"/>
              <w:spacing w:after="0"/>
              <w:rPr>
                <w:sz w:val="20"/>
                <w:szCs w:val="20"/>
                <w:color w:val="auto"/>
              </w:rPr>
            </w:pPr>
            <w:r>
              <w:rPr>
                <w:rFonts w:ascii="Times New Roman" w:cs="Times New Roman" w:eastAsia="Times New Roman" w:hAnsi="Times New Roman"/>
                <w:sz w:val="13"/>
                <w:szCs w:val="13"/>
                <w:color w:val="auto"/>
              </w:rPr>
              <w:t>Index Performance on calculation date</w:t>
            </w:r>
            <w:r>
              <w:rPr>
                <w:rFonts w:ascii="Times New Roman" w:cs="Times New Roman" w:eastAsia="Times New Roman" w:hAnsi="Times New Roman"/>
                <w:sz w:val="17"/>
                <w:szCs w:val="17"/>
                <w:color w:val="auto"/>
                <w:vertAlign w:val="superscript"/>
              </w:rPr>
              <w:t>(1)</w:t>
            </w:r>
          </w:p>
        </w:tc>
        <w:tc>
          <w:tcPr>
            <w:tcW w:w="1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534"/>
              <w:spacing w:after="0"/>
              <w:rPr>
                <w:sz w:val="20"/>
                <w:szCs w:val="20"/>
                <w:color w:val="auto"/>
              </w:rPr>
            </w:pPr>
            <w:r>
              <w:rPr>
                <w:rFonts w:ascii="Times New Roman" w:cs="Times New Roman" w:eastAsia="Times New Roman" w:hAnsi="Times New Roman"/>
                <w:sz w:val="13"/>
                <w:szCs w:val="13"/>
                <w:color w:val="auto"/>
              </w:rPr>
              <w:t>20%</w:t>
            </w:r>
          </w:p>
        </w:tc>
        <w:tc>
          <w:tcPr>
            <w:tcW w:w="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r>
      <w:tr>
        <w:trPr>
          <w:trHeight w:val="188"/>
        </w:trPr>
        <w:tc>
          <w:tcPr>
            <w:tcW w:w="3020" w:type="dxa"/>
            <w:vAlign w:val="bottom"/>
            <w:tcBorders>
              <w:left w:val="single" w:sz="8" w:color="auto"/>
              <w:bottom w:val="single" w:sz="8" w:color="auto"/>
              <w:right w:val="single" w:sz="8" w:color="auto"/>
            </w:tcBorders>
            <w:gridSpan w:val="4"/>
            <w:shd w:val="clear" w:color="auto" w:fill="F0FFFF"/>
          </w:tcPr>
          <w:p>
            <w:pPr>
              <w:ind w:left="60"/>
              <w:spacing w:after="0"/>
              <w:rPr>
                <w:sz w:val="20"/>
                <w:szCs w:val="20"/>
                <w:color w:val="auto"/>
              </w:rPr>
            </w:pPr>
            <w:r>
              <w:rPr>
                <w:rFonts w:ascii="Times New Roman" w:cs="Times New Roman" w:eastAsia="Times New Roman" w:hAnsi="Times New Roman"/>
                <w:sz w:val="13"/>
                <w:szCs w:val="13"/>
                <w:color w:val="auto"/>
              </w:rPr>
              <w:t>Market Value Rate on calculation date</w:t>
            </w:r>
          </w:p>
        </w:tc>
        <w:tc>
          <w:tcPr>
            <w:tcW w:w="11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3.00%</w:t>
            </w:r>
          </w:p>
        </w:tc>
        <w:tc>
          <w:tcPr>
            <w:tcW w:w="8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5.00%</w:t>
            </w:r>
          </w:p>
        </w:tc>
        <w:tc>
          <w:tcPr>
            <w:tcW w:w="60" w:type="dxa"/>
            <w:vAlign w:val="bottom"/>
            <w:tcBorders>
              <w:bottom w:val="single" w:sz="8" w:color="auto"/>
            </w:tcBorders>
            <w:shd w:val="clear" w:color="auto" w:fill="F0FFFF"/>
          </w:tcPr>
          <w:p>
            <w:pPr>
              <w:spacing w:after="0"/>
              <w:rPr>
                <w:sz w:val="16"/>
                <w:szCs w:val="16"/>
                <w:color w:val="auto"/>
              </w:rPr>
            </w:pPr>
          </w:p>
        </w:tc>
        <w:tc>
          <w:tcPr>
            <w:tcW w:w="800" w:type="dxa"/>
            <w:vAlign w:val="bottom"/>
            <w:tcBorders>
              <w:bottom w:val="single" w:sz="8" w:color="auto"/>
              <w:right w:val="single" w:sz="8" w:color="auto"/>
            </w:tcBorders>
            <w:shd w:val="clear" w:color="auto" w:fill="F0FFFF"/>
          </w:tcPr>
          <w:p>
            <w:pPr>
              <w:jc w:val="center"/>
              <w:ind w:right="34"/>
              <w:spacing w:after="0"/>
              <w:rPr>
                <w:sz w:val="20"/>
                <w:szCs w:val="20"/>
                <w:color w:val="auto"/>
              </w:rPr>
            </w:pPr>
            <w:r>
              <w:rPr>
                <w:rFonts w:ascii="Times New Roman" w:cs="Times New Roman" w:eastAsia="Times New Roman" w:hAnsi="Times New Roman"/>
                <w:sz w:val="13"/>
                <w:szCs w:val="13"/>
                <w:color w:val="auto"/>
              </w:rPr>
              <w:t>7.00%</w:t>
            </w:r>
          </w:p>
        </w:tc>
        <w:tc>
          <w:tcPr>
            <w:tcW w:w="8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9.00%</w:t>
            </w:r>
          </w:p>
        </w:tc>
      </w:tr>
      <w:tr>
        <w:trPr>
          <w:trHeight w:val="198"/>
        </w:trPr>
        <w:tc>
          <w:tcPr>
            <w:tcW w:w="3020" w:type="dxa"/>
            <w:vAlign w:val="bottom"/>
            <w:tcBorders>
              <w:left w:val="single" w:sz="8" w:color="auto"/>
              <w:bottom w:val="single" w:sz="8" w:color="auto"/>
              <w:right w:val="single" w:sz="8" w:color="auto"/>
            </w:tcBorders>
            <w:gridSpan w:val="4"/>
          </w:tcPr>
          <w:p>
            <w:pPr>
              <w:ind w:left="60"/>
              <w:spacing w:after="0"/>
              <w:rPr>
                <w:sz w:val="20"/>
                <w:szCs w:val="20"/>
                <w:color w:val="auto"/>
              </w:rPr>
            </w:pPr>
            <w:r>
              <w:rPr>
                <w:rFonts w:ascii="Times New Roman" w:cs="Times New Roman" w:eastAsia="Times New Roman" w:hAnsi="Times New Roman"/>
                <w:sz w:val="13"/>
                <w:szCs w:val="13"/>
                <w:color w:val="auto"/>
              </w:rPr>
              <w:t>Market value of the Fixed Income Asset Proxy</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$48,823.16</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$46,519.03</w:t>
            </w:r>
          </w:p>
        </w:tc>
        <w:tc>
          <w:tcPr>
            <w:tcW w:w="6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center"/>
              <w:ind w:right="14"/>
              <w:spacing w:after="0"/>
              <w:rPr>
                <w:sz w:val="20"/>
                <w:szCs w:val="20"/>
                <w:color w:val="auto"/>
              </w:rPr>
            </w:pPr>
            <w:r>
              <w:rPr>
                <w:rFonts w:ascii="Times New Roman" w:cs="Times New Roman" w:eastAsia="Times New Roman" w:hAnsi="Times New Roman"/>
                <w:sz w:val="13"/>
                <w:szCs w:val="13"/>
                <w:color w:val="auto"/>
              </w:rPr>
              <w:t>$42,116.56</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$34,758.31</w:t>
            </w:r>
          </w:p>
        </w:tc>
      </w:tr>
      <w:tr>
        <w:trPr>
          <w:trHeight w:val="198"/>
        </w:trPr>
        <w:tc>
          <w:tcPr>
            <w:tcW w:w="3020" w:type="dxa"/>
            <w:vAlign w:val="bottom"/>
            <w:tcBorders>
              <w:left w:val="single" w:sz="8" w:color="auto"/>
              <w:bottom w:val="single" w:sz="8" w:color="auto"/>
              <w:right w:val="single" w:sz="8" w:color="auto"/>
            </w:tcBorders>
            <w:gridSpan w:val="4"/>
            <w:shd w:val="clear" w:color="auto" w:fill="F0FFFF"/>
          </w:tcPr>
          <w:p>
            <w:pPr>
              <w:ind w:left="60"/>
              <w:spacing w:after="0"/>
              <w:rPr>
                <w:sz w:val="20"/>
                <w:szCs w:val="20"/>
                <w:color w:val="auto"/>
              </w:rPr>
            </w:pPr>
            <w:r>
              <w:rPr>
                <w:rFonts w:ascii="Times New Roman" w:cs="Times New Roman" w:eastAsia="Times New Roman" w:hAnsi="Times New Roman"/>
                <w:sz w:val="13"/>
                <w:szCs w:val="13"/>
                <w:color w:val="auto"/>
              </w:rPr>
              <w:t>Market value of the Derivative Asset Proxy</w:t>
            </w:r>
          </w:p>
        </w:tc>
        <w:tc>
          <w:tcPr>
            <w:tcW w:w="11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$3,848.51</w:t>
            </w:r>
          </w:p>
        </w:tc>
        <w:tc>
          <w:tcPr>
            <w:tcW w:w="8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w w:val="99"/>
              </w:rPr>
              <w:t>$6,526.00</w:t>
            </w:r>
          </w:p>
        </w:tc>
        <w:tc>
          <w:tcPr>
            <w:tcW w:w="60" w:type="dxa"/>
            <w:vAlign w:val="bottom"/>
            <w:tcBorders>
              <w:bottom w:val="single" w:sz="8" w:color="auto"/>
            </w:tcBorders>
            <w:shd w:val="clear" w:color="auto" w:fill="F0FFFF"/>
          </w:tcPr>
          <w:p>
            <w:pPr>
              <w:spacing w:after="0"/>
              <w:rPr>
                <w:sz w:val="17"/>
                <w:szCs w:val="17"/>
                <w:color w:val="auto"/>
              </w:rPr>
            </w:pPr>
          </w:p>
        </w:tc>
        <w:tc>
          <w:tcPr>
            <w:tcW w:w="800" w:type="dxa"/>
            <w:vAlign w:val="bottom"/>
            <w:tcBorders>
              <w:bottom w:val="single" w:sz="8" w:color="auto"/>
              <w:right w:val="single" w:sz="8" w:color="auto"/>
            </w:tcBorders>
            <w:shd w:val="clear" w:color="auto" w:fill="F0FFFF"/>
          </w:tcPr>
          <w:p>
            <w:pPr>
              <w:jc w:val="center"/>
              <w:ind w:right="14"/>
              <w:spacing w:after="0"/>
              <w:rPr>
                <w:sz w:val="20"/>
                <w:szCs w:val="20"/>
                <w:color w:val="auto"/>
              </w:rPr>
            </w:pPr>
            <w:r>
              <w:rPr>
                <w:rFonts w:ascii="Times New Roman" w:cs="Times New Roman" w:eastAsia="Times New Roman" w:hAnsi="Times New Roman"/>
                <w:sz w:val="13"/>
                <w:szCs w:val="13"/>
                <w:color w:val="auto"/>
              </w:rPr>
              <w:t>$16,069.42</w:t>
            </w:r>
          </w:p>
        </w:tc>
        <w:tc>
          <w:tcPr>
            <w:tcW w:w="8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$21,946.25</w:t>
            </w:r>
          </w:p>
        </w:tc>
      </w:tr>
      <w:tr>
        <w:trPr>
          <w:trHeight w:val="228"/>
        </w:trPr>
        <w:tc>
          <w:tcPr>
            <w:tcW w:w="3020" w:type="dxa"/>
            <w:vAlign w:val="bottom"/>
            <w:tcBorders>
              <w:left w:val="single" w:sz="8" w:color="auto"/>
              <w:bottom w:val="single" w:sz="8" w:color="auto"/>
              <w:right w:val="single" w:sz="8" w:color="auto"/>
            </w:tcBorders>
            <w:gridSpan w:val="4"/>
          </w:tcPr>
          <w:p>
            <w:pPr>
              <w:ind w:left="60"/>
              <w:spacing w:after="0"/>
              <w:rPr>
                <w:sz w:val="20"/>
                <w:szCs w:val="20"/>
                <w:color w:val="auto"/>
              </w:rPr>
            </w:pPr>
            <w:r>
              <w:rPr>
                <w:rFonts w:ascii="Times New Roman" w:cs="Times New Roman" w:eastAsia="Times New Roman" w:hAnsi="Times New Roman"/>
                <w:sz w:val="13"/>
                <w:szCs w:val="13"/>
                <w:color w:val="auto"/>
              </w:rPr>
              <w:t>Interim Value of each Shield Option</w:t>
            </w:r>
            <w:r>
              <w:rPr>
                <w:rFonts w:ascii="Times New Roman" w:cs="Times New Roman" w:eastAsia="Times New Roman" w:hAnsi="Times New Roman"/>
                <w:sz w:val="17"/>
                <w:szCs w:val="17"/>
                <w:color w:val="auto"/>
                <w:vertAlign w:val="superscript"/>
              </w:rPr>
              <w:t>(2)</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$52,671.67</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$53,045.03</w:t>
            </w:r>
          </w:p>
        </w:tc>
        <w:tc>
          <w:tcPr>
            <w:tcW w:w="6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jc w:val="center"/>
              <w:ind w:right="14"/>
              <w:spacing w:after="0"/>
              <w:rPr>
                <w:sz w:val="20"/>
                <w:szCs w:val="20"/>
                <w:color w:val="auto"/>
              </w:rPr>
            </w:pPr>
            <w:r>
              <w:rPr>
                <w:rFonts w:ascii="Times New Roman" w:cs="Times New Roman" w:eastAsia="Times New Roman" w:hAnsi="Times New Roman"/>
                <w:sz w:val="13"/>
                <w:szCs w:val="13"/>
                <w:color w:val="auto"/>
              </w:rPr>
              <w:t>$58,185.98</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$56,704.57</w:t>
            </w:r>
          </w:p>
        </w:tc>
      </w:tr>
      <w:tr>
        <w:trPr>
          <w:trHeight w:val="183"/>
        </w:trPr>
        <w:tc>
          <w:tcPr>
            <w:tcW w:w="3020" w:type="dxa"/>
            <w:vAlign w:val="bottom"/>
            <w:tcBorders>
              <w:left w:val="single" w:sz="8" w:color="auto"/>
              <w:bottom w:val="single" w:sz="8" w:color="auto"/>
              <w:right w:val="single" w:sz="8" w:color="auto"/>
            </w:tcBorders>
            <w:gridSpan w:val="4"/>
            <w:shd w:val="clear" w:color="auto" w:fill="F0FFFF"/>
          </w:tcPr>
          <w:p>
            <w:pPr>
              <w:ind w:left="60"/>
              <w:spacing w:after="0"/>
              <w:rPr>
                <w:sz w:val="20"/>
                <w:szCs w:val="20"/>
                <w:color w:val="auto"/>
              </w:rPr>
            </w:pPr>
            <w:r>
              <w:rPr>
                <w:rFonts w:ascii="Arial" w:cs="Arial" w:eastAsia="Arial" w:hAnsi="Arial"/>
                <w:sz w:val="13"/>
                <w:szCs w:val="13"/>
                <w:b w:val="1"/>
                <w:bCs w:val="1"/>
                <w:color w:val="auto"/>
              </w:rPr>
              <w:t>Total Account Value</w:t>
            </w:r>
          </w:p>
        </w:tc>
        <w:tc>
          <w:tcPr>
            <w:tcW w:w="1120" w:type="dxa"/>
            <w:vAlign w:val="bottom"/>
            <w:tcBorders>
              <w:bottom w:val="single" w:sz="8" w:color="auto"/>
              <w:right w:val="single" w:sz="8" w:color="F0FFFF"/>
            </w:tcBorders>
            <w:shd w:val="clear" w:color="auto" w:fill="F0FFFF"/>
          </w:tcPr>
          <w:p>
            <w:pPr>
              <w:spacing w:after="0"/>
              <w:rPr>
                <w:sz w:val="15"/>
                <w:szCs w:val="15"/>
                <w:color w:val="auto"/>
              </w:rPr>
            </w:pPr>
          </w:p>
        </w:tc>
        <w:tc>
          <w:tcPr>
            <w:tcW w:w="1740" w:type="dxa"/>
            <w:vAlign w:val="bottom"/>
            <w:tcBorders>
              <w:bottom w:val="single" w:sz="8" w:color="auto"/>
              <w:right w:val="single" w:sz="8" w:color="F0FFFF"/>
            </w:tcBorders>
            <w:gridSpan w:val="3"/>
            <w:shd w:val="clear" w:color="auto" w:fill="F0FFFF"/>
          </w:tcPr>
          <w:p>
            <w:pPr>
              <w:jc w:val="center"/>
              <w:ind w:right="194"/>
              <w:spacing w:after="0"/>
              <w:rPr>
                <w:sz w:val="20"/>
                <w:szCs w:val="20"/>
                <w:color w:val="auto"/>
              </w:rPr>
            </w:pPr>
            <w:r>
              <w:rPr>
                <w:rFonts w:ascii="Arial" w:cs="Arial" w:eastAsia="Arial" w:hAnsi="Arial"/>
                <w:sz w:val="13"/>
                <w:szCs w:val="13"/>
                <w:b w:val="1"/>
                <w:bCs w:val="1"/>
                <w:color w:val="auto"/>
                <w:w w:val="99"/>
              </w:rPr>
              <w:t>$220,607.25</w:t>
            </w:r>
          </w:p>
        </w:tc>
        <w:tc>
          <w:tcPr>
            <w:tcW w:w="880" w:type="dxa"/>
            <w:vAlign w:val="bottom"/>
            <w:tcBorders>
              <w:bottom w:val="single" w:sz="8" w:color="auto"/>
              <w:right w:val="single" w:sz="8" w:color="auto"/>
            </w:tcBorders>
            <w:shd w:val="clear" w:color="auto" w:fill="F0FFFF"/>
          </w:tcPr>
          <w:p>
            <w:pPr>
              <w:spacing w:after="0"/>
              <w:rPr>
                <w:sz w:val="15"/>
                <w:szCs w:val="15"/>
                <w:color w:val="auto"/>
              </w:rPr>
            </w:pPr>
          </w:p>
        </w:tc>
      </w:tr>
      <w:tr>
        <w:trPr>
          <w:trHeight w:val="271"/>
        </w:trPr>
        <w:tc>
          <w:tcPr>
            <w:tcW w:w="3020" w:type="dxa"/>
            <w:vAlign w:val="bottom"/>
            <w:gridSpan w:val="4"/>
          </w:tcPr>
          <w:p>
            <w:pPr>
              <w:ind w:left="20"/>
              <w:spacing w:after="0"/>
              <w:rPr>
                <w:sz w:val="20"/>
                <w:szCs w:val="20"/>
                <w:color w:val="auto"/>
              </w:rPr>
            </w:pPr>
            <w:r>
              <w:rPr>
                <w:rFonts w:ascii="Arial" w:cs="Arial" w:eastAsia="Arial" w:hAnsi="Arial"/>
                <w:sz w:val="13"/>
                <w:szCs w:val="13"/>
                <w:b w:val="1"/>
                <w:bCs w:val="1"/>
                <w:color w:val="auto"/>
              </w:rPr>
              <w:t> </w:t>
            </w:r>
          </w:p>
        </w:tc>
        <w:tc>
          <w:tcPr>
            <w:tcW w:w="1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50"/>
        </w:trPr>
        <w:tc>
          <w:tcPr>
            <w:tcW w:w="3020" w:type="dxa"/>
            <w:vAlign w:val="bottom"/>
            <w:gridSpan w:val="4"/>
          </w:tcPr>
          <w:p>
            <w:pPr>
              <w:ind w:left="20"/>
              <w:spacing w:after="0"/>
              <w:rPr>
                <w:sz w:val="20"/>
                <w:szCs w:val="20"/>
                <w:color w:val="auto"/>
              </w:rPr>
            </w:pPr>
            <w:r>
              <w:rPr>
                <w:rFonts w:ascii="Arial" w:cs="Arial" w:eastAsia="Arial" w:hAnsi="Arial"/>
                <w:sz w:val="13"/>
                <w:szCs w:val="13"/>
                <w:b w:val="1"/>
                <w:bCs w:val="1"/>
                <w:color w:val="auto"/>
              </w:rPr>
              <w:t>Example B — Index Performance is Negative</w:t>
            </w:r>
          </w:p>
        </w:tc>
        <w:tc>
          <w:tcPr>
            <w:tcW w:w="1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99"/>
        </w:trPr>
        <w:tc>
          <w:tcPr>
            <w:tcW w:w="280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84"/>
        </w:trPr>
        <w:tc>
          <w:tcPr>
            <w:tcW w:w="1060" w:type="dxa"/>
            <w:vAlign w:val="bottom"/>
            <w:tcBorders>
              <w:bottom w:val="single" w:sz="8" w:color="auto"/>
            </w:tcBorders>
          </w:tcPr>
          <w:p>
            <w:pPr>
              <w:spacing w:after="0"/>
              <w:rPr>
                <w:sz w:val="7"/>
                <w:szCs w:val="7"/>
                <w:color w:val="auto"/>
              </w:rPr>
            </w:pPr>
          </w:p>
        </w:tc>
        <w:tc>
          <w:tcPr>
            <w:tcW w:w="17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gridSpan w:val="2"/>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r>
      <w:tr>
        <w:trPr>
          <w:trHeight w:val="198"/>
        </w:trPr>
        <w:tc>
          <w:tcPr>
            <w:tcW w:w="1060" w:type="dxa"/>
            <w:vAlign w:val="bottom"/>
            <w:tcBorders>
              <w:left w:val="single" w:sz="8" w:color="auto"/>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Step Rate Edge</w:t>
            </w:r>
          </w:p>
        </w:tc>
        <w:tc>
          <w:tcPr>
            <w:tcW w:w="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3"/>
                <w:szCs w:val="13"/>
                <w:b w:val="1"/>
                <w:bCs w:val="1"/>
                <w:color w:val="auto"/>
              </w:rPr>
              <w:t>Step Rate</w:t>
            </w:r>
          </w:p>
        </w:tc>
        <w:tc>
          <w:tcPr>
            <w:tcW w:w="6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Cap Rate</w:t>
            </w:r>
          </w:p>
        </w:tc>
        <w:tc>
          <w:tcPr>
            <w:tcW w:w="8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3"/>
                <w:szCs w:val="13"/>
                <w:b w:val="1"/>
                <w:bCs w:val="1"/>
                <w:color w:val="auto"/>
              </w:rPr>
              <w:t>Cap Rate</w:t>
            </w:r>
          </w:p>
        </w:tc>
      </w:tr>
      <w:tr>
        <w:trPr>
          <w:trHeight w:val="194"/>
        </w:trPr>
        <w:tc>
          <w:tcPr>
            <w:tcW w:w="3020" w:type="dxa"/>
            <w:vAlign w:val="bottom"/>
            <w:tcBorders>
              <w:left w:val="single" w:sz="8" w:color="auto"/>
              <w:bottom w:val="single" w:sz="8" w:color="auto"/>
              <w:right w:val="single" w:sz="8" w:color="auto"/>
            </w:tcBorders>
            <w:gridSpan w:val="4"/>
            <w:shd w:val="clear" w:color="auto" w:fill="F0FFFF"/>
          </w:tcPr>
          <w:p>
            <w:pPr>
              <w:ind w:left="60"/>
              <w:spacing w:after="0"/>
              <w:rPr>
                <w:sz w:val="20"/>
                <w:szCs w:val="20"/>
                <w:color w:val="auto"/>
              </w:rPr>
            </w:pPr>
            <w:r>
              <w:rPr>
                <w:rFonts w:ascii="Times New Roman" w:cs="Times New Roman" w:eastAsia="Times New Roman" w:hAnsi="Times New Roman"/>
                <w:sz w:val="13"/>
                <w:szCs w:val="13"/>
                <w:color w:val="auto"/>
              </w:rPr>
              <w:t>Months elapsed since Term Start Date</w:t>
            </w:r>
          </w:p>
        </w:tc>
        <w:tc>
          <w:tcPr>
            <w:tcW w:w="1120" w:type="dxa"/>
            <w:vAlign w:val="bottom"/>
            <w:tcBorders>
              <w:bottom w:val="single" w:sz="8" w:color="auto"/>
              <w:right w:val="single" w:sz="8" w:color="F0FFFF"/>
            </w:tcBorders>
            <w:shd w:val="clear" w:color="auto" w:fill="F0FFFF"/>
          </w:tcPr>
          <w:p>
            <w:pPr>
              <w:spacing w:after="0"/>
              <w:rPr>
                <w:sz w:val="16"/>
                <w:szCs w:val="16"/>
                <w:color w:val="auto"/>
              </w:rPr>
            </w:pPr>
          </w:p>
        </w:tc>
        <w:tc>
          <w:tcPr>
            <w:tcW w:w="880" w:type="dxa"/>
            <w:vAlign w:val="bottom"/>
            <w:tcBorders>
              <w:bottom w:val="single" w:sz="8" w:color="auto"/>
              <w:right w:val="single" w:sz="8" w:color="F0FFFF"/>
            </w:tcBorders>
            <w:shd w:val="clear" w:color="auto" w:fill="F0FFFF"/>
          </w:tcPr>
          <w:p>
            <w:pPr>
              <w:jc w:val="center"/>
              <w:ind w:left="534"/>
              <w:spacing w:after="0"/>
              <w:rPr>
                <w:sz w:val="20"/>
                <w:szCs w:val="20"/>
                <w:color w:val="auto"/>
              </w:rPr>
            </w:pPr>
            <w:r>
              <w:rPr>
                <w:rFonts w:ascii="Times New Roman" w:cs="Times New Roman" w:eastAsia="Times New Roman" w:hAnsi="Times New Roman"/>
                <w:sz w:val="13"/>
                <w:szCs w:val="13"/>
                <w:color w:val="auto"/>
              </w:rPr>
              <w:t>6</w:t>
            </w:r>
          </w:p>
        </w:tc>
        <w:tc>
          <w:tcPr>
            <w:tcW w:w="60" w:type="dxa"/>
            <w:vAlign w:val="bottom"/>
            <w:tcBorders>
              <w:bottom w:val="single" w:sz="8" w:color="auto"/>
            </w:tcBorders>
            <w:shd w:val="clear" w:color="auto" w:fill="F0FFFF"/>
          </w:tcPr>
          <w:p>
            <w:pPr>
              <w:spacing w:after="0"/>
              <w:rPr>
                <w:sz w:val="16"/>
                <w:szCs w:val="16"/>
                <w:color w:val="auto"/>
              </w:rPr>
            </w:pPr>
          </w:p>
        </w:tc>
        <w:tc>
          <w:tcPr>
            <w:tcW w:w="800" w:type="dxa"/>
            <w:vAlign w:val="bottom"/>
            <w:tcBorders>
              <w:bottom w:val="single" w:sz="8" w:color="auto"/>
              <w:right w:val="single" w:sz="8" w:color="F0FFFF"/>
            </w:tcBorders>
            <w:shd w:val="clear" w:color="auto" w:fill="F0FFFF"/>
          </w:tcPr>
          <w:p>
            <w:pPr>
              <w:spacing w:after="0"/>
              <w:rPr>
                <w:sz w:val="16"/>
                <w:szCs w:val="16"/>
                <w:color w:val="auto"/>
              </w:rPr>
            </w:pPr>
          </w:p>
        </w:tc>
        <w:tc>
          <w:tcPr>
            <w:tcW w:w="880" w:type="dxa"/>
            <w:vAlign w:val="bottom"/>
            <w:tcBorders>
              <w:bottom w:val="single" w:sz="8" w:color="auto"/>
              <w:right w:val="single" w:sz="8" w:color="auto"/>
            </w:tcBorders>
            <w:shd w:val="clear" w:color="auto" w:fill="F0FFFF"/>
          </w:tcPr>
          <w:p>
            <w:pPr>
              <w:spacing w:after="0"/>
              <w:rPr>
                <w:sz w:val="16"/>
                <w:szCs w:val="16"/>
                <w:color w:val="auto"/>
              </w:rPr>
            </w:pPr>
          </w:p>
        </w:tc>
      </w:tr>
      <w:tr>
        <w:trPr>
          <w:trHeight w:val="198"/>
        </w:trPr>
        <w:tc>
          <w:tcPr>
            <w:tcW w:w="3020" w:type="dxa"/>
            <w:vAlign w:val="bottom"/>
            <w:tcBorders>
              <w:left w:val="single" w:sz="8" w:color="auto"/>
              <w:bottom w:val="single" w:sz="8" w:color="auto"/>
              <w:right w:val="single" w:sz="8" w:color="auto"/>
            </w:tcBorders>
            <w:gridSpan w:val="4"/>
          </w:tcPr>
          <w:p>
            <w:pPr>
              <w:ind w:left="60"/>
              <w:spacing w:after="0"/>
              <w:rPr>
                <w:sz w:val="20"/>
                <w:szCs w:val="20"/>
                <w:color w:val="auto"/>
              </w:rPr>
            </w:pPr>
            <w:r>
              <w:rPr>
                <w:rFonts w:ascii="Times New Roman" w:cs="Times New Roman" w:eastAsia="Times New Roman" w:hAnsi="Times New Roman"/>
                <w:sz w:val="13"/>
                <w:szCs w:val="13"/>
                <w:color w:val="auto"/>
              </w:rPr>
              <w:t>Months until Term End Date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6</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18</w:t>
            </w:r>
          </w:p>
        </w:tc>
        <w:tc>
          <w:tcPr>
            <w:tcW w:w="6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center"/>
              <w:ind w:right="14"/>
              <w:spacing w:after="0"/>
              <w:rPr>
                <w:sz w:val="20"/>
                <w:szCs w:val="20"/>
                <w:color w:val="auto"/>
              </w:rPr>
            </w:pPr>
            <w:r>
              <w:rPr>
                <w:rFonts w:ascii="Times New Roman" w:cs="Times New Roman" w:eastAsia="Times New Roman" w:hAnsi="Times New Roman"/>
                <w:sz w:val="13"/>
                <w:szCs w:val="13"/>
                <w:color w:val="auto"/>
                <w:w w:val="91"/>
              </w:rPr>
              <w:t>30</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66</w:t>
            </w:r>
          </w:p>
        </w:tc>
      </w:tr>
      <w:tr>
        <w:trPr>
          <w:trHeight w:val="198"/>
        </w:trPr>
        <w:tc>
          <w:tcPr>
            <w:tcW w:w="3020" w:type="dxa"/>
            <w:vAlign w:val="bottom"/>
            <w:tcBorders>
              <w:left w:val="single" w:sz="8" w:color="auto"/>
              <w:bottom w:val="single" w:sz="8" w:color="auto"/>
              <w:right w:val="single" w:sz="8" w:color="auto"/>
            </w:tcBorders>
            <w:gridSpan w:val="4"/>
            <w:shd w:val="clear" w:color="auto" w:fill="F0FFFF"/>
          </w:tcPr>
          <w:p>
            <w:pPr>
              <w:ind w:left="60"/>
              <w:spacing w:after="0"/>
              <w:rPr>
                <w:sz w:val="20"/>
                <w:szCs w:val="20"/>
                <w:color w:val="auto"/>
              </w:rPr>
            </w:pPr>
            <w:r>
              <w:rPr>
                <w:rFonts w:ascii="Times New Roman" w:cs="Times New Roman" w:eastAsia="Times New Roman" w:hAnsi="Times New Roman"/>
                <w:sz w:val="13"/>
                <w:szCs w:val="13"/>
                <w:color w:val="auto"/>
              </w:rPr>
              <w:t>Index Value</w:t>
            </w:r>
          </w:p>
        </w:tc>
        <w:tc>
          <w:tcPr>
            <w:tcW w:w="1120" w:type="dxa"/>
            <w:vAlign w:val="bottom"/>
            <w:tcBorders>
              <w:bottom w:val="single" w:sz="8" w:color="auto"/>
              <w:right w:val="single" w:sz="8" w:color="F0FFFF"/>
            </w:tcBorders>
            <w:shd w:val="clear" w:color="auto" w:fill="F0FFFF"/>
          </w:tcPr>
          <w:p>
            <w:pPr>
              <w:spacing w:after="0"/>
              <w:rPr>
                <w:sz w:val="17"/>
                <w:szCs w:val="17"/>
                <w:color w:val="auto"/>
              </w:rPr>
            </w:pPr>
          </w:p>
        </w:tc>
        <w:tc>
          <w:tcPr>
            <w:tcW w:w="880" w:type="dxa"/>
            <w:vAlign w:val="bottom"/>
            <w:tcBorders>
              <w:bottom w:val="single" w:sz="8" w:color="auto"/>
              <w:right w:val="single" w:sz="8" w:color="F0FFFF"/>
            </w:tcBorders>
            <w:shd w:val="clear" w:color="auto" w:fill="F0FFFF"/>
          </w:tcPr>
          <w:p>
            <w:pPr>
              <w:jc w:val="center"/>
              <w:ind w:left="534"/>
              <w:spacing w:after="0"/>
              <w:rPr>
                <w:sz w:val="20"/>
                <w:szCs w:val="20"/>
                <w:color w:val="auto"/>
              </w:rPr>
            </w:pPr>
            <w:r>
              <w:rPr>
                <w:rFonts w:ascii="Times New Roman" w:cs="Times New Roman" w:eastAsia="Times New Roman" w:hAnsi="Times New Roman"/>
                <w:sz w:val="13"/>
                <w:szCs w:val="13"/>
                <w:color w:val="auto"/>
              </w:rPr>
              <w:t>700</w:t>
            </w:r>
          </w:p>
        </w:tc>
        <w:tc>
          <w:tcPr>
            <w:tcW w:w="60" w:type="dxa"/>
            <w:vAlign w:val="bottom"/>
            <w:tcBorders>
              <w:bottom w:val="single" w:sz="8" w:color="auto"/>
            </w:tcBorders>
            <w:shd w:val="clear" w:color="auto" w:fill="F0FFFF"/>
          </w:tcPr>
          <w:p>
            <w:pPr>
              <w:spacing w:after="0"/>
              <w:rPr>
                <w:sz w:val="17"/>
                <w:szCs w:val="17"/>
                <w:color w:val="auto"/>
              </w:rPr>
            </w:pPr>
          </w:p>
        </w:tc>
        <w:tc>
          <w:tcPr>
            <w:tcW w:w="800" w:type="dxa"/>
            <w:vAlign w:val="bottom"/>
            <w:tcBorders>
              <w:bottom w:val="single" w:sz="8" w:color="auto"/>
              <w:right w:val="single" w:sz="8" w:color="F0FFFF"/>
            </w:tcBorders>
            <w:shd w:val="clear" w:color="auto" w:fill="F0FFFF"/>
          </w:tcPr>
          <w:p>
            <w:pPr>
              <w:spacing w:after="0"/>
              <w:rPr>
                <w:sz w:val="17"/>
                <w:szCs w:val="17"/>
                <w:color w:val="auto"/>
              </w:rPr>
            </w:pPr>
          </w:p>
        </w:tc>
        <w:tc>
          <w:tcPr>
            <w:tcW w:w="880" w:type="dxa"/>
            <w:vAlign w:val="bottom"/>
            <w:tcBorders>
              <w:bottom w:val="single" w:sz="8" w:color="auto"/>
              <w:right w:val="single" w:sz="8" w:color="auto"/>
            </w:tcBorders>
            <w:shd w:val="clear" w:color="auto" w:fill="F0FFFF"/>
          </w:tcPr>
          <w:p>
            <w:pPr>
              <w:spacing w:after="0"/>
              <w:rPr>
                <w:sz w:val="17"/>
                <w:szCs w:val="17"/>
                <w:color w:val="auto"/>
              </w:rPr>
            </w:pPr>
          </w:p>
        </w:tc>
      </w:tr>
      <w:tr>
        <w:trPr>
          <w:trHeight w:val="228"/>
        </w:trPr>
        <w:tc>
          <w:tcPr>
            <w:tcW w:w="3020" w:type="dxa"/>
            <w:vAlign w:val="bottom"/>
            <w:tcBorders>
              <w:left w:val="single" w:sz="8" w:color="auto"/>
              <w:bottom w:val="single" w:sz="8" w:color="auto"/>
              <w:right w:val="single" w:sz="8" w:color="auto"/>
            </w:tcBorders>
            <w:gridSpan w:val="4"/>
          </w:tcPr>
          <w:p>
            <w:pPr>
              <w:ind w:left="60"/>
              <w:spacing w:after="0"/>
              <w:rPr>
                <w:sz w:val="20"/>
                <w:szCs w:val="20"/>
                <w:color w:val="auto"/>
              </w:rPr>
            </w:pPr>
            <w:r>
              <w:rPr>
                <w:rFonts w:ascii="Times New Roman" w:cs="Times New Roman" w:eastAsia="Times New Roman" w:hAnsi="Times New Roman"/>
                <w:sz w:val="13"/>
                <w:szCs w:val="13"/>
                <w:color w:val="auto"/>
              </w:rPr>
              <w:t>Index Performance on calculation date</w:t>
            </w:r>
            <w:r>
              <w:rPr>
                <w:rFonts w:ascii="Times New Roman" w:cs="Times New Roman" w:eastAsia="Times New Roman" w:hAnsi="Times New Roman"/>
                <w:sz w:val="17"/>
                <w:szCs w:val="17"/>
                <w:color w:val="auto"/>
                <w:vertAlign w:val="superscript"/>
              </w:rPr>
              <w:t>(1)</w:t>
            </w:r>
          </w:p>
        </w:tc>
        <w:tc>
          <w:tcPr>
            <w:tcW w:w="1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center"/>
              <w:ind w:left="474"/>
              <w:spacing w:after="0"/>
              <w:rPr>
                <w:sz w:val="20"/>
                <w:szCs w:val="20"/>
                <w:color w:val="auto"/>
              </w:rPr>
            </w:pPr>
            <w:r>
              <w:rPr>
                <w:rFonts w:ascii="Times New Roman" w:cs="Times New Roman" w:eastAsia="Times New Roman" w:hAnsi="Times New Roman"/>
                <w:sz w:val="13"/>
                <w:szCs w:val="13"/>
                <w:color w:val="auto"/>
                <w:w w:val="99"/>
              </w:rPr>
              <w:t>-30%</w:t>
            </w:r>
          </w:p>
        </w:tc>
        <w:tc>
          <w:tcPr>
            <w:tcW w:w="80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r>
      <w:tr>
        <w:trPr>
          <w:trHeight w:val="188"/>
        </w:trPr>
        <w:tc>
          <w:tcPr>
            <w:tcW w:w="3020" w:type="dxa"/>
            <w:vAlign w:val="bottom"/>
            <w:tcBorders>
              <w:left w:val="single" w:sz="8" w:color="auto"/>
              <w:bottom w:val="single" w:sz="8" w:color="auto"/>
              <w:right w:val="single" w:sz="8" w:color="auto"/>
            </w:tcBorders>
            <w:gridSpan w:val="4"/>
            <w:shd w:val="clear" w:color="auto" w:fill="F0FFFF"/>
          </w:tcPr>
          <w:p>
            <w:pPr>
              <w:ind w:left="60"/>
              <w:spacing w:after="0"/>
              <w:rPr>
                <w:sz w:val="20"/>
                <w:szCs w:val="20"/>
                <w:color w:val="auto"/>
              </w:rPr>
            </w:pPr>
            <w:r>
              <w:rPr>
                <w:rFonts w:ascii="Times New Roman" w:cs="Times New Roman" w:eastAsia="Times New Roman" w:hAnsi="Times New Roman"/>
                <w:sz w:val="13"/>
                <w:szCs w:val="13"/>
                <w:color w:val="auto"/>
              </w:rPr>
              <w:t>Market Value Rate on calculation date</w:t>
            </w:r>
          </w:p>
        </w:tc>
        <w:tc>
          <w:tcPr>
            <w:tcW w:w="11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3.00%</w:t>
            </w:r>
          </w:p>
        </w:tc>
        <w:tc>
          <w:tcPr>
            <w:tcW w:w="8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5.00%</w:t>
            </w:r>
          </w:p>
        </w:tc>
        <w:tc>
          <w:tcPr>
            <w:tcW w:w="60" w:type="dxa"/>
            <w:vAlign w:val="bottom"/>
            <w:tcBorders>
              <w:bottom w:val="single" w:sz="8" w:color="auto"/>
            </w:tcBorders>
            <w:shd w:val="clear" w:color="auto" w:fill="F0FFFF"/>
          </w:tcPr>
          <w:p>
            <w:pPr>
              <w:spacing w:after="0"/>
              <w:rPr>
                <w:sz w:val="16"/>
                <w:szCs w:val="16"/>
                <w:color w:val="auto"/>
              </w:rPr>
            </w:pPr>
          </w:p>
        </w:tc>
        <w:tc>
          <w:tcPr>
            <w:tcW w:w="800" w:type="dxa"/>
            <w:vAlign w:val="bottom"/>
            <w:tcBorders>
              <w:bottom w:val="single" w:sz="8" w:color="auto"/>
              <w:right w:val="single" w:sz="8" w:color="auto"/>
            </w:tcBorders>
            <w:shd w:val="clear" w:color="auto" w:fill="F0FFFF"/>
          </w:tcPr>
          <w:p>
            <w:pPr>
              <w:jc w:val="center"/>
              <w:ind w:right="34"/>
              <w:spacing w:after="0"/>
              <w:rPr>
                <w:sz w:val="20"/>
                <w:szCs w:val="20"/>
                <w:color w:val="auto"/>
              </w:rPr>
            </w:pPr>
            <w:r>
              <w:rPr>
                <w:rFonts w:ascii="Times New Roman" w:cs="Times New Roman" w:eastAsia="Times New Roman" w:hAnsi="Times New Roman"/>
                <w:sz w:val="13"/>
                <w:szCs w:val="13"/>
                <w:color w:val="auto"/>
              </w:rPr>
              <w:t>7.00%</w:t>
            </w:r>
          </w:p>
        </w:tc>
        <w:tc>
          <w:tcPr>
            <w:tcW w:w="8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9.00%</w:t>
            </w:r>
          </w:p>
        </w:tc>
      </w:tr>
      <w:tr>
        <w:trPr>
          <w:trHeight w:val="198"/>
        </w:trPr>
        <w:tc>
          <w:tcPr>
            <w:tcW w:w="3020" w:type="dxa"/>
            <w:vAlign w:val="bottom"/>
            <w:tcBorders>
              <w:left w:val="single" w:sz="8" w:color="auto"/>
              <w:bottom w:val="single" w:sz="8" w:color="auto"/>
              <w:right w:val="single" w:sz="8" w:color="auto"/>
            </w:tcBorders>
            <w:gridSpan w:val="4"/>
          </w:tcPr>
          <w:p>
            <w:pPr>
              <w:ind w:left="60"/>
              <w:spacing w:after="0"/>
              <w:rPr>
                <w:sz w:val="20"/>
                <w:szCs w:val="20"/>
                <w:color w:val="auto"/>
              </w:rPr>
            </w:pPr>
            <w:r>
              <w:rPr>
                <w:rFonts w:ascii="Times New Roman" w:cs="Times New Roman" w:eastAsia="Times New Roman" w:hAnsi="Times New Roman"/>
                <w:sz w:val="13"/>
                <w:szCs w:val="13"/>
                <w:color w:val="auto"/>
              </w:rPr>
              <w:t>Market value of the Fixed Income Asset Proxy</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$48,823.16</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$46,519.03</w:t>
            </w:r>
          </w:p>
        </w:tc>
        <w:tc>
          <w:tcPr>
            <w:tcW w:w="6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center"/>
              <w:ind w:right="14"/>
              <w:spacing w:after="0"/>
              <w:rPr>
                <w:sz w:val="20"/>
                <w:szCs w:val="20"/>
                <w:color w:val="auto"/>
              </w:rPr>
            </w:pPr>
            <w:r>
              <w:rPr>
                <w:rFonts w:ascii="Times New Roman" w:cs="Times New Roman" w:eastAsia="Times New Roman" w:hAnsi="Times New Roman"/>
                <w:sz w:val="13"/>
                <w:szCs w:val="13"/>
                <w:color w:val="auto"/>
              </w:rPr>
              <w:t>$42,116.56</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$34,758.31</w:t>
            </w:r>
          </w:p>
        </w:tc>
      </w:tr>
      <w:tr>
        <w:trPr>
          <w:trHeight w:val="198"/>
        </w:trPr>
        <w:tc>
          <w:tcPr>
            <w:tcW w:w="3020" w:type="dxa"/>
            <w:vAlign w:val="bottom"/>
            <w:tcBorders>
              <w:left w:val="single" w:sz="8" w:color="auto"/>
              <w:bottom w:val="single" w:sz="8" w:color="auto"/>
              <w:right w:val="single" w:sz="8" w:color="auto"/>
            </w:tcBorders>
            <w:gridSpan w:val="4"/>
            <w:shd w:val="clear" w:color="auto" w:fill="F0FFFF"/>
          </w:tcPr>
          <w:p>
            <w:pPr>
              <w:ind w:left="60"/>
              <w:spacing w:after="0"/>
              <w:rPr>
                <w:sz w:val="20"/>
                <w:szCs w:val="20"/>
                <w:color w:val="auto"/>
              </w:rPr>
            </w:pPr>
            <w:r>
              <w:rPr>
                <w:rFonts w:ascii="Times New Roman" w:cs="Times New Roman" w:eastAsia="Times New Roman" w:hAnsi="Times New Roman"/>
                <w:sz w:val="13"/>
                <w:szCs w:val="13"/>
                <w:color w:val="auto"/>
              </w:rPr>
              <w:t>Market value of the Derivative Asset Proxy</w:t>
            </w:r>
          </w:p>
        </w:tc>
        <w:tc>
          <w:tcPr>
            <w:tcW w:w="11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-$8,899.83</w:t>
            </w:r>
          </w:p>
        </w:tc>
        <w:tc>
          <w:tcPr>
            <w:tcW w:w="8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w w:val="99"/>
              </w:rPr>
              <w:t>-$5,554.28</w:t>
            </w:r>
          </w:p>
        </w:tc>
        <w:tc>
          <w:tcPr>
            <w:tcW w:w="60" w:type="dxa"/>
            <w:vAlign w:val="bottom"/>
            <w:tcBorders>
              <w:bottom w:val="single" w:sz="8" w:color="auto"/>
            </w:tcBorders>
            <w:shd w:val="clear" w:color="auto" w:fill="F0FFFF"/>
          </w:tcPr>
          <w:p>
            <w:pPr>
              <w:spacing w:after="0"/>
              <w:rPr>
                <w:sz w:val="17"/>
                <w:szCs w:val="17"/>
                <w:color w:val="auto"/>
              </w:rPr>
            </w:pPr>
          </w:p>
        </w:tc>
        <w:tc>
          <w:tcPr>
            <w:tcW w:w="800" w:type="dxa"/>
            <w:vAlign w:val="bottom"/>
            <w:tcBorders>
              <w:bottom w:val="single" w:sz="8" w:color="auto"/>
              <w:right w:val="single" w:sz="8" w:color="auto"/>
            </w:tcBorders>
            <w:shd w:val="clear" w:color="auto" w:fill="F0FFFF"/>
          </w:tcPr>
          <w:p>
            <w:pPr>
              <w:jc w:val="center"/>
              <w:ind w:right="34"/>
              <w:spacing w:after="0"/>
              <w:rPr>
                <w:sz w:val="20"/>
                <w:szCs w:val="20"/>
                <w:color w:val="auto"/>
              </w:rPr>
            </w:pPr>
            <w:r>
              <w:rPr>
                <w:rFonts w:ascii="Times New Roman" w:cs="Times New Roman" w:eastAsia="Times New Roman" w:hAnsi="Times New Roman"/>
                <w:sz w:val="13"/>
                <w:szCs w:val="13"/>
                <w:color w:val="auto"/>
              </w:rPr>
              <w:t>-$5,794.44</w:t>
            </w:r>
          </w:p>
        </w:tc>
        <w:tc>
          <w:tcPr>
            <w:tcW w:w="8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rPr>
              <w:t>$2,103.07</w:t>
            </w:r>
          </w:p>
        </w:tc>
      </w:tr>
      <w:tr>
        <w:trPr>
          <w:trHeight w:val="228"/>
        </w:trPr>
        <w:tc>
          <w:tcPr>
            <w:tcW w:w="3020" w:type="dxa"/>
            <w:vAlign w:val="bottom"/>
            <w:tcBorders>
              <w:left w:val="single" w:sz="8" w:color="auto"/>
              <w:bottom w:val="single" w:sz="8" w:color="auto"/>
              <w:right w:val="single" w:sz="8" w:color="auto"/>
            </w:tcBorders>
            <w:gridSpan w:val="4"/>
          </w:tcPr>
          <w:p>
            <w:pPr>
              <w:ind w:left="60"/>
              <w:spacing w:after="0"/>
              <w:rPr>
                <w:sz w:val="20"/>
                <w:szCs w:val="20"/>
                <w:color w:val="auto"/>
              </w:rPr>
            </w:pPr>
            <w:r>
              <w:rPr>
                <w:rFonts w:ascii="Times New Roman" w:cs="Times New Roman" w:eastAsia="Times New Roman" w:hAnsi="Times New Roman"/>
                <w:sz w:val="13"/>
                <w:szCs w:val="13"/>
                <w:color w:val="auto"/>
              </w:rPr>
              <w:t>Interim Value of each Shield Option</w:t>
            </w:r>
            <w:r>
              <w:rPr>
                <w:rFonts w:ascii="Times New Roman" w:cs="Times New Roman" w:eastAsia="Times New Roman" w:hAnsi="Times New Roman"/>
                <w:sz w:val="17"/>
                <w:szCs w:val="17"/>
                <w:color w:val="auto"/>
                <w:vertAlign w:val="superscript"/>
              </w:rPr>
              <w:t>(2)</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$39,923.32</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$40,964.75</w:t>
            </w:r>
          </w:p>
        </w:tc>
        <w:tc>
          <w:tcPr>
            <w:tcW w:w="6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jc w:val="center"/>
              <w:ind w:right="14"/>
              <w:spacing w:after="0"/>
              <w:rPr>
                <w:sz w:val="20"/>
                <w:szCs w:val="20"/>
                <w:color w:val="auto"/>
              </w:rPr>
            </w:pPr>
            <w:r>
              <w:rPr>
                <w:rFonts w:ascii="Times New Roman" w:cs="Times New Roman" w:eastAsia="Times New Roman" w:hAnsi="Times New Roman"/>
                <w:sz w:val="13"/>
                <w:szCs w:val="13"/>
                <w:color w:val="auto"/>
              </w:rPr>
              <w:t>$36,322.12</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$36,861.38</w:t>
            </w:r>
          </w:p>
        </w:tc>
      </w:tr>
      <w:tr>
        <w:trPr>
          <w:trHeight w:val="183"/>
        </w:trPr>
        <w:tc>
          <w:tcPr>
            <w:tcW w:w="3020" w:type="dxa"/>
            <w:vAlign w:val="bottom"/>
            <w:tcBorders>
              <w:left w:val="single" w:sz="8" w:color="auto"/>
              <w:bottom w:val="single" w:sz="8" w:color="auto"/>
              <w:right w:val="single" w:sz="8" w:color="auto"/>
            </w:tcBorders>
            <w:gridSpan w:val="4"/>
            <w:shd w:val="clear" w:color="auto" w:fill="F0FFFF"/>
          </w:tcPr>
          <w:p>
            <w:pPr>
              <w:ind w:left="60"/>
              <w:spacing w:after="0"/>
              <w:rPr>
                <w:sz w:val="20"/>
                <w:szCs w:val="20"/>
                <w:color w:val="auto"/>
              </w:rPr>
            </w:pPr>
            <w:r>
              <w:rPr>
                <w:rFonts w:ascii="Arial" w:cs="Arial" w:eastAsia="Arial" w:hAnsi="Arial"/>
                <w:sz w:val="13"/>
                <w:szCs w:val="13"/>
                <w:b w:val="1"/>
                <w:bCs w:val="1"/>
                <w:color w:val="auto"/>
              </w:rPr>
              <w:t>Total Account Value</w:t>
            </w:r>
          </w:p>
        </w:tc>
        <w:tc>
          <w:tcPr>
            <w:tcW w:w="1120" w:type="dxa"/>
            <w:vAlign w:val="bottom"/>
            <w:tcBorders>
              <w:bottom w:val="single" w:sz="8" w:color="auto"/>
              <w:right w:val="single" w:sz="8" w:color="F0FFFF"/>
            </w:tcBorders>
            <w:shd w:val="clear" w:color="auto" w:fill="F0FFFF"/>
          </w:tcPr>
          <w:p>
            <w:pPr>
              <w:spacing w:after="0"/>
              <w:rPr>
                <w:sz w:val="15"/>
                <w:szCs w:val="15"/>
                <w:color w:val="auto"/>
              </w:rPr>
            </w:pPr>
          </w:p>
        </w:tc>
        <w:tc>
          <w:tcPr>
            <w:tcW w:w="1740" w:type="dxa"/>
            <w:vAlign w:val="bottom"/>
            <w:tcBorders>
              <w:bottom w:val="single" w:sz="8" w:color="auto"/>
              <w:right w:val="single" w:sz="8" w:color="F0FFFF"/>
            </w:tcBorders>
            <w:gridSpan w:val="3"/>
            <w:shd w:val="clear" w:color="auto" w:fill="F0FFFF"/>
          </w:tcPr>
          <w:p>
            <w:pPr>
              <w:jc w:val="center"/>
              <w:ind w:right="194"/>
              <w:spacing w:after="0"/>
              <w:rPr>
                <w:sz w:val="20"/>
                <w:szCs w:val="20"/>
                <w:color w:val="auto"/>
              </w:rPr>
            </w:pPr>
            <w:r>
              <w:rPr>
                <w:rFonts w:ascii="Arial" w:cs="Arial" w:eastAsia="Arial" w:hAnsi="Arial"/>
                <w:sz w:val="13"/>
                <w:szCs w:val="13"/>
                <w:b w:val="1"/>
                <w:bCs w:val="1"/>
                <w:color w:val="auto"/>
                <w:w w:val="99"/>
              </w:rPr>
              <w:t>$154,071.57</w:t>
            </w:r>
          </w:p>
        </w:tc>
        <w:tc>
          <w:tcPr>
            <w:tcW w:w="880" w:type="dxa"/>
            <w:vAlign w:val="bottom"/>
            <w:tcBorders>
              <w:bottom w:val="single" w:sz="8" w:color="auto"/>
              <w:right w:val="single" w:sz="8" w:color="auto"/>
            </w:tcBorders>
            <w:shd w:val="clear" w:color="auto" w:fill="F0FFFF"/>
          </w:tcPr>
          <w:p>
            <w:pPr>
              <w:spacing w:after="0"/>
              <w:rPr>
                <w:sz w:val="15"/>
                <w:szCs w:val="15"/>
                <w:color w:val="auto"/>
              </w:rPr>
            </w:pPr>
          </w:p>
        </w:tc>
      </w:tr>
      <w:tr>
        <w:trPr>
          <w:trHeight w:val="193"/>
        </w:trPr>
        <w:tc>
          <w:tcPr>
            <w:tcW w:w="1060" w:type="dxa"/>
            <w:vAlign w:val="bottom"/>
            <w:tcBorders>
              <w:bottom w:val="single" w:sz="8" w:color="auto"/>
            </w:tcBorders>
          </w:tcPr>
          <w:p>
            <w:pPr>
              <w:spacing w:after="0"/>
              <w:rPr>
                <w:sz w:val="16"/>
                <w:szCs w:val="16"/>
                <w:color w:val="auto"/>
              </w:rPr>
            </w:pPr>
          </w:p>
        </w:tc>
        <w:tc>
          <w:tcPr>
            <w:tcW w:w="1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93915" cy="3810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-5139690</wp:posOffset>
            </wp:positionV>
            <wp:extent cx="4271010" cy="1384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271010" cy="13843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-4862195</wp:posOffset>
            </wp:positionV>
            <wp:extent cx="4271010" cy="1384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271010" cy="13843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-4585335</wp:posOffset>
            </wp:positionV>
            <wp:extent cx="4271010" cy="1384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271010" cy="13843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-4307840</wp:posOffset>
            </wp:positionV>
            <wp:extent cx="4271010" cy="1384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271010" cy="13843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-4030980</wp:posOffset>
            </wp:positionV>
            <wp:extent cx="4271010" cy="1257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271010" cy="12573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-3420110</wp:posOffset>
            </wp:positionV>
            <wp:extent cx="4271010" cy="1384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271010" cy="13843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-3142615</wp:posOffset>
            </wp:positionV>
            <wp:extent cx="4271010" cy="13843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271010" cy="13843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-2865755</wp:posOffset>
            </wp:positionV>
            <wp:extent cx="4271010" cy="1511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271010" cy="15113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-2575560</wp:posOffset>
            </wp:positionV>
            <wp:extent cx="4271010" cy="1384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271010" cy="13843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-2298700</wp:posOffset>
            </wp:positionV>
            <wp:extent cx="4271010" cy="15113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271010" cy="15113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-1542415</wp:posOffset>
            </wp:positionV>
            <wp:extent cx="4271010" cy="1384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271010" cy="13843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-1265555</wp:posOffset>
            </wp:positionV>
            <wp:extent cx="4271010" cy="1384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271010" cy="13843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-988060</wp:posOffset>
            </wp:positionV>
            <wp:extent cx="4271010" cy="15113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271010" cy="15113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-698500</wp:posOffset>
            </wp:positionV>
            <wp:extent cx="4271010" cy="1384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271010" cy="13843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-421640</wp:posOffset>
            </wp:positionV>
            <wp:extent cx="4271010" cy="1511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271010" cy="151130"/>
                    </a:xfrm>
                    <a:prstGeom prst="rect">
                      <a:avLst/>
                    </a:prstGeom>
                    <a:noFill/>
                  </pic:spPr>
                </pic:pic>
              </a:graphicData>
            </a:graphic>
          </wp:anchor>
        </w:drawing>
        <w:drawing>
          <wp:anchor simplePos="0" relativeHeight="251657728" behindDoc="1" locked="0" layoutInCell="0" allowOverlap="1">
            <wp:simplePos x="0" y="0"/>
            <wp:positionH relativeFrom="column">
              <wp:posOffset>658495</wp:posOffset>
            </wp:positionH>
            <wp:positionV relativeFrom="paragraph">
              <wp:posOffset>-31115</wp:posOffset>
            </wp:positionV>
            <wp:extent cx="31750" cy="444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1750" cy="444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-31115</wp:posOffset>
            </wp:positionV>
            <wp:extent cx="31750" cy="444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1750" cy="44450"/>
                    </a:xfrm>
                    <a:prstGeom prst="rect">
                      <a:avLst/>
                    </a:prstGeom>
                    <a:noFill/>
                  </pic:spPr>
                </pic:pic>
              </a:graphicData>
            </a:graphic>
          </wp:anchor>
        </w:drawing>
      </w:r>
    </w:p>
    <w:p>
      <w:pPr>
        <w:spacing w:after="0" w:line="76" w:lineRule="exact"/>
        <w:rPr>
          <w:sz w:val="20"/>
          <w:szCs w:val="20"/>
          <w:color w:val="auto"/>
        </w:rPr>
      </w:pPr>
    </w:p>
    <w:p>
      <w:pPr>
        <w:ind w:left="20" w:right="3219"/>
        <w:spacing w:after="0" w:line="295" w:lineRule="auto"/>
        <w:rPr>
          <w:sz w:val="20"/>
          <w:szCs w:val="20"/>
          <w:color w:val="auto"/>
        </w:rPr>
      </w:pPr>
      <w:r>
        <w:rPr>
          <w:rFonts w:ascii="Arial" w:cs="Arial" w:eastAsia="Arial" w:hAnsi="Arial"/>
          <w:sz w:val="13"/>
          <w:szCs w:val="13"/>
          <w:b w:val="1"/>
          <w:bCs w:val="1"/>
          <w:color w:val="auto"/>
        </w:rPr>
        <w:t>The following notes to the table above provide important calculations showing how certain values are determined.</w:t>
      </w:r>
    </w:p>
    <w:p>
      <w:pPr>
        <w:ind w:left="20"/>
        <w:spacing w:after="0" w:line="184" w:lineRule="auto"/>
        <w:rPr>
          <w:sz w:val="20"/>
          <w:szCs w:val="20"/>
          <w:color w:val="auto"/>
        </w:rPr>
      </w:pPr>
      <w:r>
        <w:rPr>
          <w:rFonts w:ascii="Times New Roman" w:cs="Times New Roman" w:eastAsia="Times New Roman" w:hAnsi="Times New Roman"/>
          <w:sz w:val="6"/>
          <w:szCs w:val="6"/>
          <w:color w:val="auto"/>
        </w:rPr>
        <w:t>(1)</w:t>
      </w:r>
    </w:p>
    <w:p>
      <w:pPr>
        <w:ind w:left="280" w:right="3059"/>
        <w:spacing w:after="0" w:line="252" w:lineRule="auto"/>
        <w:rPr>
          <w:sz w:val="20"/>
          <w:szCs w:val="20"/>
          <w:color w:val="auto"/>
        </w:rPr>
      </w:pPr>
      <w:r>
        <w:rPr>
          <w:rFonts w:ascii="Times New Roman" w:cs="Times New Roman" w:eastAsia="Times New Roman" w:hAnsi="Times New Roman"/>
          <w:sz w:val="13"/>
          <w:szCs w:val="13"/>
          <w:color w:val="auto"/>
        </w:rPr>
        <w:t>Index Performance is equal to the percentage change in the Index Value measured from the Term Start Date to the date of the Interim Value calculation. Index Performance is calculated as follows:</w:t>
      </w:r>
      <w:r>
        <w:rPr>
          <w:rFonts w:ascii="Times New Roman" w:cs="Times New Roman" w:eastAsia="Times New Roman" w:hAnsi="Times New Roman"/>
          <w:sz w:val="11"/>
          <w:szCs w:val="11"/>
          <w:color w:val="auto"/>
        </w:rPr>
        <w:t>Example A — Index Performance is Positive</w:t>
      </w:r>
    </w:p>
    <w:p>
      <w:pPr>
        <w:spacing w:after="0" w:line="33" w:lineRule="exact"/>
        <w:rPr>
          <w:sz w:val="20"/>
          <w:szCs w:val="20"/>
          <w:color w:val="auto"/>
        </w:rPr>
      </w:pPr>
    </w:p>
    <w:p>
      <w:pPr>
        <w:jc w:val="center"/>
        <w:ind w:right="2879"/>
        <w:spacing w:after="0"/>
        <w:rPr>
          <w:sz w:val="20"/>
          <w:szCs w:val="20"/>
          <w:color w:val="auto"/>
        </w:rPr>
      </w:pPr>
      <w:r>
        <w:rPr>
          <w:rFonts w:ascii="Times New Roman" w:cs="Times New Roman" w:eastAsia="Times New Roman" w:hAnsi="Times New Roman"/>
          <w:sz w:val="12"/>
          <w:szCs w:val="12"/>
          <w:color w:val="auto"/>
        </w:rPr>
        <w:t>(1200 [Index Value on date of Interim Value calculation] – 1000 [Index Value at Term Start Date])</w:t>
      </w:r>
    </w:p>
    <w:p>
      <w:pPr>
        <w:spacing w:after="0" w:line="4" w:lineRule="exact"/>
        <w:rPr>
          <w:sz w:val="20"/>
          <w:szCs w:val="20"/>
          <w:color w:val="auto"/>
        </w:rPr>
      </w:pPr>
    </w:p>
    <w:p>
      <w:pPr>
        <w:jc w:val="center"/>
        <w:ind w:right="2839"/>
        <w:spacing w:after="0"/>
        <w:rPr>
          <w:sz w:val="20"/>
          <w:szCs w:val="20"/>
          <w:color w:val="auto"/>
        </w:rPr>
      </w:pPr>
      <w:r>
        <w:rPr>
          <w:rFonts w:ascii="Times New Roman" w:cs="Times New Roman" w:eastAsia="Times New Roman" w:hAnsi="Times New Roman"/>
          <w:sz w:val="12"/>
          <w:szCs w:val="12"/>
          <w:color w:val="auto"/>
        </w:rPr>
        <w:t>÷ 1000 [Index Value at Term Start Date] = 20%</w:t>
      </w:r>
    </w:p>
    <w:tbl>
      <w:tblPr>
        <w:tblLayout w:type="fixed"/>
        <w:tblInd w:w="20" w:type="dxa"/>
        <w:tblCellMar>
          <w:top w:w="0" w:type="dxa"/>
          <w:left w:w="0" w:type="dxa"/>
          <w:bottom w:w="0" w:type="dxa"/>
          <w:right w:w="0" w:type="dxa"/>
        </w:tblCellMar>
      </w:tblPr>
      <w:tr>
        <w:trPr>
          <w:trHeight w:val="154"/>
        </w:trPr>
        <w:tc>
          <w:tcPr>
            <w:tcW w:w="2240" w:type="dxa"/>
            <w:vAlign w:val="bottom"/>
          </w:tcPr>
          <w:p>
            <w:pPr>
              <w:spacing w:after="0"/>
              <w:rPr>
                <w:sz w:val="20"/>
                <w:szCs w:val="20"/>
                <w:color w:val="auto"/>
              </w:rPr>
            </w:pPr>
            <w:r>
              <w:rPr>
                <w:rFonts w:ascii="Times New Roman" w:cs="Times New Roman" w:eastAsia="Times New Roman" w:hAnsi="Times New Roman"/>
                <w:sz w:val="12"/>
                <w:szCs w:val="12"/>
                <w:color w:val="auto"/>
              </w:rPr>
              <w:t>Example B — Index Performance is Negative</w:t>
            </w:r>
          </w:p>
        </w:tc>
        <w:tc>
          <w:tcPr>
            <w:tcW w:w="436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auto"/>
                <w:w w:val="97"/>
              </w:rPr>
              <w:t>(700 [Index Value on date of Interim Value calculation] – 1000 [Index Value at Term Start</w:t>
            </w:r>
          </w:p>
        </w:tc>
        <w:tc>
          <w:tcPr>
            <w:tcW w:w="0" w:type="dxa"/>
            <w:vAlign w:val="bottom"/>
          </w:tcPr>
          <w:p>
            <w:pPr>
              <w:spacing w:after="0"/>
              <w:rPr>
                <w:sz w:val="1"/>
                <w:szCs w:val="1"/>
                <w:color w:val="auto"/>
              </w:rPr>
            </w:pPr>
          </w:p>
        </w:tc>
      </w:tr>
      <w:tr>
        <w:trPr>
          <w:trHeight w:val="38"/>
        </w:trPr>
        <w:tc>
          <w:tcPr>
            <w:tcW w:w="2240" w:type="dxa"/>
            <w:vAlign w:val="bottom"/>
          </w:tcPr>
          <w:p>
            <w:pPr>
              <w:spacing w:after="0"/>
              <w:rPr>
                <w:sz w:val="3"/>
                <w:szCs w:val="3"/>
                <w:color w:val="auto"/>
              </w:rPr>
            </w:pPr>
          </w:p>
        </w:tc>
        <w:tc>
          <w:tcPr>
            <w:tcW w:w="43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jc w:val="center"/>
        <w:ind w:right="2879"/>
        <w:spacing w:after="0"/>
        <w:rPr>
          <w:sz w:val="20"/>
          <w:szCs w:val="20"/>
          <w:color w:val="auto"/>
        </w:rPr>
      </w:pPr>
      <w:r>
        <w:rPr>
          <w:rFonts w:ascii="Times New Roman" w:cs="Times New Roman" w:eastAsia="Times New Roman" w:hAnsi="Times New Roman"/>
          <w:sz w:val="12"/>
          <w:szCs w:val="12"/>
          <w:color w:val="auto"/>
        </w:rPr>
        <w:t>Date])</w:t>
      </w:r>
    </w:p>
    <w:p>
      <w:pPr>
        <w:spacing w:after="0" w:line="3" w:lineRule="exact"/>
        <w:rPr>
          <w:sz w:val="20"/>
          <w:szCs w:val="20"/>
          <w:color w:val="auto"/>
        </w:rPr>
      </w:pPr>
    </w:p>
    <w:p>
      <w:pPr>
        <w:jc w:val="center"/>
        <w:ind w:right="2839"/>
        <w:spacing w:after="0"/>
        <w:rPr>
          <w:sz w:val="20"/>
          <w:szCs w:val="20"/>
          <w:color w:val="auto"/>
        </w:rPr>
      </w:pPr>
      <w:r>
        <w:rPr>
          <w:rFonts w:ascii="Times New Roman" w:cs="Times New Roman" w:eastAsia="Times New Roman" w:hAnsi="Times New Roman"/>
          <w:sz w:val="12"/>
          <w:szCs w:val="12"/>
          <w:color w:val="auto"/>
        </w:rPr>
        <w:t>÷ 1000 [Index Value at Term Start Date] = -30%</w:t>
      </w:r>
    </w:p>
    <w:p>
      <w:pPr>
        <w:ind w:left="20"/>
        <w:spacing w:after="0" w:line="203" w:lineRule="auto"/>
        <w:rPr>
          <w:sz w:val="20"/>
          <w:szCs w:val="20"/>
          <w:color w:val="auto"/>
        </w:rPr>
      </w:pPr>
      <w:r>
        <w:rPr>
          <w:rFonts w:ascii="Times New Roman" w:cs="Times New Roman" w:eastAsia="Times New Roman" w:hAnsi="Times New Roman"/>
          <w:sz w:val="5"/>
          <w:szCs w:val="5"/>
          <w:color w:val="auto"/>
        </w:rPr>
        <w:t>(2)</w:t>
      </w:r>
    </w:p>
    <w:p>
      <w:pPr>
        <w:ind w:left="280" w:right="2939"/>
        <w:spacing w:after="0" w:line="238" w:lineRule="auto"/>
        <w:rPr>
          <w:sz w:val="20"/>
          <w:szCs w:val="20"/>
          <w:color w:val="auto"/>
        </w:rPr>
      </w:pPr>
      <w:r>
        <w:rPr>
          <w:rFonts w:ascii="Times New Roman" w:cs="Times New Roman" w:eastAsia="Times New Roman" w:hAnsi="Times New Roman"/>
          <w:sz w:val="13"/>
          <w:szCs w:val="13"/>
          <w:color w:val="auto"/>
        </w:rPr>
        <w:t>The Interim Value of each Shield Option equals the sum of the Market value of the Fixed Income Asset Proxy and the Market value of the Derivative Asset Proxy.</w:t>
      </w:r>
    </w:p>
    <w:p>
      <w:pPr>
        <w:spacing w:after="0" w:line="200" w:lineRule="exact"/>
        <w:rPr>
          <w:sz w:val="20"/>
          <w:szCs w:val="20"/>
          <w:color w:val="auto"/>
        </w:rPr>
      </w:pPr>
    </w:p>
    <w:p>
      <w:pPr>
        <w:spacing w:after="0" w:line="22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619"/>
          </w:cols>
          <w:pgMar w:left="840" w:top="1156" w:right="1440" w:bottom="1440" w:gutter="0" w:footer="0" w:header="0"/>
        </w:sectPr>
      </w:pPr>
    </w:p>
    <w:bookmarkStart w:id="102" w:name="page103"/>
    <w:bookmarkEnd w:id="102"/>
    <w:p>
      <w:pPr>
        <w:ind w:left="5"/>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93915" cy="38100"/>
                    </a:xfrm>
                    <a:prstGeom prst="rect">
                      <a:avLst/>
                    </a:prstGeom>
                    <a:noFill/>
                  </pic:spPr>
                </pic:pic>
              </a:graphicData>
            </a:graphic>
          </wp:anchor>
        </w:drawing>
        <w:t>DISTRIBUTION</w:t>
      </w:r>
    </w:p>
    <w:p>
      <w:pPr>
        <w:spacing w:after="0" w:line="11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color w:val="auto"/>
        </w:rPr>
        <w:t>Information about the distribution of the contracts is contained in the prospectus. (See “Distribution of the Contracts.”)</w:t>
      </w:r>
    </w:p>
    <w:p>
      <w:pPr>
        <w:spacing w:after="0" w:line="3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color w:val="auto"/>
        </w:rPr>
        <w:t>Additional information is provided below.</w:t>
      </w:r>
    </w:p>
    <w:p>
      <w:pPr>
        <w:spacing w:after="0" w:line="138" w:lineRule="exact"/>
        <w:rPr>
          <w:sz w:val="20"/>
          <w:szCs w:val="20"/>
          <w:color w:val="auto"/>
        </w:rPr>
      </w:pPr>
    </w:p>
    <w:p>
      <w:pPr>
        <w:ind w:left="5" w:right="3059"/>
        <w:spacing w:after="0" w:line="338" w:lineRule="auto"/>
        <w:rPr>
          <w:sz w:val="20"/>
          <w:szCs w:val="20"/>
          <w:color w:val="auto"/>
        </w:rPr>
      </w:pPr>
      <w:r>
        <w:rPr>
          <w:rFonts w:ascii="Times New Roman" w:cs="Times New Roman" w:eastAsia="Times New Roman" w:hAnsi="Times New Roman"/>
          <w:sz w:val="13"/>
          <w:szCs w:val="13"/>
          <w:color w:val="auto"/>
        </w:rPr>
        <w:t>The contracts are offered to the public on a continuous basis. We anticipate continuing to offer the contracts, but reserve the right to discontinue the offering.</w:t>
      </w:r>
    </w:p>
    <w:p>
      <w:pPr>
        <w:spacing w:after="0" w:line="55" w:lineRule="exact"/>
        <w:rPr>
          <w:sz w:val="20"/>
          <w:szCs w:val="20"/>
          <w:color w:val="auto"/>
        </w:rPr>
      </w:pPr>
    </w:p>
    <w:p>
      <w:pPr>
        <w:ind w:left="5" w:right="2979"/>
        <w:spacing w:after="0" w:line="303" w:lineRule="auto"/>
        <w:rPr>
          <w:sz w:val="20"/>
          <w:szCs w:val="20"/>
          <w:color w:val="auto"/>
        </w:rPr>
      </w:pPr>
      <w:r>
        <w:rPr>
          <w:rFonts w:ascii="Times New Roman" w:cs="Times New Roman" w:eastAsia="Times New Roman" w:hAnsi="Times New Roman"/>
          <w:sz w:val="13"/>
          <w:szCs w:val="13"/>
          <w:color w:val="auto"/>
        </w:rPr>
        <w:t>Brighthouse Securities, LLC (Distributor) serves as principal underwriter for the contracts. The Distributor and the Company are affiliates because they are both under common control of Brighthouse Financial, Inc. The Distributor’s principal business address is located at 11225 North Community House Road, Charlotte, NC 28277. Distributor is registered as a broker-dealer with the Securities and Exchange Commission under the Securities Exchange Act of 1934 and is a member of the Financial Industry Regulatory Authority (FINRA). Distributor has entered into selling agreements with other broker-dealers (“selling firms”) and compensates them for their services.</w:t>
      </w:r>
    </w:p>
    <w:p>
      <w:pPr>
        <w:spacing w:after="0" w:line="8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color w:val="auto"/>
        </w:rPr>
        <w:t> </w:t>
      </w:r>
    </w:p>
    <w:p>
      <w:pPr>
        <w:spacing w:after="0" w:line="29" w:lineRule="exact"/>
        <w:rPr>
          <w:sz w:val="20"/>
          <w:szCs w:val="20"/>
          <w:color w:val="auto"/>
        </w:rPr>
      </w:pPr>
    </w:p>
    <w:p>
      <w:pPr>
        <w:ind w:left="5" w:right="3279"/>
        <w:spacing w:after="0" w:line="338" w:lineRule="auto"/>
        <w:rPr>
          <w:sz w:val="20"/>
          <w:szCs w:val="20"/>
          <w:color w:val="auto"/>
        </w:rPr>
      </w:pPr>
      <w:r>
        <w:rPr>
          <w:rFonts w:ascii="Times New Roman" w:cs="Times New Roman" w:eastAsia="Times New Roman" w:hAnsi="Times New Roman"/>
          <w:sz w:val="13"/>
          <w:szCs w:val="13"/>
          <w:color w:val="auto"/>
        </w:rPr>
        <w:t>The following table shows the amount of commissions paid to and the amount of commissions retained by the principal underwriter.</w:t>
      </w:r>
    </w:p>
    <w:p>
      <w:pPr>
        <w:spacing w:after="0" w:line="130" w:lineRule="exact"/>
        <w:rPr>
          <w:sz w:val="20"/>
          <w:szCs w:val="20"/>
          <w:color w:val="auto"/>
        </w:rPr>
      </w:pPr>
    </w:p>
    <w:tbl>
      <w:tblPr>
        <w:tblLayout w:type="fixed"/>
        <w:tblInd w:w="5" w:type="dxa"/>
        <w:tblCellMar>
          <w:top w:w="0" w:type="dxa"/>
          <w:left w:w="0" w:type="dxa"/>
          <w:bottom w:w="0" w:type="dxa"/>
          <w:right w:w="0" w:type="dxa"/>
        </w:tblCellMar>
      </w:tblPr>
      <w:tr>
        <w:trPr>
          <w:trHeight w:val="138"/>
        </w:trPr>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Aggregate Amount of</w:t>
            </w:r>
          </w:p>
        </w:tc>
      </w:tr>
      <w:tr>
        <w:trPr>
          <w:trHeight w:val="159"/>
        </w:trPr>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Commissions Retained</w:t>
            </w:r>
          </w:p>
        </w:tc>
      </w:tr>
      <w:tr>
        <w:trPr>
          <w:trHeight w:val="159"/>
        </w:trPr>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Aggregate Amount of</w:t>
            </w:r>
          </w:p>
        </w:tc>
        <w:tc>
          <w:tcPr>
            <w:tcW w:w="8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by Distributor After</w:t>
            </w:r>
          </w:p>
        </w:tc>
      </w:tr>
      <w:tr>
        <w:trPr>
          <w:trHeight w:val="159"/>
        </w:trPr>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Commissions Paid to</w:t>
            </w:r>
          </w:p>
        </w:tc>
        <w:tc>
          <w:tcPr>
            <w:tcW w:w="8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Payments to Selling</w:t>
            </w:r>
          </w:p>
        </w:tc>
      </w:tr>
      <w:tr>
        <w:trPr>
          <w:trHeight w:val="159"/>
        </w:trPr>
        <w:tc>
          <w:tcPr>
            <w:tcW w:w="480" w:type="dxa"/>
            <w:vAlign w:val="bottom"/>
          </w:tcPr>
          <w:p>
            <w:pPr>
              <w:spacing w:after="0"/>
              <w:rPr>
                <w:sz w:val="20"/>
                <w:szCs w:val="20"/>
                <w:color w:val="auto"/>
              </w:rPr>
            </w:pPr>
            <w:r>
              <w:rPr>
                <w:rFonts w:ascii="Times New Roman" w:cs="Times New Roman" w:eastAsia="Times New Roman" w:hAnsi="Times New Roman"/>
                <w:sz w:val="11"/>
                <w:szCs w:val="11"/>
                <w:color w:val="auto"/>
                <w:w w:val="95"/>
              </w:rPr>
              <w:t>Fiscal year</w:t>
            </w:r>
          </w:p>
        </w:tc>
        <w:tc>
          <w:tcPr>
            <w:tcW w:w="8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Distributor</w:t>
            </w:r>
          </w:p>
        </w:tc>
        <w:tc>
          <w:tcPr>
            <w:tcW w:w="8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3"/>
              </w:rPr>
              <w:t>Firms</w:t>
            </w:r>
          </w:p>
        </w:tc>
      </w:tr>
      <w:tr>
        <w:trPr>
          <w:trHeight w:val="47"/>
        </w:trPr>
        <w:tc>
          <w:tcPr>
            <w:tcW w:w="4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189"/>
        </w:trPr>
        <w:tc>
          <w:tcPr>
            <w:tcW w:w="480" w:type="dxa"/>
            <w:vAlign w:val="bottom"/>
            <w:shd w:val="clear" w:color="auto" w:fill="F0FFFF"/>
          </w:tcPr>
          <w:p>
            <w:pPr>
              <w:spacing w:after="0"/>
              <w:rPr>
                <w:sz w:val="20"/>
                <w:szCs w:val="20"/>
                <w:color w:val="auto"/>
              </w:rPr>
            </w:pPr>
            <w:r>
              <w:rPr>
                <w:rFonts w:ascii="Times New Roman" w:cs="Times New Roman" w:eastAsia="Times New Roman" w:hAnsi="Times New Roman"/>
                <w:sz w:val="13"/>
                <w:szCs w:val="13"/>
                <w:color w:val="auto"/>
              </w:rPr>
              <w:t>2024</w:t>
            </w:r>
          </w:p>
        </w:tc>
        <w:tc>
          <w:tcPr>
            <w:tcW w:w="1060" w:type="dxa"/>
            <w:vAlign w:val="bottom"/>
            <w:gridSpan w:val="2"/>
            <w:shd w:val="clear" w:color="auto" w:fill="F0FFFF"/>
          </w:tcPr>
          <w:p>
            <w:pPr>
              <w:jc w:val="center"/>
              <w:spacing w:after="0"/>
              <w:rPr>
                <w:sz w:val="20"/>
                <w:szCs w:val="20"/>
                <w:color w:val="auto"/>
              </w:rPr>
            </w:pPr>
            <w:r>
              <w:rPr>
                <w:rFonts w:ascii="Times New Roman" w:cs="Times New Roman" w:eastAsia="Times New Roman" w:hAnsi="Times New Roman"/>
                <w:sz w:val="13"/>
                <w:szCs w:val="13"/>
                <w:color w:val="auto"/>
                <w:w w:val="99"/>
              </w:rPr>
              <w:t>$ 80,082,297</w:t>
            </w:r>
          </w:p>
        </w:tc>
        <w:tc>
          <w:tcPr>
            <w:tcW w:w="1120" w:type="dxa"/>
            <w:vAlign w:val="bottom"/>
            <w:gridSpan w:val="2"/>
            <w:shd w:val="clear" w:color="auto" w:fill="F0FFFF"/>
          </w:tcPr>
          <w:p>
            <w:pPr>
              <w:jc w:val="center"/>
              <w:ind w:left="14"/>
              <w:spacing w:after="0"/>
              <w:rPr>
                <w:sz w:val="20"/>
                <w:szCs w:val="20"/>
                <w:color w:val="auto"/>
              </w:rPr>
            </w:pPr>
            <w:r>
              <w:rPr>
                <w:rFonts w:ascii="Times New Roman" w:cs="Times New Roman" w:eastAsia="Times New Roman" w:hAnsi="Times New Roman"/>
                <w:sz w:val="13"/>
                <w:szCs w:val="13"/>
                <w:color w:val="auto"/>
                <w:w w:val="91"/>
              </w:rPr>
              <w:t>$0</w:t>
            </w:r>
          </w:p>
        </w:tc>
      </w:tr>
      <w:tr>
        <w:trPr>
          <w:trHeight w:val="39"/>
        </w:trPr>
        <w:tc>
          <w:tcPr>
            <w:tcW w:w="480" w:type="dxa"/>
            <w:vAlign w:val="bottom"/>
            <w:shd w:val="clear" w:color="auto" w:fill="F0FFFF"/>
          </w:tcPr>
          <w:p>
            <w:pPr>
              <w:spacing w:after="0"/>
              <w:rPr>
                <w:sz w:val="3"/>
                <w:szCs w:val="3"/>
                <w:color w:val="auto"/>
              </w:rPr>
            </w:pPr>
          </w:p>
        </w:tc>
        <w:tc>
          <w:tcPr>
            <w:tcW w:w="80" w:type="dxa"/>
            <w:vAlign w:val="bottom"/>
            <w:shd w:val="clear" w:color="auto" w:fill="F0FFFF"/>
          </w:tcPr>
          <w:p>
            <w:pPr>
              <w:spacing w:after="0"/>
              <w:rPr>
                <w:sz w:val="3"/>
                <w:szCs w:val="3"/>
                <w:color w:val="auto"/>
              </w:rPr>
            </w:pPr>
          </w:p>
        </w:tc>
        <w:tc>
          <w:tcPr>
            <w:tcW w:w="980" w:type="dxa"/>
            <w:vAlign w:val="bottom"/>
            <w:shd w:val="clear" w:color="auto" w:fill="F0FFFF"/>
          </w:tcPr>
          <w:p>
            <w:pPr>
              <w:spacing w:after="0"/>
              <w:rPr>
                <w:sz w:val="3"/>
                <w:szCs w:val="3"/>
                <w:color w:val="auto"/>
              </w:rPr>
            </w:pPr>
          </w:p>
        </w:tc>
        <w:tc>
          <w:tcPr>
            <w:tcW w:w="80" w:type="dxa"/>
            <w:vAlign w:val="bottom"/>
            <w:shd w:val="clear" w:color="auto" w:fill="F0FFFF"/>
          </w:tcPr>
          <w:p>
            <w:pPr>
              <w:spacing w:after="0"/>
              <w:rPr>
                <w:sz w:val="3"/>
                <w:szCs w:val="3"/>
                <w:color w:val="auto"/>
              </w:rPr>
            </w:pPr>
          </w:p>
        </w:tc>
        <w:tc>
          <w:tcPr>
            <w:tcW w:w="1040" w:type="dxa"/>
            <w:vAlign w:val="bottom"/>
            <w:shd w:val="clear" w:color="auto" w:fill="F0FFFF"/>
          </w:tcPr>
          <w:p>
            <w:pPr>
              <w:spacing w:after="0"/>
              <w:rPr>
                <w:sz w:val="3"/>
                <w:szCs w:val="3"/>
                <w:color w:val="auto"/>
              </w:rPr>
            </w:pPr>
          </w:p>
        </w:tc>
      </w:tr>
    </w:tbl>
    <w:p>
      <w:pPr>
        <w:spacing w:after="0" w:line="10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color w:val="auto"/>
        </w:rPr>
        <w:t>The Contracts were not offered before January 1, 2024.</w:t>
      </w:r>
    </w:p>
    <w:p>
      <w:pPr>
        <w:spacing w:after="0" w:line="138" w:lineRule="exact"/>
        <w:rPr>
          <w:sz w:val="20"/>
          <w:szCs w:val="20"/>
          <w:color w:val="auto"/>
        </w:rPr>
      </w:pPr>
    </w:p>
    <w:p>
      <w:pPr>
        <w:ind w:left="5" w:right="2859"/>
        <w:spacing w:after="0" w:line="320" w:lineRule="auto"/>
        <w:rPr>
          <w:sz w:val="20"/>
          <w:szCs w:val="20"/>
          <w:color w:val="auto"/>
        </w:rPr>
      </w:pPr>
      <w:r>
        <w:rPr>
          <w:rFonts w:ascii="Times New Roman" w:cs="Times New Roman" w:eastAsia="Times New Roman" w:hAnsi="Times New Roman"/>
          <w:sz w:val="13"/>
          <w:szCs w:val="13"/>
          <w:color w:val="auto"/>
        </w:rPr>
        <w:t>Distributor passes through commissions to selling firms for their sales. In addition we pay compensation to Distributor to offset its expenses, including compensation costs, marketing and distribution expenses, advertising, wholesaling, printing, and other expenses of distributing the contracts.</w:t>
      </w:r>
    </w:p>
    <w:p>
      <w:pPr>
        <w:spacing w:after="0" w:line="6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color w:val="auto"/>
        </w:rPr>
        <w:t>As noted in the prospectus, we and Distributor pay compensation to all selling firms in the form of commissions and certain</w:t>
      </w:r>
    </w:p>
    <w:p>
      <w:pPr>
        <w:spacing w:after="0" w:line="3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color w:val="auto"/>
        </w:rPr>
        <w:t>types of non-cash compensation. We and Distributor may pay additional compensation to selected firms, including marketing</w:t>
      </w:r>
    </w:p>
    <w:p>
      <w:pPr>
        <w:spacing w:after="0" w:line="2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color w:val="auto"/>
        </w:rPr>
        <w:t>allowances, introduction fees, persistency payments, preferred status fees and industry conference fees. The terms of any</w:t>
      </w:r>
    </w:p>
    <w:p>
      <w:pPr>
        <w:spacing w:after="0" w:line="3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color w:val="auto"/>
        </w:rPr>
        <w:t>particular agreement governing compensation may vary among selling firms and the amounts may be significant. The amount</w:t>
      </w:r>
    </w:p>
    <w:p>
      <w:pPr>
        <w:spacing w:after="0" w:line="3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color w:val="auto"/>
        </w:rPr>
        <w:t>of additional compensation (non-commission amounts) paid to selected selling firms during 2024 ranged from $324 to</w:t>
      </w:r>
    </w:p>
    <w:p>
      <w:pPr>
        <w:spacing w:after="0" w:line="2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color w:val="auto"/>
        </w:rPr>
        <w:t>$1,345,721.* The amount of commissions paid to selected selling firms during 2024 ranged from $0 to $16,821,942. The</w:t>
      </w:r>
    </w:p>
    <w:p>
      <w:pPr>
        <w:spacing w:after="0" w:line="3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color w:val="auto"/>
        </w:rPr>
        <w:t>amount of total compensation (includes non-commission as well as commission amounts) paid to selected selling firms during</w:t>
      </w:r>
    </w:p>
    <w:p>
      <w:pPr>
        <w:spacing w:after="0" w:line="3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color w:val="auto"/>
        </w:rPr>
        <w:t>2024 ranged from $324 to $18,167,633.*</w:t>
      </w:r>
    </w:p>
    <w:p>
      <w:pPr>
        <w:spacing w:after="0" w:line="138" w:lineRule="exact"/>
        <w:rPr>
          <w:sz w:val="20"/>
          <w:szCs w:val="20"/>
          <w:color w:val="auto"/>
        </w:rPr>
      </w:pPr>
    </w:p>
    <w:p>
      <w:pPr>
        <w:ind w:left="105" w:hanging="105"/>
        <w:spacing w:after="0"/>
        <w:tabs>
          <w:tab w:leader="none" w:pos="105"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calculating this range, the additional compensation (non-commission) amounts received by a selling firm</w:t>
      </w:r>
    </w:p>
    <w:p>
      <w:pPr>
        <w:spacing w:after="0" w:line="38" w:lineRule="exact"/>
        <w:rPr>
          <w:rFonts w:ascii="Times New Roman" w:cs="Times New Roman" w:eastAsia="Times New Roman" w:hAnsi="Times New Roman"/>
          <w:sz w:val="13"/>
          <w:szCs w:val="13"/>
          <w:color w:val="auto"/>
        </w:rPr>
      </w:pPr>
    </w:p>
    <w:p>
      <w:pPr>
        <w:ind w:left="5" w:right="3079"/>
        <w:spacing w:after="0" w:line="322"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additional compensation received by the firm for the sale of insurance products issued by our affiliate Brighthouse Life Insurance Company.</w:t>
      </w:r>
    </w:p>
    <w:p>
      <w:pPr>
        <w:spacing w:after="0" w:line="75" w:lineRule="exact"/>
        <w:rPr>
          <w:sz w:val="20"/>
          <w:szCs w:val="20"/>
          <w:color w:val="auto"/>
        </w:rPr>
      </w:pPr>
    </w:p>
    <w:p>
      <w:pPr>
        <w:ind w:left="5" w:right="2899"/>
        <w:spacing w:after="0" w:line="312" w:lineRule="auto"/>
        <w:rPr>
          <w:sz w:val="20"/>
          <w:szCs w:val="20"/>
          <w:color w:val="auto"/>
        </w:rPr>
      </w:pPr>
      <w:r>
        <w:rPr>
          <w:rFonts w:ascii="Times New Roman" w:cs="Times New Roman" w:eastAsia="Times New Roman" w:hAnsi="Times New Roman"/>
          <w:sz w:val="13"/>
          <w:szCs w:val="13"/>
          <w:color w:val="auto"/>
        </w:rPr>
        <w:t>The following list sets forth the names of selling firms that received additional compensation in 2024 in connection with the sale of our variable annuity contracts, variable life policies and other insurance products (including the contracts offered by the prospectus). The selling firms are listed in alphabetical order.</w:t>
      </w:r>
    </w:p>
    <w:p>
      <w:pPr>
        <w:spacing w:after="0" w:line="8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color w:val="auto"/>
        </w:rPr>
        <w:t>Atria Wealth Solutions.</w:t>
      </w:r>
    </w:p>
    <w:p>
      <w:pPr>
        <w:spacing w:after="0" w:line="4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color w:val="auto"/>
        </w:rPr>
        <w:t>American Portfolios Financial Services, Inc.</w:t>
      </w:r>
    </w:p>
    <w:p>
      <w:pPr>
        <w:spacing w:after="0" w:line="4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color w:val="auto"/>
        </w:rPr>
        <w:t>Ameriprise Financial Services, Inc.</w:t>
      </w:r>
    </w:p>
    <w:p>
      <w:pPr>
        <w:spacing w:after="0" w:line="3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color w:val="auto"/>
        </w:rPr>
        <w:t>Ameritas Investment Corp.</w:t>
      </w:r>
    </w:p>
    <w:p>
      <w:pPr>
        <w:spacing w:after="0" w:line="4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color w:val="auto"/>
        </w:rPr>
        <w:t>Arvest Investments, Inc.</w:t>
      </w:r>
    </w:p>
    <w:p>
      <w:pPr>
        <w:spacing w:after="0" w:line="200" w:lineRule="exact"/>
        <w:rPr>
          <w:sz w:val="20"/>
          <w:szCs w:val="20"/>
          <w:color w:val="auto"/>
        </w:rPr>
      </w:pPr>
    </w:p>
    <w:p>
      <w:pPr>
        <w:spacing w:after="0" w:line="266" w:lineRule="exact"/>
        <w:rPr>
          <w:sz w:val="20"/>
          <w:szCs w:val="20"/>
          <w:color w:val="auto"/>
        </w:rPr>
      </w:pPr>
    </w:p>
    <w:p>
      <w:pPr>
        <w:ind w:left="3305"/>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604"/>
          </w:cols>
          <w:pgMar w:left="855" w:top="1164" w:right="1440"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93915" cy="38100"/>
                    </a:xfrm>
                    <a:prstGeom prst="rect">
                      <a:avLst/>
                    </a:prstGeom>
                    <a:noFill/>
                  </pic:spPr>
                </pic:pic>
              </a:graphicData>
            </a:graphic>
          </wp:anchor>
        </w:drawing>
        <w:t>Avantax Investment Services, Inc.</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Benjamin F. Edwards &amp; Company,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BNY Mellon Securities Corporation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Cadaret, Grant &amp; Co., Inc.</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Calton &amp; Associates,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Cambridge Investment Research, Inc.</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Centaurus Financial, Inc.</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Cetera Advisors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Cetera Advisor Networks LLC</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Cetera Financial Specialists LLC</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Cetera Investment Services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Citigroup Global Markets Inc.</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Citizens Securities, Inc.</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Commonwealth Financial Network</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Copper Financial</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CUSO Financial Services, 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Equitable Advisors, LLC</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Equity Services, Inc.</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Fifth Third Securities,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First Citizens Investor Services, Inc.</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First Heartland Capital, Inc.</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Founders Financial Securities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FSC Securities Corporation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Gradient Securities, LLC</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Grove Point Invetments,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GWN Securities Inc.</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Independent Financial Group, LLC</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Infinex Investments,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Investacorp Inc.</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J.P. Morgan Securities LLC</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J.W. Cole Financial,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Janney Montgomery Scott LLC</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Kestra Investment Services, LLC</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Key Investment Services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LPL Financial Corp Affiliates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Lincoln Investment Planning, Inc.</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Lion Street Financial,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Merrill Lynch, Pierce, Fenner &amp; Smith Inc</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MML Investors Services, LLC</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Morgan Stanley Smith Barney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Navy Federal Brokerage Services LLC</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NEXT Financial Group, Inc.</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Oakwood Capital Securities,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OSAIC Wealth, Inc.</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OneAmerica Securities, Inc.</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Oppenheimer &amp; Co.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Park Avenue Securities LLC</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Parkland Securities, LLC</w:t>
      </w:r>
    </w:p>
    <w:p>
      <w:pPr>
        <w:spacing w:after="0" w:line="200" w:lineRule="exact"/>
        <w:rPr>
          <w:sz w:val="20"/>
          <w:szCs w:val="20"/>
          <w:color w:val="auto"/>
        </w:rPr>
      </w:pPr>
    </w:p>
    <w:p>
      <w:pPr>
        <w:spacing w:after="0" w:line="266" w:lineRule="exact"/>
        <w:rPr>
          <w:sz w:val="20"/>
          <w:szCs w:val="20"/>
          <w:color w:val="auto"/>
        </w:rPr>
      </w:pPr>
    </w:p>
    <w:p>
      <w:pPr>
        <w:jc w:val="right"/>
        <w:ind w:right="6239"/>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599"/>
          </w:cols>
          <w:pgMar w:left="860" w:top="1188" w:right="144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93915" cy="38100"/>
                    </a:xfrm>
                    <a:prstGeom prst="rect">
                      <a:avLst/>
                    </a:prstGeom>
                    <a:noFill/>
                  </pic:spPr>
                </pic:pic>
              </a:graphicData>
            </a:graphic>
          </wp:anchor>
        </w:drawing>
        <w:t>PFS Investments Inc.</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Raymond James &amp; Associates,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RBC Capital Markets, LLC</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Royal Alliance Associates, Inc.</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SagePoint Financial,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Santander Securities LLC</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Securities America, Inc.</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Stifel, Nicolaus &amp; Company, Incorporated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Investment Center, Inc.</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Leaders Group, Inc.</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O.N. Equity Sales Company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Transamerica Financial Advisors, Inc.</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Triad Advisors LLC</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UBS Financial Services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U.S. Bancorp Investments, Inc.</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USA Financial Securities Corporation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Vanderbilt Securities, LLC</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Voya Financial Advisors, Inc.</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Wells Fargo Advisors,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Woodbury Financial Services,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Western International Securities, Inc.</w:t>
      </w:r>
    </w:p>
    <w:p>
      <w:pPr>
        <w:spacing w:after="0" w:line="138" w:lineRule="exact"/>
        <w:rPr>
          <w:sz w:val="20"/>
          <w:szCs w:val="20"/>
          <w:color w:val="auto"/>
        </w:rPr>
      </w:pPr>
    </w:p>
    <w:p>
      <w:pPr>
        <w:ind w:right="2879"/>
        <w:spacing w:after="0" w:line="338" w:lineRule="auto"/>
        <w:rPr>
          <w:sz w:val="20"/>
          <w:szCs w:val="20"/>
          <w:color w:val="auto"/>
        </w:rPr>
      </w:pPr>
      <w:r>
        <w:rPr>
          <w:rFonts w:ascii="Times New Roman" w:cs="Times New Roman" w:eastAsia="Times New Roman" w:hAnsi="Times New Roman"/>
          <w:sz w:val="13"/>
          <w:szCs w:val="13"/>
          <w:color w:val="auto"/>
        </w:rPr>
        <w:t>There are other broker dealers who receive compensation for servicing our contracts, and the Account Value of the contracts or the amount of added Purchase Payments received may be included in determining their additional compensation, if any.</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ANNUITY PROVISIONS</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Fixed Annuity</w:t>
      </w:r>
    </w:p>
    <w:p>
      <w:pPr>
        <w:spacing w:after="0" w:line="105" w:lineRule="exact"/>
        <w:rPr>
          <w:sz w:val="20"/>
          <w:szCs w:val="20"/>
          <w:color w:val="auto"/>
        </w:rPr>
      </w:pPr>
    </w:p>
    <w:p>
      <w:pPr>
        <w:ind w:right="2919"/>
        <w:spacing w:after="0" w:line="301" w:lineRule="auto"/>
        <w:rPr>
          <w:sz w:val="20"/>
          <w:szCs w:val="20"/>
          <w:color w:val="auto"/>
        </w:rPr>
      </w:pPr>
      <w:r>
        <w:rPr>
          <w:rFonts w:ascii="Times New Roman" w:cs="Times New Roman" w:eastAsia="Times New Roman" w:hAnsi="Times New Roman"/>
          <w:sz w:val="13"/>
          <w:szCs w:val="13"/>
          <w:color w:val="auto"/>
        </w:rPr>
        <w:t>A fixed annuity is a series of payments made during the Annuity Phase which are guaranteed as to dollar amount by the Company and do not vary with the investment experience of the Separate Account. The Adjusted Contract Value (the Account Value, less any appliable premium taxes and any prorated rider charge) is determined on the annuity calculation date, which is a Business Day no more than five (5) Business Days before the Annuity Date. This value will be used to determine a fixed Annuity Payment. Annuity Payments will be paid as monthly installments or at any frequency acceptable to us and you and will be based upon the Annuity Option elected, the Annuitant's age, the Annuitant's sex (where permitted by law), and the appropriate Annuity Option table. Your annuity rates will not be less than those guaranteed in your contract at the time of purchase. If, as of the annuity calculation date, the then current Annuity Option rates applicable to this class of contracts provide an Annuity Payment greater than that which is guaranteed under the same Annuity Option under this contract, the greater payment will be made.</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LEGAL OR REGULATORY RESTRICTIONS ON TRANSACTIONS</w:t>
      </w:r>
    </w:p>
    <w:p>
      <w:pPr>
        <w:spacing w:after="0" w:line="119" w:lineRule="exact"/>
        <w:rPr>
          <w:sz w:val="20"/>
          <w:szCs w:val="20"/>
          <w:color w:val="auto"/>
        </w:rPr>
      </w:pPr>
    </w:p>
    <w:p>
      <w:pPr>
        <w:jc w:val="both"/>
        <w:ind w:right="3139"/>
        <w:spacing w:after="0" w:line="320" w:lineRule="auto"/>
        <w:rPr>
          <w:sz w:val="20"/>
          <w:szCs w:val="20"/>
          <w:color w:val="auto"/>
        </w:rPr>
      </w:pPr>
      <w:r>
        <w:rPr>
          <w:rFonts w:ascii="Times New Roman" w:cs="Times New Roman" w:eastAsia="Times New Roman" w:hAnsi="Times New Roman"/>
          <w:sz w:val="13"/>
          <w:szCs w:val="13"/>
          <w:color w:val="auto"/>
        </w:rPr>
        <w:t>If mandated under applicable law, the Company may be required to reject a Purchase Payment. The Company may also be required to block a contract Owner’s account and thereby refuse to pay any request for transfers, withdrawals, surrenders, death benefits or continue making Annuity Payments until instructions are received from the appropriate regulator.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599"/>
          </w:cols>
          <w:pgMar w:left="860" w:top="1188" w:right="1440" w:bottom="1440" w:gutter="0" w:footer="0" w:header="0"/>
        </w:sectPr>
      </w:pPr>
    </w:p>
    <w:bookmarkStart w:id="105" w:name="page106"/>
    <w:bookmarkEnd w:id="10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FINANCIAL STATEMENTS</w:t>
      </w:r>
    </w:p>
    <w:p>
      <w:pPr>
        <w:spacing w:after="0" w:line="119" w:lineRule="exact"/>
        <w:rPr>
          <w:sz w:val="20"/>
          <w:szCs w:val="20"/>
          <w:color w:val="auto"/>
        </w:rPr>
      </w:pPr>
    </w:p>
    <w:p>
      <w:pPr>
        <w:ind w:right="2999"/>
        <w:spacing w:after="0" w:line="338" w:lineRule="auto"/>
        <w:rPr>
          <w:rFonts w:ascii="Times New Roman" w:cs="Times New Roman" w:eastAsia="Times New Roman" w:hAnsi="Times New Roman"/>
          <w:sz w:val="13"/>
          <w:szCs w:val="13"/>
          <w:u w:val="single" w:color="auto"/>
          <w:color w:val="0000EE"/>
        </w:rPr>
      </w:pPr>
      <w:hyperlink r:id="rId305">
        <w:r>
          <w:rPr>
            <w:rFonts w:ascii="Times New Roman" w:cs="Times New Roman" w:eastAsia="Times New Roman" w:hAnsi="Times New Roman"/>
            <w:sz w:val="13"/>
            <w:szCs w:val="13"/>
            <w:u w:val="single" w:color="auto"/>
            <w:color w:val="0000EE"/>
          </w:rPr>
          <w:t>The statutory-basis financial statements of the Company are incorporated by reference to the submission form type N-VPFS,</w:t>
        </w:r>
      </w:hyperlink>
      <w:r>
        <w:rPr>
          <w:rFonts w:ascii="Times New Roman" w:cs="Times New Roman" w:eastAsia="Times New Roman" w:hAnsi="Times New Roman"/>
          <w:sz w:val="13"/>
          <w:szCs w:val="13"/>
          <w:u w:val="single" w:color="auto"/>
          <w:color w:val="0000EE"/>
        </w:rPr>
        <w:t xml:space="preserve"> </w:t>
      </w:r>
      <w:hyperlink r:id="rId305">
        <w:r>
          <w:rPr>
            <w:rFonts w:ascii="Times New Roman" w:cs="Times New Roman" w:eastAsia="Times New Roman" w:hAnsi="Times New Roman"/>
            <w:sz w:val="13"/>
            <w:szCs w:val="13"/>
            <w:u w:val="single" w:color="auto"/>
            <w:color w:val="0000EE"/>
          </w:rPr>
          <w:t>CIK No. 0001167609, filed by the Insurance Company with the SEC on April 8, 2025.</w:t>
        </w:r>
      </w:hyperlink>
    </w:p>
    <w:p>
      <w:pPr>
        <w:spacing w:after="0" w:line="55" w:lineRule="exact"/>
        <w:rPr>
          <w:sz w:val="20"/>
          <w:szCs w:val="20"/>
          <w:color w:val="auto"/>
        </w:rPr>
      </w:pPr>
    </w:p>
    <w:p>
      <w:pPr>
        <w:ind w:right="2879"/>
        <w:spacing w:after="0" w:line="338" w:lineRule="auto"/>
        <w:rPr>
          <w:sz w:val="20"/>
          <w:szCs w:val="20"/>
          <w:color w:val="auto"/>
        </w:rPr>
      </w:pPr>
      <w:r>
        <w:rPr>
          <w:rFonts w:ascii="Times New Roman" w:cs="Times New Roman" w:eastAsia="Times New Roman" w:hAnsi="Times New Roman"/>
          <w:sz w:val="13"/>
          <w:szCs w:val="13"/>
          <w:color w:val="auto"/>
        </w:rPr>
        <w:t>The statutory-basis financial statements of the Company should be considered only as bearing upon the ability of the Company to meet its obligations under the contract.</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CHANGES IN AND DISAGREEMENTS WITH ACCOUNTANTS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599"/>
          </w:cols>
          <w:pgMar w:left="860" w:top="1440" w:right="1440" w:bottom="1440"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tbl>
      <w:tblPr>
        <w:tblLayout w:type="fixed"/>
        <w:tblInd w:w="5" w:type="dxa"/>
        <w:tblCellMar>
          <w:top w:w="0" w:type="dxa"/>
          <w:left w:w="0" w:type="dxa"/>
          <w:bottom w:w="0" w:type="dxa"/>
          <w:right w:w="0" w:type="dxa"/>
        </w:tblCellMar>
      </w:tblPr>
      <w:tr>
        <w:trPr>
          <w:trHeight w:val="180"/>
        </w:trPr>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20" w:type="dxa"/>
            <w:vAlign w:val="bottom"/>
            <w:gridSpan w:val="5"/>
          </w:tcPr>
          <w:p>
            <w:pPr>
              <w:ind w:left="520"/>
              <w:spacing w:after="0"/>
              <w:rPr>
                <w:sz w:val="20"/>
                <w:szCs w:val="20"/>
                <w:color w:val="auto"/>
              </w:rPr>
            </w:pPr>
            <w:r>
              <w:rPr>
                <w:rFonts w:ascii="Arial" w:cs="Arial" w:eastAsia="Arial" w:hAnsi="Arial"/>
                <w:sz w:val="13"/>
                <w:szCs w:val="13"/>
                <w:b w:val="1"/>
                <w:bCs w:val="1"/>
                <w:color w:val="auto"/>
              </w:rPr>
              <w:t>PART C - OTHER INFORMATION</w:t>
            </w:r>
          </w:p>
        </w:tc>
        <w:tc>
          <w:tcPr>
            <w:tcW w:w="0" w:type="dxa"/>
            <w:vAlign w:val="bottom"/>
          </w:tcPr>
          <w:p>
            <w:pPr>
              <w:spacing w:after="0"/>
              <w:rPr>
                <w:sz w:val="1"/>
                <w:szCs w:val="1"/>
                <w:color w:val="auto"/>
              </w:rPr>
            </w:pPr>
          </w:p>
        </w:tc>
      </w:tr>
      <w:tr>
        <w:trPr>
          <w:trHeight w:val="200"/>
        </w:trPr>
        <w:tc>
          <w:tcPr>
            <w:tcW w:w="1260" w:type="dxa"/>
            <w:vAlign w:val="bottom"/>
            <w:gridSpan w:val="2"/>
          </w:tcPr>
          <w:p>
            <w:pPr>
              <w:spacing w:after="0"/>
              <w:rPr>
                <w:sz w:val="20"/>
                <w:szCs w:val="20"/>
                <w:color w:val="auto"/>
              </w:rPr>
            </w:pPr>
            <w:r>
              <w:rPr>
                <w:rFonts w:ascii="Arial" w:cs="Arial" w:eastAsia="Arial" w:hAnsi="Arial"/>
                <w:sz w:val="13"/>
                <w:szCs w:val="13"/>
                <w:color w:val="auto"/>
              </w:rPr>
              <w:t>Item</w:t>
            </w:r>
          </w:p>
        </w:tc>
        <w:tc>
          <w:tcPr>
            <w:tcW w:w="5400" w:type="dxa"/>
            <w:vAlign w:val="bottom"/>
            <w:gridSpan w:val="6"/>
          </w:tcPr>
          <w:p>
            <w:pPr>
              <w:spacing w:after="0"/>
              <w:rPr>
                <w:sz w:val="20"/>
                <w:szCs w:val="20"/>
                <w:color w:val="auto"/>
              </w:rPr>
            </w:pPr>
            <w:r>
              <w:rPr>
                <w:rFonts w:ascii="Arial" w:cs="Arial" w:eastAsia="Arial" w:hAnsi="Arial"/>
                <w:sz w:val="13"/>
                <w:szCs w:val="13"/>
                <w:color w:val="auto"/>
              </w:rPr>
              <w:t>Exhibits</w:t>
            </w:r>
          </w:p>
        </w:tc>
        <w:tc>
          <w:tcPr>
            <w:tcW w:w="0" w:type="dxa"/>
            <w:vAlign w:val="bottom"/>
          </w:tcPr>
          <w:p>
            <w:pPr>
              <w:spacing w:after="0"/>
              <w:rPr>
                <w:sz w:val="1"/>
                <w:szCs w:val="1"/>
                <w:color w:val="auto"/>
              </w:rPr>
            </w:pPr>
          </w:p>
        </w:tc>
      </w:tr>
      <w:tr>
        <w:trPr>
          <w:trHeight w:val="174"/>
        </w:trPr>
        <w:tc>
          <w:tcPr>
            <w:tcW w:w="400" w:type="dxa"/>
            <w:vAlign w:val="bottom"/>
          </w:tcPr>
          <w:p>
            <w:pPr>
              <w:spacing w:after="0"/>
              <w:rPr>
                <w:sz w:val="20"/>
                <w:szCs w:val="20"/>
                <w:color w:val="auto"/>
              </w:rPr>
            </w:pPr>
            <w:r>
              <w:rPr>
                <w:rFonts w:ascii="Arial" w:cs="Arial" w:eastAsia="Arial" w:hAnsi="Arial"/>
                <w:sz w:val="13"/>
                <w:szCs w:val="13"/>
                <w:color w:val="auto"/>
              </w:rPr>
              <w:t>27.</w:t>
            </w: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260" w:type="dxa"/>
            <w:vAlign w:val="bottom"/>
            <w:gridSpan w:val="2"/>
          </w:tcPr>
          <w:p>
            <w:pPr>
              <w:spacing w:after="0"/>
              <w:rPr>
                <w:sz w:val="20"/>
                <w:szCs w:val="20"/>
                <w:color w:val="auto"/>
              </w:rPr>
            </w:pPr>
            <w:r>
              <w:rPr>
                <w:rFonts w:ascii="Arial" w:cs="Arial" w:eastAsia="Arial" w:hAnsi="Arial"/>
                <w:sz w:val="11"/>
                <w:szCs w:val="11"/>
                <w:b w:val="1"/>
                <w:bCs w:val="1"/>
                <w:color w:val="auto"/>
              </w:rPr>
              <w:t>Exhibit</w:t>
            </w:r>
          </w:p>
        </w:tc>
        <w:tc>
          <w:tcPr>
            <w:tcW w:w="5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2"/>
              </w:rPr>
              <w:t>Description</w:t>
            </w:r>
          </w:p>
        </w:tc>
        <w:tc>
          <w:tcPr>
            <w:tcW w:w="482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1"/>
              </w:rPr>
              <w:t>Number</w:t>
            </w: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0"/>
        </w:trPr>
        <w:tc>
          <w:tcPr>
            <w:tcW w:w="1260" w:type="dxa"/>
            <w:vAlign w:val="bottom"/>
            <w:gridSpan w:val="2"/>
          </w:tcPr>
          <w:p>
            <w:pPr>
              <w:spacing w:after="0"/>
              <w:rPr>
                <w:sz w:val="20"/>
                <w:szCs w:val="20"/>
                <w:color w:val="auto"/>
              </w:rPr>
            </w:pPr>
            <w:r>
              <w:rPr>
                <w:rFonts w:ascii="Arial" w:cs="Arial" w:eastAsia="Arial" w:hAnsi="Arial"/>
                <w:sz w:val="13"/>
                <w:szCs w:val="13"/>
                <w:color w:val="auto"/>
              </w:rPr>
              <w:t>(a)</w:t>
            </w:r>
          </w:p>
        </w:tc>
        <w:tc>
          <w:tcPr>
            <w:tcW w:w="5400" w:type="dxa"/>
            <w:vAlign w:val="bottom"/>
            <w:gridSpan w:val="6"/>
          </w:tcPr>
          <w:p>
            <w:pPr>
              <w:spacing w:after="0"/>
              <w:rPr>
                <w:sz w:val="20"/>
                <w:szCs w:val="20"/>
                <w:color w:val="auto"/>
              </w:rPr>
            </w:pPr>
            <w:r>
              <w:rPr>
                <w:rFonts w:ascii="Arial" w:cs="Arial" w:eastAsia="Arial" w:hAnsi="Arial"/>
                <w:sz w:val="13"/>
                <w:szCs w:val="13"/>
                <w:color w:val="auto"/>
              </w:rPr>
              <w:t>Not Applicable.</w:t>
            </w:r>
          </w:p>
        </w:tc>
        <w:tc>
          <w:tcPr>
            <w:tcW w:w="0" w:type="dxa"/>
            <w:vAlign w:val="bottom"/>
          </w:tcPr>
          <w:p>
            <w:pPr>
              <w:spacing w:after="0"/>
              <w:rPr>
                <w:sz w:val="1"/>
                <w:szCs w:val="1"/>
                <w:color w:val="auto"/>
              </w:rPr>
            </w:pPr>
          </w:p>
        </w:tc>
      </w:tr>
      <w:tr>
        <w:trPr>
          <w:trHeight w:val="248"/>
        </w:trPr>
        <w:tc>
          <w:tcPr>
            <w:tcW w:w="1260" w:type="dxa"/>
            <w:vAlign w:val="bottom"/>
            <w:gridSpan w:val="2"/>
          </w:tcPr>
          <w:p>
            <w:pPr>
              <w:spacing w:after="0"/>
              <w:rPr>
                <w:sz w:val="20"/>
                <w:szCs w:val="20"/>
                <w:color w:val="auto"/>
              </w:rPr>
            </w:pPr>
            <w:r>
              <w:rPr>
                <w:rFonts w:ascii="Arial" w:cs="Arial" w:eastAsia="Arial" w:hAnsi="Arial"/>
                <w:sz w:val="13"/>
                <w:szCs w:val="13"/>
                <w:color w:val="auto"/>
              </w:rPr>
              <w:t>(b)</w:t>
            </w:r>
          </w:p>
        </w:tc>
        <w:tc>
          <w:tcPr>
            <w:tcW w:w="5400" w:type="dxa"/>
            <w:vAlign w:val="bottom"/>
            <w:gridSpan w:val="6"/>
          </w:tcPr>
          <w:p>
            <w:pPr>
              <w:spacing w:after="0"/>
              <w:rPr>
                <w:sz w:val="20"/>
                <w:szCs w:val="20"/>
                <w:color w:val="auto"/>
              </w:rPr>
            </w:pPr>
            <w:r>
              <w:rPr>
                <w:rFonts w:ascii="Arial" w:cs="Arial" w:eastAsia="Arial" w:hAnsi="Arial"/>
                <w:sz w:val="13"/>
                <w:szCs w:val="13"/>
                <w:color w:val="auto"/>
              </w:rPr>
              <w:t>Not Applicable.</w:t>
            </w:r>
          </w:p>
        </w:tc>
        <w:tc>
          <w:tcPr>
            <w:tcW w:w="0" w:type="dxa"/>
            <w:vAlign w:val="bottom"/>
          </w:tcPr>
          <w:p>
            <w:pPr>
              <w:spacing w:after="0"/>
              <w:rPr>
                <w:sz w:val="1"/>
                <w:szCs w:val="1"/>
                <w:color w:val="auto"/>
              </w:rPr>
            </w:pPr>
          </w:p>
        </w:tc>
      </w:tr>
      <w:tr>
        <w:trPr>
          <w:trHeight w:val="248"/>
        </w:trPr>
        <w:tc>
          <w:tcPr>
            <w:tcW w:w="1260" w:type="dxa"/>
            <w:vAlign w:val="bottom"/>
            <w:gridSpan w:val="2"/>
          </w:tcPr>
          <w:p>
            <w:pPr>
              <w:spacing w:after="0"/>
              <w:rPr>
                <w:sz w:val="20"/>
                <w:szCs w:val="20"/>
                <w:color w:val="auto"/>
              </w:rPr>
            </w:pPr>
            <w:r>
              <w:rPr>
                <w:rFonts w:ascii="Arial" w:cs="Arial" w:eastAsia="Arial" w:hAnsi="Arial"/>
                <w:sz w:val="13"/>
                <w:szCs w:val="13"/>
                <w:color w:val="auto"/>
              </w:rPr>
              <w:t>(c)   (i) (a)</w:t>
            </w:r>
          </w:p>
        </w:tc>
        <w:tc>
          <w:tcPr>
            <w:tcW w:w="5400" w:type="dxa"/>
            <w:vAlign w:val="bottom"/>
            <w:gridSpan w:val="6"/>
            <w:vMerge w:val="restart"/>
          </w:tcPr>
          <w:p>
            <w:pPr>
              <w:spacing w:after="0"/>
              <w:rPr>
                <w:rFonts w:ascii="Arial" w:cs="Arial" w:eastAsia="Arial" w:hAnsi="Arial"/>
                <w:sz w:val="13"/>
                <w:szCs w:val="13"/>
                <w:color w:val="0000EE"/>
              </w:rPr>
            </w:pPr>
            <w:hyperlink r:id="rId307">
              <w:r>
                <w:rPr>
                  <w:rFonts w:ascii="Arial" w:cs="Arial" w:eastAsia="Arial" w:hAnsi="Arial"/>
                  <w:sz w:val="13"/>
                  <w:szCs w:val="13"/>
                  <w:color w:val="0000EE"/>
                </w:rPr>
                <w:t>Principal Underwriting Agreement and Distribution Agreement between Brighthouse Life</w:t>
              </w:r>
            </w:hyperlink>
          </w:p>
        </w:tc>
        <w:tc>
          <w:tcPr>
            <w:tcW w:w="0" w:type="dxa"/>
            <w:vAlign w:val="bottom"/>
          </w:tcPr>
          <w:p>
            <w:pPr>
              <w:spacing w:after="0"/>
              <w:rPr>
                <w:sz w:val="1"/>
                <w:szCs w:val="1"/>
                <w:color w:val="auto"/>
              </w:rPr>
            </w:pPr>
          </w:p>
        </w:tc>
      </w:tr>
      <w:tr>
        <w:trPr>
          <w:trHeight w:val="97"/>
        </w:trPr>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540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140" w:type="dxa"/>
            <w:vAlign w:val="bottom"/>
            <w:tcBorders>
              <w:top w:val="single" w:sz="8" w:color="0000EE"/>
            </w:tcBorders>
            <w:gridSpan w:val="4"/>
          </w:tcPr>
          <w:p>
            <w:pPr>
              <w:spacing w:after="0" w:line="109" w:lineRule="exact"/>
              <w:rPr>
                <w:rFonts w:ascii="Arial" w:cs="Arial" w:eastAsia="Arial" w:hAnsi="Arial"/>
                <w:sz w:val="12"/>
                <w:szCs w:val="12"/>
                <w:color w:val="0000EE"/>
              </w:rPr>
            </w:pPr>
            <w:hyperlink r:id="rId307">
              <w:r>
                <w:rPr>
                  <w:rFonts w:ascii="Arial" w:cs="Arial" w:eastAsia="Arial" w:hAnsi="Arial"/>
                  <w:sz w:val="12"/>
                  <w:szCs w:val="12"/>
                  <w:color w:val="0000EE"/>
                </w:rPr>
                <w:t>Insurance Company of NY and Brighthouse Securities, LLC (effective 3-6-17). (Filed as</w:t>
              </w:r>
            </w:hyperlink>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100" w:type="dxa"/>
            <w:vAlign w:val="bottom"/>
            <w:tcBorders>
              <w:top w:val="single" w:sz="8" w:color="0000EE"/>
            </w:tcBorders>
            <w:gridSpan w:val="3"/>
          </w:tcPr>
          <w:p>
            <w:pPr>
              <w:spacing w:after="0" w:line="119" w:lineRule="exact"/>
              <w:rPr>
                <w:rFonts w:ascii="Arial" w:cs="Arial" w:eastAsia="Arial" w:hAnsi="Arial"/>
                <w:sz w:val="13"/>
                <w:szCs w:val="13"/>
                <w:color w:val="0000EE"/>
              </w:rPr>
            </w:pPr>
            <w:hyperlink r:id="rId307">
              <w:r>
                <w:rPr>
                  <w:rFonts w:ascii="Arial" w:cs="Arial" w:eastAsia="Arial" w:hAnsi="Arial"/>
                  <w:sz w:val="13"/>
                  <w:szCs w:val="13"/>
                  <w:color w:val="0000EE"/>
                </w:rPr>
                <w:t>Exhibit 1(a) with Registration Statement No. 333-217514 on Form S-3 on April 27, 2017</w:t>
              </w:r>
            </w:hyperlink>
          </w:p>
        </w:tc>
        <w:tc>
          <w:tcPr>
            <w:tcW w:w="300" w:type="dxa"/>
            <w:vAlign w:val="bottom"/>
            <w:gridSpan w:val="3"/>
          </w:tcPr>
          <w:p>
            <w:pPr>
              <w:ind w:left="60"/>
              <w:spacing w:after="0" w:line="119" w:lineRule="exact"/>
              <w:rPr>
                <w:rFonts w:ascii="Arial" w:cs="Arial" w:eastAsia="Arial" w:hAnsi="Arial"/>
                <w:sz w:val="13"/>
                <w:szCs w:val="13"/>
                <w:color w:val="0000EE"/>
              </w:rPr>
            </w:pPr>
            <w:hyperlink r:id="rId307">
              <w:r>
                <w:rPr>
                  <w:rFonts w:ascii="Arial" w:cs="Arial" w:eastAsia="Arial" w:hAnsi="Arial"/>
                  <w:sz w:val="13"/>
                  <w:szCs w:val="13"/>
                  <w:color w:val="0000EE"/>
                </w:rPr>
                <w:t>and</w:t>
              </w:r>
            </w:hyperlink>
          </w:p>
        </w:tc>
        <w:tc>
          <w:tcPr>
            <w:tcW w:w="0" w:type="dxa"/>
            <w:vAlign w:val="bottom"/>
          </w:tcPr>
          <w:p>
            <w:pPr>
              <w:spacing w:after="0"/>
              <w:rPr>
                <w:sz w:val="1"/>
                <w:szCs w:val="1"/>
                <w:color w:val="auto"/>
              </w:rPr>
            </w:pPr>
          </w:p>
        </w:tc>
      </w:tr>
      <w:tr>
        <w:trPr>
          <w:trHeight w:val="109"/>
        </w:trPr>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0" w:type="dxa"/>
            <w:vAlign w:val="bottom"/>
            <w:tcBorders>
              <w:top w:val="single" w:sz="8" w:color="0000EE"/>
              <w:bottom w:val="single" w:sz="8" w:color="0000EE"/>
            </w:tcBorders>
            <w:gridSpan w:val="2"/>
          </w:tcPr>
          <w:p>
            <w:pPr>
              <w:spacing w:after="0" w:line="109" w:lineRule="exact"/>
              <w:rPr>
                <w:rFonts w:ascii="Arial" w:cs="Arial" w:eastAsia="Arial" w:hAnsi="Arial"/>
                <w:sz w:val="12"/>
                <w:szCs w:val="12"/>
                <w:color w:val="0000EE"/>
              </w:rPr>
            </w:pPr>
            <w:hyperlink r:id="rId307">
              <w:r>
                <w:rPr>
                  <w:rFonts w:ascii="Arial" w:cs="Arial" w:eastAsia="Arial" w:hAnsi="Arial"/>
                  <w:sz w:val="12"/>
                  <w:szCs w:val="12"/>
                  <w:color w:val="0000EE"/>
                </w:rPr>
                <w:t>incorporated herein by reference.)</w:t>
              </w:r>
            </w:hyperlink>
          </w:p>
        </w:tc>
        <w:tc>
          <w:tcPr>
            <w:tcW w:w="3380" w:type="dxa"/>
            <w:vAlign w:val="bottom"/>
            <w:tcBorders>
              <w:top w:val="single" w:sz="8" w:color="0000EE"/>
            </w:tcBorders>
            <w:gridSpan w:val="3"/>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8">
                      <a:extLst>
                        <a:ext uri="{28A0092B-C50C-407E-A947-70E740481C1C}"/>
                      </a:extLst>
                    </a:blip>
                    <a:srcRect/>
                    <a:stretch>
                      <a:fillRect/>
                    </a:stretch>
                  </pic:blipFill>
                  <pic:spPr bwMode="auto">
                    <a:xfrm>
                      <a:off x="0" y="0"/>
                      <a:ext cx="7206615" cy="31750"/>
                    </a:xfrm>
                    <a:prstGeom prst="rect">
                      <a:avLst/>
                    </a:prstGeom>
                    <a:noFill/>
                  </pic:spPr>
                </pic:pic>
              </a:graphicData>
            </a:graphic>
          </wp:anchor>
        </w:drawing>
      </w:r>
    </w:p>
    <w:p>
      <w:pPr>
        <w:ind w:left="1265" w:hanging="1265"/>
        <w:spacing w:after="0"/>
        <w:tabs>
          <w:tab w:leader="none" w:pos="1265" w:val="left"/>
        </w:tabs>
        <w:numPr>
          <w:ilvl w:val="0"/>
          <w:numId w:val="66"/>
        </w:numPr>
        <w:rPr>
          <w:rFonts w:ascii="Arial" w:cs="Arial" w:eastAsia="Arial" w:hAnsi="Arial"/>
          <w:sz w:val="13"/>
          <w:szCs w:val="13"/>
          <w:color w:val="auto"/>
        </w:rPr>
      </w:pPr>
      <w:hyperlink r:id="rId309">
        <w:r>
          <w:rPr>
            <w:rFonts w:ascii="Arial" w:cs="Arial" w:eastAsia="Arial" w:hAnsi="Arial"/>
            <w:sz w:val="13"/>
            <w:szCs w:val="13"/>
            <w:color w:val="auto"/>
          </w:rPr>
          <w:t xml:space="preserve">b)(ii). </w:t>
        </w:r>
        <w:r>
          <w:rPr>
            <w:rFonts w:ascii="Arial" w:cs="Arial" w:eastAsia="Arial" w:hAnsi="Arial"/>
            <w:sz w:val="13"/>
            <w:szCs w:val="13"/>
            <w:u w:val="single" w:color="auto"/>
            <w:color w:val="0000EE"/>
          </w:rPr>
          <w:t>Form of Brighthouse Securities, LLC Sales Agreement [7-19 NY]. (Filed as Exhibit 1(b)</w:t>
        </w:r>
      </w:hyperlink>
    </w:p>
    <w:p>
      <w:pPr>
        <w:ind w:left="1265" w:right="3479" w:hanging="1265"/>
        <w:spacing w:after="0" w:line="233" w:lineRule="auto"/>
        <w:tabs>
          <w:tab w:leader="none" w:pos="1265" w:val="left"/>
        </w:tabs>
        <w:numPr>
          <w:ilvl w:val="0"/>
          <w:numId w:val="67"/>
        </w:numPr>
        <w:rPr>
          <w:rFonts w:ascii="Arial" w:cs="Arial" w:eastAsia="Arial" w:hAnsi="Arial"/>
          <w:sz w:val="13"/>
          <w:szCs w:val="13"/>
          <w:u w:val="single" w:color="auto"/>
          <w:color w:val="0000EE"/>
        </w:rPr>
      </w:pPr>
      <w:hyperlink r:id="rId309">
        <w:r>
          <w:rPr>
            <w:rFonts w:ascii="Arial" w:cs="Arial" w:eastAsia="Arial" w:hAnsi="Arial"/>
            <w:sz w:val="13"/>
            <w:szCs w:val="13"/>
            <w:u w:val="single" w:color="auto"/>
            <w:color w:val="0000EE"/>
          </w:rPr>
          <w:t>(ii) with Registration Statement No. 333-265199 on Form S-1 on April 10, 2023 and</w:t>
        </w:r>
      </w:hyperlink>
      <w:r>
        <w:rPr>
          <w:rFonts w:ascii="Arial" w:cs="Arial" w:eastAsia="Arial" w:hAnsi="Arial"/>
          <w:sz w:val="13"/>
          <w:szCs w:val="13"/>
          <w:u w:val="single" w:color="auto"/>
          <w:color w:val="0000EE"/>
        </w:rPr>
        <w:t xml:space="preserve"> </w:t>
      </w:r>
      <w:hyperlink r:id="rId309">
        <w:r>
          <w:rPr>
            <w:rFonts w:ascii="Arial" w:cs="Arial" w:eastAsia="Arial" w:hAnsi="Arial"/>
            <w:sz w:val="13"/>
            <w:szCs w:val="13"/>
            <w:u w:val="single" w:color="auto"/>
            <w:color w:val="0000EE"/>
          </w:rPr>
          <w:t>incorporated herein by reference.)</w:t>
        </w:r>
      </w:hyperlink>
    </w:p>
    <w:p>
      <w:pPr>
        <w:spacing w:after="0" w:line="66" w:lineRule="exact"/>
        <w:rPr>
          <w:rFonts w:ascii="Arial" w:cs="Arial" w:eastAsia="Arial" w:hAnsi="Arial"/>
          <w:sz w:val="13"/>
          <w:szCs w:val="13"/>
          <w:color w:val="auto"/>
        </w:rPr>
      </w:pPr>
    </w:p>
    <w:p>
      <w:pPr>
        <w:ind w:left="325" w:hanging="325"/>
        <w:spacing w:after="0"/>
        <w:tabs>
          <w:tab w:leader="none" w:pos="325" w:val="left"/>
        </w:tabs>
        <w:numPr>
          <w:ilvl w:val="0"/>
          <w:numId w:val="68"/>
        </w:numPr>
        <w:rPr>
          <w:rFonts w:ascii="Arial" w:cs="Arial" w:eastAsia="Arial" w:hAnsi="Arial"/>
          <w:sz w:val="13"/>
          <w:szCs w:val="13"/>
          <w:color w:val="auto"/>
        </w:rPr>
      </w:pPr>
      <w:r>
        <w:rPr>
          <w:rFonts w:ascii="Arial" w:cs="Arial" w:eastAsia="Arial" w:hAnsi="Arial"/>
          <w:sz w:val="13"/>
          <w:szCs w:val="13"/>
          <w:color w:val="auto"/>
        </w:rPr>
        <w:t>(i)</w:t>
      </w:r>
    </w:p>
    <w:p>
      <w:pPr>
        <w:ind w:left="1265"/>
        <w:spacing w:after="0" w:line="222" w:lineRule="auto"/>
        <w:rPr>
          <w:rFonts w:ascii="Arial" w:cs="Arial" w:eastAsia="Arial" w:hAnsi="Arial"/>
          <w:sz w:val="13"/>
          <w:szCs w:val="13"/>
          <w:u w:val="single" w:color="auto"/>
          <w:color w:val="0000EE"/>
        </w:rPr>
      </w:pPr>
      <w:hyperlink r:id="rId310">
        <w:r>
          <w:rPr>
            <w:rFonts w:ascii="Arial" w:cs="Arial" w:eastAsia="Arial" w:hAnsi="Arial"/>
            <w:sz w:val="13"/>
            <w:szCs w:val="13"/>
            <w:u w:val="single" w:color="auto"/>
            <w:color w:val="0000EE"/>
          </w:rPr>
          <w:t>Contract [5-213-NY (07/24} with Contract Schedule [5-C213-1-NY (0724)-6 yr]. (Filed as</w:t>
        </w:r>
      </w:hyperlink>
    </w:p>
    <w:p>
      <w:pPr>
        <w:spacing w:after="0" w:line="1" w:lineRule="exact"/>
        <w:rPr>
          <w:rFonts w:ascii="Arial" w:cs="Arial" w:eastAsia="Arial" w:hAnsi="Arial"/>
          <w:sz w:val="13"/>
          <w:szCs w:val="13"/>
          <w:color w:val="auto"/>
        </w:rPr>
      </w:pPr>
    </w:p>
    <w:p>
      <w:pPr>
        <w:ind w:left="1265" w:right="2979"/>
        <w:spacing w:after="0" w:line="233" w:lineRule="auto"/>
        <w:rPr>
          <w:rFonts w:ascii="Arial" w:cs="Arial" w:eastAsia="Arial" w:hAnsi="Arial"/>
          <w:sz w:val="13"/>
          <w:szCs w:val="13"/>
          <w:u w:val="single" w:color="auto"/>
          <w:color w:val="0000EE"/>
        </w:rPr>
      </w:pPr>
      <w:hyperlink r:id="rId310">
        <w:r>
          <w:rPr>
            <w:rFonts w:ascii="Arial" w:cs="Arial" w:eastAsia="Arial" w:hAnsi="Arial"/>
            <w:sz w:val="13"/>
            <w:szCs w:val="13"/>
            <w:u w:val="single" w:color="auto"/>
            <w:color w:val="0000EE"/>
          </w:rPr>
          <w:t>Exhibit 4(a) with Registration Statement No. 333-279315 on Form S-1 on May 10, 2024 and</w:t>
        </w:r>
      </w:hyperlink>
      <w:r>
        <w:rPr>
          <w:rFonts w:ascii="Arial" w:cs="Arial" w:eastAsia="Arial" w:hAnsi="Arial"/>
          <w:sz w:val="13"/>
          <w:szCs w:val="13"/>
          <w:u w:val="single" w:color="auto"/>
          <w:color w:val="0000EE"/>
        </w:rPr>
        <w:t xml:space="preserve"> </w:t>
      </w:r>
      <w:hyperlink r:id="rId310">
        <w:r>
          <w:rPr>
            <w:rFonts w:ascii="Arial" w:cs="Arial" w:eastAsia="Arial" w:hAnsi="Arial"/>
            <w:sz w:val="13"/>
            <w:szCs w:val="13"/>
            <w:u w:val="single" w:color="auto"/>
            <w:color w:val="0000EE"/>
          </w:rPr>
          <w:t>incorporated herein by reference.)</w:t>
        </w:r>
      </w:hyperlink>
    </w:p>
    <w:p>
      <w:pPr>
        <w:spacing w:after="0" w:line="75" w:lineRule="exact"/>
        <w:rPr>
          <w:sz w:val="20"/>
          <w:szCs w:val="20"/>
          <w:color w:val="auto"/>
        </w:rPr>
      </w:pPr>
    </w:p>
    <w:p>
      <w:pPr>
        <w:ind w:left="1265" w:right="3339" w:hanging="1265"/>
        <w:spacing w:after="0" w:line="230" w:lineRule="auto"/>
        <w:tabs>
          <w:tab w:leader="none" w:pos="1265" w:val="left"/>
        </w:tabs>
        <w:numPr>
          <w:ilvl w:val="0"/>
          <w:numId w:val="69"/>
        </w:numPr>
        <w:rPr>
          <w:rFonts w:ascii="Arial" w:cs="Arial" w:eastAsia="Arial" w:hAnsi="Arial"/>
          <w:sz w:val="13"/>
          <w:szCs w:val="13"/>
          <w:u w:val="single" w:color="auto"/>
          <w:color w:val="0000EE"/>
        </w:rPr>
      </w:pPr>
      <w:hyperlink r:id="rId311">
        <w:r>
          <w:rPr>
            <w:rFonts w:ascii="Arial" w:cs="Arial" w:eastAsia="Arial" w:hAnsi="Arial"/>
            <w:sz w:val="13"/>
            <w:szCs w:val="13"/>
            <w:u w:val="single" w:color="auto"/>
            <w:color w:val="0000EE"/>
          </w:rPr>
          <w:t>Fixed Account Rider [5-4-FIX-1-NY (07/24)]. (Filed as Exhibit 4(b) with Registration</w:t>
        </w:r>
      </w:hyperlink>
      <w:r>
        <w:rPr>
          <w:rFonts w:ascii="Arial" w:cs="Arial" w:eastAsia="Arial" w:hAnsi="Arial"/>
          <w:sz w:val="13"/>
          <w:szCs w:val="13"/>
          <w:u w:val="single" w:color="auto"/>
          <w:color w:val="0000EE"/>
        </w:rPr>
        <w:t xml:space="preserve"> </w:t>
      </w:r>
      <w:hyperlink r:id="rId311">
        <w:r>
          <w:rPr>
            <w:rFonts w:ascii="Arial" w:cs="Arial" w:eastAsia="Arial" w:hAnsi="Arial"/>
            <w:sz w:val="13"/>
            <w:szCs w:val="13"/>
            <w:u w:val="single" w:color="auto"/>
            <w:color w:val="0000EE"/>
          </w:rPr>
          <w:t>Statement No. 333-279315 on Form S-1 on May 10, 2024 and incorporated herein by</w:t>
        </w:r>
      </w:hyperlink>
      <w:r>
        <w:rPr>
          <w:rFonts w:ascii="Arial" w:cs="Arial" w:eastAsia="Arial" w:hAnsi="Arial"/>
          <w:sz w:val="13"/>
          <w:szCs w:val="13"/>
          <w:u w:val="single" w:color="auto"/>
          <w:color w:val="0000EE"/>
        </w:rPr>
        <w:t xml:space="preserve"> </w:t>
      </w:r>
      <w:hyperlink r:id="rId311">
        <w:r>
          <w:rPr>
            <w:rFonts w:ascii="Arial" w:cs="Arial" w:eastAsia="Arial" w:hAnsi="Arial"/>
            <w:sz w:val="13"/>
            <w:szCs w:val="13"/>
            <w:u w:val="single" w:color="auto"/>
            <w:color w:val="0000EE"/>
          </w:rPr>
          <w:t>reference.)</w:t>
        </w:r>
      </w:hyperlink>
    </w:p>
    <w:p>
      <w:pPr>
        <w:spacing w:after="0" w:line="76" w:lineRule="exact"/>
        <w:rPr>
          <w:rFonts w:ascii="Arial" w:cs="Arial" w:eastAsia="Arial" w:hAnsi="Arial"/>
          <w:sz w:val="13"/>
          <w:szCs w:val="13"/>
          <w:u w:val="single" w:color="auto"/>
          <w:color w:val="0000EE"/>
        </w:rPr>
      </w:pPr>
    </w:p>
    <w:p>
      <w:pPr>
        <w:ind w:left="1265" w:right="3059" w:hanging="1265"/>
        <w:spacing w:after="0" w:line="230" w:lineRule="auto"/>
        <w:tabs>
          <w:tab w:leader="none" w:pos="1265" w:val="left"/>
        </w:tabs>
        <w:numPr>
          <w:ilvl w:val="0"/>
          <w:numId w:val="69"/>
        </w:numPr>
        <w:rPr>
          <w:rFonts w:ascii="Arial" w:cs="Arial" w:eastAsia="Arial" w:hAnsi="Arial"/>
          <w:sz w:val="13"/>
          <w:szCs w:val="13"/>
          <w:u w:val="single" w:color="auto"/>
          <w:color w:val="0000EE"/>
        </w:rPr>
      </w:pPr>
      <w:hyperlink r:id="rId312">
        <w:r>
          <w:rPr>
            <w:rFonts w:ascii="Arial" w:cs="Arial" w:eastAsia="Arial" w:hAnsi="Arial"/>
            <w:sz w:val="13"/>
            <w:szCs w:val="13"/>
            <w:u w:val="single" w:color="auto"/>
            <w:color w:val="0000EE"/>
          </w:rPr>
          <w:t>Return of Premium Death Benefit Rider [5-4-ROP-2-NY (07/24)]. (Filed as Exhibit 4(c) with</w:t>
        </w:r>
      </w:hyperlink>
      <w:r>
        <w:rPr>
          <w:rFonts w:ascii="Arial" w:cs="Arial" w:eastAsia="Arial" w:hAnsi="Arial"/>
          <w:sz w:val="13"/>
          <w:szCs w:val="13"/>
          <w:u w:val="single" w:color="auto"/>
          <w:color w:val="0000EE"/>
        </w:rPr>
        <w:t xml:space="preserve"> </w:t>
      </w:r>
      <w:hyperlink r:id="rId312">
        <w:r>
          <w:rPr>
            <w:rFonts w:ascii="Arial" w:cs="Arial" w:eastAsia="Arial" w:hAnsi="Arial"/>
            <w:sz w:val="13"/>
            <w:szCs w:val="13"/>
            <w:u w:val="single" w:color="auto"/>
            <w:color w:val="0000EE"/>
          </w:rPr>
          <w:t>Registration Statement No. 333-279315 on Form S-1 on May 10, 2024 and incorporated</w:t>
        </w:r>
      </w:hyperlink>
      <w:r>
        <w:rPr>
          <w:rFonts w:ascii="Arial" w:cs="Arial" w:eastAsia="Arial" w:hAnsi="Arial"/>
          <w:sz w:val="13"/>
          <w:szCs w:val="13"/>
          <w:u w:val="single" w:color="auto"/>
          <w:color w:val="0000EE"/>
        </w:rPr>
        <w:t xml:space="preserve"> </w:t>
      </w:r>
      <w:hyperlink r:id="rId312">
        <w:r>
          <w:rPr>
            <w:rFonts w:ascii="Arial" w:cs="Arial" w:eastAsia="Arial" w:hAnsi="Arial"/>
            <w:sz w:val="13"/>
            <w:szCs w:val="13"/>
            <w:u w:val="single" w:color="auto"/>
            <w:color w:val="0000EE"/>
          </w:rPr>
          <w:t>herein by reference.)</w:t>
        </w:r>
      </w:hyperlink>
    </w:p>
    <w:p>
      <w:pPr>
        <w:spacing w:after="0" w:line="76" w:lineRule="exact"/>
        <w:rPr>
          <w:rFonts w:ascii="Arial" w:cs="Arial" w:eastAsia="Arial" w:hAnsi="Arial"/>
          <w:sz w:val="13"/>
          <w:szCs w:val="13"/>
          <w:u w:val="single" w:color="auto"/>
          <w:color w:val="0000EE"/>
        </w:rPr>
      </w:pPr>
    </w:p>
    <w:p>
      <w:pPr>
        <w:ind w:left="1265" w:right="2999" w:hanging="1265"/>
        <w:spacing w:after="0" w:line="236" w:lineRule="auto"/>
        <w:tabs>
          <w:tab w:leader="none" w:pos="1265" w:val="left"/>
        </w:tabs>
        <w:numPr>
          <w:ilvl w:val="0"/>
          <w:numId w:val="69"/>
        </w:numPr>
        <w:rPr>
          <w:rFonts w:ascii="Arial" w:cs="Arial" w:eastAsia="Arial" w:hAnsi="Arial"/>
          <w:sz w:val="13"/>
          <w:szCs w:val="13"/>
          <w:u w:val="single" w:color="auto"/>
          <w:color w:val="0000EE"/>
        </w:rPr>
      </w:pPr>
      <w:hyperlink r:id="rId313">
        <w:r>
          <w:rPr>
            <w:rFonts w:ascii="Arial" w:cs="Arial" w:eastAsia="Arial" w:hAnsi="Arial"/>
            <w:sz w:val="13"/>
            <w:szCs w:val="13"/>
            <w:u w:val="single" w:color="auto"/>
            <w:color w:val="0000EE"/>
          </w:rPr>
          <w:t>Waiver of Withdrawal Charge for Nursing Home or Hospital Confinement Rider [ML-1215</w:t>
        </w:r>
      </w:hyperlink>
      <w:r>
        <w:rPr>
          <w:rFonts w:ascii="Arial" w:cs="Arial" w:eastAsia="Arial" w:hAnsi="Arial"/>
          <w:sz w:val="13"/>
          <w:szCs w:val="13"/>
          <w:u w:val="single" w:color="auto"/>
          <w:color w:val="0000EE"/>
        </w:rPr>
        <w:t xml:space="preserve"> </w:t>
      </w:r>
      <w:hyperlink r:id="rId313">
        <w:r>
          <w:rPr>
            <w:rFonts w:ascii="Arial" w:cs="Arial" w:eastAsia="Arial" w:hAnsi="Arial"/>
            <w:sz w:val="13"/>
            <w:szCs w:val="13"/>
            <w:u w:val="single" w:color="auto"/>
            <w:color w:val="0000EE"/>
          </w:rPr>
          <w:t>(01/01/02)]. (Filed as Exhibit 4(d) with Registration Statement No. 333-217514 on Form S-3</w:t>
        </w:r>
      </w:hyperlink>
      <w:r>
        <w:rPr>
          <w:rFonts w:ascii="Arial" w:cs="Arial" w:eastAsia="Arial" w:hAnsi="Arial"/>
          <w:sz w:val="13"/>
          <w:szCs w:val="13"/>
          <w:u w:val="single" w:color="auto"/>
          <w:color w:val="0000EE"/>
        </w:rPr>
        <w:t xml:space="preserve"> </w:t>
      </w:r>
      <w:hyperlink r:id="rId313">
        <w:r>
          <w:rPr>
            <w:rFonts w:ascii="Arial" w:cs="Arial" w:eastAsia="Arial" w:hAnsi="Arial"/>
            <w:sz w:val="13"/>
            <w:szCs w:val="13"/>
            <w:u w:val="single" w:color="auto"/>
            <w:color w:val="0000EE"/>
          </w:rPr>
          <w:t>on April 27, 2017 and incorporated herein by reference.)</w:t>
        </w:r>
      </w:hyperlink>
    </w:p>
    <w:p>
      <w:pPr>
        <w:spacing w:after="0" w:line="64" w:lineRule="exact"/>
        <w:rPr>
          <w:rFonts w:ascii="Arial" w:cs="Arial" w:eastAsia="Arial" w:hAnsi="Arial"/>
          <w:sz w:val="13"/>
          <w:szCs w:val="13"/>
          <w:u w:val="single" w:color="auto"/>
          <w:color w:val="0000EE"/>
        </w:rPr>
      </w:pPr>
    </w:p>
    <w:p>
      <w:pPr>
        <w:ind w:left="1265" w:right="2959" w:hanging="1265"/>
        <w:spacing w:after="0" w:line="236" w:lineRule="auto"/>
        <w:tabs>
          <w:tab w:leader="none" w:pos="1265" w:val="left"/>
        </w:tabs>
        <w:numPr>
          <w:ilvl w:val="0"/>
          <w:numId w:val="69"/>
        </w:numPr>
        <w:rPr>
          <w:rFonts w:ascii="Arial" w:cs="Arial" w:eastAsia="Arial" w:hAnsi="Arial"/>
          <w:sz w:val="13"/>
          <w:szCs w:val="13"/>
          <w:u w:val="single" w:color="auto"/>
          <w:color w:val="0000EE"/>
        </w:rPr>
      </w:pPr>
      <w:hyperlink r:id="rId314">
        <w:r>
          <w:rPr>
            <w:rFonts w:ascii="Arial" w:cs="Arial" w:eastAsia="Arial" w:hAnsi="Arial"/>
            <w:sz w:val="13"/>
            <w:szCs w:val="13"/>
            <w:u w:val="single" w:color="auto"/>
            <w:color w:val="0000EE"/>
          </w:rPr>
          <w:t>Waiver of Withdrawal Charge for Terminal Illness Rider [ML-1216 (01/01/02)]. (Filed as</w:t>
        </w:r>
      </w:hyperlink>
      <w:r>
        <w:rPr>
          <w:rFonts w:ascii="Arial" w:cs="Arial" w:eastAsia="Arial" w:hAnsi="Arial"/>
          <w:sz w:val="13"/>
          <w:szCs w:val="13"/>
          <w:u w:val="single" w:color="auto"/>
          <w:color w:val="0000EE"/>
        </w:rPr>
        <w:t xml:space="preserve"> </w:t>
      </w:r>
      <w:hyperlink r:id="rId314">
        <w:r>
          <w:rPr>
            <w:rFonts w:ascii="Arial" w:cs="Arial" w:eastAsia="Arial" w:hAnsi="Arial"/>
            <w:sz w:val="13"/>
            <w:szCs w:val="13"/>
            <w:u w:val="single" w:color="auto"/>
            <w:color w:val="0000EE"/>
          </w:rPr>
          <w:t>Exhibit 4(e) with Registration Statement No. 333-217514 on Form S-3 on April 27, 2017 and</w:t>
        </w:r>
      </w:hyperlink>
      <w:r>
        <w:rPr>
          <w:rFonts w:ascii="Arial" w:cs="Arial" w:eastAsia="Arial" w:hAnsi="Arial"/>
          <w:sz w:val="13"/>
          <w:szCs w:val="13"/>
          <w:u w:val="single" w:color="auto"/>
          <w:color w:val="0000EE"/>
        </w:rPr>
        <w:t xml:space="preserve"> </w:t>
      </w:r>
      <w:hyperlink r:id="rId314">
        <w:r>
          <w:rPr>
            <w:rFonts w:ascii="Arial" w:cs="Arial" w:eastAsia="Arial" w:hAnsi="Arial"/>
            <w:sz w:val="13"/>
            <w:szCs w:val="13"/>
            <w:u w:val="single" w:color="auto"/>
            <w:color w:val="0000EE"/>
          </w:rPr>
          <w:t>incorporated herein by reference.)</w:t>
        </w:r>
      </w:hyperlink>
    </w:p>
    <w:p>
      <w:pPr>
        <w:spacing w:after="0" w:line="74" w:lineRule="exact"/>
        <w:rPr>
          <w:rFonts w:ascii="Arial" w:cs="Arial" w:eastAsia="Arial" w:hAnsi="Arial"/>
          <w:sz w:val="13"/>
          <w:szCs w:val="13"/>
          <w:u w:val="single" w:color="auto"/>
          <w:color w:val="0000EE"/>
        </w:rPr>
      </w:pPr>
    </w:p>
    <w:p>
      <w:pPr>
        <w:ind w:left="1265" w:right="3019" w:hanging="1265"/>
        <w:spacing w:after="0" w:line="230" w:lineRule="auto"/>
        <w:tabs>
          <w:tab w:leader="none" w:pos="1265" w:val="left"/>
        </w:tabs>
        <w:numPr>
          <w:ilvl w:val="0"/>
          <w:numId w:val="69"/>
        </w:numPr>
        <w:rPr>
          <w:rFonts w:ascii="Arial" w:cs="Arial" w:eastAsia="Arial" w:hAnsi="Arial"/>
          <w:sz w:val="13"/>
          <w:szCs w:val="13"/>
          <w:u w:val="single" w:color="auto"/>
          <w:color w:val="0000EE"/>
        </w:rPr>
      </w:pPr>
      <w:hyperlink r:id="rId315">
        <w:r>
          <w:rPr>
            <w:rFonts w:ascii="Arial" w:cs="Arial" w:eastAsia="Arial" w:hAnsi="Arial"/>
            <w:sz w:val="13"/>
            <w:szCs w:val="13"/>
            <w:u w:val="single" w:color="auto"/>
            <w:color w:val="0000EE"/>
          </w:rPr>
          <w:t>Individual Retirement Annuity Qualification Rider [7-E-21 (06/21)]. (Filed as Exhibit 4(f) with</w:t>
        </w:r>
      </w:hyperlink>
      <w:r>
        <w:rPr>
          <w:rFonts w:ascii="Arial" w:cs="Arial" w:eastAsia="Arial" w:hAnsi="Arial"/>
          <w:sz w:val="13"/>
          <w:szCs w:val="13"/>
          <w:u w:val="single" w:color="auto"/>
          <w:color w:val="0000EE"/>
        </w:rPr>
        <w:t xml:space="preserve"> </w:t>
      </w:r>
      <w:hyperlink r:id="rId315">
        <w:r>
          <w:rPr>
            <w:rFonts w:ascii="Arial" w:cs="Arial" w:eastAsia="Arial" w:hAnsi="Arial"/>
            <w:sz w:val="13"/>
            <w:szCs w:val="13"/>
            <w:u w:val="single" w:color="auto"/>
            <w:color w:val="0000EE"/>
          </w:rPr>
          <w:t>Registration Statement No. 333-279315 on Form S-1 on May 10, 2024 and incorporated</w:t>
        </w:r>
      </w:hyperlink>
      <w:r>
        <w:rPr>
          <w:rFonts w:ascii="Arial" w:cs="Arial" w:eastAsia="Arial" w:hAnsi="Arial"/>
          <w:sz w:val="13"/>
          <w:szCs w:val="13"/>
          <w:u w:val="single" w:color="auto"/>
          <w:color w:val="0000EE"/>
        </w:rPr>
        <w:t xml:space="preserve"> </w:t>
      </w:r>
      <w:hyperlink r:id="rId315">
        <w:r>
          <w:rPr>
            <w:rFonts w:ascii="Arial" w:cs="Arial" w:eastAsia="Arial" w:hAnsi="Arial"/>
            <w:sz w:val="13"/>
            <w:szCs w:val="13"/>
            <w:u w:val="single" w:color="auto"/>
            <w:color w:val="0000EE"/>
          </w:rPr>
          <w:t>herein by reference.)</w:t>
        </w:r>
      </w:hyperlink>
    </w:p>
    <w:p>
      <w:pPr>
        <w:spacing w:after="0" w:line="76" w:lineRule="exact"/>
        <w:rPr>
          <w:rFonts w:ascii="Arial" w:cs="Arial" w:eastAsia="Arial" w:hAnsi="Arial"/>
          <w:sz w:val="13"/>
          <w:szCs w:val="13"/>
          <w:u w:val="single" w:color="auto"/>
          <w:color w:val="0000EE"/>
        </w:rPr>
      </w:pPr>
    </w:p>
    <w:p>
      <w:pPr>
        <w:ind w:left="1265" w:right="2979" w:hanging="1265"/>
        <w:spacing w:after="0" w:line="236" w:lineRule="auto"/>
        <w:tabs>
          <w:tab w:leader="none" w:pos="1265" w:val="left"/>
        </w:tabs>
        <w:numPr>
          <w:ilvl w:val="0"/>
          <w:numId w:val="69"/>
        </w:numPr>
        <w:rPr>
          <w:rFonts w:ascii="Arial" w:cs="Arial" w:eastAsia="Arial" w:hAnsi="Arial"/>
          <w:sz w:val="13"/>
          <w:szCs w:val="13"/>
          <w:u w:val="single" w:color="auto"/>
          <w:color w:val="0000EE"/>
        </w:rPr>
      </w:pPr>
      <w:hyperlink r:id="rId316">
        <w:r>
          <w:rPr>
            <w:rFonts w:ascii="Arial" w:cs="Arial" w:eastAsia="Arial" w:hAnsi="Arial"/>
            <w:sz w:val="13"/>
            <w:szCs w:val="13"/>
            <w:u w:val="single" w:color="auto"/>
            <w:color w:val="0000EE"/>
          </w:rPr>
          <w:t>Roth Individual Retirement Annuity (“Roth IRA”) Endorsement. [7-E-22 (06/21)]. (Filed as</w:t>
        </w:r>
      </w:hyperlink>
      <w:r>
        <w:rPr>
          <w:rFonts w:ascii="Arial" w:cs="Arial" w:eastAsia="Arial" w:hAnsi="Arial"/>
          <w:sz w:val="13"/>
          <w:szCs w:val="13"/>
          <w:u w:val="single" w:color="auto"/>
          <w:color w:val="0000EE"/>
        </w:rPr>
        <w:t xml:space="preserve"> </w:t>
      </w:r>
      <w:hyperlink r:id="rId316">
        <w:r>
          <w:rPr>
            <w:rFonts w:ascii="Arial" w:cs="Arial" w:eastAsia="Arial" w:hAnsi="Arial"/>
            <w:sz w:val="13"/>
            <w:szCs w:val="13"/>
            <w:u w:val="single" w:color="auto"/>
            <w:color w:val="0000EE"/>
          </w:rPr>
          <w:t>Exhibit 4(g) with Registration Statement No. 333-279315 on Form S-1 on May 10, 2024 and</w:t>
        </w:r>
      </w:hyperlink>
      <w:r>
        <w:rPr>
          <w:rFonts w:ascii="Arial" w:cs="Arial" w:eastAsia="Arial" w:hAnsi="Arial"/>
          <w:sz w:val="13"/>
          <w:szCs w:val="13"/>
          <w:u w:val="single" w:color="auto"/>
          <w:color w:val="0000EE"/>
        </w:rPr>
        <w:t xml:space="preserve"> </w:t>
      </w:r>
      <w:hyperlink r:id="rId316">
        <w:r>
          <w:rPr>
            <w:rFonts w:ascii="Arial" w:cs="Arial" w:eastAsia="Arial" w:hAnsi="Arial"/>
            <w:sz w:val="13"/>
            <w:szCs w:val="13"/>
            <w:u w:val="single" w:color="auto"/>
            <w:color w:val="0000EE"/>
          </w:rPr>
          <w:t>incorporated herein by reference.)</w:t>
        </w:r>
      </w:hyperlink>
    </w:p>
    <w:p>
      <w:pPr>
        <w:spacing w:after="0" w:line="64" w:lineRule="exact"/>
        <w:rPr>
          <w:rFonts w:ascii="Arial" w:cs="Arial" w:eastAsia="Arial" w:hAnsi="Arial"/>
          <w:sz w:val="13"/>
          <w:szCs w:val="13"/>
          <w:u w:val="single" w:color="auto"/>
          <w:color w:val="0000EE"/>
        </w:rPr>
      </w:pPr>
    </w:p>
    <w:p>
      <w:pPr>
        <w:ind w:left="1265" w:right="3179" w:hanging="1265"/>
        <w:spacing w:after="0" w:line="236" w:lineRule="auto"/>
        <w:tabs>
          <w:tab w:leader="none" w:pos="1265" w:val="left"/>
        </w:tabs>
        <w:numPr>
          <w:ilvl w:val="0"/>
          <w:numId w:val="69"/>
        </w:numPr>
        <w:rPr>
          <w:rFonts w:ascii="Arial" w:cs="Arial" w:eastAsia="Arial" w:hAnsi="Arial"/>
          <w:sz w:val="13"/>
          <w:szCs w:val="13"/>
          <w:u w:val="single" w:color="auto"/>
          <w:color w:val="0000EE"/>
        </w:rPr>
      </w:pPr>
      <w:hyperlink r:id="rId317">
        <w:r>
          <w:rPr>
            <w:rFonts w:ascii="Arial" w:cs="Arial" w:eastAsia="Arial" w:hAnsi="Arial"/>
            <w:sz w:val="13"/>
            <w:szCs w:val="13"/>
            <w:u w:val="single" w:color="auto"/>
            <w:color w:val="0000EE"/>
          </w:rPr>
          <w:t>Individual Non-Qualified Annuity Endorsement [ML-22504 (09/12)]. (Filed as Exhibit 4(h)</w:t>
        </w:r>
      </w:hyperlink>
      <w:r>
        <w:rPr>
          <w:rFonts w:ascii="Arial" w:cs="Arial" w:eastAsia="Arial" w:hAnsi="Arial"/>
          <w:sz w:val="13"/>
          <w:szCs w:val="13"/>
          <w:u w:val="single" w:color="auto"/>
          <w:color w:val="0000EE"/>
        </w:rPr>
        <w:t xml:space="preserve"> </w:t>
      </w:r>
      <w:hyperlink r:id="rId317">
        <w:r>
          <w:rPr>
            <w:rFonts w:ascii="Arial" w:cs="Arial" w:eastAsia="Arial" w:hAnsi="Arial"/>
            <w:sz w:val="13"/>
            <w:szCs w:val="13"/>
            <w:u w:val="single" w:color="auto"/>
            <w:color w:val="0000EE"/>
          </w:rPr>
          <w:t>with Registration Statement No. 333-217514 on Form S-3 on April 27, 2017 and</w:t>
        </w:r>
      </w:hyperlink>
      <w:r>
        <w:rPr>
          <w:rFonts w:ascii="Arial" w:cs="Arial" w:eastAsia="Arial" w:hAnsi="Arial"/>
          <w:sz w:val="13"/>
          <w:szCs w:val="13"/>
          <w:u w:val="single" w:color="auto"/>
          <w:color w:val="0000EE"/>
        </w:rPr>
        <w:t xml:space="preserve"> </w:t>
      </w:r>
      <w:hyperlink r:id="rId317">
        <w:r>
          <w:rPr>
            <w:rFonts w:ascii="Arial" w:cs="Arial" w:eastAsia="Arial" w:hAnsi="Arial"/>
            <w:sz w:val="13"/>
            <w:szCs w:val="13"/>
            <w:u w:val="single" w:color="auto"/>
            <w:color w:val="0000EE"/>
          </w:rPr>
          <w:t>incorporated herein by reference.)</w:t>
        </w:r>
      </w:hyperlink>
    </w:p>
    <w:p>
      <w:pPr>
        <w:spacing w:after="0" w:line="74" w:lineRule="exact"/>
        <w:rPr>
          <w:rFonts w:ascii="Arial" w:cs="Arial" w:eastAsia="Arial" w:hAnsi="Arial"/>
          <w:sz w:val="13"/>
          <w:szCs w:val="13"/>
          <w:u w:val="single" w:color="auto"/>
          <w:color w:val="0000EE"/>
        </w:rPr>
      </w:pPr>
    </w:p>
    <w:p>
      <w:pPr>
        <w:ind w:left="1265" w:right="2959" w:hanging="1265"/>
        <w:spacing w:after="0" w:line="230" w:lineRule="auto"/>
        <w:tabs>
          <w:tab w:leader="none" w:pos="1265" w:val="left"/>
        </w:tabs>
        <w:numPr>
          <w:ilvl w:val="0"/>
          <w:numId w:val="69"/>
        </w:numPr>
        <w:rPr>
          <w:rFonts w:ascii="Arial" w:cs="Arial" w:eastAsia="Arial" w:hAnsi="Arial"/>
          <w:sz w:val="13"/>
          <w:szCs w:val="13"/>
          <w:u w:val="single" w:color="auto"/>
          <w:color w:val="0000EE"/>
        </w:rPr>
      </w:pPr>
      <w:hyperlink r:id="rId318">
        <w:r>
          <w:rPr>
            <w:rFonts w:ascii="Arial" w:cs="Arial" w:eastAsia="Arial" w:hAnsi="Arial"/>
            <w:sz w:val="13"/>
            <w:szCs w:val="13"/>
            <w:u w:val="single" w:color="auto"/>
            <w:color w:val="0000EE"/>
          </w:rPr>
          <w:t>Designated Beneficiary Non-Qualified Annuity Endorsement [FMLI-NQ-1 (11/05)-I]. (Filed as</w:t>
        </w:r>
      </w:hyperlink>
      <w:r>
        <w:rPr>
          <w:rFonts w:ascii="Arial" w:cs="Arial" w:eastAsia="Arial" w:hAnsi="Arial"/>
          <w:sz w:val="13"/>
          <w:szCs w:val="13"/>
          <w:u w:val="single" w:color="auto"/>
          <w:color w:val="0000EE"/>
        </w:rPr>
        <w:t xml:space="preserve"> </w:t>
      </w:r>
      <w:hyperlink r:id="rId318">
        <w:r>
          <w:rPr>
            <w:rFonts w:ascii="Arial" w:cs="Arial" w:eastAsia="Arial" w:hAnsi="Arial"/>
            <w:sz w:val="13"/>
            <w:szCs w:val="13"/>
            <w:u w:val="single" w:color="auto"/>
            <w:color w:val="0000EE"/>
          </w:rPr>
          <w:t>Exhibit 4(i) with Registration Statement No. 333-217514 on Form S-3 on April 27, 2017 and</w:t>
        </w:r>
      </w:hyperlink>
      <w:r>
        <w:rPr>
          <w:rFonts w:ascii="Arial" w:cs="Arial" w:eastAsia="Arial" w:hAnsi="Arial"/>
          <w:sz w:val="13"/>
          <w:szCs w:val="13"/>
          <w:u w:val="single" w:color="auto"/>
          <w:color w:val="0000EE"/>
        </w:rPr>
        <w:t xml:space="preserve"> </w:t>
      </w:r>
      <w:hyperlink r:id="rId318">
        <w:r>
          <w:rPr>
            <w:rFonts w:ascii="Arial" w:cs="Arial" w:eastAsia="Arial" w:hAnsi="Arial"/>
            <w:sz w:val="13"/>
            <w:szCs w:val="13"/>
            <w:u w:val="single" w:color="auto"/>
            <w:color w:val="0000EE"/>
          </w:rPr>
          <w:t>incorporated herein by reference.)</w:t>
        </w:r>
      </w:hyperlink>
    </w:p>
    <w:p>
      <w:pPr>
        <w:spacing w:after="0" w:line="76" w:lineRule="exact"/>
        <w:rPr>
          <w:rFonts w:ascii="Arial" w:cs="Arial" w:eastAsia="Arial" w:hAnsi="Arial"/>
          <w:sz w:val="13"/>
          <w:szCs w:val="13"/>
          <w:u w:val="single" w:color="auto"/>
          <w:color w:val="0000EE"/>
        </w:rPr>
      </w:pPr>
    </w:p>
    <w:p>
      <w:pPr>
        <w:jc w:val="both"/>
        <w:ind w:left="1265" w:right="3159" w:hanging="1265"/>
        <w:spacing w:after="0" w:line="236" w:lineRule="auto"/>
        <w:tabs>
          <w:tab w:leader="none" w:pos="1265" w:val="left"/>
        </w:tabs>
        <w:numPr>
          <w:ilvl w:val="0"/>
          <w:numId w:val="69"/>
        </w:numPr>
        <w:rPr>
          <w:rFonts w:ascii="Arial" w:cs="Arial" w:eastAsia="Arial" w:hAnsi="Arial"/>
          <w:sz w:val="13"/>
          <w:szCs w:val="13"/>
          <w:u w:val="single" w:color="auto"/>
          <w:color w:val="0000EE"/>
        </w:rPr>
      </w:pPr>
      <w:hyperlink r:id="rId319">
        <w:r>
          <w:rPr>
            <w:rFonts w:ascii="Arial" w:cs="Arial" w:eastAsia="Arial" w:hAnsi="Arial"/>
            <w:sz w:val="13"/>
            <w:szCs w:val="13"/>
            <w:u w:val="single" w:color="auto"/>
            <w:color w:val="0000EE"/>
          </w:rPr>
          <w:t>Form of Cap Rate Shield Option Rider [5-4-CAP-1-NY (07/24)]. (Filed as Exhibit 4(j) with</w:t>
        </w:r>
      </w:hyperlink>
      <w:r>
        <w:rPr>
          <w:rFonts w:ascii="Arial" w:cs="Arial" w:eastAsia="Arial" w:hAnsi="Arial"/>
          <w:sz w:val="13"/>
          <w:szCs w:val="13"/>
          <w:u w:val="single" w:color="auto"/>
          <w:color w:val="0000EE"/>
        </w:rPr>
        <w:t xml:space="preserve"> </w:t>
      </w:r>
      <w:hyperlink r:id="rId319">
        <w:r>
          <w:rPr>
            <w:rFonts w:ascii="Arial" w:cs="Arial" w:eastAsia="Arial" w:hAnsi="Arial"/>
            <w:sz w:val="13"/>
            <w:szCs w:val="13"/>
            <w:u w:val="single" w:color="auto"/>
            <w:color w:val="0000EE"/>
          </w:rPr>
          <w:t>Registration Statement No. 333-279315 on Form S-1 on May 10, 2024 and incorporated</w:t>
        </w:r>
      </w:hyperlink>
      <w:r>
        <w:rPr>
          <w:rFonts w:ascii="Arial" w:cs="Arial" w:eastAsia="Arial" w:hAnsi="Arial"/>
          <w:sz w:val="13"/>
          <w:szCs w:val="13"/>
          <w:u w:val="single" w:color="auto"/>
          <w:color w:val="0000EE"/>
        </w:rPr>
        <w:t xml:space="preserve"> </w:t>
      </w:r>
      <w:hyperlink r:id="rId319">
        <w:r>
          <w:rPr>
            <w:rFonts w:ascii="Arial" w:cs="Arial" w:eastAsia="Arial" w:hAnsi="Arial"/>
            <w:sz w:val="13"/>
            <w:szCs w:val="13"/>
            <w:u w:val="single" w:color="auto"/>
            <w:color w:val="0000EE"/>
          </w:rPr>
          <w:t>herein by reference.)</w:t>
        </w:r>
      </w:hyperlink>
    </w:p>
    <w:p>
      <w:pPr>
        <w:spacing w:after="0" w:line="64" w:lineRule="exact"/>
        <w:rPr>
          <w:rFonts w:ascii="Arial" w:cs="Arial" w:eastAsia="Arial" w:hAnsi="Arial"/>
          <w:sz w:val="13"/>
          <w:szCs w:val="13"/>
          <w:u w:val="single" w:color="auto"/>
          <w:color w:val="0000EE"/>
        </w:rPr>
      </w:pPr>
    </w:p>
    <w:p>
      <w:pPr>
        <w:ind w:left="1265" w:right="3019" w:hanging="1265"/>
        <w:spacing w:after="0" w:line="236" w:lineRule="auto"/>
        <w:tabs>
          <w:tab w:leader="none" w:pos="1265" w:val="left"/>
        </w:tabs>
        <w:numPr>
          <w:ilvl w:val="0"/>
          <w:numId w:val="69"/>
        </w:numPr>
        <w:rPr>
          <w:rFonts w:ascii="Arial" w:cs="Arial" w:eastAsia="Arial" w:hAnsi="Arial"/>
          <w:sz w:val="13"/>
          <w:szCs w:val="13"/>
          <w:u w:val="single" w:color="auto"/>
          <w:color w:val="0000EE"/>
        </w:rPr>
      </w:pPr>
      <w:hyperlink r:id="rId320">
        <w:r>
          <w:rPr>
            <w:rFonts w:ascii="Arial" w:cs="Arial" w:eastAsia="Arial" w:hAnsi="Arial"/>
            <w:sz w:val="13"/>
            <w:szCs w:val="13"/>
            <w:u w:val="single" w:color="auto"/>
            <w:color w:val="0000EE"/>
          </w:rPr>
          <w:t>Form of Step Rate Shield Option Rider [5-4-STEP-1-NY (07/24)]. (Filed as Exhibit 4(k) with</w:t>
        </w:r>
      </w:hyperlink>
      <w:r>
        <w:rPr>
          <w:rFonts w:ascii="Arial" w:cs="Arial" w:eastAsia="Arial" w:hAnsi="Arial"/>
          <w:sz w:val="13"/>
          <w:szCs w:val="13"/>
          <w:u w:val="single" w:color="auto"/>
          <w:color w:val="0000EE"/>
        </w:rPr>
        <w:t xml:space="preserve"> </w:t>
      </w:r>
      <w:hyperlink r:id="rId320">
        <w:r>
          <w:rPr>
            <w:rFonts w:ascii="Arial" w:cs="Arial" w:eastAsia="Arial" w:hAnsi="Arial"/>
            <w:sz w:val="13"/>
            <w:szCs w:val="13"/>
            <w:u w:val="single" w:color="auto"/>
            <w:color w:val="0000EE"/>
          </w:rPr>
          <w:t>Registration Statement No. 333-279315 on Form S-1 on May 10, 2024 and incorporated</w:t>
        </w:r>
      </w:hyperlink>
      <w:r>
        <w:rPr>
          <w:rFonts w:ascii="Arial" w:cs="Arial" w:eastAsia="Arial" w:hAnsi="Arial"/>
          <w:sz w:val="13"/>
          <w:szCs w:val="13"/>
          <w:u w:val="single" w:color="auto"/>
          <w:color w:val="0000EE"/>
        </w:rPr>
        <w:t xml:space="preserve"> </w:t>
      </w:r>
      <w:hyperlink r:id="rId320">
        <w:r>
          <w:rPr>
            <w:rFonts w:ascii="Arial" w:cs="Arial" w:eastAsia="Arial" w:hAnsi="Arial"/>
            <w:sz w:val="13"/>
            <w:szCs w:val="13"/>
            <w:u w:val="single" w:color="auto"/>
            <w:color w:val="0000EE"/>
          </w:rPr>
          <w:t>herein by reference.)</w:t>
        </w:r>
      </w:hyperlink>
    </w:p>
    <w:p>
      <w:pPr>
        <w:spacing w:after="0" w:line="74" w:lineRule="exact"/>
        <w:rPr>
          <w:rFonts w:ascii="Arial" w:cs="Arial" w:eastAsia="Arial" w:hAnsi="Arial"/>
          <w:sz w:val="13"/>
          <w:szCs w:val="13"/>
          <w:u w:val="single" w:color="auto"/>
          <w:color w:val="0000EE"/>
        </w:rPr>
      </w:pPr>
    </w:p>
    <w:p>
      <w:pPr>
        <w:ind w:left="1265" w:right="3059" w:hanging="1265"/>
        <w:spacing w:after="0" w:line="230" w:lineRule="auto"/>
        <w:tabs>
          <w:tab w:leader="none" w:pos="1265" w:val="left"/>
        </w:tabs>
        <w:numPr>
          <w:ilvl w:val="0"/>
          <w:numId w:val="69"/>
        </w:numPr>
        <w:rPr>
          <w:rFonts w:ascii="Arial" w:cs="Arial" w:eastAsia="Arial" w:hAnsi="Arial"/>
          <w:sz w:val="13"/>
          <w:szCs w:val="13"/>
          <w:u w:val="single" w:color="auto"/>
          <w:color w:val="0000EE"/>
        </w:rPr>
      </w:pPr>
      <w:hyperlink r:id="rId321">
        <w:r>
          <w:rPr>
            <w:rFonts w:ascii="Arial" w:cs="Arial" w:eastAsia="Arial" w:hAnsi="Arial"/>
            <w:sz w:val="13"/>
            <w:szCs w:val="13"/>
            <w:u w:val="single" w:color="auto"/>
            <w:color w:val="0000EE"/>
          </w:rPr>
          <w:t>Form of Step Rate Edge Shield Option Rider [5-4-SRE-2-NY (07/24)]. (Filed as Exhibit 4(l)</w:t>
        </w:r>
      </w:hyperlink>
      <w:r>
        <w:rPr>
          <w:rFonts w:ascii="Arial" w:cs="Arial" w:eastAsia="Arial" w:hAnsi="Arial"/>
          <w:sz w:val="13"/>
          <w:szCs w:val="13"/>
          <w:u w:val="single" w:color="auto"/>
          <w:color w:val="0000EE"/>
        </w:rPr>
        <w:t xml:space="preserve"> </w:t>
      </w:r>
      <w:hyperlink r:id="rId321">
        <w:r>
          <w:rPr>
            <w:rFonts w:ascii="Arial" w:cs="Arial" w:eastAsia="Arial" w:hAnsi="Arial"/>
            <w:sz w:val="13"/>
            <w:szCs w:val="13"/>
            <w:u w:val="single" w:color="auto"/>
            <w:color w:val="0000EE"/>
          </w:rPr>
          <w:t>with Registration Statement No. 333-279315 on Form S-1 on May 10, 2024 and</w:t>
        </w:r>
      </w:hyperlink>
      <w:r>
        <w:rPr>
          <w:rFonts w:ascii="Arial" w:cs="Arial" w:eastAsia="Arial" w:hAnsi="Arial"/>
          <w:sz w:val="13"/>
          <w:szCs w:val="13"/>
          <w:u w:val="single" w:color="auto"/>
          <w:color w:val="0000EE"/>
        </w:rPr>
        <w:t xml:space="preserve"> </w:t>
      </w:r>
      <w:hyperlink r:id="rId321">
        <w:r>
          <w:rPr>
            <w:rFonts w:ascii="Arial" w:cs="Arial" w:eastAsia="Arial" w:hAnsi="Arial"/>
            <w:sz w:val="13"/>
            <w:szCs w:val="13"/>
            <w:u w:val="single" w:color="auto"/>
            <w:color w:val="0000EE"/>
          </w:rPr>
          <w:t>incorporated herein by reference.)</w:t>
        </w:r>
      </w:hyperlink>
    </w:p>
    <w:p>
      <w:pPr>
        <w:spacing w:after="0" w:line="63" w:lineRule="exact"/>
        <w:rPr>
          <w:rFonts w:ascii="Arial" w:cs="Arial" w:eastAsia="Arial" w:hAnsi="Arial"/>
          <w:sz w:val="13"/>
          <w:szCs w:val="13"/>
          <w:u w:val="single" w:color="auto"/>
          <w:color w:val="0000EE"/>
        </w:rPr>
      </w:pPr>
    </w:p>
    <w:p>
      <w:pPr>
        <w:ind w:left="1265" w:right="3239" w:hanging="1265"/>
        <w:spacing w:after="0" w:line="233" w:lineRule="auto"/>
        <w:tabs>
          <w:tab w:leader="none" w:pos="1265" w:val="left"/>
        </w:tabs>
        <w:numPr>
          <w:ilvl w:val="0"/>
          <w:numId w:val="70"/>
        </w:numPr>
        <w:rPr>
          <w:rFonts w:ascii="Arial" w:cs="Arial" w:eastAsia="Arial" w:hAnsi="Arial"/>
          <w:sz w:val="13"/>
          <w:szCs w:val="13"/>
          <w:color w:val="auto"/>
        </w:rPr>
      </w:pPr>
      <w:r>
        <w:rPr>
          <w:rFonts w:ascii="Arial" w:cs="Arial" w:eastAsia="Arial" w:hAnsi="Arial"/>
          <w:sz w:val="13"/>
          <w:szCs w:val="13"/>
          <w:u w:val="single" w:color="auto"/>
          <w:color w:val="0000EE"/>
        </w:rPr>
        <w:t>Form of Brighthouse Shield</w:t>
      </w:r>
      <w:r>
        <w:rPr>
          <w:rFonts w:ascii="Arial" w:cs="Arial" w:eastAsia="Arial" w:hAnsi="Arial"/>
          <w:sz w:val="17"/>
          <w:szCs w:val="17"/>
          <w:u w:val="single" w:color="auto"/>
          <w:color w:val="000000"/>
          <w:vertAlign w:val="superscript"/>
        </w:rPr>
        <w:t>®</w:t>
      </w:r>
      <w:r>
        <w:rPr>
          <w:rFonts w:ascii="Arial" w:cs="Arial" w:eastAsia="Arial" w:hAnsi="Arial"/>
          <w:sz w:val="13"/>
          <w:szCs w:val="13"/>
          <w:u w:val="single" w:color="auto"/>
          <w:color w:val="0000EE"/>
        </w:rPr>
        <w:t xml:space="preserve"> Level II 6-Year Annuity Application [SLS2-APP-NY (07/24) BSL2-6-NY (07/24)]. (Filed herewith.)</w:t>
      </w:r>
    </w:p>
    <w:p>
      <w:pPr>
        <w:sectPr>
          <w:pgSz w:w="11900" w:h="16838" w:orient="portrait"/>
          <w:cols w:equalWidth="0" w:num="1">
            <w:col w:w="9604"/>
          </w:cols>
          <w:pgMar w:left="855" w:top="712" w:right="1440" w:bottom="1440" w:gutter="0" w:footer="0" w:header="0"/>
        </w:sectPr>
      </w:pPr>
    </w:p>
    <w:bookmarkStart w:id="108" w:name="page109"/>
    <w:bookmarkEnd w:id="108"/>
    <w:p>
      <w:pPr>
        <w:ind w:left="45"/>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177165</wp:posOffset>
            </wp:positionH>
            <wp:positionV relativeFrom="page">
              <wp:posOffset>120015</wp:posOffset>
            </wp:positionV>
            <wp:extent cx="719391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2">
                      <a:extLst>
                        <a:ext uri="{28A0092B-C50C-407E-A947-70E740481C1C}"/>
                      </a:extLst>
                    </a:blip>
                    <a:srcRect/>
                    <a:stretch>
                      <a:fillRect/>
                    </a:stretch>
                  </pic:blipFill>
                  <pic:spPr bwMode="auto">
                    <a:xfrm>
                      <a:off x="0" y="0"/>
                      <a:ext cx="7193915" cy="38100"/>
                    </a:xfrm>
                    <a:prstGeom prst="rect">
                      <a:avLst/>
                    </a:prstGeom>
                    <a:noFill/>
                  </pic:spPr>
                </pic:pic>
              </a:graphicData>
            </a:graphic>
          </wp:anchor>
        </w:drawing>
        <w:t>Exhibit</w:t>
      </w:r>
    </w:p>
    <w:p>
      <w:pPr>
        <w:spacing w:after="0" w:line="52" w:lineRule="exact"/>
        <w:rPr>
          <w:sz w:val="20"/>
          <w:szCs w:val="20"/>
          <w:color w:val="auto"/>
        </w:rPr>
      </w:pPr>
    </w:p>
    <w:p>
      <w:pPr>
        <w:ind w:left="5"/>
        <w:spacing w:after="0"/>
        <w:tabs>
          <w:tab w:leader="none" w:pos="1885" w:val="left"/>
        </w:tabs>
        <w:rPr>
          <w:sz w:val="20"/>
          <w:szCs w:val="20"/>
          <w:color w:val="auto"/>
        </w:rPr>
      </w:pPr>
      <w:r>
        <w:rPr>
          <w:rFonts w:ascii="Arial" w:cs="Arial" w:eastAsia="Arial" w:hAnsi="Arial"/>
          <w:sz w:val="11"/>
          <w:szCs w:val="11"/>
          <w:b w:val="1"/>
          <w:bCs w:val="1"/>
          <w:u w:val="single" w:color="auto"/>
          <w:color w:val="auto"/>
        </w:rPr>
        <w:t>Number</w:t>
      </w:r>
      <w:r>
        <w:rPr>
          <w:sz w:val="20"/>
          <w:szCs w:val="20"/>
          <w:color w:val="auto"/>
        </w:rPr>
        <w:tab/>
      </w:r>
      <w:r>
        <w:rPr>
          <w:rFonts w:ascii="Arial" w:cs="Arial" w:eastAsia="Arial" w:hAnsi="Arial"/>
          <w:sz w:val="11"/>
          <w:szCs w:val="11"/>
          <w:b w:val="1"/>
          <w:bCs w:val="1"/>
          <w:u w:val="single" w:color="auto"/>
          <w:color w:val="auto"/>
        </w:rPr>
        <w:t>Description</w:t>
      </w:r>
    </w:p>
    <w:p>
      <w:pPr>
        <w:spacing w:after="0" w:line="18" w:lineRule="exact"/>
        <w:rPr>
          <w:sz w:val="20"/>
          <w:szCs w:val="20"/>
          <w:color w:val="auto"/>
        </w:rPr>
      </w:pPr>
    </w:p>
    <w:p>
      <w:pPr>
        <w:ind w:left="325" w:hanging="325"/>
        <w:spacing w:after="0"/>
        <w:tabs>
          <w:tab w:leader="none" w:pos="325" w:val="left"/>
        </w:tabs>
        <w:numPr>
          <w:ilvl w:val="0"/>
          <w:numId w:val="71"/>
        </w:numPr>
        <w:rPr>
          <w:rFonts w:ascii="Arial" w:cs="Arial" w:eastAsia="Arial" w:hAnsi="Arial"/>
          <w:sz w:val="13"/>
          <w:szCs w:val="13"/>
          <w:color w:val="auto"/>
        </w:rPr>
      </w:pPr>
      <w:r>
        <w:rPr>
          <w:rFonts w:ascii="Arial" w:cs="Arial" w:eastAsia="Arial" w:hAnsi="Arial"/>
          <w:sz w:val="13"/>
          <w:szCs w:val="13"/>
          <w:color w:val="auto"/>
        </w:rPr>
        <w:t>(i)</w:t>
      </w:r>
    </w:p>
    <w:p>
      <w:pPr>
        <w:ind w:left="1265"/>
        <w:spacing w:after="0" w:line="222" w:lineRule="auto"/>
        <w:rPr>
          <w:rFonts w:ascii="Arial" w:cs="Arial" w:eastAsia="Arial" w:hAnsi="Arial"/>
          <w:sz w:val="13"/>
          <w:szCs w:val="13"/>
          <w:u w:val="single" w:color="auto"/>
          <w:color w:val="0000EE"/>
        </w:rPr>
      </w:pPr>
      <w:hyperlink r:id="rId321">
        <w:r>
          <w:rPr>
            <w:rFonts w:ascii="Arial" w:cs="Arial" w:eastAsia="Arial" w:hAnsi="Arial"/>
            <w:sz w:val="13"/>
            <w:szCs w:val="13"/>
            <w:u w:val="single" w:color="auto"/>
            <w:color w:val="0000EE"/>
          </w:rPr>
          <w:t>Form of Step Rate Edge Shield Option Rider [5-4-SRE-2-NY (07/24)]. (Filed as Exhibit 4(l)</w:t>
        </w:r>
      </w:hyperlink>
    </w:p>
    <w:p>
      <w:pPr>
        <w:spacing w:after="0" w:line="1" w:lineRule="exact"/>
        <w:rPr>
          <w:sz w:val="20"/>
          <w:szCs w:val="20"/>
          <w:color w:val="auto"/>
        </w:rPr>
      </w:pPr>
    </w:p>
    <w:p>
      <w:pPr>
        <w:ind w:left="1265" w:right="2919"/>
        <w:spacing w:after="0" w:line="233" w:lineRule="auto"/>
        <w:rPr>
          <w:rFonts w:ascii="Arial" w:cs="Arial" w:eastAsia="Arial" w:hAnsi="Arial"/>
          <w:sz w:val="13"/>
          <w:szCs w:val="13"/>
          <w:u w:val="single" w:color="auto"/>
          <w:color w:val="0000EE"/>
        </w:rPr>
      </w:pPr>
      <w:hyperlink r:id="rId321">
        <w:r>
          <w:rPr>
            <w:rFonts w:ascii="Arial" w:cs="Arial" w:eastAsia="Arial" w:hAnsi="Arial"/>
            <w:sz w:val="13"/>
            <w:szCs w:val="13"/>
            <w:u w:val="single" w:color="auto"/>
            <w:color w:val="0000EE"/>
          </w:rPr>
          <w:t>with Registration Statement No. 333-279315 on Form S-1 on May 10, 2024 and incorporated</w:t>
        </w:r>
      </w:hyperlink>
      <w:r>
        <w:rPr>
          <w:rFonts w:ascii="Arial" w:cs="Arial" w:eastAsia="Arial" w:hAnsi="Arial"/>
          <w:sz w:val="13"/>
          <w:szCs w:val="13"/>
          <w:u w:val="single" w:color="auto"/>
          <w:color w:val="0000EE"/>
        </w:rPr>
        <w:t xml:space="preserve"> </w:t>
      </w:r>
      <w:hyperlink r:id="rId321">
        <w:r>
          <w:rPr>
            <w:rFonts w:ascii="Arial" w:cs="Arial" w:eastAsia="Arial" w:hAnsi="Arial"/>
            <w:sz w:val="13"/>
            <w:szCs w:val="13"/>
            <w:u w:val="single" w:color="auto"/>
            <w:color w:val="0000EE"/>
          </w:rPr>
          <w:t>herein by reference.)</w:t>
        </w:r>
      </w:hyperlink>
    </w:p>
    <w:p>
      <w:pPr>
        <w:spacing w:after="0" w:line="66" w:lineRule="exact"/>
        <w:rPr>
          <w:sz w:val="20"/>
          <w:szCs w:val="20"/>
          <w:color w:val="auto"/>
        </w:rPr>
      </w:pPr>
    </w:p>
    <w:p>
      <w:pPr>
        <w:ind w:left="325" w:hanging="325"/>
        <w:spacing w:after="0"/>
        <w:tabs>
          <w:tab w:leader="none" w:pos="325" w:val="left"/>
        </w:tabs>
        <w:numPr>
          <w:ilvl w:val="0"/>
          <w:numId w:val="72"/>
        </w:numPr>
        <w:rPr>
          <w:rFonts w:ascii="Arial" w:cs="Arial" w:eastAsia="Arial" w:hAnsi="Arial"/>
          <w:sz w:val="13"/>
          <w:szCs w:val="13"/>
          <w:color w:val="auto"/>
        </w:rPr>
      </w:pPr>
      <w:r>
        <w:rPr>
          <w:rFonts w:ascii="Arial" w:cs="Arial" w:eastAsia="Arial" w:hAnsi="Arial"/>
          <w:sz w:val="13"/>
          <w:szCs w:val="13"/>
          <w:color w:val="auto"/>
        </w:rPr>
        <w:t>(ii)</w:t>
      </w:r>
    </w:p>
    <w:p>
      <w:pPr>
        <w:ind w:left="1265" w:right="2939"/>
        <w:spacing w:after="0" w:line="215" w:lineRule="auto"/>
        <w:rPr>
          <w:rFonts w:ascii="Arial" w:cs="Arial" w:eastAsia="Arial" w:hAnsi="Arial"/>
          <w:sz w:val="13"/>
          <w:szCs w:val="13"/>
          <w:u w:val="single" w:color="auto"/>
          <w:color w:val="0000EE"/>
        </w:rPr>
      </w:pPr>
      <w:hyperlink r:id="rId323">
        <w:r>
          <w:rPr>
            <w:rFonts w:ascii="Arial" w:cs="Arial" w:eastAsia="Arial" w:hAnsi="Arial"/>
            <w:sz w:val="13"/>
            <w:szCs w:val="13"/>
            <w:u w:val="single" w:color="auto"/>
            <w:color w:val="0000EE"/>
          </w:rPr>
          <w:t>Certificate of Amendment of Charter of Brighthouse Life Insurance Company of NY (formerly</w:t>
        </w:r>
      </w:hyperlink>
      <w:r>
        <w:rPr>
          <w:rFonts w:ascii="Arial" w:cs="Arial" w:eastAsia="Arial" w:hAnsi="Arial"/>
          <w:sz w:val="13"/>
          <w:szCs w:val="13"/>
          <w:u w:val="single" w:color="auto"/>
          <w:color w:val="0000EE"/>
        </w:rPr>
        <w:t xml:space="preserve"> </w:t>
      </w:r>
      <w:hyperlink r:id="rId323">
        <w:r>
          <w:rPr>
            <w:rFonts w:ascii="Arial" w:cs="Arial" w:eastAsia="Arial" w:hAnsi="Arial"/>
            <w:sz w:val="13"/>
            <w:szCs w:val="13"/>
            <w:u w:val="single" w:color="auto"/>
            <w:color w:val="0000EE"/>
          </w:rPr>
          <w:t>First MetLife Investors Insurance Company). (Incorporated by reference to Exhibit 3.1 to</w:t>
        </w:r>
      </w:hyperlink>
    </w:p>
    <w:p>
      <w:pPr>
        <w:ind w:left="1265"/>
        <w:spacing w:after="0"/>
        <w:rPr>
          <w:rFonts w:ascii="Arial" w:cs="Arial" w:eastAsia="Arial" w:hAnsi="Arial"/>
          <w:sz w:val="13"/>
          <w:szCs w:val="13"/>
          <w:u w:val="single" w:color="auto"/>
          <w:color w:val="0000EE"/>
        </w:rPr>
      </w:pPr>
      <w:hyperlink r:id="rId323">
        <w:r>
          <w:rPr>
            <w:rFonts w:ascii="Arial" w:cs="Arial" w:eastAsia="Arial" w:hAnsi="Arial"/>
            <w:sz w:val="13"/>
            <w:szCs w:val="13"/>
            <w:u w:val="single" w:color="auto"/>
            <w:color w:val="0000EE"/>
          </w:rPr>
          <w:t>Form 8-K, filed by Brighthouse Life Insurance Company of NY on March 6, 2017.)</w:t>
        </w:r>
      </w:hyperlink>
    </w:p>
    <w:p>
      <w:pPr>
        <w:spacing w:after="0" w:line="77" w:lineRule="exact"/>
        <w:rPr>
          <w:sz w:val="20"/>
          <w:szCs w:val="20"/>
          <w:color w:val="auto"/>
        </w:rPr>
      </w:pPr>
    </w:p>
    <w:p>
      <w:pPr>
        <w:ind w:left="325" w:hanging="325"/>
        <w:spacing w:after="0"/>
        <w:tabs>
          <w:tab w:leader="none" w:pos="325" w:val="left"/>
        </w:tabs>
        <w:numPr>
          <w:ilvl w:val="0"/>
          <w:numId w:val="73"/>
        </w:numPr>
        <w:rPr>
          <w:rFonts w:ascii="Arial" w:cs="Arial" w:eastAsia="Arial" w:hAnsi="Arial"/>
          <w:sz w:val="13"/>
          <w:szCs w:val="13"/>
          <w:color w:val="auto"/>
        </w:rPr>
      </w:pPr>
      <w:r>
        <w:rPr>
          <w:rFonts w:ascii="Arial" w:cs="Arial" w:eastAsia="Arial" w:hAnsi="Arial"/>
          <w:sz w:val="13"/>
          <w:szCs w:val="13"/>
          <w:color w:val="auto"/>
        </w:rPr>
        <w:t>(iii)</w:t>
      </w:r>
    </w:p>
    <w:p>
      <w:pPr>
        <w:spacing w:after="0" w:line="1" w:lineRule="exact"/>
        <w:rPr>
          <w:sz w:val="20"/>
          <w:szCs w:val="20"/>
          <w:color w:val="auto"/>
        </w:rPr>
      </w:pPr>
    </w:p>
    <w:p>
      <w:pPr>
        <w:jc w:val="both"/>
        <w:ind w:left="1265" w:right="3039"/>
        <w:spacing w:after="0" w:line="224" w:lineRule="auto"/>
        <w:rPr>
          <w:rFonts w:ascii="Arial" w:cs="Arial" w:eastAsia="Arial" w:hAnsi="Arial"/>
          <w:sz w:val="13"/>
          <w:szCs w:val="13"/>
          <w:u w:val="single" w:color="auto"/>
          <w:color w:val="0000EE"/>
        </w:rPr>
      </w:pPr>
      <w:hyperlink r:id="rId324">
        <w:r>
          <w:rPr>
            <w:rFonts w:ascii="Arial" w:cs="Arial" w:eastAsia="Arial" w:hAnsi="Arial"/>
            <w:sz w:val="13"/>
            <w:szCs w:val="13"/>
            <w:u w:val="single" w:color="auto"/>
            <w:color w:val="0000EE"/>
          </w:rPr>
          <w:t>Amended and Restated Bylaws of Brighthouse Life Insurance Company of NY, as effective</w:t>
        </w:r>
      </w:hyperlink>
      <w:r>
        <w:rPr>
          <w:rFonts w:ascii="Arial" w:cs="Arial" w:eastAsia="Arial" w:hAnsi="Arial"/>
          <w:sz w:val="13"/>
          <w:szCs w:val="13"/>
          <w:u w:val="single" w:color="auto"/>
          <w:color w:val="0000EE"/>
        </w:rPr>
        <w:t xml:space="preserve"> </w:t>
      </w:r>
      <w:hyperlink r:id="rId324">
        <w:r>
          <w:rPr>
            <w:rFonts w:ascii="Arial" w:cs="Arial" w:eastAsia="Arial" w:hAnsi="Arial"/>
            <w:sz w:val="13"/>
            <w:szCs w:val="13"/>
            <w:u w:val="single" w:color="auto"/>
            <w:color w:val="0000EE"/>
          </w:rPr>
          <w:t>March 6, 2017. (Incorporated by reference to Exhibit 3.2 to Form 8-K, filed by Brighthouse</w:t>
        </w:r>
      </w:hyperlink>
      <w:r>
        <w:rPr>
          <w:rFonts w:ascii="Arial" w:cs="Arial" w:eastAsia="Arial" w:hAnsi="Arial"/>
          <w:sz w:val="13"/>
          <w:szCs w:val="13"/>
          <w:u w:val="single" w:color="auto"/>
          <w:color w:val="0000EE"/>
        </w:rPr>
        <w:t xml:space="preserve"> </w:t>
      </w:r>
      <w:hyperlink r:id="rId324">
        <w:r>
          <w:rPr>
            <w:rFonts w:ascii="Arial" w:cs="Arial" w:eastAsia="Arial" w:hAnsi="Arial"/>
            <w:sz w:val="13"/>
            <w:szCs w:val="13"/>
            <w:u w:val="single" w:color="auto"/>
            <w:color w:val="0000EE"/>
          </w:rPr>
          <w:t>Life Insurance Company of NY on March 6, 2017.)</w:t>
        </w:r>
      </w:hyperlink>
    </w:p>
    <w:p>
      <w:pPr>
        <w:spacing w:after="0" w:line="75" w:lineRule="exact"/>
        <w:rPr>
          <w:rFonts w:ascii="Arial" w:cs="Arial" w:eastAsia="Arial" w:hAnsi="Arial"/>
          <w:sz w:val="13"/>
          <w:szCs w:val="13"/>
          <w:u w:val="single" w:color="auto"/>
          <w:color w:val="0000EE"/>
        </w:rPr>
      </w:pPr>
    </w:p>
    <w:p>
      <w:pPr>
        <w:ind w:left="1265" w:hanging="1265"/>
        <w:spacing w:after="0"/>
        <w:tabs>
          <w:tab w:leader="none" w:pos="1265" w:val="left"/>
        </w:tabs>
        <w:numPr>
          <w:ilvl w:val="0"/>
          <w:numId w:val="74"/>
        </w:numPr>
        <w:rPr>
          <w:rFonts w:ascii="Arial" w:cs="Arial" w:eastAsia="Arial" w:hAnsi="Arial"/>
          <w:sz w:val="13"/>
          <w:szCs w:val="13"/>
          <w:color w:val="auto"/>
        </w:rPr>
      </w:pPr>
      <w:r>
        <w:rPr>
          <w:rFonts w:ascii="Arial" w:cs="Arial" w:eastAsia="Arial" w:hAnsi="Arial"/>
          <w:sz w:val="13"/>
          <w:szCs w:val="13"/>
          <w:color w:val="auto"/>
        </w:rPr>
        <w:t>Not Appliable.</w:t>
      </w:r>
    </w:p>
    <w:p>
      <w:pPr>
        <w:spacing w:after="0" w:line="98" w:lineRule="exact"/>
        <w:rPr>
          <w:rFonts w:ascii="Arial" w:cs="Arial" w:eastAsia="Arial" w:hAnsi="Arial"/>
          <w:sz w:val="13"/>
          <w:szCs w:val="13"/>
          <w:color w:val="auto"/>
        </w:rPr>
      </w:pPr>
    </w:p>
    <w:p>
      <w:pPr>
        <w:ind w:left="1265" w:hanging="1265"/>
        <w:spacing w:after="0"/>
        <w:tabs>
          <w:tab w:leader="none" w:pos="1265" w:val="left"/>
        </w:tabs>
        <w:numPr>
          <w:ilvl w:val="0"/>
          <w:numId w:val="74"/>
        </w:numPr>
        <w:rPr>
          <w:rFonts w:ascii="Arial" w:cs="Arial" w:eastAsia="Arial" w:hAnsi="Arial"/>
          <w:sz w:val="13"/>
          <w:szCs w:val="13"/>
          <w:color w:val="auto"/>
        </w:rPr>
      </w:pPr>
      <w:r>
        <w:rPr>
          <w:rFonts w:ascii="Arial" w:cs="Arial" w:eastAsia="Arial" w:hAnsi="Arial"/>
          <w:sz w:val="13"/>
          <w:szCs w:val="13"/>
          <w:color w:val="auto"/>
        </w:rPr>
        <w:t>Not Applicable.</w:t>
      </w:r>
    </w:p>
    <w:p>
      <w:pPr>
        <w:spacing w:after="0" w:line="88" w:lineRule="exact"/>
        <w:rPr>
          <w:rFonts w:ascii="Arial" w:cs="Arial" w:eastAsia="Arial" w:hAnsi="Arial"/>
          <w:sz w:val="13"/>
          <w:szCs w:val="13"/>
          <w:color w:val="auto"/>
        </w:rPr>
      </w:pPr>
    </w:p>
    <w:p>
      <w:pPr>
        <w:ind w:left="1265" w:hanging="1265"/>
        <w:spacing w:after="0"/>
        <w:tabs>
          <w:tab w:leader="none" w:pos="1265" w:val="left"/>
        </w:tabs>
        <w:numPr>
          <w:ilvl w:val="0"/>
          <w:numId w:val="74"/>
        </w:numPr>
        <w:rPr>
          <w:rFonts w:ascii="Arial" w:cs="Arial" w:eastAsia="Arial" w:hAnsi="Arial"/>
          <w:sz w:val="13"/>
          <w:szCs w:val="13"/>
          <w:color w:val="auto"/>
        </w:rPr>
      </w:pPr>
      <w:r>
        <w:rPr>
          <w:rFonts w:ascii="Arial" w:cs="Arial" w:eastAsia="Arial" w:hAnsi="Arial"/>
          <w:sz w:val="13"/>
          <w:szCs w:val="13"/>
          <w:color w:val="auto"/>
        </w:rPr>
        <w:t>Not Applicable.</w:t>
      </w:r>
    </w:p>
    <w:p>
      <w:pPr>
        <w:spacing w:after="0" w:line="98" w:lineRule="exact"/>
        <w:rPr>
          <w:rFonts w:ascii="Arial" w:cs="Arial" w:eastAsia="Arial" w:hAnsi="Arial"/>
          <w:sz w:val="13"/>
          <w:szCs w:val="13"/>
          <w:color w:val="auto"/>
        </w:rPr>
      </w:pPr>
    </w:p>
    <w:p>
      <w:pPr>
        <w:ind w:left="1265" w:hanging="1265"/>
        <w:spacing w:after="0"/>
        <w:tabs>
          <w:tab w:leader="none" w:pos="1265" w:val="left"/>
        </w:tabs>
        <w:numPr>
          <w:ilvl w:val="0"/>
          <w:numId w:val="74"/>
        </w:numPr>
        <w:rPr>
          <w:rFonts w:ascii="Arial" w:cs="Arial" w:eastAsia="Arial" w:hAnsi="Arial"/>
          <w:sz w:val="13"/>
          <w:szCs w:val="13"/>
          <w:color w:val="auto"/>
        </w:rPr>
      </w:pPr>
      <w:r>
        <w:rPr>
          <w:rFonts w:ascii="Arial" w:cs="Arial" w:eastAsia="Arial" w:hAnsi="Arial"/>
          <w:sz w:val="13"/>
          <w:szCs w:val="13"/>
          <w:color w:val="auto"/>
        </w:rPr>
        <w:t>Not Applicable.</w:t>
      </w:r>
    </w:p>
    <w:p>
      <w:pPr>
        <w:spacing w:after="0" w:line="88" w:lineRule="exact"/>
        <w:rPr>
          <w:rFonts w:ascii="Arial" w:cs="Arial" w:eastAsia="Arial" w:hAnsi="Arial"/>
          <w:sz w:val="13"/>
          <w:szCs w:val="13"/>
          <w:color w:val="auto"/>
        </w:rPr>
      </w:pPr>
    </w:p>
    <w:p>
      <w:pPr>
        <w:ind w:left="1265" w:hanging="1265"/>
        <w:spacing w:after="0"/>
        <w:tabs>
          <w:tab w:leader="none" w:pos="1265" w:val="left"/>
        </w:tabs>
        <w:numPr>
          <w:ilvl w:val="0"/>
          <w:numId w:val="74"/>
        </w:numPr>
        <w:rPr>
          <w:rFonts w:ascii="Arial" w:cs="Arial" w:eastAsia="Arial" w:hAnsi="Arial"/>
          <w:sz w:val="13"/>
          <w:szCs w:val="13"/>
          <w:color w:val="auto"/>
        </w:rPr>
      </w:pPr>
      <w:r>
        <w:rPr>
          <w:rFonts w:ascii="Arial" w:cs="Arial" w:eastAsia="Arial" w:hAnsi="Arial"/>
          <w:sz w:val="13"/>
          <w:szCs w:val="13"/>
          <w:u w:val="single" w:color="auto"/>
          <w:color w:val="0000EE"/>
        </w:rPr>
        <w:t>Opinion and Consent of Counsel. (Filed herewith.)</w:t>
      </w:r>
    </w:p>
    <w:p>
      <w:pPr>
        <w:spacing w:after="0" w:line="88" w:lineRule="exact"/>
        <w:rPr>
          <w:rFonts w:ascii="Arial" w:cs="Arial" w:eastAsia="Arial" w:hAnsi="Arial"/>
          <w:sz w:val="13"/>
          <w:szCs w:val="13"/>
          <w:color w:val="auto"/>
        </w:rPr>
      </w:pPr>
    </w:p>
    <w:p>
      <w:pPr>
        <w:ind w:left="1265" w:hanging="1265"/>
        <w:spacing w:after="0"/>
        <w:tabs>
          <w:tab w:leader="none" w:pos="1265" w:val="left"/>
        </w:tabs>
        <w:numPr>
          <w:ilvl w:val="0"/>
          <w:numId w:val="74"/>
        </w:numPr>
        <w:rPr>
          <w:rFonts w:ascii="Arial" w:cs="Arial" w:eastAsia="Arial" w:hAnsi="Arial"/>
          <w:sz w:val="13"/>
          <w:szCs w:val="13"/>
          <w:color w:val="auto"/>
        </w:rPr>
      </w:pPr>
      <w:r>
        <w:rPr>
          <w:rFonts w:ascii="Arial" w:cs="Arial" w:eastAsia="Arial" w:hAnsi="Arial"/>
          <w:sz w:val="13"/>
          <w:szCs w:val="13"/>
          <w:u w:val="single" w:color="auto"/>
          <w:color w:val="0000EE"/>
        </w:rPr>
        <w:t>Consent of Independent Auditor. (Filed herewith.)</w:t>
      </w:r>
    </w:p>
    <w:p>
      <w:pPr>
        <w:spacing w:after="0" w:line="88" w:lineRule="exact"/>
        <w:rPr>
          <w:rFonts w:ascii="Arial" w:cs="Arial" w:eastAsia="Arial" w:hAnsi="Arial"/>
          <w:sz w:val="13"/>
          <w:szCs w:val="13"/>
          <w:color w:val="auto"/>
        </w:rPr>
      </w:pPr>
    </w:p>
    <w:p>
      <w:pPr>
        <w:ind w:left="1265" w:hanging="1265"/>
        <w:spacing w:after="0"/>
        <w:tabs>
          <w:tab w:leader="none" w:pos="1265" w:val="left"/>
        </w:tabs>
        <w:numPr>
          <w:ilvl w:val="0"/>
          <w:numId w:val="74"/>
        </w:numPr>
        <w:rPr>
          <w:rFonts w:ascii="Arial" w:cs="Arial" w:eastAsia="Arial" w:hAnsi="Arial"/>
          <w:sz w:val="13"/>
          <w:szCs w:val="13"/>
          <w:color w:val="auto"/>
        </w:rPr>
      </w:pPr>
      <w:r>
        <w:rPr>
          <w:rFonts w:ascii="Arial" w:cs="Arial" w:eastAsia="Arial" w:hAnsi="Arial"/>
          <w:sz w:val="13"/>
          <w:szCs w:val="13"/>
          <w:color w:val="auto"/>
        </w:rPr>
        <w:t>Not Applicable.</w:t>
      </w:r>
    </w:p>
    <w:p>
      <w:pPr>
        <w:spacing w:after="0" w:line="88" w:lineRule="exact"/>
        <w:rPr>
          <w:rFonts w:ascii="Arial" w:cs="Arial" w:eastAsia="Arial" w:hAnsi="Arial"/>
          <w:sz w:val="13"/>
          <w:szCs w:val="13"/>
          <w:color w:val="auto"/>
        </w:rPr>
      </w:pPr>
    </w:p>
    <w:p>
      <w:pPr>
        <w:ind w:left="1265" w:hanging="1265"/>
        <w:spacing w:after="0"/>
        <w:tabs>
          <w:tab w:leader="none" w:pos="1265" w:val="left"/>
        </w:tabs>
        <w:numPr>
          <w:ilvl w:val="0"/>
          <w:numId w:val="74"/>
        </w:numPr>
        <w:rPr>
          <w:rFonts w:ascii="Arial" w:cs="Arial" w:eastAsia="Arial" w:hAnsi="Arial"/>
          <w:sz w:val="13"/>
          <w:szCs w:val="13"/>
          <w:color w:val="auto"/>
        </w:rPr>
      </w:pPr>
      <w:r>
        <w:rPr>
          <w:rFonts w:ascii="Arial" w:cs="Arial" w:eastAsia="Arial" w:hAnsi="Arial"/>
          <w:sz w:val="13"/>
          <w:szCs w:val="13"/>
          <w:color w:val="auto"/>
        </w:rPr>
        <w:t>Not Applicable.</w:t>
      </w:r>
    </w:p>
    <w:p>
      <w:pPr>
        <w:spacing w:after="0" w:line="88" w:lineRule="exact"/>
        <w:rPr>
          <w:rFonts w:ascii="Arial" w:cs="Arial" w:eastAsia="Arial" w:hAnsi="Arial"/>
          <w:sz w:val="13"/>
          <w:szCs w:val="13"/>
          <w:color w:val="auto"/>
        </w:rPr>
      </w:pPr>
    </w:p>
    <w:p>
      <w:pPr>
        <w:ind w:left="1265" w:hanging="1265"/>
        <w:spacing w:after="0"/>
        <w:tabs>
          <w:tab w:leader="none" w:pos="1265" w:val="left"/>
        </w:tabs>
        <w:numPr>
          <w:ilvl w:val="0"/>
          <w:numId w:val="74"/>
        </w:numPr>
        <w:rPr>
          <w:rFonts w:ascii="Arial" w:cs="Arial" w:eastAsia="Arial" w:hAnsi="Arial"/>
          <w:sz w:val="13"/>
          <w:szCs w:val="13"/>
          <w:color w:val="auto"/>
        </w:rPr>
      </w:pPr>
      <w:r>
        <w:rPr>
          <w:rFonts w:ascii="Arial" w:cs="Arial" w:eastAsia="Arial" w:hAnsi="Arial"/>
          <w:sz w:val="13"/>
          <w:szCs w:val="13"/>
          <w:u w:val="single" w:color="auto"/>
          <w:color w:val="0000EE"/>
        </w:rPr>
        <w:t>Form of Initial Summary Prospectus. (Filed herewith.)</w:t>
      </w:r>
    </w:p>
    <w:p>
      <w:pPr>
        <w:spacing w:after="0" w:line="88" w:lineRule="exact"/>
        <w:rPr>
          <w:rFonts w:ascii="Arial" w:cs="Arial" w:eastAsia="Arial" w:hAnsi="Arial"/>
          <w:sz w:val="13"/>
          <w:szCs w:val="13"/>
          <w:color w:val="auto"/>
        </w:rPr>
      </w:pPr>
    </w:p>
    <w:p>
      <w:pPr>
        <w:ind w:left="1265" w:right="2939" w:hanging="1265"/>
        <w:spacing w:after="0" w:line="230" w:lineRule="auto"/>
        <w:tabs>
          <w:tab w:leader="none" w:pos="1265" w:val="left"/>
        </w:tabs>
        <w:numPr>
          <w:ilvl w:val="0"/>
          <w:numId w:val="74"/>
        </w:numPr>
        <w:rPr>
          <w:rFonts w:ascii="Arial" w:cs="Arial" w:eastAsia="Arial" w:hAnsi="Arial"/>
          <w:sz w:val="13"/>
          <w:szCs w:val="13"/>
          <w:color w:val="auto"/>
        </w:rPr>
      </w:pPr>
      <w:r>
        <w:rPr>
          <w:rFonts w:ascii="Arial" w:cs="Arial" w:eastAsia="Arial" w:hAnsi="Arial"/>
          <w:sz w:val="13"/>
          <w:szCs w:val="13"/>
          <w:u w:val="single" w:color="auto"/>
          <w:color w:val="0000EE"/>
        </w:rPr>
        <w:t>Powers of Attorney for David A. Rosenbaum, Kendall K. Alley, Edward C. Kosnik, Mayer Naiman, Douglas A. Rayvid, Robert A. Semke, Kevin White, Richard A. Cook and Gianna H. Figaro-Sterling. (Filed herewith.)</w:t>
      </w:r>
    </w:p>
    <w:p>
      <w:pPr>
        <w:spacing w:after="0" w:line="66" w:lineRule="exact"/>
        <w:rPr>
          <w:rFonts w:ascii="Arial" w:cs="Arial" w:eastAsia="Arial" w:hAnsi="Arial"/>
          <w:sz w:val="13"/>
          <w:szCs w:val="13"/>
          <w:color w:val="auto"/>
        </w:rPr>
      </w:pPr>
    </w:p>
    <w:p>
      <w:pPr>
        <w:ind w:left="1265" w:hanging="1265"/>
        <w:spacing w:after="0"/>
        <w:tabs>
          <w:tab w:leader="none" w:pos="1265" w:val="left"/>
        </w:tabs>
        <w:numPr>
          <w:ilvl w:val="0"/>
          <w:numId w:val="74"/>
        </w:numPr>
        <w:rPr>
          <w:rFonts w:ascii="Arial" w:cs="Arial" w:eastAsia="Arial" w:hAnsi="Arial"/>
          <w:sz w:val="13"/>
          <w:szCs w:val="13"/>
          <w:color w:val="auto"/>
        </w:rPr>
      </w:pPr>
      <w:r>
        <w:rPr>
          <w:rFonts w:ascii="Arial" w:cs="Arial" w:eastAsia="Arial" w:hAnsi="Arial"/>
          <w:sz w:val="13"/>
          <w:szCs w:val="13"/>
          <w:color w:val="auto"/>
        </w:rPr>
        <w:t>Not Applicable.</w:t>
      </w:r>
    </w:p>
    <w:p>
      <w:pPr>
        <w:spacing w:after="0" w:line="88" w:lineRule="exact"/>
        <w:rPr>
          <w:rFonts w:ascii="Arial" w:cs="Arial" w:eastAsia="Arial" w:hAnsi="Arial"/>
          <w:sz w:val="13"/>
          <w:szCs w:val="13"/>
          <w:color w:val="auto"/>
        </w:rPr>
      </w:pPr>
    </w:p>
    <w:p>
      <w:pPr>
        <w:ind w:left="1265" w:hanging="1265"/>
        <w:spacing w:after="0"/>
        <w:tabs>
          <w:tab w:leader="none" w:pos="1265" w:val="left"/>
        </w:tabs>
        <w:numPr>
          <w:ilvl w:val="0"/>
          <w:numId w:val="74"/>
        </w:numPr>
        <w:rPr>
          <w:rFonts w:ascii="Arial" w:cs="Arial" w:eastAsia="Arial" w:hAnsi="Arial"/>
          <w:sz w:val="13"/>
          <w:szCs w:val="13"/>
          <w:color w:val="auto"/>
        </w:rPr>
      </w:pPr>
      <w:r>
        <w:rPr>
          <w:rFonts w:ascii="Arial" w:cs="Arial" w:eastAsia="Arial" w:hAnsi="Arial"/>
          <w:sz w:val="13"/>
          <w:szCs w:val="13"/>
          <w:u w:val="single" w:color="auto"/>
          <w:color w:val="0000EE"/>
        </w:rPr>
        <w:t>Historical Current Limits on Index Gains. (Filed herewith.)</w:t>
      </w:r>
    </w:p>
    <w:p>
      <w:pPr>
        <w:spacing w:after="0" w:line="89" w:lineRule="exact"/>
        <w:rPr>
          <w:rFonts w:ascii="Arial" w:cs="Arial" w:eastAsia="Arial" w:hAnsi="Arial"/>
          <w:sz w:val="13"/>
          <w:szCs w:val="13"/>
          <w:u w:val="single" w:color="auto"/>
          <w:color w:val="0000EE"/>
        </w:rPr>
      </w:pPr>
    </w:p>
    <w:p>
      <w:pPr>
        <w:ind w:left="5"/>
        <w:spacing w:after="0"/>
        <w:rPr>
          <w:sz w:val="20"/>
          <w:szCs w:val="20"/>
          <w:color w:val="auto"/>
        </w:rPr>
      </w:pPr>
      <w:r>
        <w:rPr>
          <w:rFonts w:ascii="Arial" w:cs="Arial" w:eastAsia="Arial" w:hAnsi="Arial"/>
          <w:sz w:val="13"/>
          <w:szCs w:val="13"/>
          <w:color w:val="auto"/>
        </w:rPr>
        <w:t> </w:t>
      </w:r>
    </w:p>
    <w:p>
      <w:pPr>
        <w:spacing w:after="0" w:line="148" w:lineRule="exact"/>
        <w:rPr>
          <w:rFonts w:ascii="Arial" w:cs="Arial" w:eastAsia="Arial" w:hAnsi="Arial"/>
          <w:sz w:val="13"/>
          <w:szCs w:val="13"/>
          <w:u w:val="single" w:color="auto"/>
          <w:color w:val="0000EE"/>
        </w:rPr>
      </w:pPr>
    </w:p>
    <w:p>
      <w:pPr>
        <w:ind w:left="5"/>
        <w:spacing w:after="0"/>
        <w:tabs>
          <w:tab w:leader="none" w:pos="705" w:val="left"/>
        </w:tabs>
        <w:rPr>
          <w:sz w:val="20"/>
          <w:szCs w:val="20"/>
          <w:color w:val="auto"/>
        </w:rPr>
      </w:pPr>
      <w:r>
        <w:rPr>
          <w:rFonts w:ascii="Arial" w:cs="Arial" w:eastAsia="Arial" w:hAnsi="Arial"/>
          <w:sz w:val="13"/>
          <w:szCs w:val="13"/>
          <w:b w:val="1"/>
          <w:bCs w:val="1"/>
          <w:color w:val="auto"/>
        </w:rPr>
        <w:t>Item 28.</w:t>
      </w:r>
      <w:r>
        <w:rPr>
          <w:sz w:val="20"/>
          <w:szCs w:val="20"/>
          <w:color w:val="auto"/>
        </w:rPr>
        <w:tab/>
      </w:r>
      <w:r>
        <w:rPr>
          <w:rFonts w:ascii="Arial" w:cs="Arial" w:eastAsia="Arial" w:hAnsi="Arial"/>
          <w:sz w:val="13"/>
          <w:szCs w:val="13"/>
          <w:b w:val="1"/>
          <w:bCs w:val="1"/>
          <w:color w:val="auto"/>
        </w:rPr>
        <w:t>Directors and Officers of the Insurance Company</w:t>
      </w:r>
    </w:p>
    <w:p>
      <w:pPr>
        <w:spacing w:after="0" w:line="105" w:lineRule="exact"/>
        <w:rPr>
          <w:rFonts w:ascii="Arial" w:cs="Arial" w:eastAsia="Arial" w:hAnsi="Arial"/>
          <w:sz w:val="13"/>
          <w:szCs w:val="13"/>
          <w:u w:val="single" w:color="auto"/>
          <w:color w:val="0000EE"/>
        </w:rPr>
      </w:pPr>
    </w:p>
    <w:tbl>
      <w:tblPr>
        <w:tblLayout w:type="fixed"/>
        <w:tblInd w:w="5" w:type="dxa"/>
        <w:tblCellMar>
          <w:top w:w="0" w:type="dxa"/>
          <w:left w:w="0" w:type="dxa"/>
          <w:bottom w:w="0" w:type="dxa"/>
          <w:right w:w="0" w:type="dxa"/>
        </w:tblCellMar>
      </w:tblPr>
      <w:tr>
        <w:trPr>
          <w:trHeight w:val="150"/>
        </w:trPr>
        <w:tc>
          <w:tcPr>
            <w:tcW w:w="27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Name and Principal Business Address</w:t>
            </w:r>
          </w:p>
        </w:tc>
        <w:tc>
          <w:tcPr>
            <w:tcW w:w="180" w:type="dxa"/>
            <w:vAlign w:val="bottom"/>
          </w:tcPr>
          <w:p>
            <w:pPr>
              <w:spacing w:after="0"/>
              <w:rPr>
                <w:sz w:val="13"/>
                <w:szCs w:val="13"/>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Positions and Offices with Insurance Company</w:t>
            </w:r>
          </w:p>
        </w:tc>
      </w:tr>
      <w:tr>
        <w:trPr>
          <w:trHeight w:val="231"/>
        </w:trPr>
        <w:tc>
          <w:tcPr>
            <w:tcW w:w="2700" w:type="dxa"/>
            <w:vAlign w:val="bottom"/>
          </w:tcPr>
          <w:p>
            <w:pPr>
              <w:spacing w:after="0"/>
              <w:rPr>
                <w:sz w:val="20"/>
                <w:szCs w:val="20"/>
                <w:color w:val="auto"/>
              </w:rPr>
            </w:pPr>
            <w:r>
              <w:rPr>
                <w:rFonts w:ascii="Arial" w:cs="Arial" w:eastAsia="Arial" w:hAnsi="Arial"/>
                <w:sz w:val="13"/>
                <w:szCs w:val="13"/>
                <w:color w:val="auto"/>
              </w:rPr>
              <w:t>David A. Rosenbaum</w:t>
            </w:r>
          </w:p>
        </w:tc>
        <w:tc>
          <w:tcPr>
            <w:tcW w:w="18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3"/>
                <w:szCs w:val="13"/>
                <w:color w:val="auto"/>
              </w:rPr>
              <w:t>Chairman of the Board, President, Chief Executive Officer and a</w:t>
            </w:r>
          </w:p>
        </w:tc>
      </w:tr>
      <w:tr>
        <w:trPr>
          <w:trHeight w:val="159"/>
        </w:trPr>
        <w:tc>
          <w:tcPr>
            <w:tcW w:w="2700" w:type="dxa"/>
            <w:vAlign w:val="bottom"/>
          </w:tcPr>
          <w:p>
            <w:pPr>
              <w:spacing w:after="0"/>
              <w:rPr>
                <w:sz w:val="20"/>
                <w:szCs w:val="20"/>
                <w:color w:val="auto"/>
              </w:rPr>
            </w:pPr>
            <w:r>
              <w:rPr>
                <w:rFonts w:ascii="Arial" w:cs="Arial" w:eastAsia="Arial" w:hAnsi="Arial"/>
                <w:sz w:val="13"/>
                <w:szCs w:val="13"/>
                <w:color w:val="auto"/>
              </w:rPr>
              <w:t>11225 North Community House Road</w:t>
            </w:r>
          </w:p>
        </w:tc>
        <w:tc>
          <w:tcPr>
            <w:tcW w:w="180" w:type="dxa"/>
            <w:vAlign w:val="bottom"/>
          </w:tcPr>
          <w:p>
            <w:pPr>
              <w:spacing w:after="0"/>
              <w:rPr>
                <w:sz w:val="13"/>
                <w:szCs w:val="13"/>
                <w:color w:val="auto"/>
              </w:rPr>
            </w:pPr>
          </w:p>
        </w:tc>
        <w:tc>
          <w:tcPr>
            <w:tcW w:w="3860" w:type="dxa"/>
            <w:vAlign w:val="bottom"/>
          </w:tcPr>
          <w:p>
            <w:pPr>
              <w:spacing w:after="0"/>
              <w:rPr>
                <w:sz w:val="20"/>
                <w:szCs w:val="20"/>
                <w:color w:val="auto"/>
              </w:rPr>
            </w:pPr>
            <w:r>
              <w:rPr>
                <w:rFonts w:ascii="Arial" w:cs="Arial" w:eastAsia="Arial" w:hAnsi="Arial"/>
                <w:sz w:val="13"/>
                <w:szCs w:val="13"/>
                <w:color w:val="auto"/>
              </w:rPr>
              <w:t>Director</w:t>
            </w:r>
          </w:p>
        </w:tc>
      </w:tr>
      <w:tr>
        <w:trPr>
          <w:trHeight w:val="174"/>
        </w:trPr>
        <w:tc>
          <w:tcPr>
            <w:tcW w:w="2700" w:type="dxa"/>
            <w:vAlign w:val="bottom"/>
          </w:tcPr>
          <w:p>
            <w:pPr>
              <w:spacing w:after="0"/>
              <w:rPr>
                <w:sz w:val="20"/>
                <w:szCs w:val="20"/>
                <w:color w:val="auto"/>
              </w:rPr>
            </w:pPr>
            <w:r>
              <w:rPr>
                <w:rFonts w:ascii="Arial" w:cs="Arial" w:eastAsia="Arial" w:hAnsi="Arial"/>
                <w:sz w:val="13"/>
                <w:szCs w:val="13"/>
                <w:color w:val="auto"/>
              </w:rPr>
              <w:t>Charlotte, NC 28277</w:t>
            </w:r>
          </w:p>
        </w:tc>
        <w:tc>
          <w:tcPr>
            <w:tcW w:w="180" w:type="dxa"/>
            <w:vAlign w:val="bottom"/>
          </w:tcPr>
          <w:p>
            <w:pPr>
              <w:spacing w:after="0"/>
              <w:rPr>
                <w:sz w:val="15"/>
                <w:szCs w:val="15"/>
                <w:color w:val="auto"/>
              </w:rPr>
            </w:pPr>
          </w:p>
        </w:tc>
        <w:tc>
          <w:tcPr>
            <w:tcW w:w="3860" w:type="dxa"/>
            <w:vAlign w:val="bottom"/>
          </w:tcPr>
          <w:p>
            <w:pPr>
              <w:spacing w:after="0"/>
              <w:rPr>
                <w:sz w:val="15"/>
                <w:szCs w:val="15"/>
                <w:color w:val="auto"/>
              </w:rPr>
            </w:pPr>
          </w:p>
        </w:tc>
      </w:tr>
      <w:tr>
        <w:trPr>
          <w:trHeight w:val="283"/>
        </w:trPr>
        <w:tc>
          <w:tcPr>
            <w:tcW w:w="2700" w:type="dxa"/>
            <w:vAlign w:val="bottom"/>
          </w:tcPr>
          <w:p>
            <w:pPr>
              <w:spacing w:after="0"/>
              <w:rPr>
                <w:sz w:val="20"/>
                <w:szCs w:val="20"/>
                <w:color w:val="auto"/>
              </w:rPr>
            </w:pPr>
            <w:r>
              <w:rPr>
                <w:rFonts w:ascii="Arial" w:cs="Arial" w:eastAsia="Arial" w:hAnsi="Arial"/>
                <w:sz w:val="13"/>
                <w:szCs w:val="13"/>
                <w:color w:val="auto"/>
              </w:rPr>
              <w:t>Kendall K. Alley</w:t>
            </w:r>
          </w:p>
        </w:tc>
        <w:tc>
          <w:tcPr>
            <w:tcW w:w="180" w:type="dxa"/>
            <w:vAlign w:val="bottom"/>
          </w:tcPr>
          <w:p>
            <w:pPr>
              <w:spacing w:after="0"/>
              <w:rPr>
                <w:sz w:val="24"/>
                <w:szCs w:val="24"/>
                <w:color w:val="auto"/>
              </w:rPr>
            </w:pPr>
          </w:p>
        </w:tc>
        <w:tc>
          <w:tcPr>
            <w:tcW w:w="3860" w:type="dxa"/>
            <w:vAlign w:val="bottom"/>
          </w:tcPr>
          <w:p>
            <w:pPr>
              <w:spacing w:after="0"/>
              <w:rPr>
                <w:sz w:val="20"/>
                <w:szCs w:val="20"/>
                <w:color w:val="auto"/>
              </w:rPr>
            </w:pPr>
            <w:r>
              <w:rPr>
                <w:rFonts w:ascii="Arial" w:cs="Arial" w:eastAsia="Arial" w:hAnsi="Arial"/>
                <w:sz w:val="13"/>
                <w:szCs w:val="13"/>
                <w:color w:val="auto"/>
              </w:rPr>
              <w:t>Director</w:t>
            </w:r>
          </w:p>
        </w:tc>
      </w:tr>
      <w:tr>
        <w:trPr>
          <w:trHeight w:val="159"/>
        </w:trPr>
        <w:tc>
          <w:tcPr>
            <w:tcW w:w="2700" w:type="dxa"/>
            <w:vAlign w:val="bottom"/>
          </w:tcPr>
          <w:p>
            <w:pPr>
              <w:spacing w:after="0"/>
              <w:rPr>
                <w:sz w:val="20"/>
                <w:szCs w:val="20"/>
                <w:color w:val="auto"/>
              </w:rPr>
            </w:pPr>
            <w:r>
              <w:rPr>
                <w:rFonts w:ascii="Arial" w:cs="Arial" w:eastAsia="Arial" w:hAnsi="Arial"/>
                <w:sz w:val="13"/>
                <w:szCs w:val="13"/>
                <w:color w:val="auto"/>
              </w:rPr>
              <w:t>285 Madison Avenue, Suite 1400</w:t>
            </w:r>
          </w:p>
        </w:tc>
        <w:tc>
          <w:tcPr>
            <w:tcW w:w="180" w:type="dxa"/>
            <w:vAlign w:val="bottom"/>
          </w:tcPr>
          <w:p>
            <w:pPr>
              <w:spacing w:after="0"/>
              <w:rPr>
                <w:sz w:val="13"/>
                <w:szCs w:val="13"/>
                <w:color w:val="auto"/>
              </w:rPr>
            </w:pPr>
          </w:p>
        </w:tc>
        <w:tc>
          <w:tcPr>
            <w:tcW w:w="3860" w:type="dxa"/>
            <w:vAlign w:val="bottom"/>
          </w:tcPr>
          <w:p>
            <w:pPr>
              <w:spacing w:after="0"/>
              <w:rPr>
                <w:sz w:val="13"/>
                <w:szCs w:val="13"/>
                <w:color w:val="auto"/>
              </w:rPr>
            </w:pPr>
          </w:p>
        </w:tc>
      </w:tr>
      <w:tr>
        <w:trPr>
          <w:trHeight w:val="174"/>
        </w:trPr>
        <w:tc>
          <w:tcPr>
            <w:tcW w:w="2700" w:type="dxa"/>
            <w:vAlign w:val="bottom"/>
          </w:tcPr>
          <w:p>
            <w:pPr>
              <w:spacing w:after="0"/>
              <w:rPr>
                <w:sz w:val="20"/>
                <w:szCs w:val="20"/>
                <w:color w:val="auto"/>
              </w:rPr>
            </w:pPr>
            <w:r>
              <w:rPr>
                <w:rFonts w:ascii="Arial" w:cs="Arial" w:eastAsia="Arial" w:hAnsi="Arial"/>
                <w:sz w:val="13"/>
                <w:szCs w:val="13"/>
                <w:color w:val="auto"/>
              </w:rPr>
              <w:t>New York, NY 10017</w:t>
            </w:r>
          </w:p>
        </w:tc>
        <w:tc>
          <w:tcPr>
            <w:tcW w:w="180" w:type="dxa"/>
            <w:vAlign w:val="bottom"/>
          </w:tcPr>
          <w:p>
            <w:pPr>
              <w:spacing w:after="0"/>
              <w:rPr>
                <w:sz w:val="15"/>
                <w:szCs w:val="15"/>
                <w:color w:val="auto"/>
              </w:rPr>
            </w:pPr>
          </w:p>
        </w:tc>
        <w:tc>
          <w:tcPr>
            <w:tcW w:w="3860" w:type="dxa"/>
            <w:vAlign w:val="bottom"/>
          </w:tcPr>
          <w:p>
            <w:pPr>
              <w:spacing w:after="0"/>
              <w:rPr>
                <w:sz w:val="15"/>
                <w:szCs w:val="15"/>
                <w:color w:val="auto"/>
              </w:rPr>
            </w:pPr>
          </w:p>
        </w:tc>
      </w:tr>
      <w:tr>
        <w:trPr>
          <w:trHeight w:val="273"/>
        </w:trPr>
        <w:tc>
          <w:tcPr>
            <w:tcW w:w="2700" w:type="dxa"/>
            <w:vAlign w:val="bottom"/>
          </w:tcPr>
          <w:p>
            <w:pPr>
              <w:spacing w:after="0"/>
              <w:rPr>
                <w:sz w:val="20"/>
                <w:szCs w:val="20"/>
                <w:color w:val="auto"/>
              </w:rPr>
            </w:pPr>
            <w:r>
              <w:rPr>
                <w:rFonts w:ascii="Arial" w:cs="Arial" w:eastAsia="Arial" w:hAnsi="Arial"/>
                <w:sz w:val="13"/>
                <w:szCs w:val="13"/>
                <w:color w:val="auto"/>
              </w:rPr>
              <w:t>Edward C. Kosnik</w:t>
            </w:r>
          </w:p>
        </w:tc>
        <w:tc>
          <w:tcPr>
            <w:tcW w:w="180" w:type="dxa"/>
            <w:vAlign w:val="bottom"/>
          </w:tcPr>
          <w:p>
            <w:pPr>
              <w:spacing w:after="0"/>
              <w:rPr>
                <w:sz w:val="23"/>
                <w:szCs w:val="23"/>
                <w:color w:val="auto"/>
              </w:rPr>
            </w:pPr>
          </w:p>
        </w:tc>
        <w:tc>
          <w:tcPr>
            <w:tcW w:w="3860" w:type="dxa"/>
            <w:vAlign w:val="bottom"/>
          </w:tcPr>
          <w:p>
            <w:pPr>
              <w:spacing w:after="0"/>
              <w:rPr>
                <w:sz w:val="20"/>
                <w:szCs w:val="20"/>
                <w:color w:val="auto"/>
              </w:rPr>
            </w:pPr>
            <w:r>
              <w:rPr>
                <w:rFonts w:ascii="Arial" w:cs="Arial" w:eastAsia="Arial" w:hAnsi="Arial"/>
                <w:sz w:val="13"/>
                <w:szCs w:val="13"/>
                <w:color w:val="auto"/>
              </w:rPr>
              <w:t>Director and Vice President</w:t>
            </w:r>
          </w:p>
        </w:tc>
      </w:tr>
      <w:tr>
        <w:trPr>
          <w:trHeight w:val="159"/>
        </w:trPr>
        <w:tc>
          <w:tcPr>
            <w:tcW w:w="2700" w:type="dxa"/>
            <w:vAlign w:val="bottom"/>
          </w:tcPr>
          <w:p>
            <w:pPr>
              <w:spacing w:after="0"/>
              <w:rPr>
                <w:sz w:val="20"/>
                <w:szCs w:val="20"/>
                <w:color w:val="auto"/>
              </w:rPr>
            </w:pPr>
            <w:r>
              <w:rPr>
                <w:rFonts w:ascii="Arial" w:cs="Arial" w:eastAsia="Arial" w:hAnsi="Arial"/>
                <w:sz w:val="13"/>
                <w:szCs w:val="13"/>
                <w:color w:val="auto"/>
              </w:rPr>
              <w:t>11225 North Community House Road</w:t>
            </w:r>
          </w:p>
        </w:tc>
        <w:tc>
          <w:tcPr>
            <w:tcW w:w="180" w:type="dxa"/>
            <w:vAlign w:val="bottom"/>
          </w:tcPr>
          <w:p>
            <w:pPr>
              <w:spacing w:after="0"/>
              <w:rPr>
                <w:sz w:val="13"/>
                <w:szCs w:val="13"/>
                <w:color w:val="auto"/>
              </w:rPr>
            </w:pPr>
          </w:p>
        </w:tc>
        <w:tc>
          <w:tcPr>
            <w:tcW w:w="3860" w:type="dxa"/>
            <w:vAlign w:val="bottom"/>
          </w:tcPr>
          <w:p>
            <w:pPr>
              <w:spacing w:after="0"/>
              <w:rPr>
                <w:sz w:val="13"/>
                <w:szCs w:val="13"/>
                <w:color w:val="auto"/>
              </w:rPr>
            </w:pPr>
          </w:p>
        </w:tc>
      </w:tr>
      <w:tr>
        <w:trPr>
          <w:trHeight w:val="174"/>
        </w:trPr>
        <w:tc>
          <w:tcPr>
            <w:tcW w:w="2700" w:type="dxa"/>
            <w:vAlign w:val="bottom"/>
          </w:tcPr>
          <w:p>
            <w:pPr>
              <w:spacing w:after="0"/>
              <w:rPr>
                <w:sz w:val="20"/>
                <w:szCs w:val="20"/>
                <w:color w:val="auto"/>
              </w:rPr>
            </w:pPr>
            <w:r>
              <w:rPr>
                <w:rFonts w:ascii="Arial" w:cs="Arial" w:eastAsia="Arial" w:hAnsi="Arial"/>
                <w:sz w:val="13"/>
                <w:szCs w:val="13"/>
                <w:color w:val="auto"/>
              </w:rPr>
              <w:t>Charlotte, NC 28277</w:t>
            </w:r>
          </w:p>
        </w:tc>
        <w:tc>
          <w:tcPr>
            <w:tcW w:w="180" w:type="dxa"/>
            <w:vAlign w:val="bottom"/>
          </w:tcPr>
          <w:p>
            <w:pPr>
              <w:spacing w:after="0"/>
              <w:rPr>
                <w:sz w:val="15"/>
                <w:szCs w:val="15"/>
                <w:color w:val="auto"/>
              </w:rPr>
            </w:pPr>
          </w:p>
        </w:tc>
        <w:tc>
          <w:tcPr>
            <w:tcW w:w="3860" w:type="dxa"/>
            <w:vAlign w:val="bottom"/>
          </w:tcPr>
          <w:p>
            <w:pPr>
              <w:spacing w:after="0"/>
              <w:rPr>
                <w:sz w:val="15"/>
                <w:szCs w:val="15"/>
                <w:color w:val="auto"/>
              </w:rPr>
            </w:pPr>
          </w:p>
        </w:tc>
      </w:tr>
      <w:tr>
        <w:trPr>
          <w:trHeight w:val="273"/>
        </w:trPr>
        <w:tc>
          <w:tcPr>
            <w:tcW w:w="2700" w:type="dxa"/>
            <w:vAlign w:val="bottom"/>
          </w:tcPr>
          <w:p>
            <w:pPr>
              <w:spacing w:after="0"/>
              <w:rPr>
                <w:sz w:val="20"/>
                <w:szCs w:val="20"/>
                <w:color w:val="auto"/>
              </w:rPr>
            </w:pPr>
            <w:r>
              <w:rPr>
                <w:rFonts w:ascii="Arial" w:cs="Arial" w:eastAsia="Arial" w:hAnsi="Arial"/>
                <w:sz w:val="13"/>
                <w:szCs w:val="13"/>
                <w:color w:val="auto"/>
              </w:rPr>
              <w:t>Mayer Naiman</w:t>
            </w:r>
          </w:p>
        </w:tc>
        <w:tc>
          <w:tcPr>
            <w:tcW w:w="180" w:type="dxa"/>
            <w:vAlign w:val="bottom"/>
          </w:tcPr>
          <w:p>
            <w:pPr>
              <w:spacing w:after="0"/>
              <w:rPr>
                <w:sz w:val="23"/>
                <w:szCs w:val="23"/>
                <w:color w:val="auto"/>
              </w:rPr>
            </w:pPr>
          </w:p>
        </w:tc>
        <w:tc>
          <w:tcPr>
            <w:tcW w:w="3860" w:type="dxa"/>
            <w:vAlign w:val="bottom"/>
          </w:tcPr>
          <w:p>
            <w:pPr>
              <w:spacing w:after="0"/>
              <w:rPr>
                <w:sz w:val="20"/>
                <w:szCs w:val="20"/>
                <w:color w:val="auto"/>
              </w:rPr>
            </w:pPr>
            <w:r>
              <w:rPr>
                <w:rFonts w:ascii="Arial" w:cs="Arial" w:eastAsia="Arial" w:hAnsi="Arial"/>
                <w:sz w:val="13"/>
                <w:szCs w:val="13"/>
                <w:color w:val="auto"/>
              </w:rPr>
              <w:t>Director</w:t>
            </w:r>
          </w:p>
        </w:tc>
      </w:tr>
      <w:tr>
        <w:trPr>
          <w:trHeight w:val="159"/>
        </w:trPr>
        <w:tc>
          <w:tcPr>
            <w:tcW w:w="2700" w:type="dxa"/>
            <w:vAlign w:val="bottom"/>
          </w:tcPr>
          <w:p>
            <w:pPr>
              <w:spacing w:after="0"/>
              <w:rPr>
                <w:sz w:val="20"/>
                <w:szCs w:val="20"/>
                <w:color w:val="auto"/>
              </w:rPr>
            </w:pPr>
            <w:r>
              <w:rPr>
                <w:rFonts w:ascii="Arial" w:cs="Arial" w:eastAsia="Arial" w:hAnsi="Arial"/>
                <w:sz w:val="13"/>
                <w:szCs w:val="13"/>
                <w:color w:val="auto"/>
              </w:rPr>
              <w:t>285 Madison Avenue, Suite 1400</w:t>
            </w:r>
          </w:p>
        </w:tc>
        <w:tc>
          <w:tcPr>
            <w:tcW w:w="180" w:type="dxa"/>
            <w:vAlign w:val="bottom"/>
          </w:tcPr>
          <w:p>
            <w:pPr>
              <w:spacing w:after="0"/>
              <w:rPr>
                <w:sz w:val="13"/>
                <w:szCs w:val="13"/>
                <w:color w:val="auto"/>
              </w:rPr>
            </w:pPr>
          </w:p>
        </w:tc>
        <w:tc>
          <w:tcPr>
            <w:tcW w:w="3860" w:type="dxa"/>
            <w:vAlign w:val="bottom"/>
          </w:tcPr>
          <w:p>
            <w:pPr>
              <w:spacing w:after="0"/>
              <w:rPr>
                <w:sz w:val="13"/>
                <w:szCs w:val="13"/>
                <w:color w:val="auto"/>
              </w:rPr>
            </w:pPr>
          </w:p>
        </w:tc>
      </w:tr>
      <w:tr>
        <w:trPr>
          <w:trHeight w:val="174"/>
        </w:trPr>
        <w:tc>
          <w:tcPr>
            <w:tcW w:w="2700" w:type="dxa"/>
            <w:vAlign w:val="bottom"/>
          </w:tcPr>
          <w:p>
            <w:pPr>
              <w:spacing w:after="0"/>
              <w:rPr>
                <w:sz w:val="20"/>
                <w:szCs w:val="20"/>
                <w:color w:val="auto"/>
              </w:rPr>
            </w:pPr>
            <w:r>
              <w:rPr>
                <w:rFonts w:ascii="Arial" w:cs="Arial" w:eastAsia="Arial" w:hAnsi="Arial"/>
                <w:sz w:val="13"/>
                <w:szCs w:val="13"/>
                <w:color w:val="auto"/>
              </w:rPr>
              <w:t>New York, NY 10017</w:t>
            </w:r>
          </w:p>
        </w:tc>
        <w:tc>
          <w:tcPr>
            <w:tcW w:w="180" w:type="dxa"/>
            <w:vAlign w:val="bottom"/>
          </w:tcPr>
          <w:p>
            <w:pPr>
              <w:spacing w:after="0"/>
              <w:rPr>
                <w:sz w:val="15"/>
                <w:szCs w:val="15"/>
                <w:color w:val="auto"/>
              </w:rPr>
            </w:pPr>
          </w:p>
        </w:tc>
        <w:tc>
          <w:tcPr>
            <w:tcW w:w="3860" w:type="dxa"/>
            <w:vAlign w:val="bottom"/>
          </w:tcPr>
          <w:p>
            <w:pPr>
              <w:spacing w:after="0"/>
              <w:rPr>
                <w:sz w:val="15"/>
                <w:szCs w:val="15"/>
                <w:color w:val="auto"/>
              </w:rPr>
            </w:pPr>
          </w:p>
        </w:tc>
      </w:tr>
      <w:tr>
        <w:trPr>
          <w:trHeight w:val="283"/>
        </w:trPr>
        <w:tc>
          <w:tcPr>
            <w:tcW w:w="2700" w:type="dxa"/>
            <w:vAlign w:val="bottom"/>
          </w:tcPr>
          <w:p>
            <w:pPr>
              <w:spacing w:after="0"/>
              <w:rPr>
                <w:sz w:val="20"/>
                <w:szCs w:val="20"/>
                <w:color w:val="auto"/>
              </w:rPr>
            </w:pPr>
            <w:r>
              <w:rPr>
                <w:rFonts w:ascii="Arial" w:cs="Arial" w:eastAsia="Arial" w:hAnsi="Arial"/>
                <w:sz w:val="13"/>
                <w:szCs w:val="13"/>
                <w:color w:val="auto"/>
              </w:rPr>
              <w:t>Douglas A. Rayvid</w:t>
            </w:r>
          </w:p>
        </w:tc>
        <w:tc>
          <w:tcPr>
            <w:tcW w:w="180" w:type="dxa"/>
            <w:vAlign w:val="bottom"/>
          </w:tcPr>
          <w:p>
            <w:pPr>
              <w:spacing w:after="0"/>
              <w:rPr>
                <w:sz w:val="24"/>
                <w:szCs w:val="24"/>
                <w:color w:val="auto"/>
              </w:rPr>
            </w:pPr>
          </w:p>
        </w:tc>
        <w:tc>
          <w:tcPr>
            <w:tcW w:w="3860" w:type="dxa"/>
            <w:vAlign w:val="bottom"/>
          </w:tcPr>
          <w:p>
            <w:pPr>
              <w:spacing w:after="0"/>
              <w:rPr>
                <w:sz w:val="20"/>
                <w:szCs w:val="20"/>
                <w:color w:val="auto"/>
              </w:rPr>
            </w:pPr>
            <w:r>
              <w:rPr>
                <w:rFonts w:ascii="Arial" w:cs="Arial" w:eastAsia="Arial" w:hAnsi="Arial"/>
                <w:sz w:val="13"/>
                <w:szCs w:val="13"/>
                <w:color w:val="auto"/>
              </w:rPr>
              <w:t>Director</w:t>
            </w:r>
          </w:p>
        </w:tc>
      </w:tr>
      <w:tr>
        <w:trPr>
          <w:trHeight w:val="159"/>
        </w:trPr>
        <w:tc>
          <w:tcPr>
            <w:tcW w:w="2700" w:type="dxa"/>
            <w:vAlign w:val="bottom"/>
          </w:tcPr>
          <w:p>
            <w:pPr>
              <w:spacing w:after="0"/>
              <w:rPr>
                <w:sz w:val="20"/>
                <w:szCs w:val="20"/>
                <w:color w:val="auto"/>
              </w:rPr>
            </w:pPr>
            <w:r>
              <w:rPr>
                <w:rFonts w:ascii="Arial" w:cs="Arial" w:eastAsia="Arial" w:hAnsi="Arial"/>
                <w:sz w:val="13"/>
                <w:szCs w:val="13"/>
                <w:color w:val="auto"/>
              </w:rPr>
              <w:t>285 Madison Avenue, Suite 1400</w:t>
            </w:r>
          </w:p>
        </w:tc>
        <w:tc>
          <w:tcPr>
            <w:tcW w:w="180" w:type="dxa"/>
            <w:vAlign w:val="bottom"/>
          </w:tcPr>
          <w:p>
            <w:pPr>
              <w:spacing w:after="0"/>
              <w:rPr>
                <w:sz w:val="13"/>
                <w:szCs w:val="13"/>
                <w:color w:val="auto"/>
              </w:rPr>
            </w:pPr>
          </w:p>
        </w:tc>
        <w:tc>
          <w:tcPr>
            <w:tcW w:w="3860" w:type="dxa"/>
            <w:vAlign w:val="bottom"/>
          </w:tcPr>
          <w:p>
            <w:pPr>
              <w:spacing w:after="0"/>
              <w:rPr>
                <w:sz w:val="13"/>
                <w:szCs w:val="13"/>
                <w:color w:val="auto"/>
              </w:rPr>
            </w:pPr>
          </w:p>
        </w:tc>
      </w:tr>
      <w:tr>
        <w:trPr>
          <w:trHeight w:val="174"/>
        </w:trPr>
        <w:tc>
          <w:tcPr>
            <w:tcW w:w="2700" w:type="dxa"/>
            <w:vAlign w:val="bottom"/>
          </w:tcPr>
          <w:p>
            <w:pPr>
              <w:spacing w:after="0"/>
              <w:rPr>
                <w:sz w:val="20"/>
                <w:szCs w:val="20"/>
                <w:color w:val="auto"/>
              </w:rPr>
            </w:pPr>
            <w:r>
              <w:rPr>
                <w:rFonts w:ascii="Arial" w:cs="Arial" w:eastAsia="Arial" w:hAnsi="Arial"/>
                <w:sz w:val="13"/>
                <w:szCs w:val="13"/>
                <w:color w:val="auto"/>
              </w:rPr>
              <w:t>New York, NY 10017</w:t>
            </w:r>
          </w:p>
        </w:tc>
        <w:tc>
          <w:tcPr>
            <w:tcW w:w="180" w:type="dxa"/>
            <w:vAlign w:val="bottom"/>
          </w:tcPr>
          <w:p>
            <w:pPr>
              <w:spacing w:after="0"/>
              <w:rPr>
                <w:sz w:val="15"/>
                <w:szCs w:val="15"/>
                <w:color w:val="auto"/>
              </w:rPr>
            </w:pPr>
          </w:p>
        </w:tc>
        <w:tc>
          <w:tcPr>
            <w:tcW w:w="3860" w:type="dxa"/>
            <w:vAlign w:val="bottom"/>
          </w:tcPr>
          <w:p>
            <w:pPr>
              <w:spacing w:after="0"/>
              <w:rPr>
                <w:sz w:val="15"/>
                <w:szCs w:val="15"/>
                <w:color w:val="auto"/>
              </w:rPr>
            </w:pPr>
          </w:p>
        </w:tc>
      </w:tr>
    </w:tbl>
    <w:p>
      <w:pPr>
        <w:sectPr>
          <w:pgSz w:w="11900" w:h="16838" w:orient="portrait"/>
          <w:cols w:equalWidth="0" w:num="1">
            <w:col w:w="9604"/>
          </w:cols>
          <w:pgMar w:left="855" w:top="708" w:right="1440" w:bottom="1440" w:gutter="0" w:footer="0" w:header="0"/>
        </w:sectPr>
      </w:pPr>
    </w:p>
    <w:bookmarkStart w:id="109" w:name="page110"/>
    <w:bookmarkEnd w:id="109"/>
    <w:p>
      <w:pPr>
        <w:spacing w:after="0"/>
        <w:rPr>
          <w:sz w:val="20"/>
          <w:szCs w:val="20"/>
          <w:color w:val="auto"/>
        </w:rPr>
      </w:pPr>
      <w:r>
        <w:rPr>
          <w:rFonts w:ascii="Arial" w:cs="Arial" w:eastAsia="Arial" w:hAnsi="Arial"/>
          <w:sz w:val="13"/>
          <w:szCs w:val="13"/>
          <w:color w:val="auto"/>
        </w:rPr>
        <w:t>Robert A. Semke</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11225 North Community House Road</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-2197100</wp:posOffset>
            </wp:positionH>
            <wp:positionV relativeFrom="paragraph">
              <wp:posOffset>-457835</wp:posOffset>
            </wp:positionV>
            <wp:extent cx="719391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5">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pacing w:after="0" w:line="465" w:lineRule="exact"/>
        <w:rPr>
          <w:sz w:val="20"/>
          <w:szCs w:val="20"/>
          <w:color w:val="auto"/>
        </w:rPr>
      </w:pPr>
    </w:p>
    <w:p>
      <w:pPr>
        <w:sectPr>
          <w:pgSz w:w="11900" w:h="16838" w:orient="portrait"/>
          <w:cols w:equalWidth="0" w:num="2">
            <w:col w:w="2180" w:space="700"/>
            <w:col w:w="6719"/>
          </w:cols>
          <w:pgMar w:left="860" w:top="762" w:right="1440" w:bottom="1440" w:gutter="0" w:footer="0" w:header="0"/>
        </w:sectPr>
      </w:pPr>
    </w:p>
    <w:p>
      <w:pPr>
        <w:spacing w:after="0"/>
        <w:rPr>
          <w:sz w:val="20"/>
          <w:szCs w:val="20"/>
          <w:color w:val="auto"/>
        </w:rPr>
      </w:pPr>
      <w:r>
        <w:rPr>
          <w:rFonts w:ascii="Arial" w:cs="Arial" w:eastAsia="Arial" w:hAnsi="Arial"/>
          <w:sz w:val="13"/>
          <w:szCs w:val="13"/>
          <w:color w:val="auto"/>
        </w:rPr>
        <w:t>Kevin White</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11225 North Community House Road</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Director</w:t>
      </w:r>
    </w:p>
    <w:p>
      <w:pPr>
        <w:spacing w:after="0" w:line="455" w:lineRule="exact"/>
        <w:rPr>
          <w:sz w:val="20"/>
          <w:szCs w:val="20"/>
          <w:color w:val="auto"/>
        </w:rPr>
      </w:pPr>
    </w:p>
    <w:p>
      <w:pPr>
        <w:sectPr>
          <w:pgSz w:w="11900" w:h="16838" w:orient="portrait"/>
          <w:cols w:equalWidth="0" w:num="2">
            <w:col w:w="2180" w:space="700"/>
            <w:col w:w="6719"/>
          </w:cols>
          <w:pgMar w:left="860" w:top="762" w:right="1440" w:bottom="1440" w:gutter="0" w:footer="0" w:header="0"/>
          <w:type w:val="continuous"/>
        </w:sectPr>
      </w:pPr>
    </w:p>
    <w:p>
      <w:pPr>
        <w:spacing w:after="0"/>
        <w:rPr>
          <w:sz w:val="20"/>
          <w:szCs w:val="20"/>
          <w:color w:val="auto"/>
        </w:rPr>
      </w:pPr>
      <w:r>
        <w:rPr>
          <w:rFonts w:ascii="Arial" w:cs="Arial" w:eastAsia="Arial" w:hAnsi="Arial"/>
          <w:sz w:val="13"/>
          <w:szCs w:val="13"/>
          <w:color w:val="auto"/>
        </w:rPr>
        <w:t>Michele H. Abate</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11225 North Community House Road</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Vice President</w:t>
      </w:r>
    </w:p>
    <w:p>
      <w:pPr>
        <w:spacing w:after="0" w:line="455" w:lineRule="exact"/>
        <w:rPr>
          <w:sz w:val="20"/>
          <w:szCs w:val="20"/>
          <w:color w:val="auto"/>
        </w:rPr>
      </w:pPr>
    </w:p>
    <w:p>
      <w:pPr>
        <w:sectPr>
          <w:pgSz w:w="11900" w:h="16838" w:orient="portrait"/>
          <w:cols w:equalWidth="0" w:num="2">
            <w:col w:w="2180" w:space="700"/>
            <w:col w:w="6719"/>
          </w:cols>
          <w:pgMar w:left="860" w:top="762" w:right="1440" w:bottom="1440" w:gutter="0" w:footer="0" w:header="0"/>
          <w:type w:val="continuous"/>
        </w:sectPr>
      </w:pPr>
    </w:p>
    <w:p>
      <w:pPr>
        <w:spacing w:after="0"/>
        <w:rPr>
          <w:sz w:val="20"/>
          <w:szCs w:val="20"/>
          <w:color w:val="auto"/>
        </w:rPr>
      </w:pPr>
      <w:r>
        <w:rPr>
          <w:rFonts w:ascii="Arial" w:cs="Arial" w:eastAsia="Arial" w:hAnsi="Arial"/>
          <w:sz w:val="13"/>
          <w:szCs w:val="13"/>
          <w:color w:val="auto"/>
        </w:rPr>
        <w:t>Richard A. Cook</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11225 North Community House Road</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Vice President and Chief Financial Officer</w:t>
      </w:r>
    </w:p>
    <w:p>
      <w:pPr>
        <w:spacing w:after="0" w:line="465" w:lineRule="exact"/>
        <w:rPr>
          <w:sz w:val="20"/>
          <w:szCs w:val="20"/>
          <w:color w:val="auto"/>
        </w:rPr>
      </w:pPr>
    </w:p>
    <w:p>
      <w:pPr>
        <w:sectPr>
          <w:pgSz w:w="11900" w:h="16838" w:orient="portrait"/>
          <w:cols w:equalWidth="0" w:num="2">
            <w:col w:w="2180" w:space="700"/>
            <w:col w:w="6719"/>
          </w:cols>
          <w:pgMar w:left="860" w:top="762" w:right="1440" w:bottom="1440" w:gutter="0" w:footer="0" w:header="0"/>
          <w:type w:val="continuous"/>
        </w:sectPr>
      </w:pPr>
    </w:p>
    <w:p>
      <w:pPr>
        <w:spacing w:after="0"/>
        <w:rPr>
          <w:sz w:val="20"/>
          <w:szCs w:val="20"/>
          <w:color w:val="auto"/>
        </w:rPr>
      </w:pPr>
      <w:r>
        <w:rPr>
          <w:rFonts w:ascii="Arial" w:cs="Arial" w:eastAsia="Arial" w:hAnsi="Arial"/>
          <w:sz w:val="13"/>
          <w:szCs w:val="13"/>
          <w:color w:val="auto"/>
        </w:rPr>
        <w:t>Patrisha Cox</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11225 North Community House Road</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Vice President</w:t>
      </w:r>
    </w:p>
    <w:p>
      <w:pPr>
        <w:spacing w:after="0" w:line="455" w:lineRule="exact"/>
        <w:rPr>
          <w:sz w:val="20"/>
          <w:szCs w:val="20"/>
          <w:color w:val="auto"/>
        </w:rPr>
      </w:pPr>
    </w:p>
    <w:p>
      <w:pPr>
        <w:sectPr>
          <w:pgSz w:w="11900" w:h="16838" w:orient="portrait"/>
          <w:cols w:equalWidth="0" w:num="2">
            <w:col w:w="2180" w:space="700"/>
            <w:col w:w="6719"/>
          </w:cols>
          <w:pgMar w:left="860" w:top="762" w:right="1440" w:bottom="1440" w:gutter="0" w:footer="0" w:header="0"/>
          <w:type w:val="continuous"/>
        </w:sectPr>
      </w:pPr>
    </w:p>
    <w:p>
      <w:pPr>
        <w:spacing w:after="0"/>
        <w:rPr>
          <w:sz w:val="20"/>
          <w:szCs w:val="20"/>
          <w:color w:val="auto"/>
        </w:rPr>
      </w:pPr>
      <w:r>
        <w:rPr>
          <w:rFonts w:ascii="Arial" w:cs="Arial" w:eastAsia="Arial" w:hAnsi="Arial"/>
          <w:sz w:val="13"/>
          <w:szCs w:val="13"/>
          <w:color w:val="auto"/>
        </w:rPr>
        <w:t>Rachel M. D’Anna</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11225 North Community House Road</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Charlotte, NC 28277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Vice President</w:t>
      </w:r>
    </w:p>
    <w:p>
      <w:pPr>
        <w:spacing w:after="0" w:line="455" w:lineRule="exact"/>
        <w:rPr>
          <w:sz w:val="20"/>
          <w:szCs w:val="20"/>
          <w:color w:val="auto"/>
        </w:rPr>
      </w:pPr>
    </w:p>
    <w:p>
      <w:pPr>
        <w:sectPr>
          <w:pgSz w:w="11900" w:h="16838" w:orient="portrait"/>
          <w:cols w:equalWidth="0" w:num="2">
            <w:col w:w="2180" w:space="700"/>
            <w:col w:w="6719"/>
          </w:cols>
          <w:pgMar w:left="860" w:top="762" w:right="1440" w:bottom="1440" w:gutter="0" w:footer="0" w:header="0"/>
          <w:type w:val="continuous"/>
        </w:sectPr>
      </w:pPr>
    </w:p>
    <w:p>
      <w:pPr>
        <w:spacing w:after="0"/>
        <w:rPr>
          <w:sz w:val="20"/>
          <w:szCs w:val="20"/>
          <w:color w:val="auto"/>
        </w:rPr>
      </w:pPr>
      <w:r>
        <w:rPr>
          <w:rFonts w:ascii="Arial" w:cs="Arial" w:eastAsia="Arial" w:hAnsi="Arial"/>
          <w:sz w:val="13"/>
          <w:szCs w:val="13"/>
          <w:color w:val="auto"/>
        </w:rPr>
        <w:t>Leda DeBarba</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11225 North Community House Road</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Vice President and Appointed Actuary</w:t>
      </w:r>
    </w:p>
    <w:p>
      <w:pPr>
        <w:spacing w:after="0" w:line="465" w:lineRule="exact"/>
        <w:rPr>
          <w:sz w:val="20"/>
          <w:szCs w:val="20"/>
          <w:color w:val="auto"/>
        </w:rPr>
      </w:pPr>
    </w:p>
    <w:p>
      <w:pPr>
        <w:sectPr>
          <w:pgSz w:w="11900" w:h="16838" w:orient="portrait"/>
          <w:cols w:equalWidth="0" w:num="2">
            <w:col w:w="2180" w:space="700"/>
            <w:col w:w="6719"/>
          </w:cols>
          <w:pgMar w:left="860" w:top="762" w:right="1440" w:bottom="1440" w:gutter="0" w:footer="0" w:header="0"/>
          <w:type w:val="continuous"/>
        </w:sectPr>
      </w:pPr>
    </w:p>
    <w:p>
      <w:pPr>
        <w:spacing w:after="0"/>
        <w:rPr>
          <w:sz w:val="20"/>
          <w:szCs w:val="20"/>
          <w:color w:val="auto"/>
        </w:rPr>
      </w:pPr>
      <w:r>
        <w:rPr>
          <w:rFonts w:ascii="Arial" w:cs="Arial" w:eastAsia="Arial" w:hAnsi="Arial"/>
          <w:sz w:val="13"/>
          <w:szCs w:val="13"/>
          <w:color w:val="auto"/>
        </w:rPr>
        <w:t>Devon DiBenedetto</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11225 North Community House Road</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Vice President and Chief Information Security Officer</w:t>
      </w:r>
    </w:p>
    <w:p>
      <w:pPr>
        <w:spacing w:after="0" w:line="455" w:lineRule="exact"/>
        <w:rPr>
          <w:sz w:val="20"/>
          <w:szCs w:val="20"/>
          <w:color w:val="auto"/>
        </w:rPr>
      </w:pPr>
    </w:p>
    <w:p>
      <w:pPr>
        <w:sectPr>
          <w:pgSz w:w="11900" w:h="16838" w:orient="portrait"/>
          <w:cols w:equalWidth="0" w:num="2">
            <w:col w:w="2180" w:space="700"/>
            <w:col w:w="6719"/>
          </w:cols>
          <w:pgMar w:left="860" w:top="762" w:right="1440" w:bottom="1440" w:gutter="0" w:footer="0" w:header="0"/>
          <w:type w:val="continuous"/>
        </w:sectPr>
      </w:pPr>
    </w:p>
    <w:p>
      <w:pPr>
        <w:spacing w:after="0"/>
        <w:rPr>
          <w:sz w:val="20"/>
          <w:szCs w:val="20"/>
          <w:color w:val="auto"/>
        </w:rPr>
      </w:pPr>
      <w:r>
        <w:rPr>
          <w:rFonts w:ascii="Arial" w:cs="Arial" w:eastAsia="Arial" w:hAnsi="Arial"/>
          <w:sz w:val="13"/>
          <w:szCs w:val="13"/>
          <w:color w:val="auto"/>
        </w:rPr>
        <w:t>David Dooley</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11225 North Community House Road</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Vice President</w:t>
      </w:r>
    </w:p>
    <w:p>
      <w:pPr>
        <w:spacing w:after="0" w:line="455" w:lineRule="exact"/>
        <w:rPr>
          <w:sz w:val="20"/>
          <w:szCs w:val="20"/>
          <w:color w:val="auto"/>
        </w:rPr>
      </w:pPr>
    </w:p>
    <w:p>
      <w:pPr>
        <w:sectPr>
          <w:pgSz w:w="11900" w:h="16838" w:orient="portrait"/>
          <w:cols w:equalWidth="0" w:num="2">
            <w:col w:w="2180" w:space="700"/>
            <w:col w:w="6719"/>
          </w:cols>
          <w:pgMar w:left="860" w:top="762" w:right="1440" w:bottom="1440" w:gutter="0" w:footer="0" w:header="0"/>
          <w:type w:val="continuous"/>
        </w:sectPr>
      </w:pPr>
    </w:p>
    <w:p>
      <w:pPr>
        <w:spacing w:after="0"/>
        <w:rPr>
          <w:sz w:val="20"/>
          <w:szCs w:val="20"/>
          <w:color w:val="auto"/>
        </w:rPr>
      </w:pPr>
      <w:r>
        <w:rPr>
          <w:rFonts w:ascii="Arial" w:cs="Arial" w:eastAsia="Arial" w:hAnsi="Arial"/>
          <w:sz w:val="13"/>
          <w:szCs w:val="13"/>
          <w:color w:val="auto"/>
        </w:rPr>
        <w:t>Meghan Doscher</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11225 North Community House Road</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Vice President</w:t>
      </w:r>
    </w:p>
    <w:p>
      <w:pPr>
        <w:spacing w:after="0" w:line="465" w:lineRule="exact"/>
        <w:rPr>
          <w:sz w:val="20"/>
          <w:szCs w:val="20"/>
          <w:color w:val="auto"/>
        </w:rPr>
      </w:pPr>
    </w:p>
    <w:p>
      <w:pPr>
        <w:sectPr>
          <w:pgSz w:w="11900" w:h="16838" w:orient="portrait"/>
          <w:cols w:equalWidth="0" w:num="2">
            <w:col w:w="2180" w:space="700"/>
            <w:col w:w="6719"/>
          </w:cols>
          <w:pgMar w:left="860" w:top="762" w:right="1440" w:bottom="1440" w:gutter="0" w:footer="0" w:header="0"/>
          <w:type w:val="continuous"/>
        </w:sectPr>
      </w:pPr>
    </w:p>
    <w:p>
      <w:pPr>
        <w:spacing w:after="0"/>
        <w:rPr>
          <w:sz w:val="20"/>
          <w:szCs w:val="20"/>
          <w:color w:val="auto"/>
        </w:rPr>
      </w:pPr>
      <w:r>
        <w:rPr>
          <w:rFonts w:ascii="Arial" w:cs="Arial" w:eastAsia="Arial" w:hAnsi="Arial"/>
          <w:sz w:val="13"/>
          <w:szCs w:val="13"/>
          <w:color w:val="auto"/>
        </w:rPr>
        <w:t>Micah Dowling</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11225 North Community House Road</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Vice President</w:t>
      </w:r>
    </w:p>
    <w:p>
      <w:pPr>
        <w:spacing w:after="0" w:line="455" w:lineRule="exact"/>
        <w:rPr>
          <w:sz w:val="20"/>
          <w:szCs w:val="20"/>
          <w:color w:val="auto"/>
        </w:rPr>
      </w:pPr>
    </w:p>
    <w:p>
      <w:pPr>
        <w:sectPr>
          <w:pgSz w:w="11900" w:h="16838" w:orient="portrait"/>
          <w:cols w:equalWidth="0" w:num="2">
            <w:col w:w="2180" w:space="700"/>
            <w:col w:w="6719"/>
          </w:cols>
          <w:pgMar w:left="860" w:top="762" w:right="1440" w:bottom="1440" w:gutter="0" w:footer="0" w:header="0"/>
          <w:type w:val="continuous"/>
        </w:sectPr>
      </w:pPr>
    </w:p>
    <w:p>
      <w:pPr>
        <w:spacing w:after="0"/>
        <w:rPr>
          <w:sz w:val="20"/>
          <w:szCs w:val="20"/>
          <w:color w:val="auto"/>
        </w:rPr>
      </w:pPr>
      <w:r>
        <w:rPr>
          <w:rFonts w:ascii="Arial" w:cs="Arial" w:eastAsia="Arial" w:hAnsi="Arial"/>
          <w:sz w:val="13"/>
          <w:szCs w:val="13"/>
          <w:color w:val="auto"/>
        </w:rPr>
        <w:t>Tara Figard</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11225 North Community House Road</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Charlotte, NC 28277</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Gianna H. Figaro-Sterling</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11225 North Community House Road</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Vice President</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Vice President and Controller</w:t>
      </w:r>
    </w:p>
    <w:p>
      <w:pPr>
        <w:spacing w:after="0" w:line="465" w:lineRule="exact"/>
        <w:rPr>
          <w:sz w:val="20"/>
          <w:szCs w:val="20"/>
          <w:color w:val="auto"/>
        </w:rPr>
      </w:pPr>
    </w:p>
    <w:p>
      <w:pPr>
        <w:sectPr>
          <w:pgSz w:w="11900" w:h="16838" w:orient="portrait"/>
          <w:cols w:equalWidth="0" w:num="2">
            <w:col w:w="2180" w:space="700"/>
            <w:col w:w="6719"/>
          </w:cols>
          <w:pgMar w:left="860" w:top="762" w:right="1440" w:bottom="1440" w:gutter="0" w:footer="0" w:header="0"/>
          <w:type w:val="continuous"/>
        </w:sectPr>
      </w:pPr>
    </w:p>
    <w:p>
      <w:pPr>
        <w:spacing w:after="0"/>
        <w:rPr>
          <w:sz w:val="20"/>
          <w:szCs w:val="20"/>
          <w:color w:val="auto"/>
        </w:rPr>
      </w:pPr>
      <w:r>
        <w:rPr>
          <w:rFonts w:ascii="Arial" w:cs="Arial" w:eastAsia="Arial" w:hAnsi="Arial"/>
          <w:sz w:val="13"/>
          <w:szCs w:val="13"/>
          <w:color w:val="auto"/>
        </w:rPr>
        <w:t>Kevin Finneran</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11225 North Community House Road</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Vice President and Illustration Officer</w:t>
      </w:r>
    </w:p>
    <w:p>
      <w:pPr>
        <w:sectPr>
          <w:pgSz w:w="11900" w:h="16838" w:orient="portrait"/>
          <w:cols w:equalWidth="0" w:num="2">
            <w:col w:w="2180" w:space="700"/>
            <w:col w:w="6719"/>
          </w:cols>
          <w:pgMar w:left="860" w:top="762" w:right="1440" w:bottom="1440" w:gutter="0" w:footer="0" w:header="0"/>
          <w:type w:val="continuous"/>
        </w:sectPr>
      </w:pPr>
    </w:p>
    <w:bookmarkStart w:id="110" w:name="page111"/>
    <w:bookmarkEnd w:id="110"/>
    <w:p>
      <w:pPr>
        <w:spacing w:after="0"/>
        <w:rPr>
          <w:sz w:val="20"/>
          <w:szCs w:val="20"/>
          <w:color w:val="auto"/>
        </w:rPr>
      </w:pPr>
      <w:r>
        <w:rPr>
          <w:rFonts w:ascii="Arial" w:cs="Arial" w:eastAsia="Arial" w:hAnsi="Arial"/>
          <w:sz w:val="13"/>
          <w:szCs w:val="13"/>
          <w:color w:val="auto"/>
        </w:rPr>
        <w:t>Jason Frain</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11225 North Community House Road</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-2197100</wp:posOffset>
            </wp:positionH>
            <wp:positionV relativeFrom="paragraph">
              <wp:posOffset>-457835</wp:posOffset>
            </wp:positionV>
            <wp:extent cx="719391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6">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pacing w:after="0" w:line="465" w:lineRule="exact"/>
        <w:rPr>
          <w:sz w:val="20"/>
          <w:szCs w:val="20"/>
          <w:color w:val="auto"/>
        </w:rPr>
      </w:pPr>
    </w:p>
    <w:p>
      <w:pPr>
        <w:sectPr>
          <w:pgSz w:w="11900" w:h="16838" w:orient="portrait"/>
          <w:cols w:equalWidth="0" w:num="2">
            <w:col w:w="2180" w:space="700"/>
            <w:col w:w="6719"/>
          </w:cols>
          <w:pgMar w:left="860" w:top="762" w:right="1440" w:bottom="1440" w:gutter="0" w:footer="0" w:header="0"/>
        </w:sectPr>
      </w:pPr>
    </w:p>
    <w:p>
      <w:pPr>
        <w:spacing w:after="0"/>
        <w:rPr>
          <w:sz w:val="20"/>
          <w:szCs w:val="20"/>
          <w:color w:val="auto"/>
        </w:rPr>
      </w:pPr>
      <w:r>
        <w:rPr>
          <w:rFonts w:ascii="Arial" w:cs="Arial" w:eastAsia="Arial" w:hAnsi="Arial"/>
          <w:sz w:val="13"/>
          <w:szCs w:val="13"/>
          <w:color w:val="auto"/>
        </w:rPr>
        <w:t>James Grady</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11225 North Community House Road</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Charlotte, NC 28277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Vice President and Chief Investment Officer</w:t>
      </w:r>
    </w:p>
    <w:p>
      <w:pPr>
        <w:spacing w:after="0" w:line="455" w:lineRule="exact"/>
        <w:rPr>
          <w:sz w:val="20"/>
          <w:szCs w:val="20"/>
          <w:color w:val="auto"/>
        </w:rPr>
      </w:pPr>
    </w:p>
    <w:p>
      <w:pPr>
        <w:sectPr>
          <w:pgSz w:w="11900" w:h="16838" w:orient="portrait"/>
          <w:cols w:equalWidth="0" w:num="2">
            <w:col w:w="2180" w:space="700"/>
            <w:col w:w="6719"/>
          </w:cols>
          <w:pgMar w:left="860" w:top="762" w:right="1440" w:bottom="1440" w:gutter="0" w:footer="0" w:header="0"/>
          <w:type w:val="continuous"/>
        </w:sectPr>
      </w:pPr>
    </w:p>
    <w:p>
      <w:pPr>
        <w:spacing w:after="0"/>
        <w:rPr>
          <w:sz w:val="20"/>
          <w:szCs w:val="20"/>
          <w:color w:val="auto"/>
        </w:rPr>
      </w:pPr>
      <w:r>
        <w:rPr>
          <w:rFonts w:ascii="Arial" w:cs="Arial" w:eastAsia="Arial" w:hAnsi="Arial"/>
          <w:sz w:val="13"/>
          <w:szCs w:val="13"/>
          <w:color w:val="auto"/>
        </w:rPr>
        <w:t>Christopher Hartsfield</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11225 North Community House Road</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Vice President and Assistant Secretary</w:t>
      </w:r>
    </w:p>
    <w:p>
      <w:pPr>
        <w:spacing w:after="0" w:line="455" w:lineRule="exact"/>
        <w:rPr>
          <w:sz w:val="20"/>
          <w:szCs w:val="20"/>
          <w:color w:val="auto"/>
        </w:rPr>
      </w:pPr>
    </w:p>
    <w:p>
      <w:pPr>
        <w:sectPr>
          <w:pgSz w:w="11900" w:h="16838" w:orient="portrait"/>
          <w:cols w:equalWidth="0" w:num="2">
            <w:col w:w="2180" w:space="700"/>
            <w:col w:w="6719"/>
          </w:cols>
          <w:pgMar w:left="860" w:top="762" w:right="1440" w:bottom="1440" w:gutter="0" w:footer="0" w:header="0"/>
          <w:type w:val="continuous"/>
        </w:sectPr>
      </w:pPr>
    </w:p>
    <w:p>
      <w:pPr>
        <w:spacing w:after="0"/>
        <w:rPr>
          <w:sz w:val="20"/>
          <w:szCs w:val="20"/>
          <w:color w:val="auto"/>
        </w:rPr>
      </w:pPr>
      <w:r>
        <w:rPr>
          <w:rFonts w:ascii="Arial" w:cs="Arial" w:eastAsia="Arial" w:hAnsi="Arial"/>
          <w:sz w:val="13"/>
          <w:szCs w:val="13"/>
          <w:color w:val="auto"/>
        </w:rPr>
        <w:t>Jeffrey Hughes</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11225 North Community House Road</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Vice President and Chief Technology Officer</w:t>
      </w:r>
    </w:p>
    <w:p>
      <w:pPr>
        <w:spacing w:after="0" w:line="465" w:lineRule="exact"/>
        <w:rPr>
          <w:sz w:val="20"/>
          <w:szCs w:val="20"/>
          <w:color w:val="auto"/>
        </w:rPr>
      </w:pPr>
    </w:p>
    <w:p>
      <w:pPr>
        <w:sectPr>
          <w:pgSz w:w="11900" w:h="16838" w:orient="portrait"/>
          <w:cols w:equalWidth="0" w:num="2">
            <w:col w:w="2180" w:space="700"/>
            <w:col w:w="6719"/>
          </w:cols>
          <w:pgMar w:left="860" w:top="762" w:right="1440" w:bottom="1440" w:gutter="0" w:footer="0" w:header="0"/>
          <w:type w:val="continuous"/>
        </w:sectPr>
      </w:pPr>
    </w:p>
    <w:p>
      <w:pPr>
        <w:spacing w:after="0"/>
        <w:rPr>
          <w:sz w:val="20"/>
          <w:szCs w:val="20"/>
          <w:color w:val="auto"/>
        </w:rPr>
      </w:pPr>
      <w:r>
        <w:rPr>
          <w:rFonts w:ascii="Arial" w:cs="Arial" w:eastAsia="Arial" w:hAnsi="Arial"/>
          <w:sz w:val="13"/>
          <w:szCs w:val="13"/>
          <w:color w:val="auto"/>
        </w:rPr>
        <w:t>Jacob Jenkelowitz</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285 Madison Avenue, Suite 1400</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New York, NY 10017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Vice President and Secretary</w:t>
      </w:r>
    </w:p>
    <w:p>
      <w:pPr>
        <w:spacing w:after="0" w:line="455" w:lineRule="exact"/>
        <w:rPr>
          <w:sz w:val="20"/>
          <w:szCs w:val="20"/>
          <w:color w:val="auto"/>
        </w:rPr>
      </w:pPr>
    </w:p>
    <w:p>
      <w:pPr>
        <w:sectPr>
          <w:pgSz w:w="11900" w:h="16838" w:orient="portrait"/>
          <w:cols w:equalWidth="0" w:num="2">
            <w:col w:w="2160" w:space="720"/>
            <w:col w:w="6719"/>
          </w:cols>
          <w:pgMar w:left="860" w:top="762" w:right="1440" w:bottom="1440" w:gutter="0" w:footer="0" w:header="0"/>
          <w:type w:val="continuous"/>
        </w:sectPr>
      </w:pPr>
    </w:p>
    <w:p>
      <w:pPr>
        <w:spacing w:after="0"/>
        <w:rPr>
          <w:sz w:val="20"/>
          <w:szCs w:val="20"/>
          <w:color w:val="auto"/>
        </w:rPr>
      </w:pPr>
      <w:r>
        <w:rPr>
          <w:rFonts w:ascii="Arial" w:cs="Arial" w:eastAsia="Arial" w:hAnsi="Arial"/>
          <w:sz w:val="13"/>
          <w:szCs w:val="13"/>
          <w:color w:val="auto"/>
        </w:rPr>
        <w:t>Donald Leintz</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11225 North Community House Road</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Vice President</w:t>
      </w:r>
    </w:p>
    <w:p>
      <w:pPr>
        <w:spacing w:after="0" w:line="455" w:lineRule="exact"/>
        <w:rPr>
          <w:sz w:val="20"/>
          <w:szCs w:val="20"/>
          <w:color w:val="auto"/>
        </w:rPr>
      </w:pPr>
    </w:p>
    <w:p>
      <w:pPr>
        <w:sectPr>
          <w:pgSz w:w="11900" w:h="16838" w:orient="portrait"/>
          <w:cols w:equalWidth="0" w:num="2">
            <w:col w:w="2180" w:space="700"/>
            <w:col w:w="6719"/>
          </w:cols>
          <w:pgMar w:left="860" w:top="762" w:right="1440" w:bottom="1440" w:gutter="0" w:footer="0" w:header="0"/>
          <w:type w:val="continuous"/>
        </w:sectPr>
      </w:pPr>
    </w:p>
    <w:p>
      <w:pPr>
        <w:spacing w:after="0"/>
        <w:rPr>
          <w:sz w:val="20"/>
          <w:szCs w:val="20"/>
          <w:color w:val="auto"/>
        </w:rPr>
      </w:pPr>
      <w:r>
        <w:rPr>
          <w:rFonts w:ascii="Arial" w:cs="Arial" w:eastAsia="Arial" w:hAnsi="Arial"/>
          <w:sz w:val="13"/>
          <w:szCs w:val="13"/>
          <w:color w:val="auto"/>
        </w:rPr>
        <w:t>John Lima</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11225 North Community House Road</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Charlotte, NC 28277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Chief Derivatives Officer</w:t>
      </w:r>
    </w:p>
    <w:p>
      <w:pPr>
        <w:spacing w:after="0" w:line="465" w:lineRule="exact"/>
        <w:rPr>
          <w:sz w:val="20"/>
          <w:szCs w:val="20"/>
          <w:color w:val="auto"/>
        </w:rPr>
      </w:pPr>
    </w:p>
    <w:p>
      <w:pPr>
        <w:sectPr>
          <w:pgSz w:w="11900" w:h="16838" w:orient="portrait"/>
          <w:cols w:equalWidth="0" w:num="2">
            <w:col w:w="2180" w:space="700"/>
            <w:col w:w="6719"/>
          </w:cols>
          <w:pgMar w:left="860" w:top="762" w:right="1440" w:bottom="1440" w:gutter="0" w:footer="0" w:header="0"/>
          <w:type w:val="continuous"/>
        </w:sectPr>
      </w:pPr>
    </w:p>
    <w:p>
      <w:pPr>
        <w:spacing w:after="0"/>
        <w:rPr>
          <w:sz w:val="20"/>
          <w:szCs w:val="20"/>
          <w:color w:val="auto"/>
        </w:rPr>
      </w:pPr>
      <w:r>
        <w:rPr>
          <w:rFonts w:ascii="Arial" w:cs="Arial" w:eastAsia="Arial" w:hAnsi="Arial"/>
          <w:sz w:val="13"/>
          <w:szCs w:val="13"/>
          <w:color w:val="auto"/>
        </w:rPr>
        <w:t>Allie Lin</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11225 North Community House Road</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Vice President</w:t>
      </w:r>
    </w:p>
    <w:p>
      <w:pPr>
        <w:spacing w:after="0" w:line="455" w:lineRule="exact"/>
        <w:rPr>
          <w:sz w:val="20"/>
          <w:szCs w:val="20"/>
          <w:color w:val="auto"/>
        </w:rPr>
      </w:pPr>
    </w:p>
    <w:p>
      <w:pPr>
        <w:sectPr>
          <w:pgSz w:w="11900" w:h="16838" w:orient="portrait"/>
          <w:cols w:equalWidth="0" w:num="2">
            <w:col w:w="2180" w:space="700"/>
            <w:col w:w="6719"/>
          </w:cols>
          <w:pgMar w:left="860" w:top="762" w:right="1440" w:bottom="1440" w:gutter="0" w:footer="0" w:header="0"/>
          <w:type w:val="continuous"/>
        </w:sectPr>
      </w:pPr>
    </w:p>
    <w:p>
      <w:pPr>
        <w:spacing w:after="0"/>
        <w:rPr>
          <w:sz w:val="20"/>
          <w:szCs w:val="20"/>
          <w:color w:val="auto"/>
        </w:rPr>
      </w:pPr>
      <w:r>
        <w:rPr>
          <w:rFonts w:ascii="Arial" w:cs="Arial" w:eastAsia="Arial" w:hAnsi="Arial"/>
          <w:sz w:val="13"/>
          <w:szCs w:val="13"/>
          <w:color w:val="auto"/>
        </w:rPr>
        <w:t>Philip Melville</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11225 North Community House Road</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Charlotte, NC 28277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Vice President</w:t>
      </w:r>
    </w:p>
    <w:p>
      <w:pPr>
        <w:spacing w:after="0" w:line="455" w:lineRule="exact"/>
        <w:rPr>
          <w:sz w:val="20"/>
          <w:szCs w:val="20"/>
          <w:color w:val="auto"/>
        </w:rPr>
      </w:pPr>
    </w:p>
    <w:p>
      <w:pPr>
        <w:sectPr>
          <w:pgSz w:w="11900" w:h="16838" w:orient="portrait"/>
          <w:cols w:equalWidth="0" w:num="2">
            <w:col w:w="2180" w:space="700"/>
            <w:col w:w="6719"/>
          </w:cols>
          <w:pgMar w:left="860" w:top="762" w:right="1440" w:bottom="1440" w:gutter="0" w:footer="0" w:header="0"/>
          <w:type w:val="continuous"/>
        </w:sectPr>
      </w:pPr>
    </w:p>
    <w:p>
      <w:pPr>
        <w:spacing w:after="0"/>
        <w:rPr>
          <w:sz w:val="20"/>
          <w:szCs w:val="20"/>
          <w:color w:val="auto"/>
        </w:rPr>
      </w:pPr>
      <w:r>
        <w:rPr>
          <w:rFonts w:ascii="Arial" w:cs="Arial" w:eastAsia="Arial" w:hAnsi="Arial"/>
          <w:sz w:val="13"/>
          <w:szCs w:val="13"/>
          <w:color w:val="auto"/>
        </w:rPr>
        <w:t>Tiffanie Moore</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11225 North Community House Road</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Vice President and Assistant Secretary</w:t>
      </w:r>
    </w:p>
    <w:p>
      <w:pPr>
        <w:spacing w:after="0" w:line="465" w:lineRule="exact"/>
        <w:rPr>
          <w:sz w:val="20"/>
          <w:szCs w:val="20"/>
          <w:color w:val="auto"/>
        </w:rPr>
      </w:pPr>
    </w:p>
    <w:p>
      <w:pPr>
        <w:sectPr>
          <w:pgSz w:w="11900" w:h="16838" w:orient="portrait"/>
          <w:cols w:equalWidth="0" w:num="2">
            <w:col w:w="2180" w:space="700"/>
            <w:col w:w="6719"/>
          </w:cols>
          <w:pgMar w:left="860" w:top="762" w:right="1440" w:bottom="1440" w:gutter="0" w:footer="0" w:header="0"/>
          <w:type w:val="continuous"/>
        </w:sectPr>
      </w:pPr>
    </w:p>
    <w:p>
      <w:pPr>
        <w:spacing w:after="0"/>
        <w:rPr>
          <w:sz w:val="20"/>
          <w:szCs w:val="20"/>
          <w:color w:val="auto"/>
        </w:rPr>
      </w:pPr>
      <w:r>
        <w:rPr>
          <w:rFonts w:ascii="Arial" w:cs="Arial" w:eastAsia="Arial" w:hAnsi="Arial"/>
          <w:sz w:val="13"/>
          <w:szCs w:val="13"/>
          <w:color w:val="auto"/>
        </w:rPr>
        <w:t>Janet Morgan</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11225 North Community House Road</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Vice President and Treasurer</w:t>
      </w:r>
    </w:p>
    <w:p>
      <w:pPr>
        <w:spacing w:after="0" w:line="455" w:lineRule="exact"/>
        <w:rPr>
          <w:sz w:val="20"/>
          <w:szCs w:val="20"/>
          <w:color w:val="auto"/>
        </w:rPr>
      </w:pPr>
    </w:p>
    <w:p>
      <w:pPr>
        <w:sectPr>
          <w:pgSz w:w="11900" w:h="16838" w:orient="portrait"/>
          <w:cols w:equalWidth="0" w:num="2">
            <w:col w:w="2180" w:space="700"/>
            <w:col w:w="6719"/>
          </w:cols>
          <w:pgMar w:left="860" w:top="762" w:right="1440" w:bottom="1440" w:gutter="0" w:footer="0" w:header="0"/>
          <w:type w:val="continuous"/>
        </w:sectPr>
      </w:pPr>
    </w:p>
    <w:p>
      <w:pPr>
        <w:spacing w:after="0"/>
        <w:rPr>
          <w:sz w:val="20"/>
          <w:szCs w:val="20"/>
          <w:color w:val="auto"/>
        </w:rPr>
      </w:pPr>
      <w:r>
        <w:rPr>
          <w:rFonts w:ascii="Arial" w:cs="Arial" w:eastAsia="Arial" w:hAnsi="Arial"/>
          <w:sz w:val="13"/>
          <w:szCs w:val="13"/>
          <w:color w:val="auto"/>
        </w:rPr>
        <w:t>Rosemary Morgan</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11225 North Community House Road</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Vice President and Chief Compliance Officer</w:t>
      </w:r>
    </w:p>
    <w:p>
      <w:pPr>
        <w:spacing w:after="0" w:line="455" w:lineRule="exact"/>
        <w:rPr>
          <w:sz w:val="20"/>
          <w:szCs w:val="20"/>
          <w:color w:val="auto"/>
        </w:rPr>
      </w:pPr>
    </w:p>
    <w:p>
      <w:pPr>
        <w:sectPr>
          <w:pgSz w:w="11900" w:h="16838" w:orient="portrait"/>
          <w:cols w:equalWidth="0" w:num="2">
            <w:col w:w="2180" w:space="700"/>
            <w:col w:w="6719"/>
          </w:cols>
          <w:pgMar w:left="860" w:top="762" w:right="1440" w:bottom="1440" w:gutter="0" w:footer="0" w:header="0"/>
          <w:type w:val="continuous"/>
        </w:sectPr>
      </w:pPr>
    </w:p>
    <w:p>
      <w:pPr>
        <w:spacing w:after="0"/>
        <w:rPr>
          <w:sz w:val="20"/>
          <w:szCs w:val="20"/>
          <w:color w:val="auto"/>
        </w:rPr>
      </w:pPr>
      <w:r>
        <w:rPr>
          <w:rFonts w:ascii="Arial" w:cs="Arial" w:eastAsia="Arial" w:hAnsi="Arial"/>
          <w:sz w:val="13"/>
          <w:szCs w:val="13"/>
          <w:color w:val="auto"/>
        </w:rPr>
        <w:t>Alan Otis</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11225 North Community House Road</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Vice President</w:t>
      </w:r>
    </w:p>
    <w:p>
      <w:pPr>
        <w:spacing w:after="0" w:line="465" w:lineRule="exact"/>
        <w:rPr>
          <w:sz w:val="20"/>
          <w:szCs w:val="20"/>
          <w:color w:val="auto"/>
        </w:rPr>
      </w:pPr>
    </w:p>
    <w:p>
      <w:pPr>
        <w:sectPr>
          <w:pgSz w:w="11900" w:h="16838" w:orient="portrait"/>
          <w:cols w:equalWidth="0" w:num="2">
            <w:col w:w="2180" w:space="700"/>
            <w:col w:w="6719"/>
          </w:cols>
          <w:pgMar w:left="860" w:top="762" w:right="1440" w:bottom="1440" w:gutter="0" w:footer="0" w:header="0"/>
          <w:type w:val="continuous"/>
        </w:sectPr>
      </w:pPr>
    </w:p>
    <w:p>
      <w:pPr>
        <w:spacing w:after="0"/>
        <w:rPr>
          <w:sz w:val="20"/>
          <w:szCs w:val="20"/>
          <w:color w:val="auto"/>
        </w:rPr>
      </w:pPr>
      <w:r>
        <w:rPr>
          <w:rFonts w:ascii="Arial" w:cs="Arial" w:eastAsia="Arial" w:hAnsi="Arial"/>
          <w:sz w:val="13"/>
          <w:szCs w:val="13"/>
          <w:color w:val="auto"/>
        </w:rPr>
        <w:t>James Painter</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11225 North Community House Road</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Vice President</w:t>
      </w:r>
    </w:p>
    <w:p>
      <w:pPr>
        <w:sectPr>
          <w:pgSz w:w="11900" w:h="16838" w:orient="portrait"/>
          <w:cols w:equalWidth="0" w:num="2">
            <w:col w:w="2180" w:space="700"/>
            <w:col w:w="6719"/>
          </w:cols>
          <w:pgMar w:left="860" w:top="762" w:right="1440" w:bottom="1440" w:gutter="0" w:footer="0" w:header="0"/>
          <w:type w:val="continuous"/>
        </w:sectPr>
      </w:pPr>
    </w:p>
    <w:bookmarkStart w:id="111" w:name="page112"/>
    <w:bookmarkEnd w:id="111"/>
    <w:p>
      <w:pPr>
        <w:ind w:left="5"/>
        <w:spacing w:after="0"/>
        <w:rPr>
          <w:sz w:val="20"/>
          <w:szCs w:val="20"/>
          <w:color w:val="auto"/>
        </w:rPr>
      </w:pPr>
      <w:r>
        <w:rPr>
          <w:rFonts w:ascii="Arial" w:cs="Arial" w:eastAsia="Arial" w:hAnsi="Arial"/>
          <w:sz w:val="13"/>
          <w:szCs w:val="13"/>
          <w:color w:val="auto"/>
        </w:rPr>
        <w:t>Melissa Pavlovich</w:t>
      </w:r>
    </w:p>
    <w:p>
      <w:pPr>
        <w:spacing w:after="0" w:line="21" w:lineRule="exact"/>
        <w:rPr>
          <w:sz w:val="20"/>
          <w:szCs w:val="20"/>
          <w:color w:val="auto"/>
        </w:rPr>
      </w:pPr>
    </w:p>
    <w:p>
      <w:pPr>
        <w:ind w:left="5"/>
        <w:spacing w:after="0"/>
        <w:rPr>
          <w:sz w:val="20"/>
          <w:szCs w:val="20"/>
          <w:color w:val="auto"/>
        </w:rPr>
      </w:pPr>
      <w:r>
        <w:rPr>
          <w:rFonts w:ascii="Arial" w:cs="Arial" w:eastAsia="Arial" w:hAnsi="Arial"/>
          <w:sz w:val="13"/>
          <w:szCs w:val="13"/>
          <w:color w:val="auto"/>
        </w:rPr>
        <w:t>11225 North Community House Road</w:t>
      </w:r>
    </w:p>
    <w:p>
      <w:pPr>
        <w:spacing w:after="0" w:line="9" w:lineRule="exact"/>
        <w:rPr>
          <w:sz w:val="20"/>
          <w:szCs w:val="20"/>
          <w:color w:val="auto"/>
        </w:rPr>
      </w:pPr>
    </w:p>
    <w:p>
      <w:pPr>
        <w:ind w:left="5"/>
        <w:spacing w:after="0"/>
        <w:rPr>
          <w:sz w:val="20"/>
          <w:szCs w:val="20"/>
          <w:color w:val="auto"/>
        </w:rPr>
      </w:pPr>
      <w:r>
        <w:rPr>
          <w:rFonts w:ascii="Arial" w:cs="Arial" w:eastAsia="Arial" w:hAnsi="Arial"/>
          <w:sz w:val="13"/>
          <w:szCs w:val="13"/>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Vice President and Tax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-2197100</wp:posOffset>
            </wp:positionH>
            <wp:positionV relativeFrom="paragraph">
              <wp:posOffset>-457835</wp:posOffset>
            </wp:positionV>
            <wp:extent cx="719391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7">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pacing w:after="0" w:line="465" w:lineRule="exact"/>
        <w:rPr>
          <w:sz w:val="20"/>
          <w:szCs w:val="20"/>
          <w:color w:val="auto"/>
        </w:rPr>
      </w:pPr>
    </w:p>
    <w:p>
      <w:pPr>
        <w:sectPr>
          <w:pgSz w:w="11900" w:h="16838" w:orient="portrait"/>
          <w:cols w:equalWidth="0" w:num="2">
            <w:col w:w="2185" w:space="700"/>
            <w:col w:w="6719"/>
          </w:cols>
          <w:pgMar w:left="855" w:top="762" w:right="1440" w:bottom="1440" w:gutter="0" w:footer="0" w:header="0"/>
        </w:sectPr>
      </w:pPr>
    </w:p>
    <w:p>
      <w:pPr>
        <w:ind w:left="5"/>
        <w:spacing w:after="0"/>
        <w:rPr>
          <w:sz w:val="20"/>
          <w:szCs w:val="20"/>
          <w:color w:val="auto"/>
        </w:rPr>
      </w:pPr>
      <w:r>
        <w:rPr>
          <w:rFonts w:ascii="Arial" w:cs="Arial" w:eastAsia="Arial" w:hAnsi="Arial"/>
          <w:sz w:val="13"/>
          <w:szCs w:val="13"/>
          <w:color w:val="auto"/>
        </w:rPr>
        <w:t>Phillip Pfotenhauer</w:t>
      </w:r>
    </w:p>
    <w:p>
      <w:pPr>
        <w:spacing w:after="0" w:line="21" w:lineRule="exact"/>
        <w:rPr>
          <w:sz w:val="20"/>
          <w:szCs w:val="20"/>
          <w:color w:val="auto"/>
        </w:rPr>
      </w:pPr>
    </w:p>
    <w:p>
      <w:pPr>
        <w:ind w:left="5"/>
        <w:spacing w:after="0"/>
        <w:rPr>
          <w:sz w:val="20"/>
          <w:szCs w:val="20"/>
          <w:color w:val="auto"/>
        </w:rPr>
      </w:pPr>
      <w:r>
        <w:rPr>
          <w:rFonts w:ascii="Arial" w:cs="Arial" w:eastAsia="Arial" w:hAnsi="Arial"/>
          <w:sz w:val="13"/>
          <w:szCs w:val="13"/>
          <w:color w:val="auto"/>
        </w:rPr>
        <w:t>11225 North Community House Road</w:t>
      </w:r>
    </w:p>
    <w:p>
      <w:pPr>
        <w:spacing w:after="0" w:line="9" w:lineRule="exact"/>
        <w:rPr>
          <w:sz w:val="20"/>
          <w:szCs w:val="20"/>
          <w:color w:val="auto"/>
        </w:rPr>
      </w:pPr>
    </w:p>
    <w:p>
      <w:pPr>
        <w:ind w:left="5"/>
        <w:spacing w:after="0"/>
        <w:rPr>
          <w:sz w:val="20"/>
          <w:szCs w:val="20"/>
          <w:color w:val="auto"/>
        </w:rPr>
      </w:pPr>
      <w:r>
        <w:rPr>
          <w:rFonts w:ascii="Arial" w:cs="Arial" w:eastAsia="Arial" w:hAnsi="Arial"/>
          <w:sz w:val="13"/>
          <w:szCs w:val="13"/>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Vice President</w:t>
      </w:r>
    </w:p>
    <w:p>
      <w:pPr>
        <w:spacing w:after="0" w:line="455" w:lineRule="exact"/>
        <w:rPr>
          <w:sz w:val="20"/>
          <w:szCs w:val="20"/>
          <w:color w:val="auto"/>
        </w:rPr>
      </w:pPr>
    </w:p>
    <w:p>
      <w:pPr>
        <w:sectPr>
          <w:pgSz w:w="11900" w:h="16838" w:orient="portrait"/>
          <w:cols w:equalWidth="0" w:num="2">
            <w:col w:w="2185" w:space="700"/>
            <w:col w:w="6719"/>
          </w:cols>
          <w:pgMar w:left="855" w:top="762" w:right="1440" w:bottom="1440" w:gutter="0" w:footer="0" w:header="0"/>
          <w:type w:val="continuous"/>
        </w:sectPr>
      </w:pPr>
    </w:p>
    <w:p>
      <w:pPr>
        <w:ind w:left="5"/>
        <w:spacing w:after="0"/>
        <w:rPr>
          <w:sz w:val="20"/>
          <w:szCs w:val="20"/>
          <w:color w:val="auto"/>
        </w:rPr>
      </w:pPr>
      <w:r>
        <w:rPr>
          <w:rFonts w:ascii="Arial" w:cs="Arial" w:eastAsia="Arial" w:hAnsi="Arial"/>
          <w:sz w:val="13"/>
          <w:szCs w:val="13"/>
          <w:color w:val="auto"/>
        </w:rPr>
        <w:t>Kristi Slavin</w:t>
      </w:r>
    </w:p>
    <w:p>
      <w:pPr>
        <w:spacing w:after="0" w:line="21" w:lineRule="exact"/>
        <w:rPr>
          <w:sz w:val="20"/>
          <w:szCs w:val="20"/>
          <w:color w:val="auto"/>
        </w:rPr>
      </w:pPr>
    </w:p>
    <w:p>
      <w:pPr>
        <w:ind w:left="5"/>
        <w:spacing w:after="0"/>
        <w:rPr>
          <w:sz w:val="20"/>
          <w:szCs w:val="20"/>
          <w:color w:val="auto"/>
        </w:rPr>
      </w:pPr>
      <w:r>
        <w:rPr>
          <w:rFonts w:ascii="Arial" w:cs="Arial" w:eastAsia="Arial" w:hAnsi="Arial"/>
          <w:sz w:val="13"/>
          <w:szCs w:val="13"/>
          <w:color w:val="auto"/>
        </w:rPr>
        <w:t>11225 North Community House Road</w:t>
      </w:r>
    </w:p>
    <w:p>
      <w:pPr>
        <w:spacing w:after="0" w:line="9" w:lineRule="exact"/>
        <w:rPr>
          <w:sz w:val="20"/>
          <w:szCs w:val="20"/>
          <w:color w:val="auto"/>
        </w:rPr>
      </w:pPr>
    </w:p>
    <w:p>
      <w:pPr>
        <w:ind w:left="5"/>
        <w:spacing w:after="0"/>
        <w:rPr>
          <w:sz w:val="20"/>
          <w:szCs w:val="20"/>
          <w:color w:val="auto"/>
        </w:rPr>
      </w:pPr>
      <w:r>
        <w:rPr>
          <w:rFonts w:ascii="Arial" w:cs="Arial" w:eastAsia="Arial" w:hAnsi="Arial"/>
          <w:sz w:val="13"/>
          <w:szCs w:val="13"/>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Vice President</w:t>
      </w:r>
    </w:p>
    <w:p>
      <w:pPr>
        <w:spacing w:after="0" w:line="455" w:lineRule="exact"/>
        <w:rPr>
          <w:sz w:val="20"/>
          <w:szCs w:val="20"/>
          <w:color w:val="auto"/>
        </w:rPr>
      </w:pPr>
    </w:p>
    <w:p>
      <w:pPr>
        <w:sectPr>
          <w:pgSz w:w="11900" w:h="16838" w:orient="portrait"/>
          <w:cols w:equalWidth="0" w:num="2">
            <w:col w:w="2185" w:space="700"/>
            <w:col w:w="6719"/>
          </w:cols>
          <w:pgMar w:left="855" w:top="762" w:right="1440" w:bottom="1440" w:gutter="0" w:footer="0" w:header="0"/>
          <w:type w:val="continuous"/>
        </w:sectPr>
      </w:pPr>
    </w:p>
    <w:p>
      <w:pPr>
        <w:ind w:left="5"/>
        <w:spacing w:after="0"/>
        <w:rPr>
          <w:sz w:val="20"/>
          <w:szCs w:val="20"/>
          <w:color w:val="auto"/>
        </w:rPr>
      </w:pPr>
      <w:r>
        <w:rPr>
          <w:rFonts w:ascii="Arial" w:cs="Arial" w:eastAsia="Arial" w:hAnsi="Arial"/>
          <w:sz w:val="13"/>
          <w:szCs w:val="13"/>
          <w:color w:val="auto"/>
        </w:rPr>
        <w:t>Gregor Speakman</w:t>
      </w:r>
    </w:p>
    <w:p>
      <w:pPr>
        <w:spacing w:after="0" w:line="21" w:lineRule="exact"/>
        <w:rPr>
          <w:sz w:val="20"/>
          <w:szCs w:val="20"/>
          <w:color w:val="auto"/>
        </w:rPr>
      </w:pPr>
    </w:p>
    <w:p>
      <w:pPr>
        <w:ind w:left="5"/>
        <w:spacing w:after="0"/>
        <w:rPr>
          <w:sz w:val="20"/>
          <w:szCs w:val="20"/>
          <w:color w:val="auto"/>
        </w:rPr>
      </w:pPr>
      <w:r>
        <w:rPr>
          <w:rFonts w:ascii="Arial" w:cs="Arial" w:eastAsia="Arial" w:hAnsi="Arial"/>
          <w:sz w:val="13"/>
          <w:szCs w:val="13"/>
          <w:color w:val="auto"/>
        </w:rPr>
        <w:t>11225 North Community House Road</w:t>
      </w:r>
    </w:p>
    <w:p>
      <w:pPr>
        <w:spacing w:after="0" w:line="9" w:lineRule="exact"/>
        <w:rPr>
          <w:sz w:val="20"/>
          <w:szCs w:val="20"/>
          <w:color w:val="auto"/>
        </w:rPr>
      </w:pPr>
    </w:p>
    <w:p>
      <w:pPr>
        <w:ind w:left="5"/>
        <w:spacing w:after="0"/>
        <w:rPr>
          <w:sz w:val="20"/>
          <w:szCs w:val="20"/>
          <w:color w:val="auto"/>
        </w:rPr>
      </w:pPr>
      <w:r>
        <w:rPr>
          <w:rFonts w:ascii="Arial" w:cs="Arial" w:eastAsia="Arial" w:hAnsi="Arial"/>
          <w:sz w:val="13"/>
          <w:szCs w:val="13"/>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Vice President</w:t>
      </w:r>
    </w:p>
    <w:p>
      <w:pPr>
        <w:spacing w:after="0" w:line="465" w:lineRule="exact"/>
        <w:rPr>
          <w:sz w:val="20"/>
          <w:szCs w:val="20"/>
          <w:color w:val="auto"/>
        </w:rPr>
      </w:pPr>
    </w:p>
    <w:p>
      <w:pPr>
        <w:sectPr>
          <w:pgSz w:w="11900" w:h="16838" w:orient="portrait"/>
          <w:cols w:equalWidth="0" w:num="2">
            <w:col w:w="2185" w:space="700"/>
            <w:col w:w="6719"/>
          </w:cols>
          <w:pgMar w:left="855" w:top="762" w:right="1440" w:bottom="1440" w:gutter="0" w:footer="0" w:header="0"/>
          <w:type w:val="continuous"/>
        </w:sectPr>
      </w:pPr>
    </w:p>
    <w:p>
      <w:pPr>
        <w:ind w:left="5"/>
        <w:spacing w:after="0"/>
        <w:rPr>
          <w:sz w:val="20"/>
          <w:szCs w:val="20"/>
          <w:color w:val="auto"/>
        </w:rPr>
      </w:pPr>
      <w:r>
        <w:rPr>
          <w:rFonts w:ascii="Arial" w:cs="Arial" w:eastAsia="Arial" w:hAnsi="Arial"/>
          <w:sz w:val="13"/>
          <w:szCs w:val="13"/>
          <w:color w:val="auto"/>
        </w:rPr>
        <w:t>Michael Villella</w:t>
      </w:r>
    </w:p>
    <w:p>
      <w:pPr>
        <w:spacing w:after="0" w:line="21" w:lineRule="exact"/>
        <w:rPr>
          <w:sz w:val="20"/>
          <w:szCs w:val="20"/>
          <w:color w:val="auto"/>
        </w:rPr>
      </w:pPr>
    </w:p>
    <w:p>
      <w:pPr>
        <w:ind w:left="5"/>
        <w:spacing w:after="0"/>
        <w:rPr>
          <w:sz w:val="20"/>
          <w:szCs w:val="20"/>
          <w:color w:val="auto"/>
        </w:rPr>
      </w:pPr>
      <w:r>
        <w:rPr>
          <w:rFonts w:ascii="Arial" w:cs="Arial" w:eastAsia="Arial" w:hAnsi="Arial"/>
          <w:sz w:val="13"/>
          <w:szCs w:val="13"/>
          <w:color w:val="auto"/>
        </w:rPr>
        <w:t>11225 North Community House Road</w:t>
      </w:r>
    </w:p>
    <w:p>
      <w:pPr>
        <w:spacing w:after="0" w:line="9" w:lineRule="exact"/>
        <w:rPr>
          <w:sz w:val="20"/>
          <w:szCs w:val="20"/>
          <w:color w:val="auto"/>
        </w:rPr>
      </w:pPr>
    </w:p>
    <w:p>
      <w:pPr>
        <w:ind w:left="5"/>
        <w:spacing w:after="0"/>
        <w:rPr>
          <w:sz w:val="20"/>
          <w:szCs w:val="20"/>
          <w:color w:val="auto"/>
        </w:rPr>
      </w:pPr>
      <w:r>
        <w:rPr>
          <w:rFonts w:ascii="Arial" w:cs="Arial" w:eastAsia="Arial" w:hAnsi="Arial"/>
          <w:sz w:val="13"/>
          <w:szCs w:val="13"/>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Vice President and Illustration Actuary</w:t>
      </w:r>
    </w:p>
    <w:p>
      <w:pPr>
        <w:spacing w:after="0" w:line="455" w:lineRule="exact"/>
        <w:rPr>
          <w:sz w:val="20"/>
          <w:szCs w:val="20"/>
          <w:color w:val="auto"/>
        </w:rPr>
      </w:pPr>
    </w:p>
    <w:p>
      <w:pPr>
        <w:sectPr>
          <w:pgSz w:w="11900" w:h="16838" w:orient="portrait"/>
          <w:cols w:equalWidth="0" w:num="2">
            <w:col w:w="2185" w:space="700"/>
            <w:col w:w="6719"/>
          </w:cols>
          <w:pgMar w:left="855" w:top="762" w:right="1440" w:bottom="1440" w:gutter="0" w:footer="0" w:header="0"/>
          <w:type w:val="continuous"/>
        </w:sectPr>
      </w:pPr>
    </w:p>
    <w:p>
      <w:pPr>
        <w:ind w:left="5"/>
        <w:spacing w:after="0"/>
        <w:rPr>
          <w:sz w:val="20"/>
          <w:szCs w:val="20"/>
          <w:color w:val="auto"/>
        </w:rPr>
      </w:pPr>
      <w:r>
        <w:rPr>
          <w:rFonts w:ascii="Arial" w:cs="Arial" w:eastAsia="Arial" w:hAnsi="Arial"/>
          <w:sz w:val="13"/>
          <w:szCs w:val="13"/>
          <w:color w:val="auto"/>
        </w:rPr>
        <w:t>David Ward</w:t>
      </w:r>
    </w:p>
    <w:p>
      <w:pPr>
        <w:spacing w:after="0" w:line="21" w:lineRule="exact"/>
        <w:rPr>
          <w:sz w:val="20"/>
          <w:szCs w:val="20"/>
          <w:color w:val="auto"/>
        </w:rPr>
      </w:pPr>
    </w:p>
    <w:p>
      <w:pPr>
        <w:ind w:left="5"/>
        <w:spacing w:after="0"/>
        <w:rPr>
          <w:sz w:val="20"/>
          <w:szCs w:val="20"/>
          <w:color w:val="auto"/>
        </w:rPr>
      </w:pPr>
      <w:r>
        <w:rPr>
          <w:rFonts w:ascii="Arial" w:cs="Arial" w:eastAsia="Arial" w:hAnsi="Arial"/>
          <w:sz w:val="13"/>
          <w:szCs w:val="13"/>
          <w:color w:val="auto"/>
        </w:rPr>
        <w:t>11225 North Community House Road</w:t>
      </w:r>
    </w:p>
    <w:p>
      <w:pPr>
        <w:spacing w:after="0" w:line="9" w:lineRule="exact"/>
        <w:rPr>
          <w:sz w:val="20"/>
          <w:szCs w:val="20"/>
          <w:color w:val="auto"/>
        </w:rPr>
      </w:pPr>
    </w:p>
    <w:p>
      <w:pPr>
        <w:ind w:left="5"/>
        <w:spacing w:after="0"/>
        <w:rPr>
          <w:sz w:val="20"/>
          <w:szCs w:val="20"/>
          <w:color w:val="auto"/>
        </w:rPr>
      </w:pPr>
      <w:r>
        <w:rPr>
          <w:rFonts w:ascii="Arial" w:cs="Arial" w:eastAsia="Arial" w:hAnsi="Arial"/>
          <w:sz w:val="13"/>
          <w:szCs w:val="13"/>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Vice President</w:t>
      </w:r>
    </w:p>
    <w:p>
      <w:pPr>
        <w:spacing w:after="0" w:line="455" w:lineRule="exact"/>
        <w:rPr>
          <w:sz w:val="20"/>
          <w:szCs w:val="20"/>
          <w:color w:val="auto"/>
        </w:rPr>
      </w:pPr>
    </w:p>
    <w:p>
      <w:pPr>
        <w:sectPr>
          <w:pgSz w:w="11900" w:h="16838" w:orient="portrait"/>
          <w:cols w:equalWidth="0" w:num="2">
            <w:col w:w="2185" w:space="700"/>
            <w:col w:w="6719"/>
          </w:cols>
          <w:pgMar w:left="855" w:top="762" w:right="1440" w:bottom="1440" w:gutter="0" w:footer="0" w:header="0"/>
          <w:type w:val="continuous"/>
        </w:sectPr>
      </w:pPr>
    </w:p>
    <w:p>
      <w:pPr>
        <w:ind w:left="5"/>
        <w:spacing w:after="0"/>
        <w:rPr>
          <w:sz w:val="20"/>
          <w:szCs w:val="20"/>
          <w:color w:val="auto"/>
        </w:rPr>
      </w:pPr>
      <w:r>
        <w:rPr>
          <w:rFonts w:ascii="Arial" w:cs="Arial" w:eastAsia="Arial" w:hAnsi="Arial"/>
          <w:sz w:val="13"/>
          <w:szCs w:val="13"/>
          <w:color w:val="auto"/>
        </w:rPr>
        <w:t>Julienne Warr</w:t>
      </w:r>
    </w:p>
    <w:p>
      <w:pPr>
        <w:spacing w:after="0" w:line="21" w:lineRule="exact"/>
        <w:rPr>
          <w:sz w:val="20"/>
          <w:szCs w:val="20"/>
          <w:color w:val="auto"/>
        </w:rPr>
      </w:pPr>
    </w:p>
    <w:p>
      <w:pPr>
        <w:ind w:left="5"/>
        <w:spacing w:after="0"/>
        <w:rPr>
          <w:sz w:val="20"/>
          <w:szCs w:val="20"/>
          <w:color w:val="auto"/>
        </w:rPr>
      </w:pPr>
      <w:r>
        <w:rPr>
          <w:rFonts w:ascii="Arial" w:cs="Arial" w:eastAsia="Arial" w:hAnsi="Arial"/>
          <w:sz w:val="13"/>
          <w:szCs w:val="13"/>
          <w:color w:val="auto"/>
        </w:rPr>
        <w:t>11225 North Community House Road</w:t>
      </w:r>
    </w:p>
    <w:p>
      <w:pPr>
        <w:spacing w:after="0" w:line="9" w:lineRule="exact"/>
        <w:rPr>
          <w:sz w:val="20"/>
          <w:szCs w:val="20"/>
          <w:color w:val="auto"/>
        </w:rPr>
      </w:pPr>
    </w:p>
    <w:p>
      <w:pPr>
        <w:ind w:left="5"/>
        <w:spacing w:after="0"/>
        <w:rPr>
          <w:sz w:val="20"/>
          <w:szCs w:val="20"/>
          <w:color w:val="auto"/>
        </w:rPr>
      </w:pPr>
      <w:r>
        <w:rPr>
          <w:rFonts w:ascii="Arial" w:cs="Arial" w:eastAsia="Arial" w:hAnsi="Arial"/>
          <w:sz w:val="13"/>
          <w:szCs w:val="13"/>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Vice President</w:t>
      </w:r>
    </w:p>
    <w:p>
      <w:pPr>
        <w:spacing w:after="0" w:line="529" w:lineRule="exact"/>
        <w:rPr>
          <w:sz w:val="20"/>
          <w:szCs w:val="20"/>
          <w:color w:val="auto"/>
        </w:rPr>
      </w:pPr>
    </w:p>
    <w:p>
      <w:pPr>
        <w:sectPr>
          <w:pgSz w:w="11900" w:h="16838" w:orient="portrait"/>
          <w:cols w:equalWidth="0" w:num="2">
            <w:col w:w="2185" w:space="700"/>
            <w:col w:w="6719"/>
          </w:cols>
          <w:pgMar w:left="855" w:top="762" w:right="1440" w:bottom="1440" w:gutter="0" w:footer="0" w:header="0"/>
          <w:type w:val="continuous"/>
        </w:sectPr>
      </w:pPr>
    </w:p>
    <w:p>
      <w:pPr>
        <w:spacing w:after="0" w:line="15" w:lineRule="exact"/>
        <w:rPr>
          <w:sz w:val="20"/>
          <w:szCs w:val="20"/>
          <w:color w:val="auto"/>
        </w:rPr>
      </w:pPr>
    </w:p>
    <w:p>
      <w:pPr>
        <w:ind w:left="5"/>
        <w:spacing w:after="0"/>
        <w:tabs>
          <w:tab w:leader="none" w:pos="705" w:val="left"/>
        </w:tabs>
        <w:rPr>
          <w:sz w:val="20"/>
          <w:szCs w:val="20"/>
          <w:color w:val="auto"/>
        </w:rPr>
      </w:pPr>
      <w:r>
        <w:rPr>
          <w:rFonts w:ascii="Arial" w:cs="Arial" w:eastAsia="Arial" w:hAnsi="Arial"/>
          <w:sz w:val="13"/>
          <w:szCs w:val="13"/>
          <w:b w:val="1"/>
          <w:bCs w:val="1"/>
          <w:color w:val="auto"/>
        </w:rPr>
        <w:t>Item 29.</w:t>
      </w:r>
      <w:r>
        <w:rPr>
          <w:sz w:val="20"/>
          <w:szCs w:val="20"/>
          <w:color w:val="auto"/>
        </w:rPr>
        <w:tab/>
      </w:r>
      <w:r>
        <w:rPr>
          <w:rFonts w:ascii="Arial" w:cs="Arial" w:eastAsia="Arial" w:hAnsi="Arial"/>
          <w:sz w:val="13"/>
          <w:szCs w:val="13"/>
          <w:b w:val="1"/>
          <w:bCs w:val="1"/>
          <w:color w:val="auto"/>
        </w:rPr>
        <w:t>Persons Controlled by or Under Common Control with the Insurance Company</w:t>
      </w:r>
    </w:p>
    <w:p>
      <w:pPr>
        <w:spacing w:after="0" w:line="79" w:lineRule="exact"/>
        <w:rPr>
          <w:sz w:val="20"/>
          <w:szCs w:val="20"/>
          <w:color w:val="auto"/>
        </w:rPr>
      </w:pPr>
    </w:p>
    <w:p>
      <w:pPr>
        <w:ind w:left="5" w:right="2999"/>
        <w:spacing w:after="0" w:line="259" w:lineRule="auto"/>
        <w:rPr>
          <w:sz w:val="20"/>
          <w:szCs w:val="20"/>
          <w:color w:val="auto"/>
        </w:rPr>
      </w:pPr>
      <w:r>
        <w:rPr>
          <w:rFonts w:ascii="Arial" w:cs="Arial" w:eastAsia="Arial" w:hAnsi="Arial"/>
          <w:sz w:val="13"/>
          <w:szCs w:val="13"/>
          <w:color w:val="auto"/>
        </w:rPr>
        <w:t>The Insurance Company, Brighthouse Life Insurance Company of NY (“BLNY” or the “Company”) is under New York state insurance law. BLNY is an indirect, wholly-owned subsidiary of Brighthouse Financial, Inc., a publicly-traded company. The following outline indicates those entities that are controlled by Brighthouse Financial, Inc. or are under</w:t>
      </w:r>
    </w:p>
    <w:p>
      <w:pPr>
        <w:spacing w:after="0" w:line="2" w:lineRule="exact"/>
        <w:rPr>
          <w:sz w:val="20"/>
          <w:szCs w:val="20"/>
          <w:color w:val="auto"/>
        </w:rPr>
      </w:pPr>
    </w:p>
    <w:p>
      <w:pPr>
        <w:ind w:left="5"/>
        <w:spacing w:after="0"/>
        <w:rPr>
          <w:sz w:val="20"/>
          <w:szCs w:val="20"/>
          <w:color w:val="auto"/>
        </w:rPr>
      </w:pPr>
      <w:r>
        <w:rPr>
          <w:rFonts w:ascii="Arial" w:cs="Arial" w:eastAsia="Arial" w:hAnsi="Arial"/>
          <w:sz w:val="13"/>
          <w:szCs w:val="13"/>
          <w:color w:val="auto"/>
        </w:rPr>
        <w:t>the common control of Brighthouse Financial, Inc. </w:t>
      </w:r>
    </w:p>
    <w:p>
      <w:pPr>
        <w:spacing w:after="0" w:line="206" w:lineRule="exact"/>
        <w:rPr>
          <w:sz w:val="20"/>
          <w:szCs w:val="20"/>
          <w:color w:val="auto"/>
        </w:rPr>
      </w:pPr>
    </w:p>
    <w:p>
      <w:pPr>
        <w:jc w:val="center"/>
        <w:ind w:right="2894"/>
        <w:spacing w:after="0"/>
        <w:rPr>
          <w:sz w:val="20"/>
          <w:szCs w:val="20"/>
          <w:color w:val="auto"/>
        </w:rPr>
      </w:pPr>
      <w:r>
        <w:rPr>
          <w:rFonts w:ascii="Arial" w:cs="Arial" w:eastAsia="Arial" w:hAnsi="Arial"/>
          <w:sz w:val="13"/>
          <w:szCs w:val="13"/>
          <w:b w:val="1"/>
          <w:bCs w:val="1"/>
          <w:color w:val="auto"/>
        </w:rPr>
        <w:t>ORGANIZATIONAL STRUCTURE OF BRIGHTHOUSE FINANCIAL, INC. AND SUBSIDIARIES</w:t>
      </w:r>
    </w:p>
    <w:p>
      <w:pPr>
        <w:spacing w:after="0" w:line="1" w:lineRule="exact"/>
        <w:rPr>
          <w:sz w:val="20"/>
          <w:szCs w:val="20"/>
          <w:color w:val="auto"/>
        </w:rPr>
      </w:pPr>
    </w:p>
    <w:p>
      <w:pPr>
        <w:jc w:val="center"/>
        <w:ind w:right="2854"/>
        <w:spacing w:after="0"/>
        <w:rPr>
          <w:sz w:val="20"/>
          <w:szCs w:val="20"/>
          <w:color w:val="auto"/>
        </w:rPr>
      </w:pPr>
      <w:r>
        <w:rPr>
          <w:rFonts w:ascii="Arial" w:cs="Arial" w:eastAsia="Arial" w:hAnsi="Arial"/>
          <w:sz w:val="13"/>
          <w:szCs w:val="13"/>
          <w:b w:val="1"/>
          <w:bCs w:val="1"/>
          <w:color w:val="auto"/>
        </w:rPr>
        <w:t>AS OF DECEMBER 31, 2024</w:t>
      </w:r>
    </w:p>
    <w:p>
      <w:pPr>
        <w:spacing w:after="0" w:line="57" w:lineRule="exact"/>
        <w:rPr>
          <w:sz w:val="20"/>
          <w:szCs w:val="20"/>
          <w:color w:val="auto"/>
        </w:rPr>
      </w:pPr>
    </w:p>
    <w:p>
      <w:pPr>
        <w:ind w:left="5"/>
        <w:spacing w:after="0"/>
        <w:rPr>
          <w:sz w:val="20"/>
          <w:szCs w:val="20"/>
          <w:color w:val="auto"/>
        </w:rPr>
      </w:pPr>
      <w:r>
        <w:rPr>
          <w:rFonts w:ascii="Arial" w:cs="Arial" w:eastAsia="Arial" w:hAnsi="Arial"/>
          <w:sz w:val="13"/>
          <w:szCs w:val="13"/>
          <w:color w:val="auto"/>
        </w:rPr>
        <w:t>The following is a list of subsidiaries of Brighthouse Financial, Inc. as of December 31, 2024.</w:t>
      </w:r>
    </w:p>
    <w:p>
      <w:pPr>
        <w:spacing w:after="0" w:line="89" w:lineRule="exact"/>
        <w:rPr>
          <w:sz w:val="20"/>
          <w:szCs w:val="20"/>
          <w:color w:val="auto"/>
        </w:rPr>
      </w:pPr>
    </w:p>
    <w:p>
      <w:pPr>
        <w:ind w:left="5" w:right="3339"/>
        <w:spacing w:after="0" w:line="293" w:lineRule="auto"/>
        <w:rPr>
          <w:sz w:val="20"/>
          <w:szCs w:val="20"/>
          <w:color w:val="auto"/>
        </w:rPr>
      </w:pPr>
      <w:r>
        <w:rPr>
          <w:rFonts w:ascii="Arial" w:cs="Arial" w:eastAsia="Arial" w:hAnsi="Arial"/>
          <w:sz w:val="13"/>
          <w:szCs w:val="13"/>
          <w:color w:val="auto"/>
        </w:rPr>
        <w:t>The entity which is listed at the left margin (labeled with a capital letter) is a direct subsidiary of Brighthouse Financial, Inc. (DE)</w:t>
      </w:r>
    </w:p>
    <w:p>
      <w:pPr>
        <w:spacing w:after="0" w:line="32" w:lineRule="exact"/>
        <w:rPr>
          <w:sz w:val="20"/>
          <w:szCs w:val="20"/>
          <w:color w:val="auto"/>
        </w:rPr>
      </w:pPr>
    </w:p>
    <w:p>
      <w:pPr>
        <w:ind w:left="5" w:right="3119"/>
        <w:spacing w:after="0" w:line="293" w:lineRule="auto"/>
        <w:rPr>
          <w:sz w:val="20"/>
          <w:szCs w:val="20"/>
          <w:color w:val="auto"/>
        </w:rPr>
      </w:pPr>
      <w:r>
        <w:rPr>
          <w:rFonts w:ascii="Arial" w:cs="Arial" w:eastAsia="Arial" w:hAnsi="Arial"/>
          <w:sz w:val="13"/>
          <w:szCs w:val="13"/>
          <w:color w:val="auto"/>
        </w:rPr>
        <w:t>Each entity which is indented under another entity is a subsidiary of such other entity and, therefore, an indirect subsidiary of Brighthouse Financial, Inc.</w:t>
      </w:r>
    </w:p>
    <w:p>
      <w:pPr>
        <w:spacing w:after="0" w:line="32" w:lineRule="exact"/>
        <w:rPr>
          <w:sz w:val="20"/>
          <w:szCs w:val="20"/>
          <w:color w:val="auto"/>
        </w:rPr>
      </w:pPr>
    </w:p>
    <w:p>
      <w:pPr>
        <w:ind w:left="5" w:right="2939"/>
        <w:spacing w:after="0" w:line="262" w:lineRule="auto"/>
        <w:rPr>
          <w:sz w:val="20"/>
          <w:szCs w:val="20"/>
          <w:color w:val="auto"/>
        </w:rPr>
      </w:pPr>
      <w:r>
        <w:rPr>
          <w:rFonts w:ascii="Arial" w:cs="Arial" w:eastAsia="Arial" w:hAnsi="Arial"/>
          <w:sz w:val="13"/>
          <w:szCs w:val="13"/>
          <w:color w:val="auto"/>
        </w:rPr>
        <w:t>The voting securities of the subsidiaries listed are 100% owned by their respective parent companies. The jurisdiction of domicile of each subsidiary listed is set forth in the parenthetical following the name of such subsidiary. All of the entities listed below are included in the consolidated financial statements of Brighthouse Financial, Inc. Each of the entities listed under Section 2 is included in the consolidated financial statements of Brighthouse Life Insurance Company. Both Brighthouse Financial, Inc. and Brighthouse Life Insurance Company file consolidated financial statements with the SEC pursuant to the Securities Exchange Act of 1934, as amended.</w:t>
      </w:r>
    </w:p>
    <w:p>
      <w:pPr>
        <w:spacing w:after="0" w:line="53" w:lineRule="exact"/>
        <w:rPr>
          <w:sz w:val="20"/>
          <w:szCs w:val="20"/>
          <w:color w:val="auto"/>
        </w:rPr>
      </w:pPr>
    </w:p>
    <w:p>
      <w:pPr>
        <w:ind w:left="265" w:hanging="265"/>
        <w:spacing w:after="0"/>
        <w:tabs>
          <w:tab w:leader="none" w:pos="265" w:val="left"/>
        </w:tabs>
        <w:numPr>
          <w:ilvl w:val="0"/>
          <w:numId w:val="75"/>
        </w:numPr>
        <w:rPr>
          <w:rFonts w:ascii="Arial" w:cs="Arial" w:eastAsia="Arial" w:hAnsi="Arial"/>
          <w:sz w:val="13"/>
          <w:szCs w:val="13"/>
          <w:color w:val="auto"/>
        </w:rPr>
      </w:pPr>
      <w:r>
        <w:rPr>
          <w:rFonts w:ascii="Arial" w:cs="Arial" w:eastAsia="Arial" w:hAnsi="Arial"/>
          <w:sz w:val="13"/>
          <w:szCs w:val="13"/>
          <w:color w:val="auto"/>
        </w:rPr>
        <w:t>Brighthouse Holdings, LLC (DE)</w:t>
      </w:r>
    </w:p>
    <w:p>
      <w:pPr>
        <w:spacing w:after="0" w:line="167" w:lineRule="exact"/>
        <w:rPr>
          <w:rFonts w:ascii="Arial" w:cs="Arial" w:eastAsia="Arial" w:hAnsi="Arial"/>
          <w:sz w:val="13"/>
          <w:szCs w:val="13"/>
          <w:color w:val="auto"/>
        </w:rPr>
      </w:pPr>
    </w:p>
    <w:p>
      <w:pPr>
        <w:ind w:left="545" w:hanging="277"/>
        <w:spacing w:after="0"/>
        <w:tabs>
          <w:tab w:leader="none" w:pos="545" w:val="left"/>
        </w:tabs>
        <w:numPr>
          <w:ilvl w:val="1"/>
          <w:numId w:val="75"/>
        </w:numPr>
        <w:rPr>
          <w:rFonts w:ascii="Arial" w:cs="Arial" w:eastAsia="Arial" w:hAnsi="Arial"/>
          <w:sz w:val="13"/>
          <w:szCs w:val="13"/>
          <w:color w:val="auto"/>
        </w:rPr>
      </w:pPr>
      <w:r>
        <w:rPr>
          <w:rFonts w:ascii="Arial" w:cs="Arial" w:eastAsia="Arial" w:hAnsi="Arial"/>
          <w:sz w:val="13"/>
          <w:szCs w:val="13"/>
          <w:color w:val="auto"/>
        </w:rPr>
        <w:t>New England Life Insurance Company (MA)</w:t>
      </w:r>
    </w:p>
    <w:p>
      <w:pPr>
        <w:spacing w:after="0" w:line="167" w:lineRule="exact"/>
        <w:rPr>
          <w:rFonts w:ascii="Arial" w:cs="Arial" w:eastAsia="Arial" w:hAnsi="Arial"/>
          <w:sz w:val="13"/>
          <w:szCs w:val="13"/>
          <w:color w:val="auto"/>
        </w:rPr>
      </w:pPr>
    </w:p>
    <w:p>
      <w:pPr>
        <w:ind w:left="545" w:hanging="277"/>
        <w:spacing w:after="0"/>
        <w:tabs>
          <w:tab w:leader="none" w:pos="545" w:val="left"/>
        </w:tabs>
        <w:numPr>
          <w:ilvl w:val="1"/>
          <w:numId w:val="75"/>
        </w:numPr>
        <w:rPr>
          <w:rFonts w:ascii="Arial" w:cs="Arial" w:eastAsia="Arial" w:hAnsi="Arial"/>
          <w:sz w:val="13"/>
          <w:szCs w:val="13"/>
          <w:color w:val="auto"/>
        </w:rPr>
      </w:pPr>
      <w:r>
        <w:rPr>
          <w:rFonts w:ascii="Arial" w:cs="Arial" w:eastAsia="Arial" w:hAnsi="Arial"/>
          <w:sz w:val="13"/>
          <w:szCs w:val="13"/>
          <w:color w:val="auto"/>
        </w:rPr>
        <w:t>Brighthouse Life Insurance Company (DE)</w:t>
      </w:r>
    </w:p>
    <w:p>
      <w:pPr>
        <w:spacing w:after="0" w:line="167" w:lineRule="exact"/>
        <w:rPr>
          <w:rFonts w:ascii="Arial" w:cs="Arial" w:eastAsia="Arial" w:hAnsi="Arial"/>
          <w:sz w:val="13"/>
          <w:szCs w:val="13"/>
          <w:color w:val="auto"/>
        </w:rPr>
      </w:pPr>
    </w:p>
    <w:p>
      <w:pPr>
        <w:ind w:left="545"/>
        <w:spacing w:after="0"/>
        <w:rPr>
          <w:rFonts w:ascii="Arial" w:cs="Arial" w:eastAsia="Arial" w:hAnsi="Arial"/>
          <w:sz w:val="13"/>
          <w:szCs w:val="13"/>
          <w:color w:val="auto"/>
        </w:rPr>
      </w:pPr>
      <w:r>
        <w:rPr>
          <w:rFonts w:ascii="Arial" w:cs="Arial" w:eastAsia="Arial" w:hAnsi="Arial"/>
          <w:sz w:val="13"/>
          <w:szCs w:val="13"/>
          <w:color w:val="auto"/>
        </w:rPr>
        <w:t>a.Brighthouse Reinsurance Company of Delaware (DE)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-539750</wp:posOffset>
            </wp:positionV>
            <wp:extent cx="4283710" cy="20129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8">
                      <a:extLst>
                        <a:ext uri="{28A0092B-C50C-407E-A947-70E740481C1C}"/>
                      </a:extLst>
                    </a:blip>
                    <a:srcRect/>
                    <a:stretch>
                      <a:fillRect/>
                    </a:stretch>
                  </pic:blipFill>
                  <pic:spPr bwMode="auto">
                    <a:xfrm>
                      <a:off x="0" y="0"/>
                      <a:ext cx="4283710" cy="2012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-136525</wp:posOffset>
            </wp:positionV>
            <wp:extent cx="4283710" cy="16383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9">
                      <a:extLst>
                        <a:ext uri="{28A0092B-C50C-407E-A947-70E740481C1C}"/>
                      </a:extLst>
                    </a:blip>
                    <a:srcRect/>
                    <a:stretch>
                      <a:fillRect/>
                    </a:stretch>
                  </pic:blipFill>
                  <pic:spPr bwMode="auto">
                    <a:xfrm>
                      <a:off x="0" y="0"/>
                      <a:ext cx="4283710" cy="163830"/>
                    </a:xfrm>
                    <a:prstGeom prst="rect">
                      <a:avLst/>
                    </a:prstGeom>
                    <a:noFill/>
                  </pic:spPr>
                </pic:pic>
              </a:graphicData>
            </a:graphic>
          </wp:anchor>
        </w:drawing>
      </w:r>
    </w:p>
    <w:p>
      <w:pPr>
        <w:sectPr>
          <w:pgSz w:w="11900" w:h="16838" w:orient="portrait"/>
          <w:cols w:equalWidth="0" w:num="1">
            <w:col w:w="9604"/>
          </w:cols>
          <w:pgMar w:left="855" w:top="762" w:right="1440" w:bottom="1440" w:gutter="0" w:footer="0" w:header="0"/>
          <w:type w:val="continuous"/>
        </w:sectPr>
      </w:pPr>
    </w:p>
    <w:bookmarkStart w:id="112" w:name="page113"/>
    <w:bookmarkEnd w:id="112"/>
    <w:p>
      <w:pPr>
        <w:ind w:left="745" w:right="5779" w:hanging="199"/>
        <w:spacing w:after="0" w:line="509" w:lineRule="auto"/>
        <w:tabs>
          <w:tab w:leader="none" w:pos="983" w:val="left"/>
        </w:tabs>
        <w:numPr>
          <w:ilvl w:val="0"/>
          <w:numId w:val="76"/>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177165</wp:posOffset>
            </wp:positionH>
            <wp:positionV relativeFrom="page">
              <wp:posOffset>120015</wp:posOffset>
            </wp:positionV>
            <wp:extent cx="719391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0">
                      <a:extLst>
                        <a:ext uri="{28A0092B-C50C-407E-A947-70E740481C1C}"/>
                      </a:extLst>
                    </a:blip>
                    <a:srcRect/>
                    <a:stretch>
                      <a:fillRect/>
                    </a:stretch>
                  </pic:blipFill>
                  <pic:spPr bwMode="auto">
                    <a:xfrm>
                      <a:off x="0" y="0"/>
                      <a:ext cx="7193915" cy="38100"/>
                    </a:xfrm>
                    <a:prstGeom prst="rect">
                      <a:avLst/>
                    </a:prstGeom>
                    <a:noFill/>
                  </pic:spPr>
                </pic:pic>
              </a:graphicData>
            </a:graphic>
          </wp:anchor>
        </w:drawing>
        <w:t>Brighthouse Life Insurance Company of NY (NY) (i.)     BLICNY Property Ventures, LLC (DE)</w:t>
      </w:r>
    </w:p>
    <w:p>
      <w:pPr>
        <w:ind w:left="985" w:hanging="439"/>
        <w:spacing w:after="0"/>
        <w:tabs>
          <w:tab w:leader="none" w:pos="985" w:val="left"/>
        </w:tabs>
        <w:numPr>
          <w:ilvl w:val="0"/>
          <w:numId w:val="76"/>
        </w:numPr>
        <w:rPr>
          <w:rFonts w:ascii="Arial" w:cs="Arial" w:eastAsia="Arial" w:hAnsi="Arial"/>
          <w:sz w:val="13"/>
          <w:szCs w:val="13"/>
          <w:color w:val="auto"/>
        </w:rPr>
      </w:pPr>
      <w:r>
        <w:rPr>
          <w:rFonts w:ascii="Arial" w:cs="Arial" w:eastAsia="Arial" w:hAnsi="Arial"/>
          <w:sz w:val="13"/>
          <w:szCs w:val="13"/>
          <w:color w:val="auto"/>
        </w:rPr>
        <w:t>Brighthouse Renewables Holdings, LLC (DE)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-338455</wp:posOffset>
            </wp:positionV>
            <wp:extent cx="4283710" cy="20129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1">
                      <a:extLst>
                        <a:ext uri="{28A0092B-C50C-407E-A947-70E740481C1C}"/>
                      </a:extLst>
                    </a:blip>
                    <a:srcRect/>
                    <a:stretch>
                      <a:fillRect/>
                    </a:stretch>
                  </pic:blipFill>
                  <pic:spPr bwMode="auto">
                    <a:xfrm>
                      <a:off x="0" y="0"/>
                      <a:ext cx="4283710" cy="2012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64135</wp:posOffset>
            </wp:positionV>
            <wp:extent cx="4283710" cy="20129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2">
                      <a:extLst>
                        <a:ext uri="{28A0092B-C50C-407E-A947-70E740481C1C}"/>
                      </a:extLst>
                    </a:blip>
                    <a:srcRect/>
                    <a:stretch>
                      <a:fillRect/>
                    </a:stretch>
                  </pic:blipFill>
                  <pic:spPr bwMode="auto">
                    <a:xfrm>
                      <a:off x="0" y="0"/>
                      <a:ext cx="4283710" cy="201295"/>
                    </a:xfrm>
                    <a:prstGeom prst="rect">
                      <a:avLst/>
                    </a:prstGeom>
                    <a:noFill/>
                  </pic:spPr>
                </pic:pic>
              </a:graphicData>
            </a:graphic>
          </wp:anchor>
        </w:drawing>
      </w:r>
    </w:p>
    <w:p>
      <w:pPr>
        <w:spacing w:after="0" w:line="148" w:lineRule="exact"/>
        <w:rPr>
          <w:sz w:val="20"/>
          <w:szCs w:val="20"/>
          <w:color w:val="auto"/>
        </w:rPr>
      </w:pPr>
    </w:p>
    <w:p>
      <w:pPr>
        <w:ind w:left="745"/>
        <w:spacing w:after="0"/>
        <w:rPr>
          <w:sz w:val="20"/>
          <w:szCs w:val="20"/>
          <w:color w:val="auto"/>
        </w:rPr>
      </w:pPr>
      <w:r>
        <w:rPr>
          <w:rFonts w:ascii="Arial" w:cs="Arial" w:eastAsia="Arial" w:hAnsi="Arial"/>
          <w:sz w:val="13"/>
          <w:szCs w:val="13"/>
          <w:color w:val="auto"/>
        </w:rPr>
        <w:t>(i.)     Greater Sandhill I, LLC (DE)</w:t>
      </w:r>
    </w:p>
    <w:p>
      <w:pPr>
        <w:spacing w:after="0" w:line="168" w:lineRule="exact"/>
        <w:rPr>
          <w:sz w:val="20"/>
          <w:szCs w:val="20"/>
          <w:color w:val="auto"/>
        </w:rPr>
      </w:pPr>
    </w:p>
    <w:p>
      <w:pPr>
        <w:ind w:left="985" w:hanging="439"/>
        <w:spacing w:after="0"/>
        <w:tabs>
          <w:tab w:leader="none" w:pos="985" w:val="left"/>
        </w:tabs>
        <w:numPr>
          <w:ilvl w:val="0"/>
          <w:numId w:val="77"/>
        </w:numPr>
        <w:rPr>
          <w:rFonts w:ascii="Arial" w:cs="Arial" w:eastAsia="Arial" w:hAnsi="Arial"/>
          <w:sz w:val="13"/>
          <w:szCs w:val="13"/>
          <w:color w:val="auto"/>
        </w:rPr>
      </w:pPr>
      <w:r>
        <w:rPr>
          <w:rFonts w:ascii="Arial" w:cs="Arial" w:eastAsia="Arial" w:hAnsi="Arial"/>
          <w:sz w:val="13"/>
          <w:szCs w:val="13"/>
          <w:color w:val="auto"/>
        </w:rPr>
        <w:t>Brighthouse Assignment Company (CT)</w:t>
      </w:r>
    </w:p>
    <w:p>
      <w:pPr>
        <w:spacing w:after="0" w:line="167" w:lineRule="exact"/>
        <w:rPr>
          <w:rFonts w:ascii="Arial" w:cs="Arial" w:eastAsia="Arial" w:hAnsi="Arial"/>
          <w:sz w:val="13"/>
          <w:szCs w:val="13"/>
          <w:color w:val="auto"/>
        </w:rPr>
      </w:pPr>
    </w:p>
    <w:p>
      <w:pPr>
        <w:ind w:left="985" w:hanging="439"/>
        <w:spacing w:after="0"/>
        <w:tabs>
          <w:tab w:leader="none" w:pos="985" w:val="left"/>
        </w:tabs>
        <w:numPr>
          <w:ilvl w:val="0"/>
          <w:numId w:val="77"/>
        </w:numPr>
        <w:rPr>
          <w:rFonts w:ascii="Arial" w:cs="Arial" w:eastAsia="Arial" w:hAnsi="Arial"/>
          <w:sz w:val="13"/>
          <w:szCs w:val="13"/>
          <w:color w:val="auto"/>
        </w:rPr>
      </w:pPr>
      <w:r>
        <w:rPr>
          <w:rFonts w:ascii="Arial" w:cs="Arial" w:eastAsia="Arial" w:hAnsi="Arial"/>
          <w:sz w:val="13"/>
          <w:szCs w:val="13"/>
          <w:color w:val="auto"/>
        </w:rPr>
        <w:t>Euro TL Investments LLC (DE)</w:t>
      </w:r>
    </w:p>
    <w:p>
      <w:pPr>
        <w:spacing w:after="0" w:line="167" w:lineRule="exact"/>
        <w:rPr>
          <w:rFonts w:ascii="Arial" w:cs="Arial" w:eastAsia="Arial" w:hAnsi="Arial"/>
          <w:sz w:val="13"/>
          <w:szCs w:val="13"/>
          <w:color w:val="auto"/>
        </w:rPr>
      </w:pPr>
    </w:p>
    <w:p>
      <w:pPr>
        <w:ind w:left="985" w:hanging="439"/>
        <w:spacing w:after="0"/>
        <w:tabs>
          <w:tab w:leader="none" w:pos="985" w:val="left"/>
        </w:tabs>
        <w:numPr>
          <w:ilvl w:val="0"/>
          <w:numId w:val="77"/>
        </w:numPr>
        <w:rPr>
          <w:rFonts w:ascii="Arial" w:cs="Arial" w:eastAsia="Arial" w:hAnsi="Arial"/>
          <w:sz w:val="13"/>
          <w:szCs w:val="13"/>
          <w:color w:val="auto"/>
        </w:rPr>
      </w:pPr>
      <w:r>
        <w:rPr>
          <w:rFonts w:ascii="Arial" w:cs="Arial" w:eastAsia="Arial" w:hAnsi="Arial"/>
          <w:sz w:val="13"/>
          <w:szCs w:val="13"/>
          <w:color w:val="auto"/>
        </w:rPr>
        <w:t>TLA Holdings LLC (DE)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-338455</wp:posOffset>
            </wp:positionV>
            <wp:extent cx="4283710" cy="20129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3">
                      <a:extLst>
                        <a:ext uri="{28A0092B-C50C-407E-A947-70E740481C1C}"/>
                      </a:extLst>
                    </a:blip>
                    <a:srcRect/>
                    <a:stretch>
                      <a:fillRect/>
                    </a:stretch>
                  </pic:blipFill>
                  <pic:spPr bwMode="auto">
                    <a:xfrm>
                      <a:off x="0" y="0"/>
                      <a:ext cx="4283710" cy="2012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64135</wp:posOffset>
            </wp:positionV>
            <wp:extent cx="4283710" cy="20129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4">
                      <a:extLst>
                        <a:ext uri="{28A0092B-C50C-407E-A947-70E740481C1C}"/>
                      </a:extLst>
                    </a:blip>
                    <a:srcRect/>
                    <a:stretch>
                      <a:fillRect/>
                    </a:stretch>
                  </pic:blipFill>
                  <pic:spPr bwMode="auto">
                    <a:xfrm>
                      <a:off x="0" y="0"/>
                      <a:ext cx="4283710" cy="201295"/>
                    </a:xfrm>
                    <a:prstGeom prst="rect">
                      <a:avLst/>
                    </a:prstGeom>
                    <a:noFill/>
                  </pic:spPr>
                </pic:pic>
              </a:graphicData>
            </a:graphic>
          </wp:anchor>
        </w:drawing>
      </w:r>
    </w:p>
    <w:p>
      <w:pPr>
        <w:spacing w:after="0" w:line="148" w:lineRule="exact"/>
        <w:rPr>
          <w:sz w:val="20"/>
          <w:szCs w:val="20"/>
          <w:color w:val="auto"/>
        </w:rPr>
      </w:pPr>
    </w:p>
    <w:p>
      <w:pPr>
        <w:ind w:left="745"/>
        <w:spacing w:after="0"/>
        <w:rPr>
          <w:sz w:val="20"/>
          <w:szCs w:val="20"/>
          <w:color w:val="auto"/>
        </w:rPr>
      </w:pPr>
      <w:r>
        <w:rPr>
          <w:rFonts w:ascii="Arial" w:cs="Arial" w:eastAsia="Arial" w:hAnsi="Arial"/>
          <w:sz w:val="13"/>
          <w:szCs w:val="13"/>
          <w:color w:val="auto"/>
        </w:rPr>
        <w:t>(i.)     The Prospect Company, LLC (DE)</w:t>
      </w:r>
    </w:p>
    <w:p>
      <w:pPr>
        <w:spacing w:after="0" w:line="168" w:lineRule="exact"/>
        <w:rPr>
          <w:sz w:val="20"/>
          <w:szCs w:val="20"/>
          <w:color w:val="auto"/>
        </w:rPr>
      </w:pPr>
    </w:p>
    <w:p>
      <w:pPr>
        <w:ind w:left="545"/>
        <w:spacing w:after="0"/>
        <w:rPr>
          <w:sz w:val="20"/>
          <w:szCs w:val="20"/>
          <w:color w:val="auto"/>
        </w:rPr>
      </w:pPr>
      <w:r>
        <w:rPr>
          <w:rFonts w:ascii="Arial" w:cs="Arial" w:eastAsia="Arial" w:hAnsi="Arial"/>
          <w:sz w:val="13"/>
          <w:szCs w:val="13"/>
          <w:color w:val="auto"/>
        </w:rPr>
        <w:t>g.BLIC Property Ventures, LLC (DE)</w:t>
      </w:r>
    </w:p>
    <w:p>
      <w:pPr>
        <w:spacing w:after="0" w:line="167" w:lineRule="exact"/>
        <w:rPr>
          <w:sz w:val="20"/>
          <w:szCs w:val="20"/>
          <w:color w:val="auto"/>
        </w:rPr>
      </w:pPr>
    </w:p>
    <w:p>
      <w:pPr>
        <w:ind w:left="545" w:hanging="277"/>
        <w:spacing w:after="0"/>
        <w:tabs>
          <w:tab w:leader="none" w:pos="545" w:val="left"/>
        </w:tabs>
        <w:numPr>
          <w:ilvl w:val="0"/>
          <w:numId w:val="78"/>
        </w:numPr>
        <w:rPr>
          <w:rFonts w:ascii="Arial" w:cs="Arial" w:eastAsia="Arial" w:hAnsi="Arial"/>
          <w:sz w:val="13"/>
          <w:szCs w:val="13"/>
          <w:color w:val="auto"/>
        </w:rPr>
      </w:pPr>
      <w:r>
        <w:rPr>
          <w:rFonts w:ascii="Arial" w:cs="Arial" w:eastAsia="Arial" w:hAnsi="Arial"/>
          <w:sz w:val="13"/>
          <w:szCs w:val="13"/>
          <w:color w:val="auto"/>
        </w:rPr>
        <w:t>Brighthouse Securities, LLC (DE)</w:t>
      </w:r>
    </w:p>
    <w:p>
      <w:pPr>
        <w:spacing w:after="0" w:line="167" w:lineRule="exact"/>
        <w:rPr>
          <w:rFonts w:ascii="Arial" w:cs="Arial" w:eastAsia="Arial" w:hAnsi="Arial"/>
          <w:sz w:val="13"/>
          <w:szCs w:val="13"/>
          <w:color w:val="auto"/>
        </w:rPr>
      </w:pPr>
    </w:p>
    <w:p>
      <w:pPr>
        <w:ind w:left="545" w:hanging="277"/>
        <w:spacing w:after="0"/>
        <w:tabs>
          <w:tab w:leader="none" w:pos="545" w:val="left"/>
        </w:tabs>
        <w:numPr>
          <w:ilvl w:val="0"/>
          <w:numId w:val="78"/>
        </w:numPr>
        <w:rPr>
          <w:rFonts w:ascii="Arial" w:cs="Arial" w:eastAsia="Arial" w:hAnsi="Arial"/>
          <w:sz w:val="13"/>
          <w:szCs w:val="13"/>
          <w:color w:val="auto"/>
        </w:rPr>
      </w:pPr>
      <w:r>
        <w:rPr>
          <w:rFonts w:ascii="Arial" w:cs="Arial" w:eastAsia="Arial" w:hAnsi="Arial"/>
          <w:sz w:val="13"/>
          <w:szCs w:val="13"/>
          <w:color w:val="auto"/>
        </w:rPr>
        <w:t>Brighthouse Services, LLC (DE)</w:t>
      </w:r>
    </w:p>
    <w:p>
      <w:pPr>
        <w:spacing w:after="0" w:line="167" w:lineRule="exact"/>
        <w:rPr>
          <w:rFonts w:ascii="Arial" w:cs="Arial" w:eastAsia="Arial" w:hAnsi="Arial"/>
          <w:sz w:val="13"/>
          <w:szCs w:val="13"/>
          <w:color w:val="auto"/>
        </w:rPr>
      </w:pPr>
    </w:p>
    <w:p>
      <w:pPr>
        <w:ind w:left="545" w:hanging="277"/>
        <w:spacing w:after="0"/>
        <w:tabs>
          <w:tab w:leader="none" w:pos="545" w:val="left"/>
        </w:tabs>
        <w:numPr>
          <w:ilvl w:val="0"/>
          <w:numId w:val="78"/>
        </w:numPr>
        <w:rPr>
          <w:rFonts w:ascii="Arial" w:cs="Arial" w:eastAsia="Arial" w:hAnsi="Arial"/>
          <w:sz w:val="13"/>
          <w:szCs w:val="13"/>
          <w:color w:val="auto"/>
        </w:rPr>
      </w:pPr>
      <w:r>
        <w:rPr>
          <w:rFonts w:ascii="Arial" w:cs="Arial" w:eastAsia="Arial" w:hAnsi="Arial"/>
          <w:sz w:val="13"/>
          <w:szCs w:val="13"/>
          <w:color w:val="auto"/>
        </w:rPr>
        <w:t>Brighthouse Investment Advisers, LLC (DE)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-539750</wp:posOffset>
            </wp:positionV>
            <wp:extent cx="4283710" cy="20129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5">
                      <a:extLst>
                        <a:ext uri="{28A0092B-C50C-407E-A947-70E740481C1C}"/>
                      </a:extLst>
                    </a:blip>
                    <a:srcRect/>
                    <a:stretch>
                      <a:fillRect/>
                    </a:stretch>
                  </pic:blipFill>
                  <pic:spPr bwMode="auto">
                    <a:xfrm>
                      <a:off x="0" y="0"/>
                      <a:ext cx="4283710" cy="2012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-136525</wp:posOffset>
            </wp:positionV>
            <wp:extent cx="4283710" cy="16383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6">
                      <a:extLst>
                        <a:ext uri="{28A0092B-C50C-407E-A947-70E740481C1C}"/>
                      </a:extLst>
                    </a:blip>
                    <a:srcRect/>
                    <a:stretch>
                      <a:fillRect/>
                    </a:stretch>
                  </pic:blipFill>
                  <pic:spPr bwMode="auto">
                    <a:xfrm>
                      <a:off x="0" y="0"/>
                      <a:ext cx="4283710" cy="163830"/>
                    </a:xfrm>
                    <a:prstGeom prst="rect">
                      <a:avLst/>
                    </a:prstGeom>
                    <a:noFill/>
                  </pic:spPr>
                </pic:pic>
              </a:graphicData>
            </a:graphic>
          </wp:anchor>
        </w:drawing>
      </w:r>
    </w:p>
    <w:p>
      <w:pPr>
        <w:spacing w:after="0" w:line="168" w:lineRule="exact"/>
        <w:rPr>
          <w:sz w:val="20"/>
          <w:szCs w:val="20"/>
          <w:color w:val="auto"/>
        </w:rPr>
      </w:pPr>
    </w:p>
    <w:p>
      <w:pPr>
        <w:ind w:left="5"/>
        <w:spacing w:after="0"/>
        <w:tabs>
          <w:tab w:leader="none" w:pos="705" w:val="left"/>
        </w:tabs>
        <w:rPr>
          <w:sz w:val="20"/>
          <w:szCs w:val="20"/>
          <w:color w:val="auto"/>
        </w:rPr>
      </w:pPr>
      <w:r>
        <w:rPr>
          <w:rFonts w:ascii="Arial" w:cs="Arial" w:eastAsia="Arial" w:hAnsi="Arial"/>
          <w:sz w:val="13"/>
          <w:szCs w:val="13"/>
          <w:b w:val="1"/>
          <w:bCs w:val="1"/>
          <w:color w:val="auto"/>
        </w:rPr>
        <w:t>Item 30.</w:t>
      </w:r>
      <w:r>
        <w:rPr>
          <w:sz w:val="20"/>
          <w:szCs w:val="20"/>
          <w:color w:val="auto"/>
        </w:rPr>
        <w:tab/>
      </w:r>
      <w:r>
        <w:rPr>
          <w:rFonts w:ascii="Arial" w:cs="Arial" w:eastAsia="Arial" w:hAnsi="Arial"/>
          <w:sz w:val="13"/>
          <w:szCs w:val="13"/>
          <w:b w:val="1"/>
          <w:bCs w:val="1"/>
          <w:color w:val="auto"/>
        </w:rPr>
        <w:t>Indemnification</w:t>
      </w:r>
    </w:p>
    <w:p>
      <w:pPr>
        <w:spacing w:after="0" w:line="79" w:lineRule="exact"/>
        <w:rPr>
          <w:sz w:val="20"/>
          <w:szCs w:val="20"/>
          <w:color w:val="auto"/>
        </w:rPr>
      </w:pPr>
    </w:p>
    <w:p>
      <w:pPr>
        <w:ind w:left="5" w:right="2879"/>
        <w:spacing w:after="0" w:line="259" w:lineRule="auto"/>
        <w:rPr>
          <w:sz w:val="20"/>
          <w:szCs w:val="20"/>
          <w:color w:val="auto"/>
        </w:rPr>
      </w:pPr>
      <w:r>
        <w:rPr>
          <w:rFonts w:ascii="Arial" w:cs="Arial" w:eastAsia="Arial" w:hAnsi="Arial"/>
          <w:sz w:val="13"/>
          <w:szCs w:val="13"/>
          <w:color w:val="auto"/>
        </w:rPr>
        <w:t>Pursuant to applicable provisions of Brighthouse Life Insurance Company’s by-laws or internal corporate policies adopted by Brighthouse Life Insurance Company or Brighthouse Financial, Inc., its ultimate parent, the directors, officers and other controlling persons of Brighthouse Life Insurance Company and of Brighthouse Life Insurance Company’s affiliate and the underwriter, Brighthouse Securities, LLC, who are made or threatened to be made a party to an action or proceeding, may be eligible to obtain indemnification against judgments, fines, amounts paid in settlement and reasonable expenses, including attorneys’ fees, incurred as a result of such action or proceeding. Under the principal underwriting agreement between Brighthouse Life Insurance Company and Brighthouse Securities, LLC, the parties have agreed to indemnify each other against certain liabilities and expenses from legal proceedings arising out of Brighthouse Securities LLC’s distribution of the Contracts.</w:t>
      </w:r>
    </w:p>
    <w:p>
      <w:pPr>
        <w:spacing w:after="0" w:line="56" w:lineRule="exact"/>
        <w:rPr>
          <w:sz w:val="20"/>
          <w:szCs w:val="20"/>
          <w:color w:val="auto"/>
        </w:rPr>
      </w:pPr>
    </w:p>
    <w:p>
      <w:pPr>
        <w:ind w:left="5" w:right="2999"/>
        <w:spacing w:after="0" w:line="274" w:lineRule="auto"/>
        <w:rPr>
          <w:sz w:val="20"/>
          <w:szCs w:val="20"/>
          <w:color w:val="auto"/>
        </w:rPr>
      </w:pPr>
      <w:r>
        <w:rPr>
          <w:rFonts w:ascii="Arial" w:cs="Arial" w:eastAsia="Arial" w:hAnsi="Arial"/>
          <w:sz w:val="13"/>
          <w:szCs w:val="13"/>
          <w:color w:val="auto"/>
        </w:rPr>
        <w:t>Brighthouse Financial, Inc. also maintains directors and officers and professional liability insurance policies under which the Registrant, and the Underwriter, as well as certain other Brighthouse subsidiaries, are covered. Brighthouse Financial, Inc. also has secured a financial institutions bond.</w:t>
      </w:r>
    </w:p>
    <w:p>
      <w:pPr>
        <w:spacing w:after="0" w:line="44" w:lineRule="exact"/>
        <w:rPr>
          <w:sz w:val="20"/>
          <w:szCs w:val="20"/>
          <w:color w:val="auto"/>
        </w:rPr>
      </w:pPr>
    </w:p>
    <w:p>
      <w:pPr>
        <w:ind w:left="5" w:right="2899"/>
        <w:spacing w:after="0" w:line="259" w:lineRule="auto"/>
        <w:rPr>
          <w:sz w:val="20"/>
          <w:szCs w:val="20"/>
          <w:color w:val="auto"/>
        </w:rPr>
      </w:pPr>
      <w:r>
        <w:rPr>
          <w:rFonts w:ascii="Arial" w:cs="Arial" w:eastAsia="Arial" w:hAnsi="Arial"/>
          <w:sz w:val="13"/>
          <w:szCs w:val="13"/>
          <w:color w:val="auto"/>
        </w:rPr>
        <w:t>Insofar as indemnification for liability arising under the Securities Act of 1933 may be permitted to directors, officers and controlling persons of the Company pursuant to the foregoing provisions, or otherwise, the Company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23" w:lineRule="exact"/>
        <w:rPr>
          <w:sz w:val="20"/>
          <w:szCs w:val="20"/>
          <w:color w:val="auto"/>
        </w:rPr>
      </w:pPr>
    </w:p>
    <w:p>
      <w:pPr>
        <w:ind w:left="5"/>
        <w:spacing w:after="0"/>
        <w:tabs>
          <w:tab w:leader="none" w:pos="705" w:val="left"/>
        </w:tabs>
        <w:rPr>
          <w:sz w:val="20"/>
          <w:szCs w:val="20"/>
          <w:color w:val="auto"/>
        </w:rPr>
      </w:pPr>
      <w:r>
        <w:rPr>
          <w:rFonts w:ascii="Arial" w:cs="Arial" w:eastAsia="Arial" w:hAnsi="Arial"/>
          <w:sz w:val="13"/>
          <w:szCs w:val="13"/>
          <w:b w:val="1"/>
          <w:bCs w:val="1"/>
          <w:color w:val="auto"/>
        </w:rPr>
        <w:t>Item 31.</w:t>
      </w:r>
      <w:r>
        <w:rPr>
          <w:sz w:val="20"/>
          <w:szCs w:val="20"/>
          <w:color w:val="auto"/>
        </w:rPr>
        <w:tab/>
      </w:r>
      <w:r>
        <w:rPr>
          <w:rFonts w:ascii="Arial" w:cs="Arial" w:eastAsia="Arial" w:hAnsi="Arial"/>
          <w:sz w:val="13"/>
          <w:szCs w:val="13"/>
          <w:b w:val="1"/>
          <w:bCs w:val="1"/>
          <w:color w:val="auto"/>
        </w:rPr>
        <w:t>Principal Underwriters</w:t>
      </w:r>
    </w:p>
    <w:p>
      <w:pPr>
        <w:spacing w:after="0" w:line="69" w:lineRule="exact"/>
        <w:rPr>
          <w:sz w:val="20"/>
          <w:szCs w:val="20"/>
          <w:color w:val="auto"/>
        </w:rPr>
      </w:pPr>
    </w:p>
    <w:p>
      <w:pPr>
        <w:ind w:left="625" w:hanging="625"/>
        <w:spacing w:after="0"/>
        <w:tabs>
          <w:tab w:leader="none" w:pos="625" w:val="left"/>
        </w:tabs>
        <w:numPr>
          <w:ilvl w:val="0"/>
          <w:numId w:val="79"/>
        </w:numPr>
        <w:rPr>
          <w:rFonts w:ascii="Arial" w:cs="Arial" w:eastAsia="Arial" w:hAnsi="Arial"/>
          <w:sz w:val="13"/>
          <w:szCs w:val="13"/>
          <w:color w:val="auto"/>
        </w:rPr>
      </w:pPr>
      <w:r>
        <w:rPr>
          <w:rFonts w:ascii="Arial" w:cs="Arial" w:eastAsia="Arial" w:hAnsi="Arial"/>
          <w:sz w:val="13"/>
          <w:szCs w:val="13"/>
          <w:color w:val="auto"/>
        </w:rPr>
        <w:t>Brighthouse Securities, LLC is the principal underwriter for the following investment companies :</w:t>
      </w:r>
    </w:p>
    <w:p>
      <w:pPr>
        <w:spacing w:after="0" w:line="99" w:lineRule="exact"/>
        <w:rPr>
          <w:sz w:val="20"/>
          <w:szCs w:val="20"/>
          <w:color w:val="auto"/>
        </w:rPr>
      </w:pPr>
    </w:p>
    <w:p>
      <w:pPr>
        <w:ind w:left="5"/>
        <w:spacing w:after="0"/>
        <w:rPr>
          <w:sz w:val="20"/>
          <w:szCs w:val="20"/>
          <w:color w:val="auto"/>
        </w:rPr>
      </w:pPr>
      <w:r>
        <w:rPr>
          <w:rFonts w:ascii="Arial" w:cs="Arial" w:eastAsia="Arial" w:hAnsi="Arial"/>
          <w:sz w:val="13"/>
          <w:szCs w:val="13"/>
          <w:color w:val="auto"/>
        </w:rPr>
        <w:t>Brighthouse Fund UL for Variable Life Insurance</w:t>
      </w:r>
    </w:p>
    <w:p>
      <w:pPr>
        <w:spacing w:after="0" w:line="24" w:lineRule="exact"/>
        <w:rPr>
          <w:sz w:val="20"/>
          <w:szCs w:val="20"/>
          <w:color w:val="auto"/>
        </w:rPr>
      </w:pPr>
    </w:p>
    <w:p>
      <w:pPr>
        <w:ind w:left="5"/>
        <w:spacing w:after="0"/>
        <w:rPr>
          <w:sz w:val="20"/>
          <w:szCs w:val="20"/>
          <w:color w:val="auto"/>
        </w:rPr>
      </w:pPr>
      <w:r>
        <w:rPr>
          <w:rFonts w:ascii="Arial" w:cs="Arial" w:eastAsia="Arial" w:hAnsi="Arial"/>
          <w:sz w:val="13"/>
          <w:szCs w:val="13"/>
          <w:color w:val="auto"/>
        </w:rPr>
        <w:t>Brighthouse Fund UL III for Variable Life Insurance</w:t>
      </w:r>
    </w:p>
    <w:p>
      <w:pPr>
        <w:spacing w:after="0" w:line="19" w:lineRule="exact"/>
        <w:rPr>
          <w:sz w:val="20"/>
          <w:szCs w:val="20"/>
          <w:color w:val="auto"/>
        </w:rPr>
      </w:pPr>
    </w:p>
    <w:p>
      <w:pPr>
        <w:ind w:left="5"/>
        <w:spacing w:after="0"/>
        <w:rPr>
          <w:sz w:val="20"/>
          <w:szCs w:val="20"/>
          <w:color w:val="auto"/>
        </w:rPr>
      </w:pPr>
      <w:r>
        <w:rPr>
          <w:rFonts w:ascii="Arial" w:cs="Arial" w:eastAsia="Arial" w:hAnsi="Arial"/>
          <w:sz w:val="13"/>
          <w:szCs w:val="13"/>
          <w:color w:val="auto"/>
        </w:rPr>
        <w:t>Brighthouse Funds Trust I</w:t>
      </w:r>
    </w:p>
    <w:p>
      <w:pPr>
        <w:spacing w:after="0" w:line="19" w:lineRule="exact"/>
        <w:rPr>
          <w:sz w:val="20"/>
          <w:szCs w:val="20"/>
          <w:color w:val="auto"/>
        </w:rPr>
      </w:pPr>
    </w:p>
    <w:p>
      <w:pPr>
        <w:ind w:left="5"/>
        <w:spacing w:after="0"/>
        <w:rPr>
          <w:sz w:val="20"/>
          <w:szCs w:val="20"/>
          <w:color w:val="auto"/>
        </w:rPr>
      </w:pPr>
      <w:r>
        <w:rPr>
          <w:rFonts w:ascii="Arial" w:cs="Arial" w:eastAsia="Arial" w:hAnsi="Arial"/>
          <w:sz w:val="13"/>
          <w:szCs w:val="13"/>
          <w:color w:val="auto"/>
        </w:rPr>
        <w:t>Brighthouse Funds Trust II</w:t>
      </w:r>
    </w:p>
    <w:p>
      <w:pPr>
        <w:spacing w:after="0" w:line="19" w:lineRule="exact"/>
        <w:rPr>
          <w:sz w:val="20"/>
          <w:szCs w:val="20"/>
          <w:color w:val="auto"/>
        </w:rPr>
      </w:pPr>
    </w:p>
    <w:p>
      <w:pPr>
        <w:ind w:left="5"/>
        <w:spacing w:after="0"/>
        <w:rPr>
          <w:sz w:val="20"/>
          <w:szCs w:val="20"/>
          <w:color w:val="auto"/>
        </w:rPr>
      </w:pPr>
      <w:r>
        <w:rPr>
          <w:rFonts w:ascii="Arial" w:cs="Arial" w:eastAsia="Arial" w:hAnsi="Arial"/>
          <w:sz w:val="13"/>
          <w:szCs w:val="13"/>
          <w:color w:val="auto"/>
        </w:rPr>
        <w:t>Brighthouse Separate Account A</w:t>
      </w:r>
    </w:p>
    <w:p>
      <w:pPr>
        <w:spacing w:after="0" w:line="19" w:lineRule="exact"/>
        <w:rPr>
          <w:sz w:val="20"/>
          <w:szCs w:val="20"/>
          <w:color w:val="auto"/>
        </w:rPr>
      </w:pPr>
    </w:p>
    <w:p>
      <w:pPr>
        <w:ind w:left="5"/>
        <w:spacing w:after="0"/>
        <w:rPr>
          <w:sz w:val="20"/>
          <w:szCs w:val="20"/>
          <w:color w:val="auto"/>
        </w:rPr>
      </w:pPr>
      <w:r>
        <w:rPr>
          <w:rFonts w:ascii="Arial" w:cs="Arial" w:eastAsia="Arial" w:hAnsi="Arial"/>
          <w:sz w:val="13"/>
          <w:szCs w:val="13"/>
          <w:color w:val="auto"/>
        </w:rPr>
        <w:t>Brighthouse Separate Account Eleven for Variable Annuities</w:t>
      </w:r>
    </w:p>
    <w:p>
      <w:pPr>
        <w:spacing w:after="0" w:line="19" w:lineRule="exact"/>
        <w:rPr>
          <w:sz w:val="20"/>
          <w:szCs w:val="20"/>
          <w:color w:val="auto"/>
        </w:rPr>
      </w:pPr>
    </w:p>
    <w:p>
      <w:pPr>
        <w:ind w:left="5"/>
        <w:spacing w:after="0"/>
        <w:rPr>
          <w:sz w:val="20"/>
          <w:szCs w:val="20"/>
          <w:color w:val="auto"/>
        </w:rPr>
      </w:pPr>
      <w:r>
        <w:rPr>
          <w:rFonts w:ascii="Arial" w:cs="Arial" w:eastAsia="Arial" w:hAnsi="Arial"/>
          <w:sz w:val="13"/>
          <w:szCs w:val="13"/>
          <w:color w:val="auto"/>
        </w:rPr>
        <w:t>Brighthouse Separate Account QPN for Variable Annuities</w:t>
      </w:r>
    </w:p>
    <w:p>
      <w:pPr>
        <w:spacing w:after="0" w:line="19" w:lineRule="exact"/>
        <w:rPr>
          <w:sz w:val="20"/>
          <w:szCs w:val="20"/>
          <w:color w:val="auto"/>
        </w:rPr>
      </w:pPr>
    </w:p>
    <w:p>
      <w:pPr>
        <w:ind w:left="5"/>
        <w:spacing w:after="0"/>
        <w:rPr>
          <w:sz w:val="20"/>
          <w:szCs w:val="20"/>
          <w:color w:val="auto"/>
        </w:rPr>
      </w:pPr>
      <w:r>
        <w:rPr>
          <w:rFonts w:ascii="Arial" w:cs="Arial" w:eastAsia="Arial" w:hAnsi="Arial"/>
          <w:sz w:val="13"/>
          <w:szCs w:val="13"/>
          <w:color w:val="auto"/>
        </w:rPr>
        <w:t>Brighthouse Variable Annuity Account B</w:t>
      </w:r>
    </w:p>
    <w:p>
      <w:pPr>
        <w:spacing w:after="0" w:line="19" w:lineRule="exact"/>
        <w:rPr>
          <w:sz w:val="20"/>
          <w:szCs w:val="20"/>
          <w:color w:val="auto"/>
        </w:rPr>
      </w:pPr>
    </w:p>
    <w:p>
      <w:pPr>
        <w:ind w:left="5"/>
        <w:spacing w:after="0"/>
        <w:rPr>
          <w:sz w:val="20"/>
          <w:szCs w:val="20"/>
          <w:color w:val="auto"/>
        </w:rPr>
      </w:pPr>
      <w:r>
        <w:rPr>
          <w:rFonts w:ascii="Arial" w:cs="Arial" w:eastAsia="Arial" w:hAnsi="Arial"/>
          <w:sz w:val="13"/>
          <w:szCs w:val="13"/>
          <w:color w:val="auto"/>
        </w:rPr>
        <w:t>Brighthouse Variable Annuity Account C</w:t>
      </w:r>
    </w:p>
    <w:p>
      <w:pPr>
        <w:sectPr>
          <w:pgSz w:w="11900" w:h="16838" w:orient="portrait"/>
          <w:cols w:equalWidth="0" w:num="1">
            <w:col w:w="9604"/>
          </w:cols>
          <w:pgMar w:left="855" w:top="781" w:right="1440" w:bottom="1440" w:gutter="0" w:footer="0" w:header="0"/>
        </w:sectPr>
      </w:pPr>
    </w:p>
    <w:bookmarkStart w:id="113" w:name="page114"/>
    <w:bookmarkEnd w:id="113"/>
    <w:p>
      <w:pPr>
        <w:ind w:left="5"/>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177165</wp:posOffset>
            </wp:positionH>
            <wp:positionV relativeFrom="page">
              <wp:posOffset>120015</wp:posOffset>
            </wp:positionV>
            <wp:extent cx="719391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7">
                      <a:extLst>
                        <a:ext uri="{28A0092B-C50C-407E-A947-70E740481C1C}"/>
                      </a:extLst>
                    </a:blip>
                    <a:srcRect/>
                    <a:stretch>
                      <a:fillRect/>
                    </a:stretch>
                  </pic:blipFill>
                  <pic:spPr bwMode="auto">
                    <a:xfrm>
                      <a:off x="0" y="0"/>
                      <a:ext cx="7193915" cy="38100"/>
                    </a:xfrm>
                    <a:prstGeom prst="rect">
                      <a:avLst/>
                    </a:prstGeom>
                    <a:noFill/>
                  </pic:spPr>
                </pic:pic>
              </a:graphicData>
            </a:graphic>
          </wp:anchor>
        </w:drawing>
        <w:t>Brighthouse Variable Life Account A</w:t>
      </w:r>
    </w:p>
    <w:p>
      <w:pPr>
        <w:spacing w:after="0" w:line="24" w:lineRule="exact"/>
        <w:rPr>
          <w:sz w:val="20"/>
          <w:szCs w:val="20"/>
          <w:color w:val="auto"/>
        </w:rPr>
      </w:pPr>
    </w:p>
    <w:p>
      <w:pPr>
        <w:ind w:left="5"/>
        <w:spacing w:after="0"/>
        <w:rPr>
          <w:sz w:val="20"/>
          <w:szCs w:val="20"/>
          <w:color w:val="auto"/>
        </w:rPr>
      </w:pPr>
      <w:r>
        <w:rPr>
          <w:rFonts w:ascii="Arial" w:cs="Arial" w:eastAsia="Arial" w:hAnsi="Arial"/>
          <w:sz w:val="13"/>
          <w:szCs w:val="13"/>
          <w:color w:val="auto"/>
        </w:rPr>
        <w:t>Brighthouse Variable Life Account One</w:t>
      </w:r>
    </w:p>
    <w:p>
      <w:pPr>
        <w:spacing w:after="0" w:line="19" w:lineRule="exact"/>
        <w:rPr>
          <w:sz w:val="20"/>
          <w:szCs w:val="20"/>
          <w:color w:val="auto"/>
        </w:rPr>
      </w:pPr>
    </w:p>
    <w:p>
      <w:pPr>
        <w:ind w:left="5"/>
        <w:spacing w:after="0"/>
        <w:rPr>
          <w:sz w:val="20"/>
          <w:szCs w:val="20"/>
          <w:color w:val="auto"/>
        </w:rPr>
      </w:pPr>
      <w:r>
        <w:rPr>
          <w:rFonts w:ascii="Arial" w:cs="Arial" w:eastAsia="Arial" w:hAnsi="Arial"/>
          <w:sz w:val="13"/>
          <w:szCs w:val="13"/>
          <w:color w:val="auto"/>
        </w:rPr>
        <w:t>New England Variable Annuity Separate Account</w:t>
      </w:r>
    </w:p>
    <w:p>
      <w:pPr>
        <w:spacing w:after="0" w:line="16" w:lineRule="exact"/>
        <w:rPr>
          <w:sz w:val="20"/>
          <w:szCs w:val="20"/>
          <w:color w:val="auto"/>
        </w:rPr>
      </w:pPr>
    </w:p>
    <w:p>
      <w:pPr>
        <w:ind w:left="5"/>
        <w:spacing w:after="0"/>
        <w:rPr>
          <w:sz w:val="20"/>
          <w:szCs w:val="20"/>
          <w:color w:val="auto"/>
        </w:rPr>
      </w:pPr>
      <w:r>
        <w:rPr>
          <w:rFonts w:ascii="Arial" w:cs="Arial" w:eastAsia="Arial" w:hAnsi="Arial"/>
          <w:sz w:val="13"/>
          <w:szCs w:val="13"/>
          <w:color w:val="auto"/>
        </w:rPr>
        <w:t>New England Variable Life Separate Account</w:t>
      </w:r>
    </w:p>
    <w:p>
      <w:pPr>
        <w:spacing w:after="0" w:line="87" w:lineRule="exact"/>
        <w:rPr>
          <w:sz w:val="20"/>
          <w:szCs w:val="20"/>
          <w:color w:val="auto"/>
        </w:rPr>
      </w:pPr>
    </w:p>
    <w:p>
      <w:pPr>
        <w:ind w:left="625" w:right="2919" w:hanging="625"/>
        <w:spacing w:after="0" w:line="293" w:lineRule="auto"/>
        <w:tabs>
          <w:tab w:leader="none" w:pos="625" w:val="left"/>
        </w:tabs>
        <w:numPr>
          <w:ilvl w:val="0"/>
          <w:numId w:val="80"/>
        </w:numPr>
        <w:rPr>
          <w:rFonts w:ascii="Arial" w:cs="Arial" w:eastAsia="Arial" w:hAnsi="Arial"/>
          <w:sz w:val="13"/>
          <w:szCs w:val="13"/>
          <w:color w:val="auto"/>
        </w:rPr>
      </w:pPr>
      <w:r>
        <w:rPr>
          <w:rFonts w:ascii="Arial" w:cs="Arial" w:eastAsia="Arial" w:hAnsi="Arial"/>
          <w:sz w:val="13"/>
          <w:szCs w:val="13"/>
          <w:color w:val="auto"/>
        </w:rPr>
        <w:t>Brighthouse Securities, LLC is the principal underwriter for the Contracts. The following persons are the officers and managers of Brighthouse Securities, LLC.:</w:t>
      </w:r>
    </w:p>
    <w:p>
      <w:pPr>
        <w:spacing w:after="0" w:line="68" w:lineRule="exact"/>
        <w:rPr>
          <w:sz w:val="20"/>
          <w:szCs w:val="20"/>
          <w:color w:val="auto"/>
        </w:rPr>
      </w:pPr>
    </w:p>
    <w:tbl>
      <w:tblPr>
        <w:tblLayout w:type="fixed"/>
        <w:tblInd w:w="5" w:type="dxa"/>
        <w:tblCellMar>
          <w:top w:w="0" w:type="dxa"/>
          <w:left w:w="0" w:type="dxa"/>
          <w:bottom w:w="0" w:type="dxa"/>
          <w:right w:w="0" w:type="dxa"/>
        </w:tblCellMar>
      </w:tblPr>
      <w:tr>
        <w:trPr>
          <w:trHeight w:val="150"/>
        </w:trPr>
        <w:tc>
          <w:tcPr>
            <w:tcW w:w="27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Name and Principal Business Address</w:t>
            </w:r>
          </w:p>
        </w:tc>
        <w:tc>
          <w:tcPr>
            <w:tcW w:w="180" w:type="dxa"/>
            <w:vAlign w:val="bottom"/>
          </w:tcPr>
          <w:p>
            <w:pPr>
              <w:spacing w:after="0"/>
              <w:rPr>
                <w:sz w:val="13"/>
                <w:szCs w:val="13"/>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Positions and Offices with Underwriter</w:t>
            </w:r>
          </w:p>
        </w:tc>
      </w:tr>
      <w:tr>
        <w:trPr>
          <w:trHeight w:val="231"/>
        </w:trPr>
        <w:tc>
          <w:tcPr>
            <w:tcW w:w="2700" w:type="dxa"/>
            <w:vAlign w:val="bottom"/>
          </w:tcPr>
          <w:p>
            <w:pPr>
              <w:spacing w:after="0"/>
              <w:rPr>
                <w:sz w:val="20"/>
                <w:szCs w:val="20"/>
                <w:color w:val="auto"/>
              </w:rPr>
            </w:pPr>
            <w:r>
              <w:rPr>
                <w:rFonts w:ascii="Arial" w:cs="Arial" w:eastAsia="Arial" w:hAnsi="Arial"/>
                <w:sz w:val="13"/>
                <w:szCs w:val="13"/>
                <w:color w:val="auto"/>
              </w:rPr>
              <w:t>Myles Lambert</w:t>
            </w:r>
          </w:p>
        </w:tc>
        <w:tc>
          <w:tcPr>
            <w:tcW w:w="18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3"/>
                <w:szCs w:val="13"/>
                <w:color w:val="auto"/>
              </w:rPr>
              <w:t>Manager, President and Chief Executive Officer</w:t>
            </w:r>
          </w:p>
        </w:tc>
      </w:tr>
      <w:tr>
        <w:trPr>
          <w:trHeight w:val="159"/>
        </w:trPr>
        <w:tc>
          <w:tcPr>
            <w:tcW w:w="2700" w:type="dxa"/>
            <w:vAlign w:val="bottom"/>
          </w:tcPr>
          <w:p>
            <w:pPr>
              <w:spacing w:after="0"/>
              <w:rPr>
                <w:sz w:val="20"/>
                <w:szCs w:val="20"/>
                <w:color w:val="auto"/>
              </w:rPr>
            </w:pPr>
            <w:r>
              <w:rPr>
                <w:rFonts w:ascii="Arial" w:cs="Arial" w:eastAsia="Arial" w:hAnsi="Arial"/>
                <w:sz w:val="13"/>
                <w:szCs w:val="13"/>
                <w:color w:val="auto"/>
              </w:rPr>
              <w:t>11225 North Community House Road</w:t>
            </w:r>
          </w:p>
        </w:tc>
        <w:tc>
          <w:tcPr>
            <w:tcW w:w="180" w:type="dxa"/>
            <w:vAlign w:val="bottom"/>
          </w:tcPr>
          <w:p>
            <w:pPr>
              <w:spacing w:after="0"/>
              <w:rPr>
                <w:sz w:val="13"/>
                <w:szCs w:val="13"/>
                <w:color w:val="auto"/>
              </w:rPr>
            </w:pPr>
          </w:p>
        </w:tc>
        <w:tc>
          <w:tcPr>
            <w:tcW w:w="3860" w:type="dxa"/>
            <w:vAlign w:val="bottom"/>
          </w:tcPr>
          <w:p>
            <w:pPr>
              <w:spacing w:after="0"/>
              <w:rPr>
                <w:sz w:val="13"/>
                <w:szCs w:val="13"/>
                <w:color w:val="auto"/>
              </w:rPr>
            </w:pPr>
          </w:p>
        </w:tc>
      </w:tr>
      <w:tr>
        <w:trPr>
          <w:trHeight w:val="174"/>
        </w:trPr>
        <w:tc>
          <w:tcPr>
            <w:tcW w:w="2700" w:type="dxa"/>
            <w:vAlign w:val="bottom"/>
          </w:tcPr>
          <w:p>
            <w:pPr>
              <w:spacing w:after="0"/>
              <w:rPr>
                <w:sz w:val="20"/>
                <w:szCs w:val="20"/>
                <w:color w:val="auto"/>
              </w:rPr>
            </w:pPr>
            <w:r>
              <w:rPr>
                <w:rFonts w:ascii="Arial" w:cs="Arial" w:eastAsia="Arial" w:hAnsi="Arial"/>
                <w:sz w:val="13"/>
                <w:szCs w:val="13"/>
                <w:color w:val="auto"/>
              </w:rPr>
              <w:t>Charlotte, NC 28277</w:t>
            </w:r>
          </w:p>
        </w:tc>
        <w:tc>
          <w:tcPr>
            <w:tcW w:w="180" w:type="dxa"/>
            <w:vAlign w:val="bottom"/>
          </w:tcPr>
          <w:p>
            <w:pPr>
              <w:spacing w:after="0"/>
              <w:rPr>
                <w:sz w:val="15"/>
                <w:szCs w:val="15"/>
                <w:color w:val="auto"/>
              </w:rPr>
            </w:pPr>
          </w:p>
        </w:tc>
        <w:tc>
          <w:tcPr>
            <w:tcW w:w="3860" w:type="dxa"/>
            <w:vAlign w:val="bottom"/>
          </w:tcPr>
          <w:p>
            <w:pPr>
              <w:spacing w:after="0"/>
              <w:rPr>
                <w:sz w:val="15"/>
                <w:szCs w:val="15"/>
                <w:color w:val="auto"/>
              </w:rPr>
            </w:pPr>
          </w:p>
        </w:tc>
      </w:tr>
      <w:tr>
        <w:trPr>
          <w:trHeight w:val="283"/>
        </w:trPr>
        <w:tc>
          <w:tcPr>
            <w:tcW w:w="2700" w:type="dxa"/>
            <w:vAlign w:val="bottom"/>
          </w:tcPr>
          <w:p>
            <w:pPr>
              <w:spacing w:after="0"/>
              <w:rPr>
                <w:sz w:val="20"/>
                <w:szCs w:val="20"/>
                <w:color w:val="auto"/>
              </w:rPr>
            </w:pPr>
            <w:r>
              <w:rPr>
                <w:rFonts w:ascii="Arial" w:cs="Arial" w:eastAsia="Arial" w:hAnsi="Arial"/>
                <w:sz w:val="13"/>
                <w:szCs w:val="13"/>
                <w:color w:val="auto"/>
              </w:rPr>
              <w:t>Philip Beaulieu</w:t>
            </w:r>
          </w:p>
        </w:tc>
        <w:tc>
          <w:tcPr>
            <w:tcW w:w="180" w:type="dxa"/>
            <w:vAlign w:val="bottom"/>
          </w:tcPr>
          <w:p>
            <w:pPr>
              <w:spacing w:after="0"/>
              <w:rPr>
                <w:sz w:val="24"/>
                <w:szCs w:val="24"/>
                <w:color w:val="auto"/>
              </w:rPr>
            </w:pPr>
          </w:p>
        </w:tc>
        <w:tc>
          <w:tcPr>
            <w:tcW w:w="3860" w:type="dxa"/>
            <w:vAlign w:val="bottom"/>
          </w:tcPr>
          <w:p>
            <w:pPr>
              <w:spacing w:after="0"/>
              <w:rPr>
                <w:sz w:val="20"/>
                <w:szCs w:val="20"/>
                <w:color w:val="auto"/>
              </w:rPr>
            </w:pPr>
            <w:r>
              <w:rPr>
                <w:rFonts w:ascii="Arial" w:cs="Arial" w:eastAsia="Arial" w:hAnsi="Arial"/>
                <w:sz w:val="13"/>
                <w:szCs w:val="13"/>
                <w:color w:val="auto"/>
              </w:rPr>
              <w:t>Manager and Vice President</w:t>
            </w:r>
          </w:p>
        </w:tc>
      </w:tr>
      <w:tr>
        <w:trPr>
          <w:trHeight w:val="159"/>
        </w:trPr>
        <w:tc>
          <w:tcPr>
            <w:tcW w:w="2700" w:type="dxa"/>
            <w:vAlign w:val="bottom"/>
          </w:tcPr>
          <w:p>
            <w:pPr>
              <w:spacing w:after="0"/>
              <w:rPr>
                <w:sz w:val="20"/>
                <w:szCs w:val="20"/>
                <w:color w:val="auto"/>
              </w:rPr>
            </w:pPr>
            <w:r>
              <w:rPr>
                <w:rFonts w:ascii="Arial" w:cs="Arial" w:eastAsia="Arial" w:hAnsi="Arial"/>
                <w:sz w:val="13"/>
                <w:szCs w:val="13"/>
                <w:color w:val="auto"/>
              </w:rPr>
              <w:t>11225 North Community House Road</w:t>
            </w:r>
          </w:p>
        </w:tc>
        <w:tc>
          <w:tcPr>
            <w:tcW w:w="180" w:type="dxa"/>
            <w:vAlign w:val="bottom"/>
          </w:tcPr>
          <w:p>
            <w:pPr>
              <w:spacing w:after="0"/>
              <w:rPr>
                <w:sz w:val="13"/>
                <w:szCs w:val="13"/>
                <w:color w:val="auto"/>
              </w:rPr>
            </w:pPr>
          </w:p>
        </w:tc>
        <w:tc>
          <w:tcPr>
            <w:tcW w:w="3860" w:type="dxa"/>
            <w:vAlign w:val="bottom"/>
          </w:tcPr>
          <w:p>
            <w:pPr>
              <w:spacing w:after="0"/>
              <w:rPr>
                <w:sz w:val="13"/>
                <w:szCs w:val="13"/>
                <w:color w:val="auto"/>
              </w:rPr>
            </w:pPr>
          </w:p>
        </w:tc>
      </w:tr>
      <w:tr>
        <w:trPr>
          <w:trHeight w:val="174"/>
        </w:trPr>
        <w:tc>
          <w:tcPr>
            <w:tcW w:w="2700" w:type="dxa"/>
            <w:vAlign w:val="bottom"/>
          </w:tcPr>
          <w:p>
            <w:pPr>
              <w:spacing w:after="0"/>
              <w:rPr>
                <w:sz w:val="20"/>
                <w:szCs w:val="20"/>
                <w:color w:val="auto"/>
              </w:rPr>
            </w:pPr>
            <w:r>
              <w:rPr>
                <w:rFonts w:ascii="Arial" w:cs="Arial" w:eastAsia="Arial" w:hAnsi="Arial"/>
                <w:sz w:val="13"/>
                <w:szCs w:val="13"/>
                <w:color w:val="auto"/>
              </w:rPr>
              <w:t>Charlotte, NC 28277</w:t>
            </w:r>
          </w:p>
        </w:tc>
        <w:tc>
          <w:tcPr>
            <w:tcW w:w="180" w:type="dxa"/>
            <w:vAlign w:val="bottom"/>
          </w:tcPr>
          <w:p>
            <w:pPr>
              <w:spacing w:after="0"/>
              <w:rPr>
                <w:sz w:val="15"/>
                <w:szCs w:val="15"/>
                <w:color w:val="auto"/>
              </w:rPr>
            </w:pPr>
          </w:p>
        </w:tc>
        <w:tc>
          <w:tcPr>
            <w:tcW w:w="3860" w:type="dxa"/>
            <w:vAlign w:val="bottom"/>
          </w:tcPr>
          <w:p>
            <w:pPr>
              <w:spacing w:after="0"/>
              <w:rPr>
                <w:sz w:val="15"/>
                <w:szCs w:val="15"/>
                <w:color w:val="auto"/>
              </w:rPr>
            </w:pPr>
          </w:p>
        </w:tc>
      </w:tr>
      <w:tr>
        <w:trPr>
          <w:trHeight w:val="273"/>
        </w:trPr>
        <w:tc>
          <w:tcPr>
            <w:tcW w:w="2700" w:type="dxa"/>
            <w:vAlign w:val="bottom"/>
          </w:tcPr>
          <w:p>
            <w:pPr>
              <w:spacing w:after="0"/>
              <w:rPr>
                <w:sz w:val="20"/>
                <w:szCs w:val="20"/>
                <w:color w:val="auto"/>
              </w:rPr>
            </w:pPr>
            <w:r>
              <w:rPr>
                <w:rFonts w:ascii="Arial" w:cs="Arial" w:eastAsia="Arial" w:hAnsi="Arial"/>
                <w:sz w:val="13"/>
                <w:szCs w:val="13"/>
                <w:color w:val="auto"/>
              </w:rPr>
              <w:t>Amy Cusson</w:t>
            </w:r>
          </w:p>
        </w:tc>
        <w:tc>
          <w:tcPr>
            <w:tcW w:w="180" w:type="dxa"/>
            <w:vAlign w:val="bottom"/>
          </w:tcPr>
          <w:p>
            <w:pPr>
              <w:spacing w:after="0"/>
              <w:rPr>
                <w:sz w:val="23"/>
                <w:szCs w:val="23"/>
                <w:color w:val="auto"/>
              </w:rPr>
            </w:pPr>
          </w:p>
        </w:tc>
        <w:tc>
          <w:tcPr>
            <w:tcW w:w="3860" w:type="dxa"/>
            <w:vAlign w:val="bottom"/>
          </w:tcPr>
          <w:p>
            <w:pPr>
              <w:spacing w:after="0"/>
              <w:rPr>
                <w:sz w:val="20"/>
                <w:szCs w:val="20"/>
                <w:color w:val="auto"/>
              </w:rPr>
            </w:pPr>
            <w:r>
              <w:rPr>
                <w:rFonts w:ascii="Arial" w:cs="Arial" w:eastAsia="Arial" w:hAnsi="Arial"/>
                <w:sz w:val="13"/>
                <w:szCs w:val="13"/>
                <w:color w:val="auto"/>
              </w:rPr>
              <w:t>Manager</w:t>
            </w:r>
          </w:p>
        </w:tc>
      </w:tr>
      <w:tr>
        <w:trPr>
          <w:trHeight w:val="159"/>
        </w:trPr>
        <w:tc>
          <w:tcPr>
            <w:tcW w:w="2700" w:type="dxa"/>
            <w:vAlign w:val="bottom"/>
          </w:tcPr>
          <w:p>
            <w:pPr>
              <w:spacing w:after="0"/>
              <w:rPr>
                <w:sz w:val="20"/>
                <w:szCs w:val="20"/>
                <w:color w:val="auto"/>
              </w:rPr>
            </w:pPr>
            <w:r>
              <w:rPr>
                <w:rFonts w:ascii="Arial" w:cs="Arial" w:eastAsia="Arial" w:hAnsi="Arial"/>
                <w:sz w:val="13"/>
                <w:szCs w:val="13"/>
                <w:color w:val="auto"/>
              </w:rPr>
              <w:t>11225 North Community House Road</w:t>
            </w:r>
          </w:p>
        </w:tc>
        <w:tc>
          <w:tcPr>
            <w:tcW w:w="180" w:type="dxa"/>
            <w:vAlign w:val="bottom"/>
          </w:tcPr>
          <w:p>
            <w:pPr>
              <w:spacing w:after="0"/>
              <w:rPr>
                <w:sz w:val="13"/>
                <w:szCs w:val="13"/>
                <w:color w:val="auto"/>
              </w:rPr>
            </w:pPr>
          </w:p>
        </w:tc>
        <w:tc>
          <w:tcPr>
            <w:tcW w:w="3860" w:type="dxa"/>
            <w:vAlign w:val="bottom"/>
          </w:tcPr>
          <w:p>
            <w:pPr>
              <w:spacing w:after="0"/>
              <w:rPr>
                <w:sz w:val="13"/>
                <w:szCs w:val="13"/>
                <w:color w:val="auto"/>
              </w:rPr>
            </w:pPr>
          </w:p>
        </w:tc>
      </w:tr>
      <w:tr>
        <w:trPr>
          <w:trHeight w:val="174"/>
        </w:trPr>
        <w:tc>
          <w:tcPr>
            <w:tcW w:w="2700" w:type="dxa"/>
            <w:vAlign w:val="bottom"/>
          </w:tcPr>
          <w:p>
            <w:pPr>
              <w:spacing w:after="0"/>
              <w:rPr>
                <w:sz w:val="20"/>
                <w:szCs w:val="20"/>
                <w:color w:val="auto"/>
              </w:rPr>
            </w:pPr>
            <w:r>
              <w:rPr>
                <w:rFonts w:ascii="Arial" w:cs="Arial" w:eastAsia="Arial" w:hAnsi="Arial"/>
                <w:sz w:val="13"/>
                <w:szCs w:val="13"/>
                <w:color w:val="auto"/>
              </w:rPr>
              <w:t>Charlotte, NC 28277</w:t>
            </w:r>
          </w:p>
        </w:tc>
        <w:tc>
          <w:tcPr>
            <w:tcW w:w="180" w:type="dxa"/>
            <w:vAlign w:val="bottom"/>
          </w:tcPr>
          <w:p>
            <w:pPr>
              <w:spacing w:after="0"/>
              <w:rPr>
                <w:sz w:val="15"/>
                <w:szCs w:val="15"/>
                <w:color w:val="auto"/>
              </w:rPr>
            </w:pPr>
          </w:p>
        </w:tc>
        <w:tc>
          <w:tcPr>
            <w:tcW w:w="3860" w:type="dxa"/>
            <w:vAlign w:val="bottom"/>
          </w:tcPr>
          <w:p>
            <w:pPr>
              <w:spacing w:after="0"/>
              <w:rPr>
                <w:sz w:val="15"/>
                <w:szCs w:val="15"/>
                <w:color w:val="auto"/>
              </w:rPr>
            </w:pPr>
          </w:p>
        </w:tc>
      </w:tr>
      <w:tr>
        <w:trPr>
          <w:trHeight w:val="273"/>
        </w:trPr>
        <w:tc>
          <w:tcPr>
            <w:tcW w:w="2700" w:type="dxa"/>
            <w:vAlign w:val="bottom"/>
          </w:tcPr>
          <w:p>
            <w:pPr>
              <w:spacing w:after="0"/>
              <w:rPr>
                <w:sz w:val="20"/>
                <w:szCs w:val="20"/>
                <w:color w:val="auto"/>
              </w:rPr>
            </w:pPr>
            <w:r>
              <w:rPr>
                <w:rFonts w:ascii="Arial" w:cs="Arial" w:eastAsia="Arial" w:hAnsi="Arial"/>
                <w:sz w:val="13"/>
                <w:szCs w:val="13"/>
                <w:color w:val="auto"/>
              </w:rPr>
              <w:t>Michael Davis</w:t>
            </w:r>
          </w:p>
        </w:tc>
        <w:tc>
          <w:tcPr>
            <w:tcW w:w="180" w:type="dxa"/>
            <w:vAlign w:val="bottom"/>
          </w:tcPr>
          <w:p>
            <w:pPr>
              <w:spacing w:after="0"/>
              <w:rPr>
                <w:sz w:val="23"/>
                <w:szCs w:val="23"/>
                <w:color w:val="auto"/>
              </w:rPr>
            </w:pPr>
          </w:p>
        </w:tc>
        <w:tc>
          <w:tcPr>
            <w:tcW w:w="3860" w:type="dxa"/>
            <w:vAlign w:val="bottom"/>
          </w:tcPr>
          <w:p>
            <w:pPr>
              <w:spacing w:after="0"/>
              <w:rPr>
                <w:sz w:val="20"/>
                <w:szCs w:val="20"/>
                <w:color w:val="auto"/>
              </w:rPr>
            </w:pPr>
            <w:r>
              <w:rPr>
                <w:rFonts w:ascii="Arial" w:cs="Arial" w:eastAsia="Arial" w:hAnsi="Arial"/>
                <w:sz w:val="13"/>
                <w:szCs w:val="13"/>
                <w:color w:val="auto"/>
              </w:rPr>
              <w:t>Manager and Vice President</w:t>
            </w:r>
          </w:p>
        </w:tc>
      </w:tr>
      <w:tr>
        <w:trPr>
          <w:trHeight w:val="159"/>
        </w:trPr>
        <w:tc>
          <w:tcPr>
            <w:tcW w:w="2700" w:type="dxa"/>
            <w:vAlign w:val="bottom"/>
          </w:tcPr>
          <w:p>
            <w:pPr>
              <w:spacing w:after="0"/>
              <w:rPr>
                <w:sz w:val="20"/>
                <w:szCs w:val="20"/>
                <w:color w:val="auto"/>
              </w:rPr>
            </w:pPr>
            <w:r>
              <w:rPr>
                <w:rFonts w:ascii="Arial" w:cs="Arial" w:eastAsia="Arial" w:hAnsi="Arial"/>
                <w:sz w:val="13"/>
                <w:szCs w:val="13"/>
                <w:color w:val="auto"/>
              </w:rPr>
              <w:t>11225 North Community House Road</w:t>
            </w:r>
          </w:p>
        </w:tc>
        <w:tc>
          <w:tcPr>
            <w:tcW w:w="180" w:type="dxa"/>
            <w:vAlign w:val="bottom"/>
          </w:tcPr>
          <w:p>
            <w:pPr>
              <w:spacing w:after="0"/>
              <w:rPr>
                <w:sz w:val="13"/>
                <w:szCs w:val="13"/>
                <w:color w:val="auto"/>
              </w:rPr>
            </w:pPr>
          </w:p>
        </w:tc>
        <w:tc>
          <w:tcPr>
            <w:tcW w:w="3860" w:type="dxa"/>
            <w:vAlign w:val="bottom"/>
          </w:tcPr>
          <w:p>
            <w:pPr>
              <w:spacing w:after="0"/>
              <w:rPr>
                <w:sz w:val="13"/>
                <w:szCs w:val="13"/>
                <w:color w:val="auto"/>
              </w:rPr>
            </w:pPr>
          </w:p>
        </w:tc>
      </w:tr>
      <w:tr>
        <w:trPr>
          <w:trHeight w:val="174"/>
        </w:trPr>
        <w:tc>
          <w:tcPr>
            <w:tcW w:w="2700" w:type="dxa"/>
            <w:vAlign w:val="bottom"/>
          </w:tcPr>
          <w:p>
            <w:pPr>
              <w:spacing w:after="0"/>
              <w:rPr>
                <w:sz w:val="20"/>
                <w:szCs w:val="20"/>
                <w:color w:val="auto"/>
              </w:rPr>
            </w:pPr>
            <w:r>
              <w:rPr>
                <w:rFonts w:ascii="Arial" w:cs="Arial" w:eastAsia="Arial" w:hAnsi="Arial"/>
                <w:sz w:val="13"/>
                <w:szCs w:val="13"/>
                <w:color w:val="auto"/>
              </w:rPr>
              <w:t>Charlotte, NC 28277</w:t>
            </w:r>
          </w:p>
        </w:tc>
        <w:tc>
          <w:tcPr>
            <w:tcW w:w="180" w:type="dxa"/>
            <w:vAlign w:val="bottom"/>
          </w:tcPr>
          <w:p>
            <w:pPr>
              <w:spacing w:after="0"/>
              <w:rPr>
                <w:sz w:val="15"/>
                <w:szCs w:val="15"/>
                <w:color w:val="auto"/>
              </w:rPr>
            </w:pPr>
          </w:p>
        </w:tc>
        <w:tc>
          <w:tcPr>
            <w:tcW w:w="3860" w:type="dxa"/>
            <w:vAlign w:val="bottom"/>
          </w:tcPr>
          <w:p>
            <w:pPr>
              <w:spacing w:after="0"/>
              <w:rPr>
                <w:sz w:val="15"/>
                <w:szCs w:val="15"/>
                <w:color w:val="auto"/>
              </w:rPr>
            </w:pPr>
          </w:p>
        </w:tc>
      </w:tr>
      <w:tr>
        <w:trPr>
          <w:trHeight w:val="283"/>
        </w:trPr>
        <w:tc>
          <w:tcPr>
            <w:tcW w:w="2700" w:type="dxa"/>
            <w:vAlign w:val="bottom"/>
          </w:tcPr>
          <w:p>
            <w:pPr>
              <w:spacing w:after="0"/>
              <w:rPr>
                <w:sz w:val="20"/>
                <w:szCs w:val="20"/>
                <w:color w:val="auto"/>
              </w:rPr>
            </w:pPr>
            <w:r>
              <w:rPr>
                <w:rFonts w:ascii="Arial" w:cs="Arial" w:eastAsia="Arial" w:hAnsi="Arial"/>
                <w:sz w:val="13"/>
                <w:szCs w:val="13"/>
                <w:color w:val="auto"/>
              </w:rPr>
              <w:t>Meghan Doscher</w:t>
            </w:r>
          </w:p>
        </w:tc>
        <w:tc>
          <w:tcPr>
            <w:tcW w:w="180" w:type="dxa"/>
            <w:vAlign w:val="bottom"/>
          </w:tcPr>
          <w:p>
            <w:pPr>
              <w:spacing w:after="0"/>
              <w:rPr>
                <w:sz w:val="24"/>
                <w:szCs w:val="24"/>
                <w:color w:val="auto"/>
              </w:rPr>
            </w:pPr>
          </w:p>
        </w:tc>
        <w:tc>
          <w:tcPr>
            <w:tcW w:w="3860" w:type="dxa"/>
            <w:vAlign w:val="bottom"/>
          </w:tcPr>
          <w:p>
            <w:pPr>
              <w:spacing w:after="0"/>
              <w:rPr>
                <w:sz w:val="20"/>
                <w:szCs w:val="20"/>
                <w:color w:val="auto"/>
              </w:rPr>
            </w:pPr>
            <w:r>
              <w:rPr>
                <w:rFonts w:ascii="Arial" w:cs="Arial" w:eastAsia="Arial" w:hAnsi="Arial"/>
                <w:sz w:val="13"/>
                <w:szCs w:val="13"/>
                <w:color w:val="auto"/>
              </w:rPr>
              <w:t>Manager</w:t>
            </w:r>
          </w:p>
        </w:tc>
      </w:tr>
      <w:tr>
        <w:trPr>
          <w:trHeight w:val="159"/>
        </w:trPr>
        <w:tc>
          <w:tcPr>
            <w:tcW w:w="2700" w:type="dxa"/>
            <w:vAlign w:val="bottom"/>
          </w:tcPr>
          <w:p>
            <w:pPr>
              <w:spacing w:after="0"/>
              <w:rPr>
                <w:sz w:val="20"/>
                <w:szCs w:val="20"/>
                <w:color w:val="auto"/>
              </w:rPr>
            </w:pPr>
            <w:r>
              <w:rPr>
                <w:rFonts w:ascii="Arial" w:cs="Arial" w:eastAsia="Arial" w:hAnsi="Arial"/>
                <w:sz w:val="13"/>
                <w:szCs w:val="13"/>
                <w:color w:val="auto"/>
              </w:rPr>
              <w:t>11225 North Community House Road</w:t>
            </w:r>
          </w:p>
        </w:tc>
        <w:tc>
          <w:tcPr>
            <w:tcW w:w="180" w:type="dxa"/>
            <w:vAlign w:val="bottom"/>
          </w:tcPr>
          <w:p>
            <w:pPr>
              <w:spacing w:after="0"/>
              <w:rPr>
                <w:sz w:val="13"/>
                <w:szCs w:val="13"/>
                <w:color w:val="auto"/>
              </w:rPr>
            </w:pPr>
          </w:p>
        </w:tc>
        <w:tc>
          <w:tcPr>
            <w:tcW w:w="3860" w:type="dxa"/>
            <w:vAlign w:val="bottom"/>
          </w:tcPr>
          <w:p>
            <w:pPr>
              <w:spacing w:after="0"/>
              <w:rPr>
                <w:sz w:val="13"/>
                <w:szCs w:val="13"/>
                <w:color w:val="auto"/>
              </w:rPr>
            </w:pPr>
          </w:p>
        </w:tc>
      </w:tr>
      <w:tr>
        <w:trPr>
          <w:trHeight w:val="174"/>
        </w:trPr>
        <w:tc>
          <w:tcPr>
            <w:tcW w:w="2700" w:type="dxa"/>
            <w:vAlign w:val="bottom"/>
          </w:tcPr>
          <w:p>
            <w:pPr>
              <w:spacing w:after="0"/>
              <w:rPr>
                <w:sz w:val="20"/>
                <w:szCs w:val="20"/>
                <w:color w:val="auto"/>
              </w:rPr>
            </w:pPr>
            <w:r>
              <w:rPr>
                <w:rFonts w:ascii="Arial" w:cs="Arial" w:eastAsia="Arial" w:hAnsi="Arial"/>
                <w:sz w:val="13"/>
                <w:szCs w:val="13"/>
                <w:color w:val="auto"/>
              </w:rPr>
              <w:t>Charlotte, NC 28277</w:t>
            </w:r>
          </w:p>
        </w:tc>
        <w:tc>
          <w:tcPr>
            <w:tcW w:w="180" w:type="dxa"/>
            <w:vAlign w:val="bottom"/>
          </w:tcPr>
          <w:p>
            <w:pPr>
              <w:spacing w:after="0"/>
              <w:rPr>
                <w:sz w:val="15"/>
                <w:szCs w:val="15"/>
                <w:color w:val="auto"/>
              </w:rPr>
            </w:pPr>
          </w:p>
        </w:tc>
        <w:tc>
          <w:tcPr>
            <w:tcW w:w="3860" w:type="dxa"/>
            <w:vAlign w:val="bottom"/>
          </w:tcPr>
          <w:p>
            <w:pPr>
              <w:spacing w:after="0"/>
              <w:rPr>
                <w:sz w:val="15"/>
                <w:szCs w:val="15"/>
                <w:color w:val="auto"/>
              </w:rPr>
            </w:pPr>
          </w:p>
        </w:tc>
      </w:tr>
      <w:tr>
        <w:trPr>
          <w:trHeight w:val="273"/>
        </w:trPr>
        <w:tc>
          <w:tcPr>
            <w:tcW w:w="2700" w:type="dxa"/>
            <w:vAlign w:val="bottom"/>
          </w:tcPr>
          <w:p>
            <w:pPr>
              <w:spacing w:after="0"/>
              <w:rPr>
                <w:sz w:val="20"/>
                <w:szCs w:val="20"/>
                <w:color w:val="auto"/>
              </w:rPr>
            </w:pPr>
            <w:r>
              <w:rPr>
                <w:rFonts w:ascii="Arial" w:cs="Arial" w:eastAsia="Arial" w:hAnsi="Arial"/>
                <w:sz w:val="13"/>
                <w:szCs w:val="13"/>
                <w:color w:val="auto"/>
              </w:rPr>
              <w:t>Kevin Macilvane, Jr.</w:t>
            </w:r>
          </w:p>
        </w:tc>
        <w:tc>
          <w:tcPr>
            <w:tcW w:w="180" w:type="dxa"/>
            <w:vAlign w:val="bottom"/>
          </w:tcPr>
          <w:p>
            <w:pPr>
              <w:spacing w:after="0"/>
              <w:rPr>
                <w:sz w:val="23"/>
                <w:szCs w:val="23"/>
                <w:color w:val="auto"/>
              </w:rPr>
            </w:pPr>
          </w:p>
        </w:tc>
        <w:tc>
          <w:tcPr>
            <w:tcW w:w="3860" w:type="dxa"/>
            <w:vAlign w:val="bottom"/>
          </w:tcPr>
          <w:p>
            <w:pPr>
              <w:spacing w:after="0"/>
              <w:rPr>
                <w:sz w:val="20"/>
                <w:szCs w:val="20"/>
                <w:color w:val="auto"/>
              </w:rPr>
            </w:pPr>
            <w:r>
              <w:rPr>
                <w:rFonts w:ascii="Arial" w:cs="Arial" w:eastAsia="Arial" w:hAnsi="Arial"/>
                <w:sz w:val="13"/>
                <w:szCs w:val="13"/>
                <w:color w:val="auto"/>
              </w:rPr>
              <w:t>Manager</w:t>
            </w:r>
          </w:p>
        </w:tc>
      </w:tr>
      <w:tr>
        <w:trPr>
          <w:trHeight w:val="159"/>
        </w:trPr>
        <w:tc>
          <w:tcPr>
            <w:tcW w:w="2700" w:type="dxa"/>
            <w:vAlign w:val="bottom"/>
          </w:tcPr>
          <w:p>
            <w:pPr>
              <w:spacing w:after="0"/>
              <w:rPr>
                <w:sz w:val="20"/>
                <w:szCs w:val="20"/>
                <w:color w:val="auto"/>
              </w:rPr>
            </w:pPr>
            <w:r>
              <w:rPr>
                <w:rFonts w:ascii="Arial" w:cs="Arial" w:eastAsia="Arial" w:hAnsi="Arial"/>
                <w:sz w:val="13"/>
                <w:szCs w:val="13"/>
                <w:color w:val="auto"/>
              </w:rPr>
              <w:t>11225 North Community House Road</w:t>
            </w:r>
          </w:p>
        </w:tc>
        <w:tc>
          <w:tcPr>
            <w:tcW w:w="180" w:type="dxa"/>
            <w:vAlign w:val="bottom"/>
          </w:tcPr>
          <w:p>
            <w:pPr>
              <w:spacing w:after="0"/>
              <w:rPr>
                <w:sz w:val="13"/>
                <w:szCs w:val="13"/>
                <w:color w:val="auto"/>
              </w:rPr>
            </w:pPr>
          </w:p>
        </w:tc>
        <w:tc>
          <w:tcPr>
            <w:tcW w:w="3860" w:type="dxa"/>
            <w:vAlign w:val="bottom"/>
          </w:tcPr>
          <w:p>
            <w:pPr>
              <w:spacing w:after="0"/>
              <w:rPr>
                <w:sz w:val="13"/>
                <w:szCs w:val="13"/>
                <w:color w:val="auto"/>
              </w:rPr>
            </w:pPr>
          </w:p>
        </w:tc>
      </w:tr>
      <w:tr>
        <w:trPr>
          <w:trHeight w:val="174"/>
        </w:trPr>
        <w:tc>
          <w:tcPr>
            <w:tcW w:w="2700" w:type="dxa"/>
            <w:vAlign w:val="bottom"/>
          </w:tcPr>
          <w:p>
            <w:pPr>
              <w:spacing w:after="0"/>
              <w:rPr>
                <w:sz w:val="20"/>
                <w:szCs w:val="20"/>
                <w:color w:val="auto"/>
              </w:rPr>
            </w:pPr>
            <w:r>
              <w:rPr>
                <w:rFonts w:ascii="Arial" w:cs="Arial" w:eastAsia="Arial" w:hAnsi="Arial"/>
                <w:sz w:val="13"/>
                <w:szCs w:val="13"/>
                <w:color w:val="auto"/>
              </w:rPr>
              <w:t>Charlotte, NC 28277</w:t>
            </w:r>
          </w:p>
        </w:tc>
        <w:tc>
          <w:tcPr>
            <w:tcW w:w="180" w:type="dxa"/>
            <w:vAlign w:val="bottom"/>
          </w:tcPr>
          <w:p>
            <w:pPr>
              <w:spacing w:after="0"/>
              <w:rPr>
                <w:sz w:val="15"/>
                <w:szCs w:val="15"/>
                <w:color w:val="auto"/>
              </w:rPr>
            </w:pPr>
          </w:p>
        </w:tc>
        <w:tc>
          <w:tcPr>
            <w:tcW w:w="3860" w:type="dxa"/>
            <w:vAlign w:val="bottom"/>
          </w:tcPr>
          <w:p>
            <w:pPr>
              <w:spacing w:after="0"/>
              <w:rPr>
                <w:sz w:val="15"/>
                <w:szCs w:val="15"/>
                <w:color w:val="auto"/>
              </w:rPr>
            </w:pPr>
          </w:p>
        </w:tc>
      </w:tr>
      <w:tr>
        <w:trPr>
          <w:trHeight w:val="273"/>
        </w:trPr>
        <w:tc>
          <w:tcPr>
            <w:tcW w:w="2700" w:type="dxa"/>
            <w:vAlign w:val="bottom"/>
          </w:tcPr>
          <w:p>
            <w:pPr>
              <w:spacing w:after="0"/>
              <w:rPr>
                <w:sz w:val="20"/>
                <w:szCs w:val="20"/>
                <w:color w:val="auto"/>
              </w:rPr>
            </w:pPr>
            <w:r>
              <w:rPr>
                <w:rFonts w:ascii="Arial" w:cs="Arial" w:eastAsia="Arial" w:hAnsi="Arial"/>
                <w:sz w:val="13"/>
                <w:szCs w:val="13"/>
                <w:color w:val="auto"/>
              </w:rPr>
              <w:t>Gerard Nigro</w:t>
            </w:r>
          </w:p>
        </w:tc>
        <w:tc>
          <w:tcPr>
            <w:tcW w:w="180" w:type="dxa"/>
            <w:vAlign w:val="bottom"/>
          </w:tcPr>
          <w:p>
            <w:pPr>
              <w:spacing w:after="0"/>
              <w:rPr>
                <w:sz w:val="23"/>
                <w:szCs w:val="23"/>
                <w:color w:val="auto"/>
              </w:rPr>
            </w:pPr>
          </w:p>
        </w:tc>
        <w:tc>
          <w:tcPr>
            <w:tcW w:w="3860" w:type="dxa"/>
            <w:vAlign w:val="bottom"/>
          </w:tcPr>
          <w:p>
            <w:pPr>
              <w:spacing w:after="0"/>
              <w:rPr>
                <w:sz w:val="20"/>
                <w:szCs w:val="20"/>
                <w:color w:val="auto"/>
              </w:rPr>
            </w:pPr>
            <w:r>
              <w:rPr>
                <w:rFonts w:ascii="Arial" w:cs="Arial" w:eastAsia="Arial" w:hAnsi="Arial"/>
                <w:sz w:val="13"/>
                <w:szCs w:val="13"/>
                <w:color w:val="auto"/>
              </w:rPr>
              <w:t>Manager and Vice President</w:t>
            </w:r>
          </w:p>
        </w:tc>
      </w:tr>
      <w:tr>
        <w:trPr>
          <w:trHeight w:val="159"/>
        </w:trPr>
        <w:tc>
          <w:tcPr>
            <w:tcW w:w="2700" w:type="dxa"/>
            <w:vAlign w:val="bottom"/>
          </w:tcPr>
          <w:p>
            <w:pPr>
              <w:spacing w:after="0"/>
              <w:rPr>
                <w:sz w:val="20"/>
                <w:szCs w:val="20"/>
                <w:color w:val="auto"/>
              </w:rPr>
            </w:pPr>
            <w:r>
              <w:rPr>
                <w:rFonts w:ascii="Arial" w:cs="Arial" w:eastAsia="Arial" w:hAnsi="Arial"/>
                <w:sz w:val="13"/>
                <w:szCs w:val="13"/>
                <w:color w:val="auto"/>
              </w:rPr>
              <w:t>11225 North Community House Road</w:t>
            </w:r>
          </w:p>
        </w:tc>
        <w:tc>
          <w:tcPr>
            <w:tcW w:w="180" w:type="dxa"/>
            <w:vAlign w:val="bottom"/>
          </w:tcPr>
          <w:p>
            <w:pPr>
              <w:spacing w:after="0"/>
              <w:rPr>
                <w:sz w:val="13"/>
                <w:szCs w:val="13"/>
                <w:color w:val="auto"/>
              </w:rPr>
            </w:pPr>
          </w:p>
        </w:tc>
        <w:tc>
          <w:tcPr>
            <w:tcW w:w="3860" w:type="dxa"/>
            <w:vAlign w:val="bottom"/>
          </w:tcPr>
          <w:p>
            <w:pPr>
              <w:spacing w:after="0"/>
              <w:rPr>
                <w:sz w:val="13"/>
                <w:szCs w:val="13"/>
                <w:color w:val="auto"/>
              </w:rPr>
            </w:pPr>
          </w:p>
        </w:tc>
      </w:tr>
      <w:tr>
        <w:trPr>
          <w:trHeight w:val="174"/>
        </w:trPr>
        <w:tc>
          <w:tcPr>
            <w:tcW w:w="2700" w:type="dxa"/>
            <w:vAlign w:val="bottom"/>
          </w:tcPr>
          <w:p>
            <w:pPr>
              <w:spacing w:after="0"/>
              <w:rPr>
                <w:sz w:val="20"/>
                <w:szCs w:val="20"/>
                <w:color w:val="auto"/>
              </w:rPr>
            </w:pPr>
            <w:r>
              <w:rPr>
                <w:rFonts w:ascii="Arial" w:cs="Arial" w:eastAsia="Arial" w:hAnsi="Arial"/>
                <w:sz w:val="13"/>
                <w:szCs w:val="13"/>
                <w:color w:val="auto"/>
              </w:rPr>
              <w:t>Charlotte, NC 28277</w:t>
            </w:r>
          </w:p>
        </w:tc>
        <w:tc>
          <w:tcPr>
            <w:tcW w:w="180" w:type="dxa"/>
            <w:vAlign w:val="bottom"/>
          </w:tcPr>
          <w:p>
            <w:pPr>
              <w:spacing w:after="0"/>
              <w:rPr>
                <w:sz w:val="15"/>
                <w:szCs w:val="15"/>
                <w:color w:val="auto"/>
              </w:rPr>
            </w:pPr>
          </w:p>
        </w:tc>
        <w:tc>
          <w:tcPr>
            <w:tcW w:w="3860" w:type="dxa"/>
            <w:vAlign w:val="bottom"/>
          </w:tcPr>
          <w:p>
            <w:pPr>
              <w:spacing w:after="0"/>
              <w:rPr>
                <w:sz w:val="15"/>
                <w:szCs w:val="15"/>
                <w:color w:val="auto"/>
              </w:rPr>
            </w:pPr>
          </w:p>
        </w:tc>
      </w:tr>
      <w:tr>
        <w:trPr>
          <w:trHeight w:val="283"/>
        </w:trPr>
        <w:tc>
          <w:tcPr>
            <w:tcW w:w="2700" w:type="dxa"/>
            <w:vAlign w:val="bottom"/>
          </w:tcPr>
          <w:p>
            <w:pPr>
              <w:spacing w:after="0"/>
              <w:rPr>
                <w:sz w:val="20"/>
                <w:szCs w:val="20"/>
                <w:color w:val="auto"/>
              </w:rPr>
            </w:pPr>
            <w:r>
              <w:rPr>
                <w:rFonts w:ascii="Arial" w:cs="Arial" w:eastAsia="Arial" w:hAnsi="Arial"/>
                <w:sz w:val="13"/>
                <w:szCs w:val="13"/>
                <w:color w:val="auto"/>
              </w:rPr>
              <w:t>Richard Cook</w:t>
            </w:r>
          </w:p>
        </w:tc>
        <w:tc>
          <w:tcPr>
            <w:tcW w:w="180" w:type="dxa"/>
            <w:vAlign w:val="bottom"/>
          </w:tcPr>
          <w:p>
            <w:pPr>
              <w:spacing w:after="0"/>
              <w:rPr>
                <w:sz w:val="24"/>
                <w:szCs w:val="24"/>
                <w:color w:val="auto"/>
              </w:rPr>
            </w:pPr>
          </w:p>
        </w:tc>
        <w:tc>
          <w:tcPr>
            <w:tcW w:w="3860" w:type="dxa"/>
            <w:vAlign w:val="bottom"/>
          </w:tcPr>
          <w:p>
            <w:pPr>
              <w:spacing w:after="0"/>
              <w:rPr>
                <w:sz w:val="20"/>
                <w:szCs w:val="20"/>
                <w:color w:val="auto"/>
              </w:rPr>
            </w:pPr>
            <w:r>
              <w:rPr>
                <w:rFonts w:ascii="Arial" w:cs="Arial" w:eastAsia="Arial" w:hAnsi="Arial"/>
                <w:sz w:val="13"/>
                <w:szCs w:val="13"/>
                <w:color w:val="auto"/>
              </w:rPr>
              <w:t>Vice President</w:t>
            </w:r>
          </w:p>
        </w:tc>
      </w:tr>
      <w:tr>
        <w:trPr>
          <w:trHeight w:val="159"/>
        </w:trPr>
        <w:tc>
          <w:tcPr>
            <w:tcW w:w="2700" w:type="dxa"/>
            <w:vAlign w:val="bottom"/>
          </w:tcPr>
          <w:p>
            <w:pPr>
              <w:spacing w:after="0"/>
              <w:rPr>
                <w:sz w:val="20"/>
                <w:szCs w:val="20"/>
                <w:color w:val="auto"/>
              </w:rPr>
            </w:pPr>
            <w:r>
              <w:rPr>
                <w:rFonts w:ascii="Arial" w:cs="Arial" w:eastAsia="Arial" w:hAnsi="Arial"/>
                <w:sz w:val="13"/>
                <w:szCs w:val="13"/>
                <w:color w:val="auto"/>
              </w:rPr>
              <w:t>11225 North Community House Road</w:t>
            </w:r>
          </w:p>
        </w:tc>
        <w:tc>
          <w:tcPr>
            <w:tcW w:w="180" w:type="dxa"/>
            <w:vAlign w:val="bottom"/>
          </w:tcPr>
          <w:p>
            <w:pPr>
              <w:spacing w:after="0"/>
              <w:rPr>
                <w:sz w:val="13"/>
                <w:szCs w:val="13"/>
                <w:color w:val="auto"/>
              </w:rPr>
            </w:pPr>
          </w:p>
        </w:tc>
        <w:tc>
          <w:tcPr>
            <w:tcW w:w="3860" w:type="dxa"/>
            <w:vAlign w:val="bottom"/>
          </w:tcPr>
          <w:p>
            <w:pPr>
              <w:spacing w:after="0"/>
              <w:rPr>
                <w:sz w:val="13"/>
                <w:szCs w:val="13"/>
                <w:color w:val="auto"/>
              </w:rPr>
            </w:pPr>
          </w:p>
        </w:tc>
      </w:tr>
      <w:tr>
        <w:trPr>
          <w:trHeight w:val="174"/>
        </w:trPr>
        <w:tc>
          <w:tcPr>
            <w:tcW w:w="2700" w:type="dxa"/>
            <w:vAlign w:val="bottom"/>
          </w:tcPr>
          <w:p>
            <w:pPr>
              <w:spacing w:after="0"/>
              <w:rPr>
                <w:sz w:val="20"/>
                <w:szCs w:val="20"/>
                <w:color w:val="auto"/>
              </w:rPr>
            </w:pPr>
            <w:r>
              <w:rPr>
                <w:rFonts w:ascii="Arial" w:cs="Arial" w:eastAsia="Arial" w:hAnsi="Arial"/>
                <w:sz w:val="13"/>
                <w:szCs w:val="13"/>
                <w:color w:val="auto"/>
              </w:rPr>
              <w:t>Charlotte, NC 28277</w:t>
            </w:r>
          </w:p>
        </w:tc>
        <w:tc>
          <w:tcPr>
            <w:tcW w:w="180" w:type="dxa"/>
            <w:vAlign w:val="bottom"/>
          </w:tcPr>
          <w:p>
            <w:pPr>
              <w:spacing w:after="0"/>
              <w:rPr>
                <w:sz w:val="15"/>
                <w:szCs w:val="15"/>
                <w:color w:val="auto"/>
              </w:rPr>
            </w:pPr>
          </w:p>
        </w:tc>
        <w:tc>
          <w:tcPr>
            <w:tcW w:w="3860" w:type="dxa"/>
            <w:vAlign w:val="bottom"/>
          </w:tcPr>
          <w:p>
            <w:pPr>
              <w:spacing w:after="0"/>
              <w:rPr>
                <w:sz w:val="15"/>
                <w:szCs w:val="15"/>
                <w:color w:val="auto"/>
              </w:rPr>
            </w:pPr>
          </w:p>
        </w:tc>
      </w:tr>
      <w:tr>
        <w:trPr>
          <w:trHeight w:val="273"/>
        </w:trPr>
        <w:tc>
          <w:tcPr>
            <w:tcW w:w="2700" w:type="dxa"/>
            <w:vAlign w:val="bottom"/>
          </w:tcPr>
          <w:p>
            <w:pPr>
              <w:spacing w:after="0"/>
              <w:rPr>
                <w:sz w:val="20"/>
                <w:szCs w:val="20"/>
                <w:color w:val="auto"/>
              </w:rPr>
            </w:pPr>
            <w:r>
              <w:rPr>
                <w:rFonts w:ascii="Arial" w:cs="Arial" w:eastAsia="Arial" w:hAnsi="Arial"/>
                <w:sz w:val="13"/>
                <w:szCs w:val="13"/>
                <w:color w:val="auto"/>
              </w:rPr>
              <w:t>Christopher Hartsfield</w:t>
            </w:r>
          </w:p>
        </w:tc>
        <w:tc>
          <w:tcPr>
            <w:tcW w:w="180" w:type="dxa"/>
            <w:vAlign w:val="bottom"/>
          </w:tcPr>
          <w:p>
            <w:pPr>
              <w:spacing w:after="0"/>
              <w:rPr>
                <w:sz w:val="23"/>
                <w:szCs w:val="23"/>
                <w:color w:val="auto"/>
              </w:rPr>
            </w:pPr>
          </w:p>
        </w:tc>
        <w:tc>
          <w:tcPr>
            <w:tcW w:w="3860" w:type="dxa"/>
            <w:vAlign w:val="bottom"/>
          </w:tcPr>
          <w:p>
            <w:pPr>
              <w:spacing w:after="0"/>
              <w:rPr>
                <w:sz w:val="20"/>
                <w:szCs w:val="20"/>
                <w:color w:val="auto"/>
              </w:rPr>
            </w:pPr>
            <w:r>
              <w:rPr>
                <w:rFonts w:ascii="Arial" w:cs="Arial" w:eastAsia="Arial" w:hAnsi="Arial"/>
                <w:sz w:val="13"/>
                <w:szCs w:val="13"/>
                <w:color w:val="auto"/>
              </w:rPr>
              <w:t>Vice President and Assistant Secretary</w:t>
            </w:r>
          </w:p>
        </w:tc>
      </w:tr>
      <w:tr>
        <w:trPr>
          <w:trHeight w:val="159"/>
        </w:trPr>
        <w:tc>
          <w:tcPr>
            <w:tcW w:w="2700" w:type="dxa"/>
            <w:vAlign w:val="bottom"/>
          </w:tcPr>
          <w:p>
            <w:pPr>
              <w:spacing w:after="0"/>
              <w:rPr>
                <w:sz w:val="20"/>
                <w:szCs w:val="20"/>
                <w:color w:val="auto"/>
              </w:rPr>
            </w:pPr>
            <w:r>
              <w:rPr>
                <w:rFonts w:ascii="Arial" w:cs="Arial" w:eastAsia="Arial" w:hAnsi="Arial"/>
                <w:sz w:val="13"/>
                <w:szCs w:val="13"/>
                <w:color w:val="auto"/>
              </w:rPr>
              <w:t>11225 North Community House Road</w:t>
            </w:r>
          </w:p>
        </w:tc>
        <w:tc>
          <w:tcPr>
            <w:tcW w:w="180" w:type="dxa"/>
            <w:vAlign w:val="bottom"/>
          </w:tcPr>
          <w:p>
            <w:pPr>
              <w:spacing w:after="0"/>
              <w:rPr>
                <w:sz w:val="13"/>
                <w:szCs w:val="13"/>
                <w:color w:val="auto"/>
              </w:rPr>
            </w:pPr>
          </w:p>
        </w:tc>
        <w:tc>
          <w:tcPr>
            <w:tcW w:w="3860" w:type="dxa"/>
            <w:vAlign w:val="bottom"/>
          </w:tcPr>
          <w:p>
            <w:pPr>
              <w:spacing w:after="0"/>
              <w:rPr>
                <w:sz w:val="13"/>
                <w:szCs w:val="13"/>
                <w:color w:val="auto"/>
              </w:rPr>
            </w:pPr>
          </w:p>
        </w:tc>
      </w:tr>
      <w:tr>
        <w:trPr>
          <w:trHeight w:val="174"/>
        </w:trPr>
        <w:tc>
          <w:tcPr>
            <w:tcW w:w="2700" w:type="dxa"/>
            <w:vAlign w:val="bottom"/>
          </w:tcPr>
          <w:p>
            <w:pPr>
              <w:spacing w:after="0"/>
              <w:rPr>
                <w:sz w:val="20"/>
                <w:szCs w:val="20"/>
                <w:color w:val="auto"/>
              </w:rPr>
            </w:pPr>
            <w:r>
              <w:rPr>
                <w:rFonts w:ascii="Arial" w:cs="Arial" w:eastAsia="Arial" w:hAnsi="Arial"/>
                <w:sz w:val="13"/>
                <w:szCs w:val="13"/>
                <w:color w:val="auto"/>
              </w:rPr>
              <w:t>Charlotte, NC 28277</w:t>
            </w:r>
          </w:p>
        </w:tc>
        <w:tc>
          <w:tcPr>
            <w:tcW w:w="180" w:type="dxa"/>
            <w:vAlign w:val="bottom"/>
          </w:tcPr>
          <w:p>
            <w:pPr>
              <w:spacing w:after="0"/>
              <w:rPr>
                <w:sz w:val="15"/>
                <w:szCs w:val="15"/>
                <w:color w:val="auto"/>
              </w:rPr>
            </w:pPr>
          </w:p>
        </w:tc>
        <w:tc>
          <w:tcPr>
            <w:tcW w:w="3860" w:type="dxa"/>
            <w:vAlign w:val="bottom"/>
          </w:tcPr>
          <w:p>
            <w:pPr>
              <w:spacing w:after="0"/>
              <w:rPr>
                <w:sz w:val="15"/>
                <w:szCs w:val="15"/>
                <w:color w:val="auto"/>
              </w:rPr>
            </w:pPr>
          </w:p>
        </w:tc>
      </w:tr>
      <w:tr>
        <w:trPr>
          <w:trHeight w:val="273"/>
        </w:trPr>
        <w:tc>
          <w:tcPr>
            <w:tcW w:w="2700" w:type="dxa"/>
            <w:vAlign w:val="bottom"/>
          </w:tcPr>
          <w:p>
            <w:pPr>
              <w:spacing w:after="0"/>
              <w:rPr>
                <w:sz w:val="20"/>
                <w:szCs w:val="20"/>
                <w:color w:val="auto"/>
              </w:rPr>
            </w:pPr>
            <w:r>
              <w:rPr>
                <w:rFonts w:ascii="Arial" w:cs="Arial" w:eastAsia="Arial" w:hAnsi="Arial"/>
                <w:sz w:val="13"/>
                <w:szCs w:val="13"/>
                <w:color w:val="auto"/>
              </w:rPr>
              <w:t>Jacob Jenkelowitz</w:t>
            </w:r>
          </w:p>
        </w:tc>
        <w:tc>
          <w:tcPr>
            <w:tcW w:w="180" w:type="dxa"/>
            <w:vAlign w:val="bottom"/>
          </w:tcPr>
          <w:p>
            <w:pPr>
              <w:spacing w:after="0"/>
              <w:rPr>
                <w:sz w:val="23"/>
                <w:szCs w:val="23"/>
                <w:color w:val="auto"/>
              </w:rPr>
            </w:pPr>
          </w:p>
        </w:tc>
        <w:tc>
          <w:tcPr>
            <w:tcW w:w="3860" w:type="dxa"/>
            <w:vAlign w:val="bottom"/>
          </w:tcPr>
          <w:p>
            <w:pPr>
              <w:spacing w:after="0"/>
              <w:rPr>
                <w:sz w:val="20"/>
                <w:szCs w:val="20"/>
                <w:color w:val="auto"/>
              </w:rPr>
            </w:pPr>
            <w:r>
              <w:rPr>
                <w:rFonts w:ascii="Arial" w:cs="Arial" w:eastAsia="Arial" w:hAnsi="Arial"/>
                <w:sz w:val="13"/>
                <w:szCs w:val="13"/>
                <w:color w:val="auto"/>
              </w:rPr>
              <w:t>Vice President and Secretary</w:t>
            </w:r>
          </w:p>
        </w:tc>
      </w:tr>
      <w:tr>
        <w:trPr>
          <w:trHeight w:val="159"/>
        </w:trPr>
        <w:tc>
          <w:tcPr>
            <w:tcW w:w="2700" w:type="dxa"/>
            <w:vAlign w:val="bottom"/>
          </w:tcPr>
          <w:p>
            <w:pPr>
              <w:spacing w:after="0"/>
              <w:rPr>
                <w:sz w:val="20"/>
                <w:szCs w:val="20"/>
                <w:color w:val="auto"/>
              </w:rPr>
            </w:pPr>
            <w:r>
              <w:rPr>
                <w:rFonts w:ascii="Arial" w:cs="Arial" w:eastAsia="Arial" w:hAnsi="Arial"/>
                <w:sz w:val="13"/>
                <w:szCs w:val="13"/>
                <w:color w:val="auto"/>
              </w:rPr>
              <w:t>285 Madison Avenue, Suite 1400</w:t>
            </w:r>
          </w:p>
        </w:tc>
        <w:tc>
          <w:tcPr>
            <w:tcW w:w="180" w:type="dxa"/>
            <w:vAlign w:val="bottom"/>
          </w:tcPr>
          <w:p>
            <w:pPr>
              <w:spacing w:after="0"/>
              <w:rPr>
                <w:sz w:val="13"/>
                <w:szCs w:val="13"/>
                <w:color w:val="auto"/>
              </w:rPr>
            </w:pPr>
          </w:p>
        </w:tc>
        <w:tc>
          <w:tcPr>
            <w:tcW w:w="3860" w:type="dxa"/>
            <w:vAlign w:val="bottom"/>
          </w:tcPr>
          <w:p>
            <w:pPr>
              <w:spacing w:after="0"/>
              <w:rPr>
                <w:sz w:val="13"/>
                <w:szCs w:val="13"/>
                <w:color w:val="auto"/>
              </w:rPr>
            </w:pPr>
          </w:p>
        </w:tc>
      </w:tr>
      <w:tr>
        <w:trPr>
          <w:trHeight w:val="174"/>
        </w:trPr>
        <w:tc>
          <w:tcPr>
            <w:tcW w:w="2700" w:type="dxa"/>
            <w:vAlign w:val="bottom"/>
          </w:tcPr>
          <w:p>
            <w:pPr>
              <w:spacing w:after="0"/>
              <w:rPr>
                <w:sz w:val="20"/>
                <w:szCs w:val="20"/>
                <w:color w:val="auto"/>
              </w:rPr>
            </w:pPr>
            <w:r>
              <w:rPr>
                <w:rFonts w:ascii="Arial" w:cs="Arial" w:eastAsia="Arial" w:hAnsi="Arial"/>
                <w:sz w:val="13"/>
                <w:szCs w:val="13"/>
                <w:color w:val="auto"/>
              </w:rPr>
              <w:t>New York, NY 10017</w:t>
            </w:r>
          </w:p>
        </w:tc>
        <w:tc>
          <w:tcPr>
            <w:tcW w:w="180" w:type="dxa"/>
            <w:vAlign w:val="bottom"/>
          </w:tcPr>
          <w:p>
            <w:pPr>
              <w:spacing w:after="0"/>
              <w:rPr>
                <w:sz w:val="15"/>
                <w:szCs w:val="15"/>
                <w:color w:val="auto"/>
              </w:rPr>
            </w:pPr>
          </w:p>
        </w:tc>
        <w:tc>
          <w:tcPr>
            <w:tcW w:w="3860" w:type="dxa"/>
            <w:vAlign w:val="bottom"/>
          </w:tcPr>
          <w:p>
            <w:pPr>
              <w:spacing w:after="0"/>
              <w:rPr>
                <w:sz w:val="15"/>
                <w:szCs w:val="15"/>
                <w:color w:val="auto"/>
              </w:rPr>
            </w:pPr>
          </w:p>
        </w:tc>
      </w:tr>
      <w:tr>
        <w:trPr>
          <w:trHeight w:val="283"/>
        </w:trPr>
        <w:tc>
          <w:tcPr>
            <w:tcW w:w="2700" w:type="dxa"/>
            <w:vAlign w:val="bottom"/>
          </w:tcPr>
          <w:p>
            <w:pPr>
              <w:spacing w:after="0"/>
              <w:rPr>
                <w:sz w:val="20"/>
                <w:szCs w:val="20"/>
                <w:color w:val="auto"/>
              </w:rPr>
            </w:pPr>
            <w:r>
              <w:rPr>
                <w:rFonts w:ascii="Arial" w:cs="Arial" w:eastAsia="Arial" w:hAnsi="Arial"/>
                <w:sz w:val="13"/>
                <w:szCs w:val="13"/>
                <w:color w:val="auto"/>
              </w:rPr>
              <w:t>Donald Leintz</w:t>
            </w:r>
          </w:p>
        </w:tc>
        <w:tc>
          <w:tcPr>
            <w:tcW w:w="180" w:type="dxa"/>
            <w:vAlign w:val="bottom"/>
          </w:tcPr>
          <w:p>
            <w:pPr>
              <w:spacing w:after="0"/>
              <w:rPr>
                <w:sz w:val="24"/>
                <w:szCs w:val="24"/>
                <w:color w:val="auto"/>
              </w:rPr>
            </w:pPr>
          </w:p>
        </w:tc>
        <w:tc>
          <w:tcPr>
            <w:tcW w:w="3860" w:type="dxa"/>
            <w:vAlign w:val="bottom"/>
          </w:tcPr>
          <w:p>
            <w:pPr>
              <w:spacing w:after="0"/>
              <w:rPr>
                <w:sz w:val="20"/>
                <w:szCs w:val="20"/>
                <w:color w:val="auto"/>
              </w:rPr>
            </w:pPr>
            <w:r>
              <w:rPr>
                <w:rFonts w:ascii="Arial" w:cs="Arial" w:eastAsia="Arial" w:hAnsi="Arial"/>
                <w:sz w:val="13"/>
                <w:szCs w:val="13"/>
                <w:color w:val="auto"/>
              </w:rPr>
              <w:t>Vice President</w:t>
            </w:r>
          </w:p>
        </w:tc>
      </w:tr>
      <w:tr>
        <w:trPr>
          <w:trHeight w:val="159"/>
        </w:trPr>
        <w:tc>
          <w:tcPr>
            <w:tcW w:w="2700" w:type="dxa"/>
            <w:vAlign w:val="bottom"/>
          </w:tcPr>
          <w:p>
            <w:pPr>
              <w:spacing w:after="0"/>
              <w:rPr>
                <w:sz w:val="20"/>
                <w:szCs w:val="20"/>
                <w:color w:val="auto"/>
              </w:rPr>
            </w:pPr>
            <w:r>
              <w:rPr>
                <w:rFonts w:ascii="Arial" w:cs="Arial" w:eastAsia="Arial" w:hAnsi="Arial"/>
                <w:sz w:val="13"/>
                <w:szCs w:val="13"/>
                <w:color w:val="auto"/>
              </w:rPr>
              <w:t>11225 North Community House Road</w:t>
            </w:r>
          </w:p>
        </w:tc>
        <w:tc>
          <w:tcPr>
            <w:tcW w:w="180" w:type="dxa"/>
            <w:vAlign w:val="bottom"/>
          </w:tcPr>
          <w:p>
            <w:pPr>
              <w:spacing w:after="0"/>
              <w:rPr>
                <w:sz w:val="13"/>
                <w:szCs w:val="13"/>
                <w:color w:val="auto"/>
              </w:rPr>
            </w:pPr>
          </w:p>
        </w:tc>
        <w:tc>
          <w:tcPr>
            <w:tcW w:w="3860" w:type="dxa"/>
            <w:vAlign w:val="bottom"/>
          </w:tcPr>
          <w:p>
            <w:pPr>
              <w:spacing w:after="0"/>
              <w:rPr>
                <w:sz w:val="13"/>
                <w:szCs w:val="13"/>
                <w:color w:val="auto"/>
              </w:rPr>
            </w:pPr>
          </w:p>
        </w:tc>
      </w:tr>
      <w:tr>
        <w:trPr>
          <w:trHeight w:val="174"/>
        </w:trPr>
        <w:tc>
          <w:tcPr>
            <w:tcW w:w="2700" w:type="dxa"/>
            <w:vAlign w:val="bottom"/>
          </w:tcPr>
          <w:p>
            <w:pPr>
              <w:spacing w:after="0"/>
              <w:rPr>
                <w:sz w:val="20"/>
                <w:szCs w:val="20"/>
                <w:color w:val="auto"/>
              </w:rPr>
            </w:pPr>
            <w:r>
              <w:rPr>
                <w:rFonts w:ascii="Arial" w:cs="Arial" w:eastAsia="Arial" w:hAnsi="Arial"/>
                <w:sz w:val="13"/>
                <w:szCs w:val="13"/>
                <w:color w:val="auto"/>
              </w:rPr>
              <w:t>Charlotte, NC 28277</w:t>
            </w:r>
          </w:p>
        </w:tc>
        <w:tc>
          <w:tcPr>
            <w:tcW w:w="180" w:type="dxa"/>
            <w:vAlign w:val="bottom"/>
          </w:tcPr>
          <w:p>
            <w:pPr>
              <w:spacing w:after="0"/>
              <w:rPr>
                <w:sz w:val="15"/>
                <w:szCs w:val="15"/>
                <w:color w:val="auto"/>
              </w:rPr>
            </w:pPr>
          </w:p>
        </w:tc>
        <w:tc>
          <w:tcPr>
            <w:tcW w:w="3860" w:type="dxa"/>
            <w:vAlign w:val="bottom"/>
          </w:tcPr>
          <w:p>
            <w:pPr>
              <w:spacing w:after="0"/>
              <w:rPr>
                <w:sz w:val="15"/>
                <w:szCs w:val="15"/>
                <w:color w:val="auto"/>
              </w:rPr>
            </w:pPr>
          </w:p>
        </w:tc>
      </w:tr>
      <w:tr>
        <w:trPr>
          <w:trHeight w:val="273"/>
        </w:trPr>
        <w:tc>
          <w:tcPr>
            <w:tcW w:w="2700" w:type="dxa"/>
            <w:vAlign w:val="bottom"/>
          </w:tcPr>
          <w:p>
            <w:pPr>
              <w:spacing w:after="0"/>
              <w:rPr>
                <w:sz w:val="20"/>
                <w:szCs w:val="20"/>
                <w:color w:val="auto"/>
              </w:rPr>
            </w:pPr>
            <w:r>
              <w:rPr>
                <w:rFonts w:ascii="Arial" w:cs="Arial" w:eastAsia="Arial" w:hAnsi="Arial"/>
                <w:sz w:val="13"/>
                <w:szCs w:val="13"/>
                <w:color w:val="auto"/>
              </w:rPr>
              <w:t>John Lima</w:t>
            </w:r>
          </w:p>
        </w:tc>
        <w:tc>
          <w:tcPr>
            <w:tcW w:w="180" w:type="dxa"/>
            <w:vAlign w:val="bottom"/>
          </w:tcPr>
          <w:p>
            <w:pPr>
              <w:spacing w:after="0"/>
              <w:rPr>
                <w:sz w:val="23"/>
                <w:szCs w:val="23"/>
                <w:color w:val="auto"/>
              </w:rPr>
            </w:pPr>
          </w:p>
        </w:tc>
        <w:tc>
          <w:tcPr>
            <w:tcW w:w="3860" w:type="dxa"/>
            <w:vAlign w:val="bottom"/>
          </w:tcPr>
          <w:p>
            <w:pPr>
              <w:spacing w:after="0"/>
              <w:rPr>
                <w:sz w:val="20"/>
                <w:szCs w:val="20"/>
                <w:color w:val="auto"/>
              </w:rPr>
            </w:pPr>
            <w:r>
              <w:rPr>
                <w:rFonts w:ascii="Arial" w:cs="Arial" w:eastAsia="Arial" w:hAnsi="Arial"/>
                <w:sz w:val="13"/>
                <w:szCs w:val="13"/>
                <w:color w:val="auto"/>
              </w:rPr>
              <w:t>Vice President and Chief Derivatives Officer</w:t>
            </w:r>
          </w:p>
        </w:tc>
      </w:tr>
      <w:tr>
        <w:trPr>
          <w:trHeight w:val="159"/>
        </w:trPr>
        <w:tc>
          <w:tcPr>
            <w:tcW w:w="2700" w:type="dxa"/>
            <w:vAlign w:val="bottom"/>
          </w:tcPr>
          <w:p>
            <w:pPr>
              <w:spacing w:after="0"/>
              <w:rPr>
                <w:sz w:val="20"/>
                <w:szCs w:val="20"/>
                <w:color w:val="auto"/>
              </w:rPr>
            </w:pPr>
            <w:r>
              <w:rPr>
                <w:rFonts w:ascii="Arial" w:cs="Arial" w:eastAsia="Arial" w:hAnsi="Arial"/>
                <w:sz w:val="13"/>
                <w:szCs w:val="13"/>
                <w:color w:val="auto"/>
              </w:rPr>
              <w:t>11225 North Community House Road</w:t>
            </w:r>
          </w:p>
        </w:tc>
        <w:tc>
          <w:tcPr>
            <w:tcW w:w="180" w:type="dxa"/>
            <w:vAlign w:val="bottom"/>
          </w:tcPr>
          <w:p>
            <w:pPr>
              <w:spacing w:after="0"/>
              <w:rPr>
                <w:sz w:val="13"/>
                <w:szCs w:val="13"/>
                <w:color w:val="auto"/>
              </w:rPr>
            </w:pPr>
          </w:p>
        </w:tc>
        <w:tc>
          <w:tcPr>
            <w:tcW w:w="3860" w:type="dxa"/>
            <w:vAlign w:val="bottom"/>
          </w:tcPr>
          <w:p>
            <w:pPr>
              <w:spacing w:after="0"/>
              <w:rPr>
                <w:sz w:val="13"/>
                <w:szCs w:val="13"/>
                <w:color w:val="auto"/>
              </w:rPr>
            </w:pPr>
          </w:p>
        </w:tc>
      </w:tr>
      <w:tr>
        <w:trPr>
          <w:trHeight w:val="174"/>
        </w:trPr>
        <w:tc>
          <w:tcPr>
            <w:tcW w:w="2700" w:type="dxa"/>
            <w:vAlign w:val="bottom"/>
          </w:tcPr>
          <w:p>
            <w:pPr>
              <w:spacing w:after="0"/>
              <w:rPr>
                <w:sz w:val="20"/>
                <w:szCs w:val="20"/>
                <w:color w:val="auto"/>
              </w:rPr>
            </w:pPr>
            <w:r>
              <w:rPr>
                <w:rFonts w:ascii="Arial" w:cs="Arial" w:eastAsia="Arial" w:hAnsi="Arial"/>
                <w:sz w:val="13"/>
                <w:szCs w:val="13"/>
                <w:color w:val="auto"/>
              </w:rPr>
              <w:t>Charlotte, NC 28277  </w:t>
            </w:r>
          </w:p>
        </w:tc>
        <w:tc>
          <w:tcPr>
            <w:tcW w:w="180" w:type="dxa"/>
            <w:vAlign w:val="bottom"/>
          </w:tcPr>
          <w:p>
            <w:pPr>
              <w:spacing w:after="0"/>
              <w:rPr>
                <w:sz w:val="15"/>
                <w:szCs w:val="15"/>
                <w:color w:val="auto"/>
              </w:rPr>
            </w:pPr>
          </w:p>
        </w:tc>
        <w:tc>
          <w:tcPr>
            <w:tcW w:w="3860" w:type="dxa"/>
            <w:vAlign w:val="bottom"/>
          </w:tcPr>
          <w:p>
            <w:pPr>
              <w:spacing w:after="0"/>
              <w:rPr>
                <w:sz w:val="15"/>
                <w:szCs w:val="15"/>
                <w:color w:val="auto"/>
              </w:rPr>
            </w:pPr>
          </w:p>
        </w:tc>
      </w:tr>
    </w:tbl>
    <w:p>
      <w:pPr>
        <w:sectPr>
          <w:pgSz w:w="11900" w:h="16838" w:orient="portrait"/>
          <w:cols w:equalWidth="0" w:num="1">
            <w:col w:w="9604"/>
          </w:cols>
          <w:pgMar w:left="855" w:top="712" w:right="1440" w:bottom="1440" w:gutter="0" w:footer="0" w:header="0"/>
        </w:sectPr>
      </w:pPr>
    </w:p>
    <w:bookmarkStart w:id="114" w:name="page115"/>
    <w:bookmarkEnd w:id="114"/>
    <w:p>
      <w:pPr>
        <w:ind w:left="5"/>
        <w:spacing w:after="0"/>
        <w:rPr>
          <w:sz w:val="20"/>
          <w:szCs w:val="20"/>
          <w:color w:val="auto"/>
        </w:rPr>
      </w:pPr>
      <w:r>
        <w:rPr>
          <w:rFonts w:ascii="Arial" w:cs="Arial" w:eastAsia="Arial" w:hAnsi="Arial"/>
          <w:sz w:val="13"/>
          <w:szCs w:val="13"/>
          <w:color w:val="auto"/>
        </w:rPr>
        <w:t>John Martinez</w:t>
      </w:r>
    </w:p>
    <w:p>
      <w:pPr>
        <w:spacing w:after="0" w:line="21" w:lineRule="exact"/>
        <w:rPr>
          <w:sz w:val="20"/>
          <w:szCs w:val="20"/>
          <w:color w:val="auto"/>
        </w:rPr>
      </w:pPr>
    </w:p>
    <w:p>
      <w:pPr>
        <w:ind w:left="5"/>
        <w:spacing w:after="0"/>
        <w:rPr>
          <w:sz w:val="20"/>
          <w:szCs w:val="20"/>
          <w:color w:val="auto"/>
        </w:rPr>
      </w:pPr>
      <w:r>
        <w:rPr>
          <w:rFonts w:ascii="Arial" w:cs="Arial" w:eastAsia="Arial" w:hAnsi="Arial"/>
          <w:sz w:val="13"/>
          <w:szCs w:val="13"/>
          <w:color w:val="auto"/>
        </w:rPr>
        <w:t>11225 North Community House Road</w:t>
      </w:r>
    </w:p>
    <w:p>
      <w:pPr>
        <w:spacing w:after="0" w:line="9" w:lineRule="exact"/>
        <w:rPr>
          <w:sz w:val="20"/>
          <w:szCs w:val="20"/>
          <w:color w:val="auto"/>
        </w:rPr>
      </w:pPr>
    </w:p>
    <w:p>
      <w:pPr>
        <w:ind w:left="5"/>
        <w:spacing w:after="0"/>
        <w:rPr>
          <w:sz w:val="20"/>
          <w:szCs w:val="20"/>
          <w:color w:val="auto"/>
        </w:rPr>
      </w:pPr>
      <w:r>
        <w:rPr>
          <w:rFonts w:ascii="Arial" w:cs="Arial" w:eastAsia="Arial" w:hAnsi="Arial"/>
          <w:sz w:val="13"/>
          <w:szCs w:val="13"/>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-2197100</wp:posOffset>
            </wp:positionH>
            <wp:positionV relativeFrom="paragraph">
              <wp:posOffset>-457835</wp:posOffset>
            </wp:positionV>
            <wp:extent cx="719391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8">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pacing w:after="0" w:line="465" w:lineRule="exact"/>
        <w:rPr>
          <w:sz w:val="20"/>
          <w:szCs w:val="20"/>
          <w:color w:val="auto"/>
        </w:rPr>
      </w:pPr>
    </w:p>
    <w:p>
      <w:pPr>
        <w:sectPr>
          <w:pgSz w:w="11900" w:h="16838" w:orient="portrait"/>
          <w:cols w:equalWidth="0" w:num="2">
            <w:col w:w="2185" w:space="700"/>
            <w:col w:w="6719"/>
          </w:cols>
          <w:pgMar w:left="855" w:top="762" w:right="1440" w:bottom="1440" w:gutter="0" w:footer="0" w:header="0"/>
        </w:sectPr>
      </w:pPr>
    </w:p>
    <w:p>
      <w:pPr>
        <w:ind w:left="5"/>
        <w:spacing w:after="0"/>
        <w:rPr>
          <w:sz w:val="20"/>
          <w:szCs w:val="20"/>
          <w:color w:val="auto"/>
        </w:rPr>
      </w:pPr>
      <w:r>
        <w:rPr>
          <w:rFonts w:ascii="Arial" w:cs="Arial" w:eastAsia="Arial" w:hAnsi="Arial"/>
          <w:sz w:val="13"/>
          <w:szCs w:val="13"/>
          <w:color w:val="auto"/>
        </w:rPr>
        <w:t>Tiffanie Moore</w:t>
      </w:r>
    </w:p>
    <w:p>
      <w:pPr>
        <w:spacing w:after="0" w:line="21" w:lineRule="exact"/>
        <w:rPr>
          <w:sz w:val="20"/>
          <w:szCs w:val="20"/>
          <w:color w:val="auto"/>
        </w:rPr>
      </w:pPr>
    </w:p>
    <w:p>
      <w:pPr>
        <w:ind w:left="5"/>
        <w:spacing w:after="0"/>
        <w:rPr>
          <w:sz w:val="20"/>
          <w:szCs w:val="20"/>
          <w:color w:val="auto"/>
        </w:rPr>
      </w:pPr>
      <w:r>
        <w:rPr>
          <w:rFonts w:ascii="Arial" w:cs="Arial" w:eastAsia="Arial" w:hAnsi="Arial"/>
          <w:sz w:val="13"/>
          <w:szCs w:val="13"/>
          <w:color w:val="auto"/>
        </w:rPr>
        <w:t>11225 North Community House Road</w:t>
      </w:r>
    </w:p>
    <w:p>
      <w:pPr>
        <w:spacing w:after="0" w:line="9" w:lineRule="exact"/>
        <w:rPr>
          <w:sz w:val="20"/>
          <w:szCs w:val="20"/>
          <w:color w:val="auto"/>
        </w:rPr>
      </w:pPr>
    </w:p>
    <w:p>
      <w:pPr>
        <w:ind w:left="5"/>
        <w:spacing w:after="0"/>
        <w:rPr>
          <w:sz w:val="20"/>
          <w:szCs w:val="20"/>
          <w:color w:val="auto"/>
        </w:rPr>
      </w:pPr>
      <w:r>
        <w:rPr>
          <w:rFonts w:ascii="Arial" w:cs="Arial" w:eastAsia="Arial" w:hAnsi="Arial"/>
          <w:sz w:val="13"/>
          <w:szCs w:val="13"/>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Vice President and Assistant Secretary</w:t>
      </w:r>
    </w:p>
    <w:p>
      <w:pPr>
        <w:spacing w:after="0" w:line="455" w:lineRule="exact"/>
        <w:rPr>
          <w:sz w:val="20"/>
          <w:szCs w:val="20"/>
          <w:color w:val="auto"/>
        </w:rPr>
      </w:pPr>
    </w:p>
    <w:p>
      <w:pPr>
        <w:sectPr>
          <w:pgSz w:w="11900" w:h="16838" w:orient="portrait"/>
          <w:cols w:equalWidth="0" w:num="2">
            <w:col w:w="2185" w:space="700"/>
            <w:col w:w="6719"/>
          </w:cols>
          <w:pgMar w:left="855" w:top="762" w:right="1440" w:bottom="1440" w:gutter="0" w:footer="0" w:header="0"/>
          <w:type w:val="continuous"/>
        </w:sectPr>
      </w:pPr>
    </w:p>
    <w:p>
      <w:pPr>
        <w:ind w:left="5"/>
        <w:spacing w:after="0"/>
        <w:rPr>
          <w:sz w:val="20"/>
          <w:szCs w:val="20"/>
          <w:color w:val="auto"/>
        </w:rPr>
      </w:pPr>
      <w:r>
        <w:rPr>
          <w:rFonts w:ascii="Arial" w:cs="Arial" w:eastAsia="Arial" w:hAnsi="Arial"/>
          <w:sz w:val="13"/>
          <w:szCs w:val="13"/>
          <w:color w:val="auto"/>
        </w:rPr>
        <w:t>Janet Morgan</w:t>
      </w:r>
    </w:p>
    <w:p>
      <w:pPr>
        <w:spacing w:after="0" w:line="21" w:lineRule="exact"/>
        <w:rPr>
          <w:sz w:val="20"/>
          <w:szCs w:val="20"/>
          <w:color w:val="auto"/>
        </w:rPr>
      </w:pPr>
    </w:p>
    <w:p>
      <w:pPr>
        <w:ind w:left="5"/>
        <w:spacing w:after="0"/>
        <w:rPr>
          <w:sz w:val="20"/>
          <w:szCs w:val="20"/>
          <w:color w:val="auto"/>
        </w:rPr>
      </w:pPr>
      <w:r>
        <w:rPr>
          <w:rFonts w:ascii="Arial" w:cs="Arial" w:eastAsia="Arial" w:hAnsi="Arial"/>
          <w:sz w:val="13"/>
          <w:szCs w:val="13"/>
          <w:color w:val="auto"/>
        </w:rPr>
        <w:t>11225 North Community House Road</w:t>
      </w:r>
    </w:p>
    <w:p>
      <w:pPr>
        <w:spacing w:after="0" w:line="9" w:lineRule="exact"/>
        <w:rPr>
          <w:sz w:val="20"/>
          <w:szCs w:val="20"/>
          <w:color w:val="auto"/>
        </w:rPr>
      </w:pPr>
    </w:p>
    <w:p>
      <w:pPr>
        <w:ind w:left="5"/>
        <w:spacing w:after="0"/>
        <w:rPr>
          <w:sz w:val="20"/>
          <w:szCs w:val="20"/>
          <w:color w:val="auto"/>
        </w:rPr>
      </w:pPr>
      <w:r>
        <w:rPr>
          <w:rFonts w:ascii="Arial" w:cs="Arial" w:eastAsia="Arial" w:hAnsi="Arial"/>
          <w:sz w:val="13"/>
          <w:szCs w:val="13"/>
          <w:color w:val="auto"/>
        </w:rPr>
        <w:t>Charlotte, NC 28277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Vice President and Treasurer</w:t>
      </w:r>
    </w:p>
    <w:p>
      <w:pPr>
        <w:spacing w:after="0" w:line="455" w:lineRule="exact"/>
        <w:rPr>
          <w:sz w:val="20"/>
          <w:szCs w:val="20"/>
          <w:color w:val="auto"/>
        </w:rPr>
      </w:pPr>
    </w:p>
    <w:p>
      <w:pPr>
        <w:sectPr>
          <w:pgSz w:w="11900" w:h="16838" w:orient="portrait"/>
          <w:cols w:equalWidth="0" w:num="2">
            <w:col w:w="2185" w:space="700"/>
            <w:col w:w="6719"/>
          </w:cols>
          <w:pgMar w:left="855" w:top="762" w:right="1440" w:bottom="1440" w:gutter="0" w:footer="0" w:header="0"/>
          <w:type w:val="continuous"/>
        </w:sectPr>
      </w:pPr>
    </w:p>
    <w:p>
      <w:pPr>
        <w:ind w:left="5"/>
        <w:spacing w:after="0"/>
        <w:rPr>
          <w:sz w:val="20"/>
          <w:szCs w:val="20"/>
          <w:color w:val="auto"/>
        </w:rPr>
      </w:pPr>
      <w:r>
        <w:rPr>
          <w:rFonts w:ascii="Arial" w:cs="Arial" w:eastAsia="Arial" w:hAnsi="Arial"/>
          <w:sz w:val="13"/>
          <w:szCs w:val="13"/>
          <w:color w:val="auto"/>
        </w:rPr>
        <w:t>James Painter, Jr.</w:t>
      </w:r>
    </w:p>
    <w:p>
      <w:pPr>
        <w:spacing w:after="0" w:line="21" w:lineRule="exact"/>
        <w:rPr>
          <w:sz w:val="20"/>
          <w:szCs w:val="20"/>
          <w:color w:val="auto"/>
        </w:rPr>
      </w:pPr>
    </w:p>
    <w:p>
      <w:pPr>
        <w:ind w:left="5"/>
        <w:spacing w:after="0"/>
        <w:rPr>
          <w:sz w:val="20"/>
          <w:szCs w:val="20"/>
          <w:color w:val="auto"/>
        </w:rPr>
      </w:pPr>
      <w:r>
        <w:rPr>
          <w:rFonts w:ascii="Arial" w:cs="Arial" w:eastAsia="Arial" w:hAnsi="Arial"/>
          <w:sz w:val="13"/>
          <w:szCs w:val="13"/>
          <w:color w:val="auto"/>
        </w:rPr>
        <w:t>11225 North Community House Road</w:t>
      </w:r>
    </w:p>
    <w:p>
      <w:pPr>
        <w:spacing w:after="0" w:line="9" w:lineRule="exact"/>
        <w:rPr>
          <w:sz w:val="20"/>
          <w:szCs w:val="20"/>
          <w:color w:val="auto"/>
        </w:rPr>
      </w:pPr>
    </w:p>
    <w:p>
      <w:pPr>
        <w:ind w:left="5"/>
        <w:spacing w:after="0"/>
        <w:rPr>
          <w:sz w:val="20"/>
          <w:szCs w:val="20"/>
          <w:color w:val="auto"/>
        </w:rPr>
      </w:pPr>
      <w:r>
        <w:rPr>
          <w:rFonts w:ascii="Arial" w:cs="Arial" w:eastAsia="Arial" w:hAnsi="Arial"/>
          <w:sz w:val="13"/>
          <w:szCs w:val="13"/>
          <w:color w:val="auto"/>
        </w:rPr>
        <w:t>Charlotte, NC 28277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Vice President</w:t>
      </w:r>
    </w:p>
    <w:p>
      <w:pPr>
        <w:spacing w:after="0" w:line="465" w:lineRule="exact"/>
        <w:rPr>
          <w:sz w:val="20"/>
          <w:szCs w:val="20"/>
          <w:color w:val="auto"/>
        </w:rPr>
      </w:pPr>
    </w:p>
    <w:p>
      <w:pPr>
        <w:sectPr>
          <w:pgSz w:w="11900" w:h="16838" w:orient="portrait"/>
          <w:cols w:equalWidth="0" w:num="2">
            <w:col w:w="2185" w:space="700"/>
            <w:col w:w="6719"/>
          </w:cols>
          <w:pgMar w:left="855" w:top="762" w:right="1440" w:bottom="1440" w:gutter="0" w:footer="0" w:header="0"/>
          <w:type w:val="continuous"/>
        </w:sectPr>
      </w:pPr>
    </w:p>
    <w:p>
      <w:pPr>
        <w:ind w:left="5"/>
        <w:spacing w:after="0"/>
        <w:rPr>
          <w:sz w:val="20"/>
          <w:szCs w:val="20"/>
          <w:color w:val="auto"/>
        </w:rPr>
      </w:pPr>
      <w:r>
        <w:rPr>
          <w:rFonts w:ascii="Arial" w:cs="Arial" w:eastAsia="Arial" w:hAnsi="Arial"/>
          <w:sz w:val="13"/>
          <w:szCs w:val="13"/>
          <w:color w:val="auto"/>
        </w:rPr>
        <w:t>Melissa Pavlovich</w:t>
      </w:r>
    </w:p>
    <w:p>
      <w:pPr>
        <w:spacing w:after="0" w:line="21" w:lineRule="exact"/>
        <w:rPr>
          <w:sz w:val="20"/>
          <w:szCs w:val="20"/>
          <w:color w:val="auto"/>
        </w:rPr>
      </w:pPr>
    </w:p>
    <w:p>
      <w:pPr>
        <w:ind w:left="5"/>
        <w:spacing w:after="0"/>
        <w:rPr>
          <w:sz w:val="20"/>
          <w:szCs w:val="20"/>
          <w:color w:val="auto"/>
        </w:rPr>
      </w:pPr>
      <w:r>
        <w:rPr>
          <w:rFonts w:ascii="Arial" w:cs="Arial" w:eastAsia="Arial" w:hAnsi="Arial"/>
          <w:sz w:val="13"/>
          <w:szCs w:val="13"/>
          <w:color w:val="auto"/>
        </w:rPr>
        <w:t>11225 North Community House Road</w:t>
      </w:r>
    </w:p>
    <w:p>
      <w:pPr>
        <w:spacing w:after="0" w:line="9" w:lineRule="exact"/>
        <w:rPr>
          <w:sz w:val="20"/>
          <w:szCs w:val="20"/>
          <w:color w:val="auto"/>
        </w:rPr>
      </w:pPr>
    </w:p>
    <w:p>
      <w:pPr>
        <w:ind w:left="5"/>
        <w:spacing w:after="0"/>
        <w:rPr>
          <w:sz w:val="20"/>
          <w:szCs w:val="20"/>
          <w:color w:val="auto"/>
        </w:rPr>
      </w:pPr>
      <w:r>
        <w:rPr>
          <w:rFonts w:ascii="Arial" w:cs="Arial" w:eastAsia="Arial" w:hAnsi="Arial"/>
          <w:sz w:val="13"/>
          <w:szCs w:val="13"/>
          <w:color w:val="auto"/>
        </w:rPr>
        <w:t>Charlotte, NC 28277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Vice President and Tax Director</w:t>
      </w:r>
    </w:p>
    <w:p>
      <w:pPr>
        <w:spacing w:after="0" w:line="455" w:lineRule="exact"/>
        <w:rPr>
          <w:sz w:val="20"/>
          <w:szCs w:val="20"/>
          <w:color w:val="auto"/>
        </w:rPr>
      </w:pPr>
    </w:p>
    <w:p>
      <w:pPr>
        <w:sectPr>
          <w:pgSz w:w="11900" w:h="16838" w:orient="portrait"/>
          <w:cols w:equalWidth="0" w:num="2">
            <w:col w:w="2185" w:space="700"/>
            <w:col w:w="6719"/>
          </w:cols>
          <w:pgMar w:left="855" w:top="762" w:right="1440" w:bottom="1440" w:gutter="0" w:footer="0" w:header="0"/>
          <w:type w:val="continuous"/>
        </w:sectPr>
      </w:pPr>
    </w:p>
    <w:p>
      <w:pPr>
        <w:ind w:left="5"/>
        <w:spacing w:after="0"/>
        <w:rPr>
          <w:sz w:val="20"/>
          <w:szCs w:val="20"/>
          <w:color w:val="auto"/>
        </w:rPr>
      </w:pPr>
      <w:r>
        <w:rPr>
          <w:rFonts w:ascii="Arial" w:cs="Arial" w:eastAsia="Arial" w:hAnsi="Arial"/>
          <w:sz w:val="13"/>
          <w:szCs w:val="13"/>
          <w:color w:val="auto"/>
        </w:rPr>
        <w:t>Kristin Prohonic</w:t>
      </w:r>
    </w:p>
    <w:p>
      <w:pPr>
        <w:spacing w:after="0" w:line="21" w:lineRule="exact"/>
        <w:rPr>
          <w:sz w:val="20"/>
          <w:szCs w:val="20"/>
          <w:color w:val="auto"/>
        </w:rPr>
      </w:pPr>
    </w:p>
    <w:p>
      <w:pPr>
        <w:ind w:left="5"/>
        <w:spacing w:after="0"/>
        <w:rPr>
          <w:sz w:val="20"/>
          <w:szCs w:val="20"/>
          <w:color w:val="auto"/>
        </w:rPr>
      </w:pPr>
      <w:r>
        <w:rPr>
          <w:rFonts w:ascii="Arial" w:cs="Arial" w:eastAsia="Arial" w:hAnsi="Arial"/>
          <w:sz w:val="13"/>
          <w:szCs w:val="13"/>
          <w:color w:val="auto"/>
        </w:rPr>
        <w:t>11225 North Community House Road</w:t>
      </w:r>
    </w:p>
    <w:p>
      <w:pPr>
        <w:spacing w:after="0" w:line="9" w:lineRule="exact"/>
        <w:rPr>
          <w:sz w:val="20"/>
          <w:szCs w:val="20"/>
          <w:color w:val="auto"/>
        </w:rPr>
      </w:pPr>
    </w:p>
    <w:p>
      <w:pPr>
        <w:ind w:left="5"/>
        <w:spacing w:after="0"/>
        <w:rPr>
          <w:sz w:val="20"/>
          <w:szCs w:val="20"/>
          <w:color w:val="auto"/>
        </w:rPr>
      </w:pPr>
      <w:r>
        <w:rPr>
          <w:rFonts w:ascii="Arial" w:cs="Arial" w:eastAsia="Arial" w:hAnsi="Arial"/>
          <w:sz w:val="13"/>
          <w:szCs w:val="13"/>
          <w:color w:val="auto"/>
        </w:rPr>
        <w:t>Charlotte, NC 28277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Vice President and Chief Compliance Officer</w:t>
      </w:r>
    </w:p>
    <w:p>
      <w:pPr>
        <w:spacing w:after="0" w:line="475" w:lineRule="exact"/>
        <w:rPr>
          <w:sz w:val="20"/>
          <w:szCs w:val="20"/>
          <w:color w:val="auto"/>
        </w:rPr>
      </w:pPr>
    </w:p>
    <w:p>
      <w:pPr>
        <w:sectPr>
          <w:pgSz w:w="11900" w:h="16838" w:orient="portrait"/>
          <w:cols w:equalWidth="0" w:num="2">
            <w:col w:w="2185" w:space="700"/>
            <w:col w:w="6719"/>
          </w:cols>
          <w:pgMar w:left="855" w:top="762" w:right="1440" w:bottom="1440" w:gutter="0" w:footer="0" w:header="0"/>
          <w:type w:val="continuous"/>
        </w:sectPr>
      </w:pPr>
    </w:p>
    <w:p>
      <w:pPr>
        <w:ind w:left="625" w:right="2979" w:hanging="625"/>
        <w:spacing w:after="0" w:line="267" w:lineRule="auto"/>
        <w:tabs>
          <w:tab w:leader="none" w:pos="625" w:val="left"/>
        </w:tabs>
        <w:numPr>
          <w:ilvl w:val="0"/>
          <w:numId w:val="81"/>
        </w:numPr>
        <w:rPr>
          <w:rFonts w:ascii="Arial" w:cs="Arial" w:eastAsia="Arial" w:hAnsi="Arial"/>
          <w:sz w:val="13"/>
          <w:szCs w:val="13"/>
          <w:color w:val="auto"/>
        </w:rPr>
      </w:pPr>
      <w:r>
        <w:rPr>
          <w:rFonts w:ascii="Arial" w:cs="Arial" w:eastAsia="Arial" w:hAnsi="Arial"/>
          <w:sz w:val="13"/>
          <w:szCs w:val="13"/>
          <w:color w:val="auto"/>
        </w:rPr>
        <w:t>Compensation from the Company. The following aggregate amount of commissions and other compensation was received by the Distributor, directly or indirectly, from the Registrant during their last fiscal year and includes the other separate accounts of the Company which issue variable annuity contracts.</w:t>
      </w:r>
    </w:p>
    <w:p>
      <w:pPr>
        <w:spacing w:after="0" w:line="48" w:lineRule="exact"/>
        <w:rPr>
          <w:sz w:val="20"/>
          <w:szCs w:val="20"/>
          <w:color w:val="auto"/>
        </w:rPr>
      </w:pPr>
    </w:p>
    <w:tbl>
      <w:tblPr>
        <w:tblLayout w:type="fixed"/>
        <w:tblInd w:w="5" w:type="dxa"/>
        <w:tblCellMar>
          <w:top w:w="0" w:type="dxa"/>
          <w:left w:w="0" w:type="dxa"/>
          <w:bottom w:w="0" w:type="dxa"/>
          <w:right w:w="0" w:type="dxa"/>
        </w:tblCellMar>
      </w:tblPr>
      <w:tr>
        <w:trPr>
          <w:trHeight w:val="126"/>
        </w:trPr>
        <w:tc>
          <w:tcPr>
            <w:tcW w:w="44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960" w:type="dxa"/>
            <w:vAlign w:val="bottom"/>
            <w:gridSpan w:val="2"/>
          </w:tcPr>
          <w:p>
            <w:pPr>
              <w:jc w:val="right"/>
              <w:ind w:right="303"/>
              <w:spacing w:after="0"/>
              <w:rPr>
                <w:sz w:val="20"/>
                <w:szCs w:val="20"/>
                <w:color w:val="auto"/>
              </w:rPr>
            </w:pPr>
            <w:r>
              <w:rPr>
                <w:rFonts w:ascii="Arial" w:cs="Arial" w:eastAsia="Arial" w:hAnsi="Arial"/>
                <w:sz w:val="11"/>
                <w:szCs w:val="11"/>
                <w:b w:val="1"/>
                <w:bCs w:val="1"/>
                <w:color w:val="auto"/>
              </w:rPr>
              <w:t>(2)</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19"/>
        </w:trPr>
        <w:tc>
          <w:tcPr>
            <w:tcW w:w="44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040" w:type="dxa"/>
            <w:vAlign w:val="bottom"/>
            <w:gridSpan w:val="3"/>
          </w:tcPr>
          <w:p>
            <w:pPr>
              <w:jc w:val="center"/>
              <w:ind w:left="27"/>
              <w:spacing w:after="0" w:line="119" w:lineRule="exact"/>
              <w:rPr>
                <w:sz w:val="20"/>
                <w:szCs w:val="20"/>
                <w:color w:val="auto"/>
              </w:rPr>
            </w:pPr>
            <w:r>
              <w:rPr>
                <w:rFonts w:ascii="Arial" w:cs="Arial" w:eastAsia="Arial" w:hAnsi="Arial"/>
                <w:sz w:val="11"/>
                <w:szCs w:val="11"/>
                <w:b w:val="1"/>
                <w:bCs w:val="1"/>
                <w:color w:val="auto"/>
                <w:w w:val="94"/>
              </w:rPr>
              <w:t>Net Underwriting</w:t>
            </w:r>
          </w:p>
        </w:tc>
        <w:tc>
          <w:tcPr>
            <w:tcW w:w="780" w:type="dxa"/>
            <w:vAlign w:val="bottom"/>
            <w:gridSpan w:val="2"/>
          </w:tcPr>
          <w:p>
            <w:pPr>
              <w:jc w:val="right"/>
              <w:ind w:right="241"/>
              <w:spacing w:after="0" w:line="119" w:lineRule="exact"/>
              <w:rPr>
                <w:sz w:val="20"/>
                <w:szCs w:val="20"/>
                <w:color w:val="auto"/>
              </w:rPr>
            </w:pPr>
            <w:r>
              <w:rPr>
                <w:rFonts w:ascii="Arial" w:cs="Arial" w:eastAsia="Arial" w:hAnsi="Arial"/>
                <w:sz w:val="11"/>
                <w:szCs w:val="11"/>
                <w:b w:val="1"/>
                <w:bCs w:val="1"/>
                <w:color w:val="auto"/>
              </w:rPr>
              <w:t>(3)</w:t>
            </w:r>
          </w:p>
        </w:tc>
        <w:tc>
          <w:tcPr>
            <w:tcW w:w="100" w:type="dxa"/>
            <w:vAlign w:val="bottom"/>
          </w:tcPr>
          <w:p>
            <w:pPr>
              <w:spacing w:after="0"/>
              <w:rPr>
                <w:sz w:val="10"/>
                <w:szCs w:val="10"/>
                <w:color w:val="auto"/>
              </w:rPr>
            </w:pPr>
          </w:p>
        </w:tc>
        <w:tc>
          <w:tcPr>
            <w:tcW w:w="620" w:type="dxa"/>
            <w:vAlign w:val="bottom"/>
            <w:gridSpan w:val="2"/>
          </w:tcPr>
          <w:p>
            <w:pPr>
              <w:jc w:val="right"/>
              <w:ind w:right="161"/>
              <w:spacing w:after="0" w:line="119" w:lineRule="exact"/>
              <w:rPr>
                <w:sz w:val="20"/>
                <w:szCs w:val="20"/>
                <w:color w:val="auto"/>
              </w:rPr>
            </w:pPr>
            <w:r>
              <w:rPr>
                <w:rFonts w:ascii="Arial" w:cs="Arial" w:eastAsia="Arial" w:hAnsi="Arial"/>
                <w:sz w:val="11"/>
                <w:szCs w:val="11"/>
                <w:b w:val="1"/>
                <w:bCs w:val="1"/>
                <w:color w:val="auto"/>
              </w:rPr>
              <w:t>(4)</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223"/>
              <w:spacing w:after="0" w:line="119" w:lineRule="exact"/>
              <w:rPr>
                <w:sz w:val="20"/>
                <w:szCs w:val="20"/>
                <w:color w:val="auto"/>
              </w:rPr>
            </w:pPr>
            <w:r>
              <w:rPr>
                <w:rFonts w:ascii="Arial" w:cs="Arial" w:eastAsia="Arial" w:hAnsi="Arial"/>
                <w:sz w:val="11"/>
                <w:szCs w:val="11"/>
                <w:b w:val="1"/>
                <w:bCs w:val="1"/>
                <w:color w:val="auto"/>
              </w:rPr>
              <w:t>(5)</w:t>
            </w:r>
          </w:p>
        </w:tc>
        <w:tc>
          <w:tcPr>
            <w:tcW w:w="60" w:type="dxa"/>
            <w:vAlign w:val="bottom"/>
          </w:tcPr>
          <w:p>
            <w:pPr>
              <w:spacing w:after="0"/>
              <w:rPr>
                <w:sz w:val="10"/>
                <w:szCs w:val="10"/>
                <w:color w:val="auto"/>
              </w:rPr>
            </w:pPr>
          </w:p>
        </w:tc>
      </w:tr>
      <w:tr>
        <w:trPr>
          <w:trHeight w:val="119"/>
        </w:trPr>
        <w:tc>
          <w:tcPr>
            <w:tcW w:w="440" w:type="dxa"/>
            <w:vAlign w:val="bottom"/>
          </w:tcPr>
          <w:p>
            <w:pPr>
              <w:spacing w:after="0"/>
              <w:rPr>
                <w:sz w:val="10"/>
                <w:szCs w:val="10"/>
                <w:color w:val="auto"/>
              </w:rPr>
            </w:pPr>
          </w:p>
        </w:tc>
        <w:tc>
          <w:tcPr>
            <w:tcW w:w="2940" w:type="dxa"/>
            <w:vAlign w:val="bottom"/>
          </w:tcPr>
          <w:p>
            <w:pPr>
              <w:jc w:val="right"/>
              <w:ind w:right="1561"/>
              <w:spacing w:after="0" w:line="119" w:lineRule="exact"/>
              <w:rPr>
                <w:sz w:val="20"/>
                <w:szCs w:val="20"/>
                <w:color w:val="auto"/>
              </w:rPr>
            </w:pPr>
            <w:r>
              <w:rPr>
                <w:rFonts w:ascii="Arial" w:cs="Arial" w:eastAsia="Arial" w:hAnsi="Arial"/>
                <w:sz w:val="11"/>
                <w:szCs w:val="11"/>
                <w:b w:val="1"/>
                <w:bCs w:val="1"/>
                <w:color w:val="auto"/>
              </w:rPr>
              <w:t>(1)</w:t>
            </w:r>
          </w:p>
        </w:tc>
        <w:tc>
          <w:tcPr>
            <w:tcW w:w="140" w:type="dxa"/>
            <w:vAlign w:val="bottom"/>
          </w:tcPr>
          <w:p>
            <w:pPr>
              <w:spacing w:after="0"/>
              <w:rPr>
                <w:sz w:val="10"/>
                <w:szCs w:val="10"/>
                <w:color w:val="auto"/>
              </w:rPr>
            </w:pPr>
          </w:p>
        </w:tc>
        <w:tc>
          <w:tcPr>
            <w:tcW w:w="90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95"/>
              </w:rPr>
              <w:t>Discounts And</w:t>
            </w:r>
          </w:p>
        </w:tc>
        <w:tc>
          <w:tcPr>
            <w:tcW w:w="880" w:type="dxa"/>
            <w:vAlign w:val="bottom"/>
            <w:gridSpan w:val="3"/>
          </w:tcPr>
          <w:p>
            <w:pPr>
              <w:ind w:left="40"/>
              <w:spacing w:after="0" w:line="119" w:lineRule="exact"/>
              <w:rPr>
                <w:sz w:val="20"/>
                <w:szCs w:val="20"/>
                <w:color w:val="auto"/>
              </w:rPr>
            </w:pPr>
            <w:r>
              <w:rPr>
                <w:rFonts w:ascii="Arial" w:cs="Arial" w:eastAsia="Arial" w:hAnsi="Arial"/>
                <w:sz w:val="11"/>
                <w:szCs w:val="11"/>
                <w:b w:val="1"/>
                <w:bCs w:val="1"/>
                <w:color w:val="auto"/>
              </w:rPr>
              <w:t>Compensation</w:t>
            </w:r>
          </w:p>
        </w:tc>
        <w:tc>
          <w:tcPr>
            <w:tcW w:w="40" w:type="dxa"/>
            <w:vAlign w:val="bottom"/>
          </w:tcPr>
          <w:p>
            <w:pPr>
              <w:spacing w:after="0"/>
              <w:rPr>
                <w:sz w:val="10"/>
                <w:szCs w:val="10"/>
                <w:color w:val="auto"/>
              </w:rPr>
            </w:pPr>
          </w:p>
        </w:tc>
        <w:tc>
          <w:tcPr>
            <w:tcW w:w="84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Brokerage</w:t>
            </w:r>
          </w:p>
        </w:tc>
        <w:tc>
          <w:tcPr>
            <w:tcW w:w="62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Other</w:t>
            </w:r>
          </w:p>
        </w:tc>
      </w:tr>
      <w:tr>
        <w:trPr>
          <w:trHeight w:val="135"/>
        </w:trPr>
        <w:tc>
          <w:tcPr>
            <w:tcW w:w="440" w:type="dxa"/>
            <w:vAlign w:val="bottom"/>
          </w:tcPr>
          <w:p>
            <w:pPr>
              <w:spacing w:after="0"/>
              <w:rPr>
                <w:sz w:val="11"/>
                <w:szCs w:val="11"/>
                <w:color w:val="auto"/>
              </w:rPr>
            </w:pPr>
          </w:p>
        </w:tc>
        <w:tc>
          <w:tcPr>
            <w:tcW w:w="2940" w:type="dxa"/>
            <w:vAlign w:val="bottom"/>
          </w:tcPr>
          <w:p>
            <w:pPr>
              <w:jc w:val="center"/>
              <w:ind w:right="381"/>
              <w:spacing w:after="0"/>
              <w:rPr>
                <w:sz w:val="20"/>
                <w:szCs w:val="20"/>
                <w:color w:val="auto"/>
              </w:rPr>
            </w:pPr>
            <w:r>
              <w:rPr>
                <w:rFonts w:ascii="Arial" w:cs="Arial" w:eastAsia="Arial" w:hAnsi="Arial"/>
                <w:sz w:val="11"/>
                <w:szCs w:val="11"/>
                <w:b w:val="1"/>
                <w:bCs w:val="1"/>
                <w:color w:val="auto"/>
                <w:w w:val="95"/>
              </w:rPr>
              <w:t>Name of Principal Underwriter</w:t>
            </w:r>
          </w:p>
        </w:tc>
        <w:tc>
          <w:tcPr>
            <w:tcW w:w="14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96"/>
              </w:rPr>
              <w:t>Commissions</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On Redemption</w:t>
            </w:r>
          </w:p>
        </w:tc>
        <w:tc>
          <w:tcPr>
            <w:tcW w:w="1500" w:type="dxa"/>
            <w:vAlign w:val="bottom"/>
            <w:gridSpan w:val="6"/>
          </w:tcPr>
          <w:p>
            <w:pPr>
              <w:ind w:left="20"/>
              <w:spacing w:after="0"/>
              <w:rPr>
                <w:sz w:val="20"/>
                <w:szCs w:val="20"/>
                <w:color w:val="auto"/>
              </w:rPr>
            </w:pPr>
            <w:r>
              <w:rPr>
                <w:rFonts w:ascii="Arial" w:cs="Arial" w:eastAsia="Arial" w:hAnsi="Arial"/>
                <w:sz w:val="11"/>
                <w:szCs w:val="11"/>
                <w:b w:val="1"/>
                <w:bCs w:val="1"/>
                <w:color w:val="auto"/>
                <w:w w:val="96"/>
              </w:rPr>
              <w:t>Commissions Compensation</w:t>
            </w:r>
          </w:p>
        </w:tc>
      </w:tr>
      <w:tr>
        <w:trPr>
          <w:trHeight w:val="168"/>
        </w:trPr>
        <w:tc>
          <w:tcPr>
            <w:tcW w:w="3380" w:type="dxa"/>
            <w:vAlign w:val="bottom"/>
            <w:tcBorders>
              <w:top w:val="single" w:sz="8" w:color="auto"/>
            </w:tcBorders>
            <w:gridSpan w:val="2"/>
            <w:shd w:val="clear" w:color="auto" w:fill="F0FFFF"/>
          </w:tcPr>
          <w:p>
            <w:pPr>
              <w:spacing w:after="0"/>
              <w:rPr>
                <w:sz w:val="20"/>
                <w:szCs w:val="20"/>
                <w:color w:val="auto"/>
              </w:rPr>
            </w:pPr>
            <w:r>
              <w:rPr>
                <w:rFonts w:ascii="Arial" w:cs="Arial" w:eastAsia="Arial" w:hAnsi="Arial"/>
                <w:sz w:val="13"/>
                <w:szCs w:val="13"/>
                <w:color w:val="auto"/>
              </w:rPr>
              <w:t>Brighthouse Securities, LLC</w:t>
            </w:r>
          </w:p>
        </w:tc>
        <w:tc>
          <w:tcPr>
            <w:tcW w:w="140" w:type="dxa"/>
            <w:vAlign w:val="bottom"/>
            <w:shd w:val="clear" w:color="auto" w:fill="F0FFFF"/>
          </w:tcPr>
          <w:p>
            <w:pPr>
              <w:spacing w:after="0"/>
              <w:rPr>
                <w:sz w:val="14"/>
                <w:szCs w:val="14"/>
                <w:color w:val="auto"/>
              </w:rPr>
            </w:pPr>
          </w:p>
        </w:tc>
        <w:tc>
          <w:tcPr>
            <w:tcW w:w="8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3"/>
                <w:szCs w:val="13"/>
                <w:color w:val="auto"/>
              </w:rPr>
              <w:t>$80,282,297</w:t>
            </w:r>
          </w:p>
        </w:tc>
        <w:tc>
          <w:tcPr>
            <w:tcW w:w="80" w:type="dxa"/>
            <w:vAlign w:val="bottom"/>
            <w:shd w:val="clear" w:color="auto" w:fill="F0FFFF"/>
          </w:tcPr>
          <w:p>
            <w:pPr>
              <w:spacing w:after="0"/>
              <w:rPr>
                <w:sz w:val="14"/>
                <w:szCs w:val="14"/>
                <w:color w:val="auto"/>
              </w:rPr>
            </w:pPr>
          </w:p>
        </w:tc>
        <w:tc>
          <w:tcPr>
            <w:tcW w:w="40" w:type="dxa"/>
            <w:vAlign w:val="bottom"/>
            <w:shd w:val="clear" w:color="auto" w:fill="F0FFFF"/>
          </w:tcPr>
          <w:p>
            <w:pPr>
              <w:spacing w:after="0"/>
              <w:rPr>
                <w:sz w:val="14"/>
                <w:szCs w:val="14"/>
                <w:color w:val="auto"/>
              </w:rPr>
            </w:pPr>
          </w:p>
        </w:tc>
        <w:tc>
          <w:tcPr>
            <w:tcW w:w="740" w:type="dxa"/>
            <w:vAlign w:val="bottom"/>
            <w:tcBorders>
              <w:top w:val="single" w:sz="8" w:color="auto"/>
            </w:tcBorders>
            <w:shd w:val="clear" w:color="auto" w:fill="F0FFFF"/>
          </w:tcPr>
          <w:p>
            <w:pPr>
              <w:jc w:val="right"/>
              <w:ind w:right="241"/>
              <w:spacing w:after="0"/>
              <w:rPr>
                <w:sz w:val="20"/>
                <w:szCs w:val="20"/>
                <w:color w:val="auto"/>
              </w:rPr>
            </w:pPr>
            <w:r>
              <w:rPr>
                <w:rFonts w:ascii="Arial" w:cs="Arial" w:eastAsia="Arial" w:hAnsi="Arial"/>
                <w:sz w:val="13"/>
                <w:szCs w:val="13"/>
                <w:color w:val="auto"/>
              </w:rPr>
              <w:t>$0</w:t>
            </w:r>
          </w:p>
        </w:tc>
        <w:tc>
          <w:tcPr>
            <w:tcW w:w="100" w:type="dxa"/>
            <w:vAlign w:val="bottom"/>
            <w:shd w:val="clear" w:color="auto" w:fill="F0FFFF"/>
          </w:tcPr>
          <w:p>
            <w:pPr>
              <w:spacing w:after="0"/>
              <w:rPr>
                <w:sz w:val="14"/>
                <w:szCs w:val="14"/>
                <w:color w:val="auto"/>
              </w:rPr>
            </w:pPr>
          </w:p>
        </w:tc>
        <w:tc>
          <w:tcPr>
            <w:tcW w:w="40" w:type="dxa"/>
            <w:vAlign w:val="bottom"/>
            <w:shd w:val="clear" w:color="auto" w:fill="F0FFFF"/>
          </w:tcPr>
          <w:p>
            <w:pPr>
              <w:spacing w:after="0"/>
              <w:rPr>
                <w:sz w:val="14"/>
                <w:szCs w:val="14"/>
                <w:color w:val="auto"/>
              </w:rPr>
            </w:pPr>
          </w:p>
        </w:tc>
        <w:tc>
          <w:tcPr>
            <w:tcW w:w="580" w:type="dxa"/>
            <w:vAlign w:val="bottom"/>
            <w:tcBorders>
              <w:top w:val="single" w:sz="8" w:color="auto"/>
            </w:tcBorders>
            <w:shd w:val="clear" w:color="auto" w:fill="F0FFFF"/>
          </w:tcPr>
          <w:p>
            <w:pPr>
              <w:jc w:val="right"/>
              <w:ind w:right="161"/>
              <w:spacing w:after="0"/>
              <w:rPr>
                <w:sz w:val="20"/>
                <w:szCs w:val="20"/>
                <w:color w:val="auto"/>
              </w:rPr>
            </w:pPr>
            <w:r>
              <w:rPr>
                <w:rFonts w:ascii="Arial" w:cs="Arial" w:eastAsia="Arial" w:hAnsi="Arial"/>
                <w:sz w:val="13"/>
                <w:szCs w:val="13"/>
                <w:color w:val="auto"/>
              </w:rPr>
              <w:t>$0</w:t>
            </w:r>
          </w:p>
        </w:tc>
        <w:tc>
          <w:tcPr>
            <w:tcW w:w="140" w:type="dxa"/>
            <w:vAlign w:val="bottom"/>
            <w:shd w:val="clear" w:color="auto" w:fill="F0FFFF"/>
          </w:tcPr>
          <w:p>
            <w:pPr>
              <w:spacing w:after="0"/>
              <w:rPr>
                <w:sz w:val="14"/>
                <w:szCs w:val="14"/>
                <w:color w:val="auto"/>
              </w:rPr>
            </w:pPr>
          </w:p>
        </w:tc>
        <w:tc>
          <w:tcPr>
            <w:tcW w:w="120" w:type="dxa"/>
            <w:vAlign w:val="bottom"/>
            <w:tcBorders>
              <w:top w:val="single" w:sz="8" w:color="auto"/>
            </w:tcBorders>
            <w:shd w:val="clear" w:color="auto" w:fill="F0FFFF"/>
          </w:tcPr>
          <w:p>
            <w:pPr>
              <w:spacing w:after="0"/>
              <w:rPr>
                <w:sz w:val="14"/>
                <w:szCs w:val="14"/>
                <w:color w:val="auto"/>
              </w:rPr>
            </w:pPr>
          </w:p>
        </w:tc>
        <w:tc>
          <w:tcPr>
            <w:tcW w:w="560" w:type="dxa"/>
            <w:vAlign w:val="bottom"/>
            <w:tcBorders>
              <w:top w:val="single" w:sz="8" w:color="auto"/>
            </w:tcBorders>
            <w:shd w:val="clear" w:color="auto" w:fill="F0FFFF"/>
          </w:tcPr>
          <w:p>
            <w:pPr>
              <w:jc w:val="right"/>
              <w:ind w:right="203"/>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14"/>
                <w:szCs w:val="14"/>
                <w:color w:val="auto"/>
              </w:rPr>
            </w:pPr>
          </w:p>
        </w:tc>
      </w:tr>
      <w:tr>
        <w:trPr>
          <w:trHeight w:val="275"/>
        </w:trPr>
        <w:tc>
          <w:tcPr>
            <w:tcW w:w="440" w:type="dxa"/>
            <w:vAlign w:val="bottom"/>
          </w:tcPr>
          <w:p>
            <w:pPr>
              <w:spacing w:after="0"/>
              <w:rPr>
                <w:sz w:val="20"/>
                <w:szCs w:val="20"/>
                <w:color w:val="auto"/>
              </w:rPr>
            </w:pPr>
            <w:r>
              <w:rPr>
                <w:rFonts w:ascii="Arial" w:cs="Arial" w:eastAsia="Arial" w:hAnsi="Arial"/>
                <w:sz w:val="13"/>
                <w:szCs w:val="13"/>
                <w:b w:val="1"/>
                <w:bCs w:val="1"/>
                <w:color w:val="auto"/>
              </w:rPr>
              <w:t>Item</w:t>
            </w:r>
          </w:p>
        </w:tc>
        <w:tc>
          <w:tcPr>
            <w:tcW w:w="5740" w:type="dxa"/>
            <w:vAlign w:val="bottom"/>
            <w:gridSpan w:val="11"/>
          </w:tcPr>
          <w:p>
            <w:pPr>
              <w:ind w:left="180"/>
              <w:spacing w:after="0"/>
              <w:rPr>
                <w:sz w:val="20"/>
                <w:szCs w:val="20"/>
                <w:color w:val="auto"/>
              </w:rPr>
            </w:pPr>
            <w:r>
              <w:rPr>
                <w:rFonts w:ascii="Arial" w:cs="Arial" w:eastAsia="Arial" w:hAnsi="Arial"/>
                <w:sz w:val="13"/>
                <w:szCs w:val="13"/>
                <w:b w:val="1"/>
                <w:bCs w:val="1"/>
                <w:color w:val="auto"/>
              </w:rPr>
              <w:t>Information About Contracts with Index-Linked Options and Fixed Options Subject to a</w:t>
            </w: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180"/>
        </w:trPr>
        <w:tc>
          <w:tcPr>
            <w:tcW w:w="440" w:type="dxa"/>
            <w:vAlign w:val="bottom"/>
          </w:tcPr>
          <w:p>
            <w:pPr>
              <w:spacing w:after="0"/>
              <w:rPr>
                <w:sz w:val="20"/>
                <w:szCs w:val="20"/>
                <w:color w:val="auto"/>
              </w:rPr>
            </w:pPr>
            <w:r>
              <w:rPr>
                <w:rFonts w:ascii="Arial" w:cs="Arial" w:eastAsia="Arial" w:hAnsi="Arial"/>
                <w:sz w:val="13"/>
                <w:szCs w:val="13"/>
                <w:b w:val="1"/>
                <w:bCs w:val="1"/>
                <w:color w:val="auto"/>
              </w:rPr>
              <w:t>31A.</w:t>
            </w:r>
          </w:p>
        </w:tc>
        <w:tc>
          <w:tcPr>
            <w:tcW w:w="2940" w:type="dxa"/>
            <w:vAlign w:val="bottom"/>
          </w:tcPr>
          <w:p>
            <w:pPr>
              <w:ind w:left="180"/>
              <w:spacing w:after="0"/>
              <w:rPr>
                <w:sz w:val="20"/>
                <w:szCs w:val="20"/>
                <w:color w:val="auto"/>
              </w:rPr>
            </w:pPr>
            <w:r>
              <w:rPr>
                <w:rFonts w:ascii="Arial" w:cs="Arial" w:eastAsia="Arial" w:hAnsi="Arial"/>
                <w:sz w:val="13"/>
                <w:szCs w:val="13"/>
                <w:b w:val="1"/>
                <w:bCs w:val="1"/>
                <w:color w:val="auto"/>
              </w:rPr>
              <w:t>Contract Adjustment</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r>
    </w:tbl>
    <w:p>
      <w:pPr>
        <w:spacing w:after="0" w:line="48" w:lineRule="exact"/>
        <w:rPr>
          <w:sz w:val="20"/>
          <w:szCs w:val="20"/>
          <w:color w:val="auto"/>
        </w:rPr>
      </w:pPr>
    </w:p>
    <w:p>
      <w:pPr>
        <w:ind w:left="625" w:hanging="625"/>
        <w:spacing w:after="0"/>
        <w:tabs>
          <w:tab w:leader="none" w:pos="625"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information in the table below is as of December 31, of the prior calendar year.</w:t>
      </w:r>
    </w:p>
    <w:p>
      <w:pPr>
        <w:spacing w:after="0" w:line="87" w:lineRule="exact"/>
        <w:rPr>
          <w:sz w:val="20"/>
          <w:szCs w:val="20"/>
          <w:color w:val="auto"/>
        </w:rPr>
      </w:pPr>
    </w:p>
    <w:tbl>
      <w:tblPr>
        <w:tblLayout w:type="fixed"/>
        <w:tblInd w:w="5"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1"/>
              </w:rPr>
              <w:t>Total Value</w:t>
            </w: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9"/>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gridSpan w:val="2"/>
          </w:tcPr>
          <w:p>
            <w:pPr>
              <w:jc w:val="center"/>
              <w:ind w:right="100"/>
              <w:spacing w:after="0" w:line="119" w:lineRule="exact"/>
              <w:rPr>
                <w:sz w:val="20"/>
                <w:szCs w:val="20"/>
                <w:color w:val="auto"/>
              </w:rPr>
            </w:pPr>
            <w:r>
              <w:rPr>
                <w:rFonts w:ascii="Arial" w:cs="Arial" w:eastAsia="Arial" w:hAnsi="Arial"/>
                <w:sz w:val="11"/>
                <w:szCs w:val="11"/>
                <w:b w:val="1"/>
                <w:bCs w:val="1"/>
                <w:color w:val="auto"/>
                <w:w w:val="95"/>
              </w:rPr>
              <w:t>attributable to</w:t>
            </w: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4"/>
              </w:rPr>
              <w:t>Gross</w:t>
            </w:r>
          </w:p>
        </w:tc>
        <w:tc>
          <w:tcPr>
            <w:tcW w:w="80" w:type="dxa"/>
            <w:vAlign w:val="bottom"/>
          </w:tcPr>
          <w:p>
            <w:pPr>
              <w:spacing w:after="0"/>
              <w:rPr>
                <w:sz w:val="10"/>
                <w:szCs w:val="10"/>
                <w:color w:val="auto"/>
              </w:rPr>
            </w:pPr>
          </w:p>
        </w:tc>
        <w:tc>
          <w:tcPr>
            <w:tcW w:w="760" w:type="dxa"/>
            <w:vAlign w:val="bottom"/>
            <w:gridSpan w:val="2"/>
          </w:tcPr>
          <w:p>
            <w:pPr>
              <w:jc w:val="center"/>
              <w:ind w:right="120"/>
              <w:spacing w:after="0" w:line="119" w:lineRule="exact"/>
              <w:rPr>
                <w:sz w:val="20"/>
                <w:szCs w:val="20"/>
                <w:color w:val="auto"/>
              </w:rPr>
            </w:pPr>
            <w:r>
              <w:rPr>
                <w:rFonts w:ascii="Arial" w:cs="Arial" w:eastAsia="Arial" w:hAnsi="Arial"/>
                <w:sz w:val="11"/>
                <w:szCs w:val="11"/>
                <w:b w:val="1"/>
                <w:bCs w:val="1"/>
                <w:color w:val="auto"/>
                <w:w w:val="94"/>
              </w:rPr>
              <w:t>Amount of</w:t>
            </w: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9"/>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w w:val="96"/>
              </w:rPr>
              <w:t>the Index-Linked Option</w:t>
            </w:r>
          </w:p>
        </w:tc>
        <w:tc>
          <w:tcPr>
            <w:tcW w:w="20" w:type="dxa"/>
            <w:vAlign w:val="bottom"/>
          </w:tcPr>
          <w:p>
            <w:pPr>
              <w:spacing w:after="0"/>
              <w:rPr>
                <w:sz w:val="10"/>
                <w:szCs w:val="10"/>
                <w:color w:val="auto"/>
              </w:rPr>
            </w:pPr>
          </w:p>
        </w:tc>
        <w:tc>
          <w:tcPr>
            <w:tcW w:w="780" w:type="dxa"/>
            <w:vAlign w:val="bottom"/>
            <w:gridSpan w:val="2"/>
          </w:tcPr>
          <w:p>
            <w:pPr>
              <w:jc w:val="center"/>
              <w:ind w:right="100"/>
              <w:spacing w:after="0" w:line="119" w:lineRule="exact"/>
              <w:rPr>
                <w:sz w:val="20"/>
                <w:szCs w:val="20"/>
                <w:color w:val="auto"/>
              </w:rPr>
            </w:pPr>
            <w:r>
              <w:rPr>
                <w:rFonts w:ascii="Arial" w:cs="Arial" w:eastAsia="Arial" w:hAnsi="Arial"/>
                <w:sz w:val="11"/>
                <w:szCs w:val="11"/>
                <w:b w:val="1"/>
                <w:bCs w:val="1"/>
                <w:color w:val="auto"/>
                <w:w w:val="94"/>
              </w:rPr>
              <w:t>Number of</w:t>
            </w:r>
          </w:p>
        </w:tc>
        <w:tc>
          <w:tcPr>
            <w:tcW w:w="20" w:type="dxa"/>
            <w:vAlign w:val="bottom"/>
          </w:tcPr>
          <w:p>
            <w:pPr>
              <w:spacing w:after="0"/>
              <w:rPr>
                <w:sz w:val="10"/>
                <w:szCs w:val="10"/>
                <w:color w:val="auto"/>
              </w:rPr>
            </w:pPr>
          </w:p>
        </w:tc>
        <w:tc>
          <w:tcPr>
            <w:tcW w:w="88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3"/>
              </w:rPr>
              <w:t>Premiums</w:t>
            </w:r>
          </w:p>
        </w:tc>
        <w:tc>
          <w:tcPr>
            <w:tcW w:w="84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w w:val="99"/>
              </w:rPr>
              <w:t>Contract value</w:t>
            </w: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9"/>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gridSpan w:val="2"/>
          </w:tcPr>
          <w:p>
            <w:pPr>
              <w:jc w:val="center"/>
              <w:ind w:right="100"/>
              <w:spacing w:after="0" w:line="119" w:lineRule="exact"/>
              <w:rPr>
                <w:sz w:val="20"/>
                <w:szCs w:val="20"/>
                <w:color w:val="auto"/>
              </w:rPr>
            </w:pPr>
            <w:r>
              <w:rPr>
                <w:rFonts w:ascii="Arial" w:cs="Arial" w:eastAsia="Arial" w:hAnsi="Arial"/>
                <w:sz w:val="11"/>
                <w:szCs w:val="11"/>
                <w:b w:val="1"/>
                <w:bCs w:val="1"/>
                <w:color w:val="auto"/>
                <w:w w:val="94"/>
              </w:rPr>
              <w:t>and/or Fixed</w:t>
            </w:r>
          </w:p>
        </w:tc>
        <w:tc>
          <w:tcPr>
            <w:tcW w:w="80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w w:val="97"/>
              </w:rPr>
              <w:t>Contracts Sold</w:t>
            </w:r>
          </w:p>
        </w:tc>
        <w:tc>
          <w:tcPr>
            <w:tcW w:w="20" w:type="dxa"/>
            <w:vAlign w:val="bottom"/>
          </w:tcPr>
          <w:p>
            <w:pPr>
              <w:spacing w:after="0"/>
              <w:rPr>
                <w:sz w:val="10"/>
                <w:szCs w:val="10"/>
                <w:color w:val="auto"/>
              </w:rPr>
            </w:pPr>
          </w:p>
        </w:tc>
        <w:tc>
          <w:tcPr>
            <w:tcW w:w="88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3"/>
              </w:rPr>
              <w:t>received</w:t>
            </w:r>
          </w:p>
        </w:tc>
        <w:tc>
          <w:tcPr>
            <w:tcW w:w="80" w:type="dxa"/>
            <w:vAlign w:val="bottom"/>
          </w:tcPr>
          <w:p>
            <w:pPr>
              <w:spacing w:after="0"/>
              <w:rPr>
                <w:sz w:val="10"/>
                <w:szCs w:val="10"/>
                <w:color w:val="auto"/>
              </w:rPr>
            </w:pPr>
          </w:p>
        </w:tc>
        <w:tc>
          <w:tcPr>
            <w:tcW w:w="760" w:type="dxa"/>
            <w:vAlign w:val="bottom"/>
            <w:gridSpan w:val="2"/>
          </w:tcPr>
          <w:p>
            <w:pPr>
              <w:jc w:val="center"/>
              <w:ind w:right="100"/>
              <w:spacing w:after="0" w:line="119" w:lineRule="exact"/>
              <w:rPr>
                <w:sz w:val="20"/>
                <w:szCs w:val="20"/>
                <w:color w:val="auto"/>
              </w:rPr>
            </w:pPr>
            <w:r>
              <w:rPr>
                <w:rFonts w:ascii="Arial" w:cs="Arial" w:eastAsia="Arial" w:hAnsi="Arial"/>
                <w:sz w:val="11"/>
                <w:szCs w:val="11"/>
                <w:b w:val="1"/>
                <w:bCs w:val="1"/>
                <w:color w:val="auto"/>
                <w:w w:val="96"/>
              </w:rPr>
              <w:t>redeemed</w:t>
            </w: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9"/>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80" w:type="dxa"/>
            <w:vAlign w:val="bottom"/>
            <w:gridSpan w:val="3"/>
          </w:tcPr>
          <w:p>
            <w:pPr>
              <w:jc w:val="center"/>
              <w:spacing w:after="0" w:line="119" w:lineRule="exact"/>
              <w:rPr>
                <w:sz w:val="20"/>
                <w:szCs w:val="20"/>
                <w:color w:val="auto"/>
              </w:rPr>
            </w:pPr>
            <w:r>
              <w:rPr>
                <w:rFonts w:ascii="Arial" w:cs="Arial" w:eastAsia="Arial" w:hAnsi="Arial"/>
                <w:sz w:val="11"/>
                <w:szCs w:val="11"/>
                <w:b w:val="1"/>
                <w:bCs w:val="1"/>
                <w:color w:val="auto"/>
                <w:w w:val="94"/>
              </w:rPr>
              <w:t>Number of</w:t>
            </w:r>
          </w:p>
        </w:tc>
        <w:tc>
          <w:tcPr>
            <w:tcW w:w="20" w:type="dxa"/>
            <w:vAlign w:val="bottom"/>
          </w:tcPr>
          <w:p>
            <w:pPr>
              <w:spacing w:after="0"/>
              <w:rPr>
                <w:sz w:val="10"/>
                <w:szCs w:val="10"/>
                <w:color w:val="auto"/>
              </w:rPr>
            </w:pPr>
          </w:p>
        </w:tc>
        <w:tc>
          <w:tcPr>
            <w:tcW w:w="1240" w:type="dxa"/>
            <w:vAlign w:val="bottom"/>
            <w:gridSpan w:val="2"/>
          </w:tcPr>
          <w:p>
            <w:pPr>
              <w:jc w:val="center"/>
              <w:ind w:right="100"/>
              <w:spacing w:after="0" w:line="119" w:lineRule="exact"/>
              <w:rPr>
                <w:sz w:val="20"/>
                <w:szCs w:val="20"/>
                <w:color w:val="auto"/>
              </w:rPr>
            </w:pPr>
            <w:r>
              <w:rPr>
                <w:rFonts w:ascii="Arial" w:cs="Arial" w:eastAsia="Arial" w:hAnsi="Arial"/>
                <w:sz w:val="11"/>
                <w:szCs w:val="11"/>
                <w:b w:val="1"/>
                <w:bCs w:val="1"/>
                <w:color w:val="auto"/>
                <w:w w:val="96"/>
              </w:rPr>
              <w:t>Option subject</w:t>
            </w:r>
          </w:p>
        </w:tc>
        <w:tc>
          <w:tcPr>
            <w:tcW w:w="20" w:type="dxa"/>
            <w:vAlign w:val="bottom"/>
          </w:tcPr>
          <w:p>
            <w:pPr>
              <w:spacing w:after="0"/>
              <w:rPr>
                <w:sz w:val="10"/>
                <w:szCs w:val="10"/>
                <w:color w:val="auto"/>
              </w:rPr>
            </w:pPr>
          </w:p>
        </w:tc>
        <w:tc>
          <w:tcPr>
            <w:tcW w:w="780" w:type="dxa"/>
            <w:vAlign w:val="bottom"/>
            <w:gridSpan w:val="2"/>
          </w:tcPr>
          <w:p>
            <w:pPr>
              <w:jc w:val="center"/>
              <w:ind w:right="100"/>
              <w:spacing w:after="0" w:line="119" w:lineRule="exact"/>
              <w:rPr>
                <w:sz w:val="20"/>
                <w:szCs w:val="20"/>
                <w:color w:val="auto"/>
              </w:rPr>
            </w:pPr>
            <w:r>
              <w:rPr>
                <w:rFonts w:ascii="Arial" w:cs="Arial" w:eastAsia="Arial" w:hAnsi="Arial"/>
                <w:sz w:val="11"/>
                <w:szCs w:val="11"/>
                <w:b w:val="1"/>
                <w:bCs w:val="1"/>
                <w:color w:val="auto"/>
                <w:w w:val="96"/>
              </w:rPr>
              <w:t>during the</w:t>
            </w:r>
          </w:p>
        </w:tc>
        <w:tc>
          <w:tcPr>
            <w:tcW w:w="20" w:type="dxa"/>
            <w:vAlign w:val="bottom"/>
          </w:tcPr>
          <w:p>
            <w:pPr>
              <w:spacing w:after="0"/>
              <w:rPr>
                <w:sz w:val="10"/>
                <w:szCs w:val="10"/>
                <w:color w:val="auto"/>
              </w:rPr>
            </w:pPr>
          </w:p>
        </w:tc>
        <w:tc>
          <w:tcPr>
            <w:tcW w:w="88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2"/>
              </w:rPr>
              <w:t>during the</w:t>
            </w:r>
          </w:p>
        </w:tc>
        <w:tc>
          <w:tcPr>
            <w:tcW w:w="80" w:type="dxa"/>
            <w:vAlign w:val="bottom"/>
          </w:tcPr>
          <w:p>
            <w:pPr>
              <w:spacing w:after="0"/>
              <w:rPr>
                <w:sz w:val="10"/>
                <w:szCs w:val="10"/>
                <w:color w:val="auto"/>
              </w:rPr>
            </w:pPr>
          </w:p>
        </w:tc>
        <w:tc>
          <w:tcPr>
            <w:tcW w:w="760" w:type="dxa"/>
            <w:vAlign w:val="bottom"/>
            <w:gridSpan w:val="2"/>
          </w:tcPr>
          <w:p>
            <w:pPr>
              <w:jc w:val="center"/>
              <w:ind w:right="120"/>
              <w:spacing w:after="0" w:line="119" w:lineRule="exact"/>
              <w:rPr>
                <w:sz w:val="20"/>
                <w:szCs w:val="20"/>
                <w:color w:val="auto"/>
              </w:rPr>
            </w:pPr>
            <w:r>
              <w:rPr>
                <w:rFonts w:ascii="Arial" w:cs="Arial" w:eastAsia="Arial" w:hAnsi="Arial"/>
                <w:sz w:val="11"/>
                <w:szCs w:val="11"/>
                <w:b w:val="1"/>
                <w:bCs w:val="1"/>
                <w:color w:val="auto"/>
                <w:w w:val="96"/>
              </w:rPr>
              <w:t>during the</w:t>
            </w:r>
          </w:p>
        </w:tc>
        <w:tc>
          <w:tcPr>
            <w:tcW w:w="680" w:type="dxa"/>
            <w:vAlign w:val="bottom"/>
            <w:gridSpan w:val="3"/>
          </w:tcPr>
          <w:p>
            <w:pPr>
              <w:ind w:left="40"/>
              <w:spacing w:after="0" w:line="119" w:lineRule="exact"/>
              <w:rPr>
                <w:sz w:val="20"/>
                <w:szCs w:val="20"/>
                <w:color w:val="auto"/>
              </w:rPr>
            </w:pPr>
            <w:r>
              <w:rPr>
                <w:rFonts w:ascii="Arial" w:cs="Arial" w:eastAsia="Arial" w:hAnsi="Arial"/>
                <w:sz w:val="11"/>
                <w:szCs w:val="11"/>
                <w:b w:val="1"/>
                <w:bCs w:val="1"/>
                <w:color w:val="auto"/>
                <w:w w:val="92"/>
              </w:rPr>
              <w:t>Combination</w:t>
            </w:r>
          </w:p>
        </w:tc>
      </w:tr>
      <w:tr>
        <w:trPr>
          <w:trHeight w:val="119"/>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jc w:val="center"/>
              <w:ind w:right="243"/>
              <w:spacing w:after="0" w:line="119" w:lineRule="exact"/>
              <w:rPr>
                <w:sz w:val="20"/>
                <w:szCs w:val="20"/>
                <w:color w:val="auto"/>
              </w:rPr>
            </w:pPr>
            <w:r>
              <w:rPr>
                <w:rFonts w:ascii="Arial" w:cs="Arial" w:eastAsia="Arial" w:hAnsi="Arial"/>
                <w:sz w:val="11"/>
                <w:szCs w:val="11"/>
                <w:b w:val="1"/>
                <w:bCs w:val="1"/>
                <w:color w:val="auto"/>
                <w:w w:val="95"/>
              </w:rPr>
              <w:t>Name of the</w:t>
            </w:r>
          </w:p>
        </w:tc>
        <w:tc>
          <w:tcPr>
            <w:tcW w:w="140" w:type="dxa"/>
            <w:vAlign w:val="bottom"/>
          </w:tcPr>
          <w:p>
            <w:pPr>
              <w:spacing w:after="0"/>
              <w:rPr>
                <w:sz w:val="10"/>
                <w:szCs w:val="10"/>
                <w:color w:val="auto"/>
              </w:rPr>
            </w:pPr>
          </w:p>
        </w:tc>
        <w:tc>
          <w:tcPr>
            <w:tcW w:w="640" w:type="dxa"/>
            <w:vAlign w:val="bottom"/>
            <w:gridSpan w:val="2"/>
          </w:tcPr>
          <w:p>
            <w:pPr>
              <w:jc w:val="center"/>
              <w:ind w:right="100"/>
              <w:spacing w:after="0" w:line="119" w:lineRule="exact"/>
              <w:rPr>
                <w:sz w:val="20"/>
                <w:szCs w:val="20"/>
                <w:color w:val="auto"/>
              </w:rPr>
            </w:pPr>
            <w:r>
              <w:rPr>
                <w:rFonts w:ascii="Arial" w:cs="Arial" w:eastAsia="Arial" w:hAnsi="Arial"/>
                <w:sz w:val="11"/>
                <w:szCs w:val="11"/>
                <w:b w:val="1"/>
                <w:bCs w:val="1"/>
                <w:color w:val="auto"/>
                <w:w w:val="97"/>
              </w:rPr>
              <w:t>Contracts</w:t>
            </w:r>
          </w:p>
        </w:tc>
        <w:tc>
          <w:tcPr>
            <w:tcW w:w="20" w:type="dxa"/>
            <w:vAlign w:val="bottom"/>
          </w:tcPr>
          <w:p>
            <w:pPr>
              <w:spacing w:after="0"/>
              <w:rPr>
                <w:sz w:val="10"/>
                <w:szCs w:val="10"/>
                <w:color w:val="auto"/>
              </w:rPr>
            </w:pPr>
          </w:p>
        </w:tc>
        <w:tc>
          <w:tcPr>
            <w:tcW w:w="1240" w:type="dxa"/>
            <w:vAlign w:val="bottom"/>
            <w:gridSpan w:val="2"/>
          </w:tcPr>
          <w:p>
            <w:pPr>
              <w:jc w:val="center"/>
              <w:ind w:right="100"/>
              <w:spacing w:after="0" w:line="119" w:lineRule="exact"/>
              <w:rPr>
                <w:sz w:val="20"/>
                <w:szCs w:val="20"/>
                <w:color w:val="auto"/>
              </w:rPr>
            </w:pPr>
            <w:r>
              <w:rPr>
                <w:rFonts w:ascii="Arial" w:cs="Arial" w:eastAsia="Arial" w:hAnsi="Arial"/>
                <w:sz w:val="11"/>
                <w:szCs w:val="11"/>
                <w:b w:val="1"/>
                <w:bCs w:val="1"/>
                <w:color w:val="auto"/>
                <w:w w:val="97"/>
              </w:rPr>
              <w:t>to a Contract</w:t>
            </w:r>
          </w:p>
        </w:tc>
        <w:tc>
          <w:tcPr>
            <w:tcW w:w="800" w:type="dxa"/>
            <w:vAlign w:val="bottom"/>
            <w:gridSpan w:val="3"/>
          </w:tcPr>
          <w:p>
            <w:pPr>
              <w:jc w:val="center"/>
              <w:ind w:right="60"/>
              <w:spacing w:after="0" w:line="119" w:lineRule="exact"/>
              <w:rPr>
                <w:sz w:val="20"/>
                <w:szCs w:val="20"/>
                <w:color w:val="auto"/>
              </w:rPr>
            </w:pPr>
            <w:r>
              <w:rPr>
                <w:rFonts w:ascii="Arial" w:cs="Arial" w:eastAsia="Arial" w:hAnsi="Arial"/>
                <w:sz w:val="11"/>
                <w:szCs w:val="11"/>
                <w:b w:val="1"/>
                <w:bCs w:val="1"/>
                <w:color w:val="auto"/>
                <w:w w:val="95"/>
              </w:rPr>
              <w:t>prior calendar</w:t>
            </w:r>
          </w:p>
        </w:tc>
        <w:tc>
          <w:tcPr>
            <w:tcW w:w="20" w:type="dxa"/>
            <w:vAlign w:val="bottom"/>
          </w:tcPr>
          <w:p>
            <w:pPr>
              <w:spacing w:after="0"/>
              <w:rPr>
                <w:sz w:val="10"/>
                <w:szCs w:val="10"/>
                <w:color w:val="auto"/>
              </w:rPr>
            </w:pPr>
          </w:p>
        </w:tc>
        <w:tc>
          <w:tcPr>
            <w:tcW w:w="88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5"/>
              </w:rPr>
              <w:t>prior calendar</w:t>
            </w:r>
          </w:p>
        </w:tc>
        <w:tc>
          <w:tcPr>
            <w:tcW w:w="840" w:type="dxa"/>
            <w:vAlign w:val="bottom"/>
            <w:gridSpan w:val="3"/>
          </w:tcPr>
          <w:p>
            <w:pPr>
              <w:jc w:val="center"/>
              <w:spacing w:after="0" w:line="119" w:lineRule="exact"/>
              <w:rPr>
                <w:sz w:val="20"/>
                <w:szCs w:val="20"/>
                <w:color w:val="auto"/>
              </w:rPr>
            </w:pPr>
            <w:r>
              <w:rPr>
                <w:rFonts w:ascii="Arial" w:cs="Arial" w:eastAsia="Arial" w:hAnsi="Arial"/>
                <w:sz w:val="11"/>
                <w:szCs w:val="11"/>
                <w:b w:val="1"/>
                <w:bCs w:val="1"/>
                <w:color w:val="auto"/>
                <w:w w:val="98"/>
              </w:rPr>
              <w:t>prior calendar</w:t>
            </w:r>
          </w:p>
        </w:tc>
        <w:tc>
          <w:tcPr>
            <w:tcW w:w="40" w:type="dxa"/>
            <w:vAlign w:val="bottom"/>
          </w:tcPr>
          <w:p>
            <w:pPr>
              <w:spacing w:after="0"/>
              <w:rPr>
                <w:sz w:val="10"/>
                <w:szCs w:val="10"/>
                <w:color w:val="auto"/>
              </w:rPr>
            </w:pPr>
          </w:p>
        </w:tc>
        <w:tc>
          <w:tcPr>
            <w:tcW w:w="640" w:type="dxa"/>
            <w:vAlign w:val="bottom"/>
            <w:gridSpan w:val="2"/>
          </w:tcPr>
          <w:p>
            <w:pPr>
              <w:jc w:val="center"/>
              <w:ind w:right="40"/>
              <w:spacing w:after="0" w:line="119" w:lineRule="exact"/>
              <w:rPr>
                <w:sz w:val="20"/>
                <w:szCs w:val="20"/>
                <w:color w:val="auto"/>
              </w:rPr>
            </w:pPr>
            <w:r>
              <w:rPr>
                <w:rFonts w:ascii="Arial" w:cs="Arial" w:eastAsia="Arial" w:hAnsi="Arial"/>
                <w:sz w:val="11"/>
                <w:szCs w:val="11"/>
                <w:b w:val="1"/>
                <w:bCs w:val="1"/>
                <w:color w:val="auto"/>
                <w:w w:val="97"/>
              </w:rPr>
              <w:t>Contract</w:t>
            </w:r>
          </w:p>
        </w:tc>
      </w:tr>
      <w:tr>
        <w:trPr>
          <w:trHeight w:val="135"/>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jc w:val="center"/>
              <w:ind w:right="243"/>
              <w:spacing w:after="0"/>
              <w:rPr>
                <w:sz w:val="20"/>
                <w:szCs w:val="20"/>
                <w:color w:val="auto"/>
              </w:rPr>
            </w:pPr>
            <w:r>
              <w:rPr>
                <w:rFonts w:ascii="Arial" w:cs="Arial" w:eastAsia="Arial" w:hAnsi="Arial"/>
                <w:sz w:val="11"/>
                <w:szCs w:val="11"/>
                <w:b w:val="1"/>
                <w:bCs w:val="1"/>
                <w:color w:val="auto"/>
                <w:w w:val="97"/>
              </w:rPr>
              <w:t>Contract</w:t>
            </w:r>
          </w:p>
        </w:tc>
        <w:tc>
          <w:tcPr>
            <w:tcW w:w="780" w:type="dxa"/>
            <w:vAlign w:val="bottom"/>
            <w:gridSpan w:val="3"/>
          </w:tcPr>
          <w:p>
            <w:pPr>
              <w:ind w:left="140"/>
              <w:spacing w:after="0"/>
              <w:rPr>
                <w:sz w:val="20"/>
                <w:szCs w:val="20"/>
                <w:color w:val="auto"/>
              </w:rPr>
            </w:pPr>
            <w:r>
              <w:rPr>
                <w:rFonts w:ascii="Arial" w:cs="Arial" w:eastAsia="Arial" w:hAnsi="Arial"/>
                <w:sz w:val="11"/>
                <w:szCs w:val="11"/>
                <w:b w:val="1"/>
                <w:bCs w:val="1"/>
                <w:color w:val="auto"/>
                <w:w w:val="98"/>
              </w:rPr>
              <w:t>outstanding</w:t>
            </w:r>
          </w:p>
        </w:tc>
        <w:tc>
          <w:tcPr>
            <w:tcW w:w="20" w:type="dxa"/>
            <w:vAlign w:val="bottom"/>
          </w:tcPr>
          <w:p>
            <w:pPr>
              <w:spacing w:after="0"/>
              <w:rPr>
                <w:sz w:val="11"/>
                <w:szCs w:val="1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Adjustment</w:t>
            </w:r>
          </w:p>
        </w:tc>
        <w:tc>
          <w:tcPr>
            <w:tcW w:w="20" w:type="dxa"/>
            <w:vAlign w:val="bottom"/>
          </w:tcPr>
          <w:p>
            <w:pPr>
              <w:spacing w:after="0"/>
              <w:rPr>
                <w:sz w:val="11"/>
                <w:szCs w:val="11"/>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7"/>
              </w:rPr>
              <w:t>year</w:t>
            </w:r>
          </w:p>
        </w:tc>
        <w:tc>
          <w:tcPr>
            <w:tcW w:w="20" w:type="dxa"/>
            <w:vAlign w:val="bottom"/>
          </w:tcPr>
          <w:p>
            <w:pPr>
              <w:spacing w:after="0"/>
              <w:rPr>
                <w:sz w:val="11"/>
                <w:szCs w:val="11"/>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7"/>
              </w:rPr>
              <w:t>year</w:t>
            </w:r>
          </w:p>
        </w:tc>
        <w:tc>
          <w:tcPr>
            <w:tcW w:w="80" w:type="dxa"/>
            <w:vAlign w:val="bottom"/>
          </w:tcPr>
          <w:p>
            <w:pPr>
              <w:spacing w:after="0"/>
              <w:rPr>
                <w:sz w:val="11"/>
                <w:szCs w:val="11"/>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7"/>
              </w:rPr>
              <w:t>year</w:t>
            </w:r>
          </w:p>
        </w:tc>
        <w:tc>
          <w:tcPr>
            <w:tcW w:w="40" w:type="dxa"/>
            <w:vAlign w:val="bottom"/>
          </w:tcPr>
          <w:p>
            <w:pPr>
              <w:spacing w:after="0"/>
              <w:rPr>
                <w:sz w:val="11"/>
                <w:szCs w:val="11"/>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4"/>
              </w:rPr>
              <w:t>(Yes/No)</w:t>
            </w:r>
          </w:p>
        </w:tc>
      </w:tr>
      <w:tr>
        <w:trPr>
          <w:trHeight w:val="156"/>
        </w:trPr>
        <w:tc>
          <w:tcPr>
            <w:tcW w:w="20" w:type="dxa"/>
            <w:vAlign w:val="bottom"/>
          </w:tcPr>
          <w:p>
            <w:pPr>
              <w:spacing w:after="0"/>
              <w:rPr>
                <w:sz w:val="13"/>
                <w:szCs w:val="13"/>
                <w:color w:val="auto"/>
              </w:rPr>
            </w:pPr>
          </w:p>
        </w:tc>
        <w:tc>
          <w:tcPr>
            <w:tcW w:w="1500" w:type="dxa"/>
            <w:vAlign w:val="bottom"/>
            <w:tcBorders>
              <w:top w:val="single" w:sz="8" w:color="auto"/>
            </w:tcBorders>
            <w:gridSpan w:val="2"/>
            <w:shd w:val="clear" w:color="auto" w:fill="F0FFFF"/>
          </w:tcPr>
          <w:p>
            <w:pPr>
              <w:spacing w:after="0" w:line="156" w:lineRule="exact"/>
              <w:rPr>
                <w:sz w:val="20"/>
                <w:szCs w:val="20"/>
                <w:color w:val="auto"/>
              </w:rPr>
            </w:pPr>
            <w:r>
              <w:rPr>
                <w:rFonts w:ascii="Arial" w:cs="Arial" w:eastAsia="Arial" w:hAnsi="Arial"/>
                <w:sz w:val="13"/>
                <w:szCs w:val="13"/>
                <w:color w:val="auto"/>
                <w:w w:val="97"/>
              </w:rPr>
              <w:t>Brighthouse Shield</w:t>
            </w:r>
            <w:r>
              <w:rPr>
                <w:rFonts w:ascii="Arial" w:cs="Arial" w:eastAsia="Arial" w:hAnsi="Arial"/>
                <w:sz w:val="17"/>
                <w:szCs w:val="17"/>
                <w:color w:val="auto"/>
                <w:w w:val="97"/>
                <w:vertAlign w:val="superscript"/>
              </w:rPr>
              <w:t>®</w:t>
            </w:r>
            <w:r>
              <w:rPr>
                <w:rFonts w:ascii="Arial" w:cs="Arial" w:eastAsia="Arial" w:hAnsi="Arial"/>
                <w:sz w:val="13"/>
                <w:szCs w:val="13"/>
                <w:color w:val="auto"/>
                <w:w w:val="97"/>
              </w:rPr>
              <w:t xml:space="preserve"> Level</w:t>
            </w:r>
          </w:p>
        </w:tc>
        <w:tc>
          <w:tcPr>
            <w:tcW w:w="140" w:type="dxa"/>
            <w:vAlign w:val="bottom"/>
            <w:shd w:val="clear" w:color="auto" w:fill="F0FFFF"/>
          </w:tcPr>
          <w:p>
            <w:pPr>
              <w:spacing w:after="0"/>
              <w:rPr>
                <w:sz w:val="13"/>
                <w:szCs w:val="13"/>
                <w:color w:val="auto"/>
              </w:rPr>
            </w:pPr>
          </w:p>
        </w:tc>
        <w:tc>
          <w:tcPr>
            <w:tcW w:w="520" w:type="dxa"/>
            <w:vAlign w:val="bottom"/>
            <w:tcBorders>
              <w:top w:val="single" w:sz="8" w:color="auto"/>
            </w:tcBorders>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20" w:type="dxa"/>
            <w:vAlign w:val="bottom"/>
            <w:shd w:val="clear" w:color="auto" w:fill="F0FFFF"/>
          </w:tcPr>
          <w:p>
            <w:pPr>
              <w:spacing w:after="0"/>
              <w:rPr>
                <w:sz w:val="13"/>
                <w:szCs w:val="13"/>
                <w:color w:val="auto"/>
              </w:rPr>
            </w:pPr>
          </w:p>
        </w:tc>
        <w:tc>
          <w:tcPr>
            <w:tcW w:w="1120" w:type="dxa"/>
            <w:vAlign w:val="bottom"/>
            <w:tcBorders>
              <w:top w:val="single" w:sz="8" w:color="auto"/>
            </w:tcBorders>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20" w:type="dxa"/>
            <w:vAlign w:val="bottom"/>
            <w:shd w:val="clear" w:color="auto" w:fill="F0FFFF"/>
          </w:tcPr>
          <w:p>
            <w:pPr>
              <w:spacing w:after="0"/>
              <w:rPr>
                <w:sz w:val="13"/>
                <w:szCs w:val="13"/>
                <w:color w:val="auto"/>
              </w:rPr>
            </w:pPr>
          </w:p>
        </w:tc>
        <w:tc>
          <w:tcPr>
            <w:tcW w:w="680" w:type="dxa"/>
            <w:vAlign w:val="bottom"/>
            <w:tcBorders>
              <w:top w:val="single" w:sz="8" w:color="auto"/>
            </w:tcBorders>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20" w:type="dxa"/>
            <w:vAlign w:val="bottom"/>
            <w:shd w:val="clear" w:color="auto" w:fill="F0FFFF"/>
          </w:tcPr>
          <w:p>
            <w:pPr>
              <w:spacing w:after="0"/>
              <w:rPr>
                <w:sz w:val="13"/>
                <w:szCs w:val="13"/>
                <w:color w:val="auto"/>
              </w:rPr>
            </w:pPr>
          </w:p>
        </w:tc>
        <w:tc>
          <w:tcPr>
            <w:tcW w:w="820" w:type="dxa"/>
            <w:vAlign w:val="bottom"/>
            <w:tcBorders>
              <w:top w:val="single" w:sz="8" w:color="auto"/>
            </w:tcBorders>
            <w:shd w:val="clear" w:color="auto" w:fill="F0FFFF"/>
          </w:tcPr>
          <w:p>
            <w:pPr>
              <w:spacing w:after="0"/>
              <w:rPr>
                <w:sz w:val="13"/>
                <w:szCs w:val="13"/>
                <w:color w:val="auto"/>
              </w:rPr>
            </w:pPr>
          </w:p>
        </w:tc>
        <w:tc>
          <w:tcPr>
            <w:tcW w:w="6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660" w:type="dxa"/>
            <w:vAlign w:val="bottom"/>
            <w:tcBorders>
              <w:top w:val="single" w:sz="8" w:color="auto"/>
            </w:tcBorders>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40" w:type="dxa"/>
            <w:vAlign w:val="bottom"/>
            <w:shd w:val="clear" w:color="auto" w:fill="F0FFFF"/>
          </w:tcPr>
          <w:p>
            <w:pPr>
              <w:spacing w:after="0"/>
              <w:rPr>
                <w:sz w:val="13"/>
                <w:szCs w:val="13"/>
                <w:color w:val="auto"/>
              </w:rPr>
            </w:pPr>
          </w:p>
        </w:tc>
        <w:tc>
          <w:tcPr>
            <w:tcW w:w="600" w:type="dxa"/>
            <w:vAlign w:val="bottom"/>
            <w:tcBorders>
              <w:top w:val="single" w:sz="8" w:color="auto"/>
            </w:tcBorders>
            <w:shd w:val="clear" w:color="auto" w:fill="F0FFFF"/>
          </w:tcPr>
          <w:p>
            <w:pPr>
              <w:spacing w:after="0"/>
              <w:rPr>
                <w:sz w:val="13"/>
                <w:szCs w:val="13"/>
                <w:color w:val="auto"/>
              </w:rPr>
            </w:pPr>
          </w:p>
        </w:tc>
        <w:tc>
          <w:tcPr>
            <w:tcW w:w="40" w:type="dxa"/>
            <w:vAlign w:val="bottom"/>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1500" w:type="dxa"/>
            <w:vAlign w:val="bottom"/>
            <w:gridSpan w:val="2"/>
            <w:shd w:val="clear" w:color="auto" w:fill="F0FFFF"/>
          </w:tcPr>
          <w:p>
            <w:pPr>
              <w:spacing w:after="0"/>
              <w:rPr>
                <w:sz w:val="20"/>
                <w:szCs w:val="20"/>
                <w:color w:val="auto"/>
              </w:rPr>
            </w:pPr>
            <w:r>
              <w:rPr>
                <w:rFonts w:ascii="Arial" w:cs="Arial" w:eastAsia="Arial" w:hAnsi="Arial"/>
                <w:sz w:val="13"/>
                <w:szCs w:val="13"/>
                <w:color w:val="auto"/>
              </w:rPr>
              <w:t>II 6-Year Annuity</w:t>
            </w:r>
          </w:p>
        </w:tc>
        <w:tc>
          <w:tcPr>
            <w:tcW w:w="660" w:type="dxa"/>
            <w:vAlign w:val="bottom"/>
            <w:gridSpan w:val="2"/>
            <w:shd w:val="clear" w:color="auto" w:fill="F0FFFF"/>
          </w:tcPr>
          <w:p>
            <w:pPr>
              <w:jc w:val="center"/>
              <w:ind w:left="83"/>
              <w:spacing w:after="0"/>
              <w:rPr>
                <w:sz w:val="20"/>
                <w:szCs w:val="20"/>
                <w:color w:val="auto"/>
              </w:rPr>
            </w:pPr>
            <w:r>
              <w:rPr>
                <w:rFonts w:ascii="Arial" w:cs="Arial" w:eastAsia="Arial" w:hAnsi="Arial"/>
                <w:sz w:val="13"/>
                <w:szCs w:val="13"/>
                <w:color w:val="auto"/>
                <w:w w:val="98"/>
              </w:rPr>
              <w:t>1,648</w:t>
            </w:r>
          </w:p>
        </w:tc>
        <w:tc>
          <w:tcPr>
            <w:tcW w:w="120" w:type="dxa"/>
            <w:vAlign w:val="bottom"/>
            <w:shd w:val="clear" w:color="auto" w:fill="F0FFFF"/>
          </w:tcPr>
          <w:p>
            <w:pPr>
              <w:spacing w:after="0"/>
              <w:rPr>
                <w:sz w:val="14"/>
                <w:szCs w:val="14"/>
                <w:color w:val="auto"/>
              </w:rPr>
            </w:pPr>
          </w:p>
        </w:tc>
        <w:tc>
          <w:tcPr>
            <w:tcW w:w="1140" w:type="dxa"/>
            <w:vAlign w:val="bottom"/>
            <w:gridSpan w:val="2"/>
            <w:shd w:val="clear" w:color="auto" w:fill="F0FFFF"/>
          </w:tcPr>
          <w:p>
            <w:pPr>
              <w:jc w:val="center"/>
              <w:spacing w:after="0"/>
              <w:rPr>
                <w:sz w:val="20"/>
                <w:szCs w:val="20"/>
                <w:color w:val="auto"/>
              </w:rPr>
            </w:pPr>
            <w:r>
              <w:rPr>
                <w:rFonts w:ascii="Arial" w:cs="Arial" w:eastAsia="Arial" w:hAnsi="Arial"/>
                <w:sz w:val="13"/>
                <w:szCs w:val="13"/>
                <w:color w:val="auto"/>
              </w:rPr>
              <w:t>$284,466,666</w:t>
            </w:r>
          </w:p>
        </w:tc>
        <w:tc>
          <w:tcPr>
            <w:tcW w:w="120" w:type="dxa"/>
            <w:vAlign w:val="bottom"/>
            <w:shd w:val="clear" w:color="auto" w:fill="F0FFFF"/>
          </w:tcPr>
          <w:p>
            <w:pPr>
              <w:spacing w:after="0"/>
              <w:rPr>
                <w:sz w:val="14"/>
                <w:szCs w:val="14"/>
                <w:color w:val="auto"/>
              </w:rPr>
            </w:pPr>
          </w:p>
        </w:tc>
        <w:tc>
          <w:tcPr>
            <w:tcW w:w="700" w:type="dxa"/>
            <w:vAlign w:val="bottom"/>
            <w:gridSpan w:val="2"/>
            <w:shd w:val="clear" w:color="auto" w:fill="F0FFFF"/>
          </w:tcPr>
          <w:p>
            <w:pPr>
              <w:jc w:val="center"/>
              <w:spacing w:after="0"/>
              <w:rPr>
                <w:sz w:val="20"/>
                <w:szCs w:val="20"/>
                <w:color w:val="auto"/>
              </w:rPr>
            </w:pPr>
            <w:r>
              <w:rPr>
                <w:rFonts w:ascii="Arial" w:cs="Arial" w:eastAsia="Arial" w:hAnsi="Arial"/>
                <w:sz w:val="13"/>
                <w:szCs w:val="13"/>
                <w:color w:val="auto"/>
                <w:w w:val="98"/>
              </w:rPr>
              <w:t>1,648</w:t>
            </w:r>
          </w:p>
        </w:tc>
        <w:tc>
          <w:tcPr>
            <w:tcW w:w="100" w:type="dxa"/>
            <w:vAlign w:val="bottom"/>
            <w:shd w:val="clear" w:color="auto" w:fill="F0FFFF"/>
          </w:tcPr>
          <w:p>
            <w:pPr>
              <w:spacing w:after="0"/>
              <w:rPr>
                <w:sz w:val="14"/>
                <w:szCs w:val="14"/>
                <w:color w:val="auto"/>
              </w:rPr>
            </w:pPr>
          </w:p>
        </w:tc>
        <w:tc>
          <w:tcPr>
            <w:tcW w:w="900" w:type="dxa"/>
            <w:vAlign w:val="bottom"/>
            <w:gridSpan w:val="3"/>
            <w:shd w:val="clear" w:color="auto" w:fill="F0FFFF"/>
          </w:tcPr>
          <w:p>
            <w:pPr>
              <w:jc w:val="center"/>
              <w:ind w:right="40"/>
              <w:spacing w:after="0"/>
              <w:rPr>
                <w:sz w:val="20"/>
                <w:szCs w:val="20"/>
                <w:color w:val="auto"/>
              </w:rPr>
            </w:pPr>
            <w:r>
              <w:rPr>
                <w:rFonts w:ascii="Arial" w:cs="Arial" w:eastAsia="Arial" w:hAnsi="Arial"/>
                <w:sz w:val="13"/>
                <w:szCs w:val="13"/>
                <w:color w:val="auto"/>
              </w:rPr>
              <w:t>$288,097,228</w:t>
            </w:r>
          </w:p>
        </w:tc>
        <w:tc>
          <w:tcPr>
            <w:tcW w:w="740" w:type="dxa"/>
            <w:vAlign w:val="bottom"/>
            <w:gridSpan w:val="2"/>
            <w:shd w:val="clear" w:color="auto" w:fill="F0FFFF"/>
          </w:tcPr>
          <w:p>
            <w:pPr>
              <w:jc w:val="center"/>
              <w:ind w:left="3"/>
              <w:spacing w:after="0"/>
              <w:rPr>
                <w:sz w:val="20"/>
                <w:szCs w:val="20"/>
                <w:color w:val="auto"/>
              </w:rPr>
            </w:pPr>
            <w:r>
              <w:rPr>
                <w:rFonts w:ascii="Arial" w:cs="Arial" w:eastAsia="Arial" w:hAnsi="Arial"/>
                <w:sz w:val="13"/>
                <w:szCs w:val="13"/>
                <w:color w:val="auto"/>
              </w:rPr>
              <w:t>$226,547</w:t>
            </w:r>
          </w:p>
        </w:tc>
        <w:tc>
          <w:tcPr>
            <w:tcW w:w="100" w:type="dxa"/>
            <w:vAlign w:val="bottom"/>
            <w:shd w:val="clear" w:color="auto" w:fill="F0FFFF"/>
          </w:tcPr>
          <w:p>
            <w:pPr>
              <w:spacing w:after="0"/>
              <w:rPr>
                <w:sz w:val="14"/>
                <w:szCs w:val="14"/>
                <w:color w:val="auto"/>
              </w:rPr>
            </w:pPr>
          </w:p>
        </w:tc>
        <w:tc>
          <w:tcPr>
            <w:tcW w:w="40" w:type="dxa"/>
            <w:vAlign w:val="bottom"/>
            <w:shd w:val="clear" w:color="auto" w:fill="F0FFFF"/>
          </w:tcPr>
          <w:p>
            <w:pPr>
              <w:spacing w:after="0"/>
              <w:rPr>
                <w:sz w:val="14"/>
                <w:szCs w:val="14"/>
                <w:color w:val="auto"/>
              </w:rPr>
            </w:pPr>
          </w:p>
        </w:tc>
        <w:tc>
          <w:tcPr>
            <w:tcW w:w="600" w:type="dxa"/>
            <w:vAlign w:val="bottom"/>
            <w:shd w:val="clear" w:color="auto" w:fill="F0FFFF"/>
          </w:tcPr>
          <w:p>
            <w:pPr>
              <w:jc w:val="center"/>
              <w:spacing w:after="0"/>
              <w:rPr>
                <w:sz w:val="20"/>
                <w:szCs w:val="20"/>
                <w:color w:val="auto"/>
              </w:rPr>
            </w:pPr>
            <w:r>
              <w:rPr>
                <w:rFonts w:ascii="Arial" w:cs="Arial" w:eastAsia="Arial" w:hAnsi="Arial"/>
                <w:sz w:val="13"/>
                <w:szCs w:val="13"/>
                <w:color w:val="auto"/>
                <w:w w:val="96"/>
              </w:rPr>
              <w:t>No</w:t>
            </w:r>
          </w:p>
        </w:tc>
        <w:tc>
          <w:tcPr>
            <w:tcW w:w="40" w:type="dxa"/>
            <w:vAlign w:val="bottom"/>
          </w:tcPr>
          <w:p>
            <w:pPr>
              <w:spacing w:after="0"/>
              <w:rPr>
                <w:sz w:val="14"/>
                <w:szCs w:val="14"/>
                <w:color w:val="auto"/>
              </w:rPr>
            </w:pPr>
          </w:p>
        </w:tc>
      </w:tr>
      <w:tr>
        <w:trPr>
          <w:trHeight w:val="240"/>
        </w:trPr>
        <w:tc>
          <w:tcPr>
            <w:tcW w:w="300" w:type="dxa"/>
            <w:vAlign w:val="bottom"/>
            <w:gridSpan w:val="2"/>
          </w:tcPr>
          <w:p>
            <w:pPr>
              <w:spacing w:after="0"/>
              <w:rPr>
                <w:sz w:val="20"/>
                <w:szCs w:val="20"/>
                <w:color w:val="auto"/>
              </w:rPr>
            </w:pPr>
            <w:r>
              <w:rPr>
                <w:rFonts w:ascii="Arial" w:cs="Arial" w:eastAsia="Arial" w:hAnsi="Arial"/>
                <w:sz w:val="13"/>
                <w:szCs w:val="13"/>
                <w:color w:val="auto"/>
              </w:rPr>
              <w:t>(b)</w:t>
            </w:r>
          </w:p>
        </w:tc>
        <w:tc>
          <w:tcPr>
            <w:tcW w:w="1220" w:type="dxa"/>
            <w:vAlign w:val="bottom"/>
          </w:tcPr>
          <w:p>
            <w:pPr>
              <w:ind w:left="320"/>
              <w:spacing w:after="0"/>
              <w:rPr>
                <w:sz w:val="20"/>
                <w:szCs w:val="20"/>
                <w:color w:val="auto"/>
              </w:rPr>
            </w:pPr>
            <w:r>
              <w:rPr>
                <w:rFonts w:ascii="Arial" w:cs="Arial" w:eastAsia="Arial" w:hAnsi="Arial"/>
                <w:sz w:val="13"/>
                <w:szCs w:val="13"/>
                <w:color w:val="auto"/>
              </w:rPr>
              <w:t>See Exhibit (r).</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144" w:lineRule="exact"/>
        <w:rPr>
          <w:sz w:val="20"/>
          <w:szCs w:val="20"/>
          <w:color w:val="auto"/>
        </w:rPr>
      </w:pPr>
    </w:p>
    <w:p>
      <w:pPr>
        <w:ind w:left="5"/>
        <w:spacing w:after="0"/>
        <w:tabs>
          <w:tab w:leader="none" w:pos="625" w:val="left"/>
        </w:tabs>
        <w:rPr>
          <w:sz w:val="20"/>
          <w:szCs w:val="20"/>
          <w:color w:val="auto"/>
        </w:rPr>
      </w:pPr>
      <w:r>
        <w:rPr>
          <w:rFonts w:ascii="Arial" w:cs="Arial" w:eastAsia="Arial" w:hAnsi="Arial"/>
          <w:sz w:val="13"/>
          <w:szCs w:val="13"/>
          <w:b w:val="1"/>
          <w:bCs w:val="1"/>
          <w:color w:val="auto"/>
        </w:rPr>
        <w:t>Item 32.</w:t>
        <w:tab/>
        <w:t>Location of Accounts and Records</w:t>
      </w:r>
    </w:p>
    <w:p>
      <w:pPr>
        <w:spacing w:after="0" w:line="79" w:lineRule="exact"/>
        <w:rPr>
          <w:sz w:val="20"/>
          <w:szCs w:val="20"/>
          <w:color w:val="auto"/>
        </w:rPr>
      </w:pPr>
    </w:p>
    <w:p>
      <w:pPr>
        <w:ind w:left="5"/>
        <w:spacing w:after="0"/>
        <w:rPr>
          <w:sz w:val="20"/>
          <w:szCs w:val="20"/>
          <w:color w:val="auto"/>
        </w:rPr>
      </w:pPr>
      <w:r>
        <w:rPr>
          <w:rFonts w:ascii="Arial" w:cs="Arial" w:eastAsia="Arial" w:hAnsi="Arial"/>
          <w:sz w:val="13"/>
          <w:szCs w:val="13"/>
          <w:color w:val="auto"/>
        </w:rPr>
        <w:t>Not Applicable.</w:t>
      </w:r>
    </w:p>
    <w:p>
      <w:pPr>
        <w:spacing w:after="0" w:line="168" w:lineRule="exact"/>
        <w:rPr>
          <w:sz w:val="20"/>
          <w:szCs w:val="20"/>
          <w:color w:val="auto"/>
        </w:rPr>
      </w:pPr>
    </w:p>
    <w:p>
      <w:pPr>
        <w:ind w:left="5"/>
        <w:spacing w:after="0"/>
        <w:tabs>
          <w:tab w:leader="none" w:pos="625" w:val="left"/>
        </w:tabs>
        <w:rPr>
          <w:sz w:val="20"/>
          <w:szCs w:val="20"/>
          <w:color w:val="auto"/>
        </w:rPr>
      </w:pPr>
      <w:r>
        <w:rPr>
          <w:rFonts w:ascii="Arial" w:cs="Arial" w:eastAsia="Arial" w:hAnsi="Arial"/>
          <w:sz w:val="13"/>
          <w:szCs w:val="13"/>
          <w:b w:val="1"/>
          <w:bCs w:val="1"/>
          <w:color w:val="auto"/>
        </w:rPr>
        <w:t>Item 33.</w:t>
        <w:tab/>
        <w:t>Management Services</w:t>
      </w:r>
    </w:p>
    <w:p>
      <w:pPr>
        <w:spacing w:after="0" w:line="79" w:lineRule="exact"/>
        <w:rPr>
          <w:sz w:val="20"/>
          <w:szCs w:val="20"/>
          <w:color w:val="auto"/>
        </w:rPr>
      </w:pPr>
    </w:p>
    <w:p>
      <w:pPr>
        <w:ind w:left="5"/>
        <w:spacing w:after="0"/>
        <w:rPr>
          <w:sz w:val="20"/>
          <w:szCs w:val="20"/>
          <w:color w:val="auto"/>
        </w:rPr>
      </w:pPr>
      <w:r>
        <w:rPr>
          <w:rFonts w:ascii="Arial" w:cs="Arial" w:eastAsia="Arial" w:hAnsi="Arial"/>
          <w:sz w:val="13"/>
          <w:szCs w:val="13"/>
          <w:color w:val="auto"/>
        </w:rPr>
        <w:t>Not Applicable.</w:t>
      </w:r>
    </w:p>
    <w:p>
      <w:pPr>
        <w:spacing w:after="0" w:line="158" w:lineRule="exact"/>
        <w:rPr>
          <w:sz w:val="20"/>
          <w:szCs w:val="20"/>
          <w:color w:val="auto"/>
        </w:rPr>
      </w:pPr>
    </w:p>
    <w:p>
      <w:pPr>
        <w:ind w:left="5"/>
        <w:spacing w:after="0"/>
        <w:tabs>
          <w:tab w:leader="none" w:pos="705" w:val="left"/>
        </w:tabs>
        <w:rPr>
          <w:sz w:val="20"/>
          <w:szCs w:val="20"/>
          <w:color w:val="auto"/>
        </w:rPr>
      </w:pPr>
      <w:r>
        <w:rPr>
          <w:rFonts w:ascii="Arial" w:cs="Arial" w:eastAsia="Arial" w:hAnsi="Arial"/>
          <w:sz w:val="13"/>
          <w:szCs w:val="13"/>
          <w:b w:val="1"/>
          <w:bCs w:val="1"/>
          <w:color w:val="auto"/>
        </w:rPr>
        <w:t>Item 34.</w:t>
      </w:r>
      <w:r>
        <w:rPr>
          <w:sz w:val="20"/>
          <w:szCs w:val="20"/>
          <w:color w:val="auto"/>
        </w:rPr>
        <w:tab/>
      </w:r>
      <w:r>
        <w:rPr>
          <w:rFonts w:ascii="Arial" w:cs="Arial" w:eastAsia="Arial" w:hAnsi="Arial"/>
          <w:sz w:val="13"/>
          <w:szCs w:val="13"/>
          <w:b w:val="1"/>
          <w:bCs w:val="1"/>
          <w:color w:val="auto"/>
        </w:rPr>
        <w:t>Fee Representation and Undertakings</w:t>
      </w:r>
    </w:p>
    <w:p>
      <w:pPr>
        <w:sectPr>
          <w:pgSz w:w="11900" w:h="16838" w:orient="portrait"/>
          <w:cols w:equalWidth="0" w:num="1">
            <w:col w:w="9604"/>
          </w:cols>
          <w:pgMar w:left="855" w:top="762" w:right="1440" w:bottom="1440" w:gutter="0" w:footer="0" w:header="0"/>
          <w:type w:val="continuous"/>
        </w:sectPr>
      </w:pPr>
    </w:p>
    <w:bookmarkStart w:id="115" w:name="page116"/>
    <w:bookmarkEnd w:id="115"/>
    <w:p>
      <w:pPr>
        <w:ind w:right="2959"/>
        <w:spacing w:after="0" w:line="26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177165</wp:posOffset>
            </wp:positionH>
            <wp:positionV relativeFrom="page">
              <wp:posOffset>120015</wp:posOffset>
            </wp:positionV>
            <wp:extent cx="719391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9">
                      <a:extLst>
                        <a:ext uri="{28A0092B-C50C-407E-A947-70E740481C1C}"/>
                      </a:extLst>
                    </a:blip>
                    <a:srcRect/>
                    <a:stretch>
                      <a:fillRect/>
                    </a:stretch>
                  </pic:blipFill>
                  <pic:spPr bwMode="auto">
                    <a:xfrm>
                      <a:off x="0" y="0"/>
                      <a:ext cx="7193915" cy="38100"/>
                    </a:xfrm>
                    <a:prstGeom prst="rect">
                      <a:avLst/>
                    </a:prstGeom>
                    <a:noFill/>
                  </pic:spPr>
                </pic:pic>
              </a:graphicData>
            </a:graphic>
          </wp:anchor>
        </w:drawing>
        <w:t>Brighthouse Life Insurance Company of NY (the "Company") hereby undertakes (1) to file, during any period in which offers or sales are being made, a post-effective amendment to the registration statement to include any prospectus required by section 10(a)(3) of the Securities Act; and (2)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9599"/>
          </w:cols>
          <w:pgMar w:left="860" w:top="702" w:right="1440" w:bottom="1440" w:gutter="0" w:footer="0" w:header="0"/>
        </w:sectPr>
      </w:pPr>
    </w:p>
    <w:bookmarkStart w:id="116" w:name="page117"/>
    <w:bookmarkEnd w:id="116"/>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177165</wp:posOffset>
            </wp:positionH>
            <wp:positionV relativeFrom="page">
              <wp:posOffset>120015</wp:posOffset>
            </wp:positionV>
            <wp:extent cx="719391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0">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ind w:left="3194"/>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1">
                      <a:extLst>
                        <a:ext uri="{28A0092B-C50C-407E-A947-70E740481C1C}"/>
                      </a:extLst>
                    </a:blip>
                    <a:srcRect/>
                    <a:stretch>
                      <a:fillRect/>
                    </a:stretch>
                  </pic:blipFill>
                  <pic:spPr bwMode="auto">
                    <a:xfrm>
                      <a:off x="0" y="0"/>
                      <a:ext cx="7206615" cy="31750"/>
                    </a:xfrm>
                    <a:prstGeom prst="rect">
                      <a:avLst/>
                    </a:prstGeom>
                    <a:noFill/>
                  </pic:spPr>
                </pic:pic>
              </a:graphicData>
            </a:graphic>
          </wp:anchor>
        </w:drawing>
        <w:t>SIGNATURES</w:t>
      </w:r>
    </w:p>
    <w:p>
      <w:pPr>
        <w:spacing w:after="0" w:line="71" w:lineRule="exact"/>
        <w:rPr>
          <w:sz w:val="20"/>
          <w:szCs w:val="20"/>
          <w:color w:val="auto"/>
        </w:rPr>
      </w:pPr>
    </w:p>
    <w:p>
      <w:pPr>
        <w:ind w:left="134" w:right="3099"/>
        <w:spacing w:after="0" w:line="266" w:lineRule="auto"/>
        <w:rPr>
          <w:sz w:val="20"/>
          <w:szCs w:val="20"/>
          <w:color w:val="auto"/>
        </w:rPr>
      </w:pPr>
      <w:r>
        <w:rPr>
          <w:rFonts w:ascii="Times New Roman" w:cs="Times New Roman" w:eastAsia="Times New Roman" w:hAnsi="Times New Roman"/>
          <w:sz w:val="13"/>
          <w:szCs w:val="13"/>
          <w:color w:val="auto"/>
        </w:rPr>
        <w:t>Pursuant to the requirements of the Securities Act of 1933, the Registrant certifies that it meets all of the requirements for effectiveness of this registration statement under rule 485(b) under the Securities Act and has duly caused this registration statement to be signed on its behalf by the undersigned, duly authorized, in the City of Charlotte, and State of North Carolina, on this 18th day of April, 2025.</w:t>
      </w:r>
    </w:p>
    <w:p>
      <w:pPr>
        <w:sectPr>
          <w:pgSz w:w="11900" w:h="16838" w:orient="portrait"/>
          <w:cols w:equalWidth="0" w:num="1">
            <w:col w:w="10054"/>
          </w:cols>
          <w:pgMar w:left="406" w:top="660" w:right="1440" w:bottom="1440" w:gutter="0" w:footer="0" w:header="0"/>
        </w:sectPr>
      </w:pPr>
    </w:p>
    <w:p>
      <w:pPr>
        <w:spacing w:after="0" w:line="131" w:lineRule="exact"/>
        <w:rPr>
          <w:sz w:val="20"/>
          <w:szCs w:val="20"/>
          <w:color w:val="auto"/>
        </w:rPr>
      </w:pPr>
    </w:p>
    <w:p>
      <w:pPr>
        <w:ind w:left="174" w:hanging="174"/>
        <w:spacing w:after="0"/>
        <w:tabs>
          <w:tab w:leader="none" w:pos="174"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w:t>
      </w:r>
    </w:p>
    <w:p>
      <w:pPr>
        <w:spacing w:after="0" w:line="200" w:lineRule="exact"/>
        <w:rPr>
          <w:rFonts w:ascii="Times New Roman" w:cs="Times New Roman" w:eastAsia="Times New Roman" w:hAnsi="Times New Roman"/>
          <w:sz w:val="12"/>
          <w:szCs w:val="12"/>
          <w:color w:val="auto"/>
        </w:rPr>
      </w:pPr>
    </w:p>
    <w:p>
      <w:pPr>
        <w:spacing w:after="0" w:line="227" w:lineRule="exact"/>
        <w:rPr>
          <w:rFonts w:ascii="Times New Roman" w:cs="Times New Roman" w:eastAsia="Times New Roman" w:hAnsi="Times New Roman"/>
          <w:sz w:val="12"/>
          <w:szCs w:val="12"/>
          <w:color w:val="auto"/>
        </w:rPr>
      </w:pPr>
    </w:p>
    <w:p>
      <w:pPr>
        <w:ind w:left="174"/>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BRIGHTHOUSE LIFE INSURANCE COMPANY OF 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7620</wp:posOffset>
            </wp:positionV>
            <wp:extent cx="2557780" cy="18288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2">
                      <a:extLst>
                        <a:ext uri="{28A0092B-C50C-407E-A947-70E740481C1C}"/>
                      </a:extLst>
                    </a:blip>
                    <a:srcRect/>
                    <a:stretch>
                      <a:fillRect/>
                    </a:stretch>
                  </pic:blipFill>
                  <pic:spPr bwMode="auto">
                    <a:xfrm>
                      <a:off x="0" y="0"/>
                      <a:ext cx="2557780" cy="182880"/>
                    </a:xfrm>
                    <a:prstGeom prst="rect">
                      <a:avLst/>
                    </a:prstGeom>
                    <a:noFill/>
                  </pic:spPr>
                </pic:pic>
              </a:graphicData>
            </a:graphic>
          </wp:anchor>
        </w:drawing>
      </w:r>
    </w:p>
    <w:p>
      <w:pPr>
        <w:spacing w:after="0" w:line="228" w:lineRule="auto"/>
        <w:rPr>
          <w:sz w:val="20"/>
          <w:szCs w:val="20"/>
          <w:color w:val="auto"/>
        </w:rPr>
      </w:pPr>
      <w:r>
        <w:rPr>
          <w:rFonts w:ascii="Times New Roman" w:cs="Times New Roman" w:eastAsia="Times New Roman" w:hAnsi="Times New Roman"/>
          <w:sz w:val="13"/>
          <w:szCs w:val="13"/>
          <w:color w:val="auto"/>
        </w:rPr>
        <w:t>(Insurance Company)</w:t>
      </w:r>
    </w:p>
    <w:p>
      <w:pPr>
        <w:spacing w:after="0"/>
        <w:rPr>
          <w:sz w:val="20"/>
          <w:szCs w:val="20"/>
          <w:color w:val="auto"/>
        </w:rPr>
      </w:pPr>
      <w:r>
        <w:rPr>
          <w:rFonts w:ascii="Times New Roman" w:cs="Times New Roman" w:eastAsia="Times New Roman" w:hAnsi="Times New Roman"/>
          <w:sz w:val="13"/>
          <w:szCs w:val="13"/>
          <w:color w:val="auto"/>
        </w:rPr>
        <w:t> </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Donald A. Leintz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20320</wp:posOffset>
            </wp:positionV>
            <wp:extent cx="2557780" cy="21399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3">
                      <a:extLst>
                        <a:ext uri="{28A0092B-C50C-407E-A947-70E740481C1C}"/>
                      </a:extLst>
                    </a:blip>
                    <a:srcRect/>
                    <a:stretch>
                      <a:fillRect/>
                    </a:stretch>
                  </pic:blipFill>
                  <pic:spPr bwMode="auto">
                    <a:xfrm>
                      <a:off x="0" y="0"/>
                      <a:ext cx="2557780" cy="213995"/>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Donald A. Leintz</w:t>
      </w:r>
    </w:p>
    <w:p>
      <w:pPr>
        <w:spacing w:after="0"/>
        <w:rPr>
          <w:sz w:val="20"/>
          <w:szCs w:val="20"/>
          <w:color w:val="auto"/>
        </w:rPr>
      </w:pPr>
      <w:r>
        <w:rPr>
          <w:rFonts w:ascii="Times New Roman" w:cs="Times New Roman" w:eastAsia="Times New Roman" w:hAnsi="Times New Roman"/>
          <w:sz w:val="13"/>
          <w:szCs w:val="13"/>
          <w:color w:val="auto"/>
        </w:rPr>
        <w:t>Vice President</w:t>
      </w:r>
    </w:p>
    <w:p>
      <w:pPr>
        <w:sectPr>
          <w:pgSz w:w="11900" w:h="16838" w:orient="portrait"/>
          <w:cols w:equalWidth="0" w:num="2">
            <w:col w:w="354" w:space="140"/>
            <w:col w:w="9559"/>
          </w:cols>
          <w:pgMar w:left="406" w:top="660" w:right="1440" w:bottom="1440" w:gutter="0" w:footer="0" w:header="0"/>
          <w:type w:val="continuous"/>
        </w:sectPr>
      </w:pPr>
    </w:p>
    <w:bookmarkStart w:id="118" w:name="page119"/>
    <w:bookmarkEnd w:id="118"/>
    <w:p>
      <w:pPr>
        <w:ind w:left="140" w:right="3059"/>
        <w:spacing w:after="0" w:line="29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177165</wp:posOffset>
            </wp:positionH>
            <wp:positionV relativeFrom="page">
              <wp:posOffset>120015</wp:posOffset>
            </wp:positionV>
            <wp:extent cx="719391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4">
                      <a:extLst>
                        <a:ext uri="{28A0092B-C50C-407E-A947-70E740481C1C}"/>
                      </a:extLst>
                    </a:blip>
                    <a:srcRect/>
                    <a:stretch>
                      <a:fillRect/>
                    </a:stretch>
                  </pic:blipFill>
                  <pic:spPr bwMode="auto">
                    <a:xfrm>
                      <a:off x="0" y="0"/>
                      <a:ext cx="7193915" cy="38100"/>
                    </a:xfrm>
                    <a:prstGeom prst="rect">
                      <a:avLst/>
                    </a:prstGeom>
                    <a:noFill/>
                  </pic:spPr>
                </pic:pic>
              </a:graphicData>
            </a:graphic>
          </wp:anchor>
        </w:drawing>
        <w:t>Pursuant to the requirements of the Securities Act of 1933, this registration statement has been signed by the following persons in the capacities indicated on April 18, 2025.</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40" w:type="dxa"/>
            <w:vAlign w:val="bottom"/>
          </w:tcPr>
          <w:p>
            <w:pPr>
              <w:spacing w:after="0"/>
              <w:rPr>
                <w:sz w:val="16"/>
                <w:szCs w:val="16"/>
                <w:color w:val="auto"/>
              </w:rPr>
            </w:pPr>
          </w:p>
        </w:tc>
        <w:tc>
          <w:tcPr>
            <w:tcW w:w="2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/s/ David A. Rosenbaum*</w:t>
            </w:r>
          </w:p>
        </w:tc>
        <w:tc>
          <w:tcPr>
            <w:tcW w:w="42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Chairman of the Board, President, Chief Executive Officer</w:t>
            </w:r>
          </w:p>
        </w:tc>
      </w:tr>
      <w:tr>
        <w:trPr>
          <w:trHeight w:val="208"/>
        </w:trPr>
        <w:tc>
          <w:tcPr>
            <w:tcW w:w="140" w:type="dxa"/>
            <w:vAlign w:val="bottom"/>
          </w:tcPr>
          <w:p>
            <w:pPr>
              <w:spacing w:after="0"/>
              <w:rPr>
                <w:sz w:val="18"/>
                <w:szCs w:val="18"/>
                <w:color w:val="auto"/>
              </w:rPr>
            </w:pPr>
          </w:p>
        </w:tc>
        <w:tc>
          <w:tcPr>
            <w:tcW w:w="2780" w:type="dxa"/>
            <w:vAlign w:val="bottom"/>
            <w:tcBorders>
              <w:bottom w:val="single" w:sz="8" w:color="F0FFFF"/>
              <w:right w:val="single" w:sz="8" w:color="F0FFFF"/>
            </w:tcBorders>
            <w:gridSpan w:val="2"/>
            <w:shd w:val="clear" w:color="auto" w:fill="F0FFFF"/>
          </w:tcPr>
          <w:p>
            <w:pPr>
              <w:spacing w:after="0"/>
              <w:rPr>
                <w:sz w:val="20"/>
                <w:szCs w:val="20"/>
                <w:color w:val="auto"/>
              </w:rPr>
            </w:pPr>
            <w:r>
              <w:rPr>
                <w:rFonts w:ascii="Times New Roman" w:cs="Times New Roman" w:eastAsia="Times New Roman" w:hAnsi="Times New Roman"/>
                <w:sz w:val="13"/>
                <w:szCs w:val="13"/>
                <w:color w:val="auto"/>
              </w:rPr>
              <w:t>David A. Rosenbaum</w:t>
            </w:r>
          </w:p>
        </w:tc>
        <w:tc>
          <w:tcPr>
            <w:tcW w:w="42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and a Director</w:t>
            </w:r>
          </w:p>
        </w:tc>
      </w:tr>
      <w:tr>
        <w:trPr>
          <w:trHeight w:val="169"/>
        </w:trPr>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208"/>
        </w:trPr>
        <w:tc>
          <w:tcPr>
            <w:tcW w:w="140" w:type="dxa"/>
            <w:vAlign w:val="bottom"/>
          </w:tcPr>
          <w:p>
            <w:pPr>
              <w:spacing w:after="0"/>
              <w:rPr>
                <w:sz w:val="18"/>
                <w:szCs w:val="18"/>
                <w:color w:val="auto"/>
              </w:rPr>
            </w:pPr>
          </w:p>
        </w:tc>
        <w:tc>
          <w:tcPr>
            <w:tcW w:w="2780" w:type="dxa"/>
            <w:vAlign w:val="bottom"/>
            <w:tcBorders>
              <w:bottom w:val="single" w:sz="8" w:color="auto"/>
              <w:right w:val="single" w:sz="8" w:color="F0FFFF"/>
            </w:tcBorders>
            <w:gridSpan w:val="2"/>
            <w:shd w:val="clear" w:color="auto" w:fill="F0FFFF"/>
          </w:tcPr>
          <w:p>
            <w:pPr>
              <w:spacing w:after="0"/>
              <w:rPr>
                <w:sz w:val="20"/>
                <w:szCs w:val="20"/>
                <w:color w:val="auto"/>
              </w:rPr>
            </w:pPr>
            <w:r>
              <w:rPr>
                <w:rFonts w:ascii="Times New Roman" w:cs="Times New Roman" w:eastAsia="Times New Roman" w:hAnsi="Times New Roman"/>
                <w:sz w:val="13"/>
                <w:szCs w:val="13"/>
                <w:color w:val="auto"/>
              </w:rPr>
              <w:t>/s/ Kendall K. Alley*</w:t>
            </w:r>
          </w:p>
        </w:tc>
        <w:tc>
          <w:tcPr>
            <w:tcW w:w="4200" w:type="dxa"/>
            <w:vAlign w:val="bottom"/>
            <w:tcBorders>
              <w:bottom w:val="single" w:sz="8" w:color="F0FFFF"/>
            </w:tcBorders>
            <w:gridSpan w:val="3"/>
            <w:shd w:val="clear" w:color="auto" w:fill="F0FFFF"/>
          </w:tcPr>
          <w:p>
            <w:pPr>
              <w:ind w:left="40"/>
              <w:spacing w:after="0"/>
              <w:rPr>
                <w:sz w:val="20"/>
                <w:szCs w:val="20"/>
                <w:color w:val="auto"/>
              </w:rPr>
            </w:pPr>
            <w:r>
              <w:rPr>
                <w:rFonts w:ascii="Times New Roman" w:cs="Times New Roman" w:eastAsia="Times New Roman" w:hAnsi="Times New Roman"/>
                <w:sz w:val="13"/>
                <w:szCs w:val="13"/>
                <w:color w:val="auto"/>
              </w:rPr>
              <w:t>Director</w:t>
            </w:r>
          </w:p>
        </w:tc>
      </w:tr>
      <w:tr>
        <w:trPr>
          <w:trHeight w:val="179"/>
        </w:trPr>
        <w:tc>
          <w:tcPr>
            <w:tcW w:w="140" w:type="dxa"/>
            <w:vAlign w:val="bottom"/>
          </w:tcPr>
          <w:p>
            <w:pPr>
              <w:spacing w:after="0"/>
              <w:rPr>
                <w:sz w:val="15"/>
                <w:szCs w:val="15"/>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Kendall K. Alley</w:t>
            </w:r>
          </w:p>
        </w:tc>
        <w:tc>
          <w:tcPr>
            <w:tcW w:w="116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2960" w:type="dxa"/>
            <w:vAlign w:val="bottom"/>
            <w:shd w:val="clear" w:color="auto" w:fill="F0FFFF"/>
          </w:tcPr>
          <w:p>
            <w:pPr>
              <w:spacing w:after="0"/>
              <w:rPr>
                <w:sz w:val="15"/>
                <w:szCs w:val="15"/>
                <w:color w:val="auto"/>
              </w:rPr>
            </w:pPr>
          </w:p>
        </w:tc>
      </w:tr>
      <w:tr>
        <w:trPr>
          <w:trHeight w:val="39"/>
        </w:trPr>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160" w:type="dxa"/>
            <w:vAlign w:val="bottom"/>
            <w:shd w:val="clear" w:color="auto" w:fill="F0FFFF"/>
          </w:tcPr>
          <w:p>
            <w:pPr>
              <w:spacing w:after="0"/>
              <w:rPr>
                <w:sz w:val="3"/>
                <w:szCs w:val="3"/>
                <w:color w:val="auto"/>
              </w:rPr>
            </w:pPr>
          </w:p>
        </w:tc>
        <w:tc>
          <w:tcPr>
            <w:tcW w:w="80" w:type="dxa"/>
            <w:vAlign w:val="bottom"/>
            <w:shd w:val="clear" w:color="auto" w:fill="F0FFFF"/>
          </w:tcPr>
          <w:p>
            <w:pPr>
              <w:spacing w:after="0"/>
              <w:rPr>
                <w:sz w:val="3"/>
                <w:szCs w:val="3"/>
                <w:color w:val="auto"/>
              </w:rPr>
            </w:pPr>
          </w:p>
        </w:tc>
        <w:tc>
          <w:tcPr>
            <w:tcW w:w="2960" w:type="dxa"/>
            <w:vAlign w:val="bottom"/>
            <w:shd w:val="clear" w:color="auto" w:fill="F0FFFF"/>
          </w:tcPr>
          <w:p>
            <w:pPr>
              <w:spacing w:after="0"/>
              <w:rPr>
                <w:sz w:val="3"/>
                <w:szCs w:val="3"/>
                <w:color w:val="auto"/>
              </w:rPr>
            </w:pPr>
          </w:p>
        </w:tc>
      </w:tr>
      <w:tr>
        <w:trPr>
          <w:trHeight w:val="169"/>
        </w:trPr>
        <w:tc>
          <w:tcPr>
            <w:tcW w:w="140" w:type="dxa"/>
            <w:vAlign w:val="bottom"/>
          </w:tcPr>
          <w:p>
            <w:pPr>
              <w:spacing w:after="0"/>
              <w:rPr>
                <w:sz w:val="14"/>
                <w:szCs w:val="14"/>
                <w:color w:val="auto"/>
              </w:rPr>
            </w:pPr>
          </w:p>
        </w:tc>
        <w:tc>
          <w:tcPr>
            <w:tcW w:w="380" w:type="dxa"/>
            <w:vAlign w:val="bottom"/>
            <w:shd w:val="clear" w:color="auto" w:fill="F0FFFF"/>
          </w:tcPr>
          <w:p>
            <w:pPr>
              <w:spacing w:after="0"/>
              <w:rPr>
                <w:sz w:val="14"/>
                <w:szCs w:val="14"/>
                <w:color w:val="auto"/>
              </w:rPr>
            </w:pPr>
          </w:p>
        </w:tc>
        <w:tc>
          <w:tcPr>
            <w:tcW w:w="2400" w:type="dxa"/>
            <w:vAlign w:val="bottom"/>
            <w:tcBorders>
              <w:right w:val="single" w:sz="8" w:color="F0FFFF"/>
            </w:tcBorders>
            <w:shd w:val="clear" w:color="auto" w:fill="F0FFFF"/>
          </w:tcPr>
          <w:p>
            <w:pPr>
              <w:spacing w:after="0"/>
              <w:rPr>
                <w:sz w:val="14"/>
                <w:szCs w:val="14"/>
                <w:color w:val="auto"/>
              </w:rPr>
            </w:pPr>
          </w:p>
        </w:tc>
        <w:tc>
          <w:tcPr>
            <w:tcW w:w="116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2960" w:type="dxa"/>
            <w:vAlign w:val="bottom"/>
            <w:shd w:val="clear" w:color="auto" w:fill="F0FFFF"/>
          </w:tcPr>
          <w:p>
            <w:pPr>
              <w:spacing w:after="0"/>
              <w:rPr>
                <w:sz w:val="14"/>
                <w:szCs w:val="14"/>
                <w:color w:val="auto"/>
              </w:rPr>
            </w:pPr>
          </w:p>
        </w:tc>
      </w:tr>
      <w:tr>
        <w:trPr>
          <w:trHeight w:val="208"/>
        </w:trPr>
        <w:tc>
          <w:tcPr>
            <w:tcW w:w="140" w:type="dxa"/>
            <w:vAlign w:val="bottom"/>
          </w:tcPr>
          <w:p>
            <w:pPr>
              <w:spacing w:after="0"/>
              <w:rPr>
                <w:sz w:val="18"/>
                <w:szCs w:val="18"/>
                <w:color w:val="auto"/>
              </w:rPr>
            </w:pPr>
          </w:p>
        </w:tc>
        <w:tc>
          <w:tcPr>
            <w:tcW w:w="2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/s/ Edward C. Kosnik*</w:t>
            </w:r>
          </w:p>
        </w:tc>
        <w:tc>
          <w:tcPr>
            <w:tcW w:w="42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Director</w:t>
            </w:r>
          </w:p>
        </w:tc>
      </w:tr>
      <w:tr>
        <w:trPr>
          <w:trHeight w:val="198"/>
        </w:trPr>
        <w:tc>
          <w:tcPr>
            <w:tcW w:w="140" w:type="dxa"/>
            <w:vAlign w:val="bottom"/>
          </w:tcPr>
          <w:p>
            <w:pPr>
              <w:spacing w:after="0"/>
              <w:rPr>
                <w:sz w:val="17"/>
                <w:szCs w:val="17"/>
                <w:color w:val="auto"/>
              </w:rPr>
            </w:pPr>
          </w:p>
        </w:tc>
        <w:tc>
          <w:tcPr>
            <w:tcW w:w="2780" w:type="dxa"/>
            <w:vAlign w:val="bottom"/>
            <w:tcBorders>
              <w:bottom w:val="single" w:sz="8" w:color="F0FFFF"/>
              <w:right w:val="single" w:sz="8" w:color="F0FFFF"/>
            </w:tcBorders>
            <w:gridSpan w:val="2"/>
            <w:shd w:val="clear" w:color="auto" w:fill="F0FFFF"/>
          </w:tcPr>
          <w:p>
            <w:pPr>
              <w:spacing w:after="0"/>
              <w:rPr>
                <w:sz w:val="20"/>
                <w:szCs w:val="20"/>
                <w:color w:val="auto"/>
              </w:rPr>
            </w:pPr>
            <w:r>
              <w:rPr>
                <w:rFonts w:ascii="Times New Roman" w:cs="Times New Roman" w:eastAsia="Times New Roman" w:hAnsi="Times New Roman"/>
                <w:sz w:val="13"/>
                <w:szCs w:val="13"/>
                <w:color w:val="auto"/>
              </w:rPr>
              <w:t>Edward C. Kosnik</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169"/>
        </w:trPr>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208"/>
        </w:trPr>
        <w:tc>
          <w:tcPr>
            <w:tcW w:w="140" w:type="dxa"/>
            <w:vAlign w:val="bottom"/>
          </w:tcPr>
          <w:p>
            <w:pPr>
              <w:spacing w:after="0"/>
              <w:rPr>
                <w:sz w:val="18"/>
                <w:szCs w:val="18"/>
                <w:color w:val="auto"/>
              </w:rPr>
            </w:pPr>
          </w:p>
        </w:tc>
        <w:tc>
          <w:tcPr>
            <w:tcW w:w="2780" w:type="dxa"/>
            <w:vAlign w:val="bottom"/>
            <w:tcBorders>
              <w:bottom w:val="single" w:sz="8" w:color="auto"/>
              <w:right w:val="single" w:sz="8" w:color="F0FFFF"/>
            </w:tcBorders>
            <w:gridSpan w:val="2"/>
            <w:shd w:val="clear" w:color="auto" w:fill="F0FFFF"/>
          </w:tcPr>
          <w:p>
            <w:pPr>
              <w:spacing w:after="0"/>
              <w:rPr>
                <w:sz w:val="20"/>
                <w:szCs w:val="20"/>
                <w:color w:val="auto"/>
              </w:rPr>
            </w:pPr>
            <w:r>
              <w:rPr>
                <w:rFonts w:ascii="Times New Roman" w:cs="Times New Roman" w:eastAsia="Times New Roman" w:hAnsi="Times New Roman"/>
                <w:sz w:val="13"/>
                <w:szCs w:val="13"/>
                <w:color w:val="auto"/>
              </w:rPr>
              <w:t>/s/ Mayer Naiman*</w:t>
            </w:r>
          </w:p>
        </w:tc>
        <w:tc>
          <w:tcPr>
            <w:tcW w:w="4200" w:type="dxa"/>
            <w:vAlign w:val="bottom"/>
            <w:tcBorders>
              <w:bottom w:val="single" w:sz="8" w:color="F0FFFF"/>
            </w:tcBorders>
            <w:gridSpan w:val="3"/>
            <w:shd w:val="clear" w:color="auto" w:fill="F0FFFF"/>
          </w:tcPr>
          <w:p>
            <w:pPr>
              <w:ind w:left="40"/>
              <w:spacing w:after="0"/>
              <w:rPr>
                <w:sz w:val="20"/>
                <w:szCs w:val="20"/>
                <w:color w:val="auto"/>
              </w:rPr>
            </w:pPr>
            <w:r>
              <w:rPr>
                <w:rFonts w:ascii="Times New Roman" w:cs="Times New Roman" w:eastAsia="Times New Roman" w:hAnsi="Times New Roman"/>
                <w:sz w:val="13"/>
                <w:szCs w:val="13"/>
                <w:color w:val="auto"/>
              </w:rPr>
              <w:t>Director</w:t>
            </w:r>
          </w:p>
        </w:tc>
      </w:tr>
      <w:tr>
        <w:trPr>
          <w:trHeight w:val="179"/>
        </w:trPr>
        <w:tc>
          <w:tcPr>
            <w:tcW w:w="140" w:type="dxa"/>
            <w:vAlign w:val="bottom"/>
          </w:tcPr>
          <w:p>
            <w:pPr>
              <w:spacing w:after="0"/>
              <w:rPr>
                <w:sz w:val="15"/>
                <w:szCs w:val="15"/>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Mayer Naiman</w:t>
            </w:r>
          </w:p>
        </w:tc>
        <w:tc>
          <w:tcPr>
            <w:tcW w:w="116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2960" w:type="dxa"/>
            <w:vAlign w:val="bottom"/>
            <w:shd w:val="clear" w:color="auto" w:fill="F0FFFF"/>
          </w:tcPr>
          <w:p>
            <w:pPr>
              <w:spacing w:after="0"/>
              <w:rPr>
                <w:sz w:val="15"/>
                <w:szCs w:val="15"/>
                <w:color w:val="auto"/>
              </w:rPr>
            </w:pPr>
          </w:p>
        </w:tc>
      </w:tr>
      <w:tr>
        <w:trPr>
          <w:trHeight w:val="39"/>
        </w:trPr>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160" w:type="dxa"/>
            <w:vAlign w:val="bottom"/>
            <w:shd w:val="clear" w:color="auto" w:fill="F0FFFF"/>
          </w:tcPr>
          <w:p>
            <w:pPr>
              <w:spacing w:after="0"/>
              <w:rPr>
                <w:sz w:val="3"/>
                <w:szCs w:val="3"/>
                <w:color w:val="auto"/>
              </w:rPr>
            </w:pPr>
          </w:p>
        </w:tc>
        <w:tc>
          <w:tcPr>
            <w:tcW w:w="80" w:type="dxa"/>
            <w:vAlign w:val="bottom"/>
            <w:shd w:val="clear" w:color="auto" w:fill="F0FFFF"/>
          </w:tcPr>
          <w:p>
            <w:pPr>
              <w:spacing w:after="0"/>
              <w:rPr>
                <w:sz w:val="3"/>
                <w:szCs w:val="3"/>
                <w:color w:val="auto"/>
              </w:rPr>
            </w:pPr>
          </w:p>
        </w:tc>
        <w:tc>
          <w:tcPr>
            <w:tcW w:w="2960" w:type="dxa"/>
            <w:vAlign w:val="bottom"/>
            <w:shd w:val="clear" w:color="auto" w:fill="F0FFFF"/>
          </w:tcPr>
          <w:p>
            <w:pPr>
              <w:spacing w:after="0"/>
              <w:rPr>
                <w:sz w:val="3"/>
                <w:szCs w:val="3"/>
                <w:color w:val="auto"/>
              </w:rPr>
            </w:pPr>
          </w:p>
        </w:tc>
      </w:tr>
      <w:tr>
        <w:trPr>
          <w:trHeight w:val="169"/>
        </w:trPr>
        <w:tc>
          <w:tcPr>
            <w:tcW w:w="140" w:type="dxa"/>
            <w:vAlign w:val="bottom"/>
          </w:tcPr>
          <w:p>
            <w:pPr>
              <w:spacing w:after="0"/>
              <w:rPr>
                <w:sz w:val="14"/>
                <w:szCs w:val="14"/>
                <w:color w:val="auto"/>
              </w:rPr>
            </w:pPr>
          </w:p>
        </w:tc>
        <w:tc>
          <w:tcPr>
            <w:tcW w:w="380" w:type="dxa"/>
            <w:vAlign w:val="bottom"/>
            <w:shd w:val="clear" w:color="auto" w:fill="F0FFFF"/>
          </w:tcPr>
          <w:p>
            <w:pPr>
              <w:spacing w:after="0"/>
              <w:rPr>
                <w:sz w:val="14"/>
                <w:szCs w:val="14"/>
                <w:color w:val="auto"/>
              </w:rPr>
            </w:pPr>
          </w:p>
        </w:tc>
        <w:tc>
          <w:tcPr>
            <w:tcW w:w="2400" w:type="dxa"/>
            <w:vAlign w:val="bottom"/>
            <w:tcBorders>
              <w:right w:val="single" w:sz="8" w:color="F0FFFF"/>
            </w:tcBorders>
            <w:shd w:val="clear" w:color="auto" w:fill="F0FFFF"/>
          </w:tcPr>
          <w:p>
            <w:pPr>
              <w:spacing w:after="0"/>
              <w:rPr>
                <w:sz w:val="14"/>
                <w:szCs w:val="14"/>
                <w:color w:val="auto"/>
              </w:rPr>
            </w:pPr>
          </w:p>
        </w:tc>
        <w:tc>
          <w:tcPr>
            <w:tcW w:w="116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2960" w:type="dxa"/>
            <w:vAlign w:val="bottom"/>
            <w:shd w:val="clear" w:color="auto" w:fill="F0FFFF"/>
          </w:tcPr>
          <w:p>
            <w:pPr>
              <w:spacing w:after="0"/>
              <w:rPr>
                <w:sz w:val="14"/>
                <w:szCs w:val="14"/>
                <w:color w:val="auto"/>
              </w:rPr>
            </w:pPr>
          </w:p>
        </w:tc>
      </w:tr>
      <w:tr>
        <w:trPr>
          <w:trHeight w:val="208"/>
        </w:trPr>
        <w:tc>
          <w:tcPr>
            <w:tcW w:w="140" w:type="dxa"/>
            <w:vAlign w:val="bottom"/>
          </w:tcPr>
          <w:p>
            <w:pPr>
              <w:spacing w:after="0"/>
              <w:rPr>
                <w:sz w:val="18"/>
                <w:szCs w:val="18"/>
                <w:color w:val="auto"/>
              </w:rPr>
            </w:pPr>
          </w:p>
        </w:tc>
        <w:tc>
          <w:tcPr>
            <w:tcW w:w="2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/s/ Douglas A. Rayvid*</w:t>
            </w:r>
          </w:p>
        </w:tc>
        <w:tc>
          <w:tcPr>
            <w:tcW w:w="42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Director</w:t>
            </w:r>
          </w:p>
        </w:tc>
      </w:tr>
      <w:tr>
        <w:trPr>
          <w:trHeight w:val="198"/>
        </w:trPr>
        <w:tc>
          <w:tcPr>
            <w:tcW w:w="140" w:type="dxa"/>
            <w:vAlign w:val="bottom"/>
          </w:tcPr>
          <w:p>
            <w:pPr>
              <w:spacing w:after="0"/>
              <w:rPr>
                <w:sz w:val="17"/>
                <w:szCs w:val="17"/>
                <w:color w:val="auto"/>
              </w:rPr>
            </w:pPr>
          </w:p>
        </w:tc>
        <w:tc>
          <w:tcPr>
            <w:tcW w:w="2780" w:type="dxa"/>
            <w:vAlign w:val="bottom"/>
            <w:tcBorders>
              <w:bottom w:val="single" w:sz="8" w:color="F0FFFF"/>
              <w:right w:val="single" w:sz="8" w:color="F0FFFF"/>
            </w:tcBorders>
            <w:gridSpan w:val="2"/>
            <w:shd w:val="clear" w:color="auto" w:fill="F0FFFF"/>
          </w:tcPr>
          <w:p>
            <w:pPr>
              <w:spacing w:after="0"/>
              <w:rPr>
                <w:sz w:val="20"/>
                <w:szCs w:val="20"/>
                <w:color w:val="auto"/>
              </w:rPr>
            </w:pPr>
            <w:r>
              <w:rPr>
                <w:rFonts w:ascii="Times New Roman" w:cs="Times New Roman" w:eastAsia="Times New Roman" w:hAnsi="Times New Roman"/>
                <w:sz w:val="13"/>
                <w:szCs w:val="13"/>
                <w:color w:val="auto"/>
              </w:rPr>
              <w:t>Douglas A. Rayvid</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169"/>
        </w:trPr>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208"/>
        </w:trPr>
        <w:tc>
          <w:tcPr>
            <w:tcW w:w="140" w:type="dxa"/>
            <w:vAlign w:val="bottom"/>
          </w:tcPr>
          <w:p>
            <w:pPr>
              <w:spacing w:after="0"/>
              <w:rPr>
                <w:sz w:val="18"/>
                <w:szCs w:val="18"/>
                <w:color w:val="auto"/>
              </w:rPr>
            </w:pPr>
          </w:p>
        </w:tc>
        <w:tc>
          <w:tcPr>
            <w:tcW w:w="2780" w:type="dxa"/>
            <w:vAlign w:val="bottom"/>
            <w:tcBorders>
              <w:bottom w:val="single" w:sz="8" w:color="auto"/>
              <w:right w:val="single" w:sz="8" w:color="F0FFFF"/>
            </w:tcBorders>
            <w:gridSpan w:val="2"/>
            <w:shd w:val="clear" w:color="auto" w:fill="F0FFFF"/>
          </w:tcPr>
          <w:p>
            <w:pPr>
              <w:spacing w:after="0"/>
              <w:rPr>
                <w:sz w:val="20"/>
                <w:szCs w:val="20"/>
                <w:color w:val="auto"/>
              </w:rPr>
            </w:pPr>
            <w:r>
              <w:rPr>
                <w:rFonts w:ascii="Times New Roman" w:cs="Times New Roman" w:eastAsia="Times New Roman" w:hAnsi="Times New Roman"/>
                <w:sz w:val="13"/>
                <w:szCs w:val="13"/>
                <w:color w:val="auto"/>
              </w:rPr>
              <w:t>/s/ Robert A. Semke*</w:t>
            </w:r>
          </w:p>
        </w:tc>
        <w:tc>
          <w:tcPr>
            <w:tcW w:w="4200" w:type="dxa"/>
            <w:vAlign w:val="bottom"/>
            <w:tcBorders>
              <w:bottom w:val="single" w:sz="8" w:color="F0FFFF"/>
            </w:tcBorders>
            <w:gridSpan w:val="3"/>
            <w:shd w:val="clear" w:color="auto" w:fill="F0FFFF"/>
          </w:tcPr>
          <w:p>
            <w:pPr>
              <w:ind w:left="40"/>
              <w:spacing w:after="0"/>
              <w:rPr>
                <w:sz w:val="20"/>
                <w:szCs w:val="20"/>
                <w:color w:val="auto"/>
              </w:rPr>
            </w:pPr>
            <w:r>
              <w:rPr>
                <w:rFonts w:ascii="Times New Roman" w:cs="Times New Roman" w:eastAsia="Times New Roman" w:hAnsi="Times New Roman"/>
                <w:sz w:val="13"/>
                <w:szCs w:val="13"/>
                <w:color w:val="auto"/>
              </w:rPr>
              <w:t>Director</w:t>
            </w:r>
          </w:p>
        </w:tc>
      </w:tr>
      <w:tr>
        <w:trPr>
          <w:trHeight w:val="179"/>
        </w:trPr>
        <w:tc>
          <w:tcPr>
            <w:tcW w:w="140" w:type="dxa"/>
            <w:vAlign w:val="bottom"/>
          </w:tcPr>
          <w:p>
            <w:pPr>
              <w:spacing w:after="0"/>
              <w:rPr>
                <w:sz w:val="15"/>
                <w:szCs w:val="15"/>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Robert A. Semke</w:t>
            </w:r>
          </w:p>
        </w:tc>
        <w:tc>
          <w:tcPr>
            <w:tcW w:w="116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2960" w:type="dxa"/>
            <w:vAlign w:val="bottom"/>
            <w:shd w:val="clear" w:color="auto" w:fill="F0FFFF"/>
          </w:tcPr>
          <w:p>
            <w:pPr>
              <w:spacing w:after="0"/>
              <w:rPr>
                <w:sz w:val="15"/>
                <w:szCs w:val="15"/>
                <w:color w:val="auto"/>
              </w:rPr>
            </w:pPr>
          </w:p>
        </w:tc>
      </w:tr>
      <w:tr>
        <w:trPr>
          <w:trHeight w:val="39"/>
        </w:trPr>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160" w:type="dxa"/>
            <w:vAlign w:val="bottom"/>
            <w:shd w:val="clear" w:color="auto" w:fill="F0FFFF"/>
          </w:tcPr>
          <w:p>
            <w:pPr>
              <w:spacing w:after="0"/>
              <w:rPr>
                <w:sz w:val="3"/>
                <w:szCs w:val="3"/>
                <w:color w:val="auto"/>
              </w:rPr>
            </w:pPr>
          </w:p>
        </w:tc>
        <w:tc>
          <w:tcPr>
            <w:tcW w:w="80" w:type="dxa"/>
            <w:vAlign w:val="bottom"/>
            <w:shd w:val="clear" w:color="auto" w:fill="F0FFFF"/>
          </w:tcPr>
          <w:p>
            <w:pPr>
              <w:spacing w:after="0"/>
              <w:rPr>
                <w:sz w:val="3"/>
                <w:szCs w:val="3"/>
                <w:color w:val="auto"/>
              </w:rPr>
            </w:pPr>
          </w:p>
        </w:tc>
        <w:tc>
          <w:tcPr>
            <w:tcW w:w="2960" w:type="dxa"/>
            <w:vAlign w:val="bottom"/>
            <w:shd w:val="clear" w:color="auto" w:fill="F0FFFF"/>
          </w:tcPr>
          <w:p>
            <w:pPr>
              <w:spacing w:after="0"/>
              <w:rPr>
                <w:sz w:val="3"/>
                <w:szCs w:val="3"/>
                <w:color w:val="auto"/>
              </w:rPr>
            </w:pPr>
          </w:p>
        </w:tc>
      </w:tr>
      <w:tr>
        <w:trPr>
          <w:trHeight w:val="169"/>
        </w:trPr>
        <w:tc>
          <w:tcPr>
            <w:tcW w:w="140" w:type="dxa"/>
            <w:vAlign w:val="bottom"/>
          </w:tcPr>
          <w:p>
            <w:pPr>
              <w:spacing w:after="0"/>
              <w:rPr>
                <w:sz w:val="14"/>
                <w:szCs w:val="14"/>
                <w:color w:val="auto"/>
              </w:rPr>
            </w:pPr>
          </w:p>
        </w:tc>
        <w:tc>
          <w:tcPr>
            <w:tcW w:w="380" w:type="dxa"/>
            <w:vAlign w:val="bottom"/>
            <w:shd w:val="clear" w:color="auto" w:fill="F0FFFF"/>
          </w:tcPr>
          <w:p>
            <w:pPr>
              <w:spacing w:after="0"/>
              <w:rPr>
                <w:sz w:val="14"/>
                <w:szCs w:val="14"/>
                <w:color w:val="auto"/>
              </w:rPr>
            </w:pPr>
          </w:p>
        </w:tc>
        <w:tc>
          <w:tcPr>
            <w:tcW w:w="2400" w:type="dxa"/>
            <w:vAlign w:val="bottom"/>
            <w:tcBorders>
              <w:right w:val="single" w:sz="8" w:color="F0FFFF"/>
            </w:tcBorders>
            <w:shd w:val="clear" w:color="auto" w:fill="F0FFFF"/>
          </w:tcPr>
          <w:p>
            <w:pPr>
              <w:spacing w:after="0"/>
              <w:rPr>
                <w:sz w:val="14"/>
                <w:szCs w:val="14"/>
                <w:color w:val="auto"/>
              </w:rPr>
            </w:pPr>
          </w:p>
        </w:tc>
        <w:tc>
          <w:tcPr>
            <w:tcW w:w="116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2960" w:type="dxa"/>
            <w:vAlign w:val="bottom"/>
            <w:shd w:val="clear" w:color="auto" w:fill="F0FFFF"/>
          </w:tcPr>
          <w:p>
            <w:pPr>
              <w:spacing w:after="0"/>
              <w:rPr>
                <w:sz w:val="14"/>
                <w:szCs w:val="14"/>
                <w:color w:val="auto"/>
              </w:rPr>
            </w:pPr>
          </w:p>
        </w:tc>
      </w:tr>
      <w:tr>
        <w:trPr>
          <w:trHeight w:val="208"/>
        </w:trPr>
        <w:tc>
          <w:tcPr>
            <w:tcW w:w="140" w:type="dxa"/>
            <w:vAlign w:val="bottom"/>
          </w:tcPr>
          <w:p>
            <w:pPr>
              <w:spacing w:after="0"/>
              <w:rPr>
                <w:sz w:val="18"/>
                <w:szCs w:val="18"/>
                <w:color w:val="auto"/>
              </w:rPr>
            </w:pPr>
          </w:p>
        </w:tc>
        <w:tc>
          <w:tcPr>
            <w:tcW w:w="2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/s/ Kevin White*</w:t>
            </w:r>
          </w:p>
        </w:tc>
        <w:tc>
          <w:tcPr>
            <w:tcW w:w="42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Director</w:t>
            </w:r>
          </w:p>
        </w:tc>
      </w:tr>
      <w:tr>
        <w:trPr>
          <w:trHeight w:val="198"/>
        </w:trPr>
        <w:tc>
          <w:tcPr>
            <w:tcW w:w="140" w:type="dxa"/>
            <w:vAlign w:val="bottom"/>
          </w:tcPr>
          <w:p>
            <w:pPr>
              <w:spacing w:after="0"/>
              <w:rPr>
                <w:sz w:val="17"/>
                <w:szCs w:val="17"/>
                <w:color w:val="auto"/>
              </w:rPr>
            </w:pPr>
          </w:p>
        </w:tc>
        <w:tc>
          <w:tcPr>
            <w:tcW w:w="2780" w:type="dxa"/>
            <w:vAlign w:val="bottom"/>
            <w:tcBorders>
              <w:bottom w:val="single" w:sz="8" w:color="F0FFFF"/>
              <w:right w:val="single" w:sz="8" w:color="F0FFFF"/>
            </w:tcBorders>
            <w:gridSpan w:val="2"/>
            <w:shd w:val="clear" w:color="auto" w:fill="F0FFFF"/>
          </w:tcPr>
          <w:p>
            <w:pPr>
              <w:spacing w:after="0"/>
              <w:rPr>
                <w:sz w:val="20"/>
                <w:szCs w:val="20"/>
                <w:color w:val="auto"/>
              </w:rPr>
            </w:pPr>
            <w:r>
              <w:rPr>
                <w:rFonts w:ascii="Times New Roman" w:cs="Times New Roman" w:eastAsia="Times New Roman" w:hAnsi="Times New Roman"/>
                <w:sz w:val="13"/>
                <w:szCs w:val="13"/>
                <w:color w:val="auto"/>
              </w:rPr>
              <w:t>Kevin White</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169"/>
        </w:trPr>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208"/>
        </w:trPr>
        <w:tc>
          <w:tcPr>
            <w:tcW w:w="140" w:type="dxa"/>
            <w:vAlign w:val="bottom"/>
          </w:tcPr>
          <w:p>
            <w:pPr>
              <w:spacing w:after="0"/>
              <w:rPr>
                <w:sz w:val="18"/>
                <w:szCs w:val="18"/>
                <w:color w:val="auto"/>
              </w:rPr>
            </w:pPr>
          </w:p>
        </w:tc>
        <w:tc>
          <w:tcPr>
            <w:tcW w:w="2780" w:type="dxa"/>
            <w:vAlign w:val="bottom"/>
            <w:tcBorders>
              <w:bottom w:val="single" w:sz="8" w:color="auto"/>
              <w:right w:val="single" w:sz="8" w:color="F0FFFF"/>
            </w:tcBorders>
            <w:gridSpan w:val="2"/>
            <w:shd w:val="clear" w:color="auto" w:fill="F0FFFF"/>
          </w:tcPr>
          <w:p>
            <w:pPr>
              <w:spacing w:after="0"/>
              <w:rPr>
                <w:sz w:val="20"/>
                <w:szCs w:val="20"/>
                <w:color w:val="auto"/>
              </w:rPr>
            </w:pPr>
            <w:r>
              <w:rPr>
                <w:rFonts w:ascii="Times New Roman" w:cs="Times New Roman" w:eastAsia="Times New Roman" w:hAnsi="Times New Roman"/>
                <w:sz w:val="13"/>
                <w:szCs w:val="13"/>
                <w:color w:val="auto"/>
              </w:rPr>
              <w:t>/s/ Richard A. Cook*</w:t>
            </w:r>
          </w:p>
        </w:tc>
        <w:tc>
          <w:tcPr>
            <w:tcW w:w="4200" w:type="dxa"/>
            <w:vAlign w:val="bottom"/>
            <w:tcBorders>
              <w:bottom w:val="single" w:sz="8" w:color="F0FFFF"/>
            </w:tcBorders>
            <w:gridSpan w:val="3"/>
            <w:shd w:val="clear" w:color="auto" w:fill="F0FFFF"/>
          </w:tcPr>
          <w:p>
            <w:pPr>
              <w:ind w:left="40"/>
              <w:spacing w:after="0"/>
              <w:rPr>
                <w:sz w:val="20"/>
                <w:szCs w:val="20"/>
                <w:color w:val="auto"/>
              </w:rPr>
            </w:pPr>
            <w:r>
              <w:rPr>
                <w:rFonts w:ascii="Times New Roman" w:cs="Times New Roman" w:eastAsia="Times New Roman" w:hAnsi="Times New Roman"/>
                <w:sz w:val="13"/>
                <w:szCs w:val="13"/>
                <w:color w:val="auto"/>
              </w:rPr>
              <w:t>Vice President and Chief Financial Officer</w:t>
            </w:r>
          </w:p>
        </w:tc>
      </w:tr>
      <w:tr>
        <w:trPr>
          <w:trHeight w:val="179"/>
        </w:trPr>
        <w:tc>
          <w:tcPr>
            <w:tcW w:w="140" w:type="dxa"/>
            <w:vAlign w:val="bottom"/>
          </w:tcPr>
          <w:p>
            <w:pPr>
              <w:spacing w:after="0"/>
              <w:rPr>
                <w:sz w:val="15"/>
                <w:szCs w:val="15"/>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Richard A. Cook</w:t>
            </w:r>
          </w:p>
        </w:tc>
        <w:tc>
          <w:tcPr>
            <w:tcW w:w="116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2960" w:type="dxa"/>
            <w:vAlign w:val="bottom"/>
            <w:shd w:val="clear" w:color="auto" w:fill="F0FFFF"/>
          </w:tcPr>
          <w:p>
            <w:pPr>
              <w:spacing w:after="0"/>
              <w:rPr>
                <w:sz w:val="15"/>
                <w:szCs w:val="15"/>
                <w:color w:val="auto"/>
              </w:rPr>
            </w:pPr>
          </w:p>
        </w:tc>
      </w:tr>
      <w:tr>
        <w:trPr>
          <w:trHeight w:val="39"/>
        </w:trPr>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160" w:type="dxa"/>
            <w:vAlign w:val="bottom"/>
            <w:shd w:val="clear" w:color="auto" w:fill="F0FFFF"/>
          </w:tcPr>
          <w:p>
            <w:pPr>
              <w:spacing w:after="0"/>
              <w:rPr>
                <w:sz w:val="3"/>
                <w:szCs w:val="3"/>
                <w:color w:val="auto"/>
              </w:rPr>
            </w:pPr>
          </w:p>
        </w:tc>
        <w:tc>
          <w:tcPr>
            <w:tcW w:w="80" w:type="dxa"/>
            <w:vAlign w:val="bottom"/>
            <w:shd w:val="clear" w:color="auto" w:fill="F0FFFF"/>
          </w:tcPr>
          <w:p>
            <w:pPr>
              <w:spacing w:after="0"/>
              <w:rPr>
                <w:sz w:val="3"/>
                <w:szCs w:val="3"/>
                <w:color w:val="auto"/>
              </w:rPr>
            </w:pPr>
          </w:p>
        </w:tc>
        <w:tc>
          <w:tcPr>
            <w:tcW w:w="2960" w:type="dxa"/>
            <w:vAlign w:val="bottom"/>
            <w:shd w:val="clear" w:color="auto" w:fill="F0FFFF"/>
          </w:tcPr>
          <w:p>
            <w:pPr>
              <w:spacing w:after="0"/>
              <w:rPr>
                <w:sz w:val="3"/>
                <w:szCs w:val="3"/>
                <w:color w:val="auto"/>
              </w:rPr>
            </w:pPr>
          </w:p>
        </w:tc>
      </w:tr>
      <w:tr>
        <w:trPr>
          <w:trHeight w:val="169"/>
        </w:trPr>
        <w:tc>
          <w:tcPr>
            <w:tcW w:w="140" w:type="dxa"/>
            <w:vAlign w:val="bottom"/>
          </w:tcPr>
          <w:p>
            <w:pPr>
              <w:spacing w:after="0"/>
              <w:rPr>
                <w:sz w:val="14"/>
                <w:szCs w:val="14"/>
                <w:color w:val="auto"/>
              </w:rPr>
            </w:pPr>
          </w:p>
        </w:tc>
        <w:tc>
          <w:tcPr>
            <w:tcW w:w="380" w:type="dxa"/>
            <w:vAlign w:val="bottom"/>
            <w:shd w:val="clear" w:color="auto" w:fill="F0FFFF"/>
          </w:tcPr>
          <w:p>
            <w:pPr>
              <w:spacing w:after="0"/>
              <w:rPr>
                <w:sz w:val="14"/>
                <w:szCs w:val="14"/>
                <w:color w:val="auto"/>
              </w:rPr>
            </w:pPr>
          </w:p>
        </w:tc>
        <w:tc>
          <w:tcPr>
            <w:tcW w:w="2400" w:type="dxa"/>
            <w:vAlign w:val="bottom"/>
            <w:tcBorders>
              <w:right w:val="single" w:sz="8" w:color="F0FFFF"/>
            </w:tcBorders>
            <w:shd w:val="clear" w:color="auto" w:fill="F0FFFF"/>
          </w:tcPr>
          <w:p>
            <w:pPr>
              <w:spacing w:after="0"/>
              <w:rPr>
                <w:sz w:val="14"/>
                <w:szCs w:val="14"/>
                <w:color w:val="auto"/>
              </w:rPr>
            </w:pPr>
          </w:p>
        </w:tc>
        <w:tc>
          <w:tcPr>
            <w:tcW w:w="116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2960" w:type="dxa"/>
            <w:vAlign w:val="bottom"/>
            <w:shd w:val="clear" w:color="auto" w:fill="F0FFFF"/>
          </w:tcPr>
          <w:p>
            <w:pPr>
              <w:spacing w:after="0"/>
              <w:rPr>
                <w:sz w:val="14"/>
                <w:szCs w:val="14"/>
                <w:color w:val="auto"/>
              </w:rPr>
            </w:pPr>
          </w:p>
        </w:tc>
      </w:tr>
      <w:tr>
        <w:trPr>
          <w:trHeight w:val="208"/>
        </w:trPr>
        <w:tc>
          <w:tcPr>
            <w:tcW w:w="140" w:type="dxa"/>
            <w:vAlign w:val="bottom"/>
          </w:tcPr>
          <w:p>
            <w:pPr>
              <w:spacing w:after="0"/>
              <w:rPr>
                <w:sz w:val="18"/>
                <w:szCs w:val="18"/>
                <w:color w:val="auto"/>
              </w:rPr>
            </w:pPr>
          </w:p>
        </w:tc>
        <w:tc>
          <w:tcPr>
            <w:tcW w:w="2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/s/ Gianna H. Figaro-Sterling*</w:t>
            </w:r>
          </w:p>
        </w:tc>
        <w:tc>
          <w:tcPr>
            <w:tcW w:w="42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Vice President and Controller</w:t>
            </w:r>
          </w:p>
        </w:tc>
      </w:tr>
      <w:tr>
        <w:trPr>
          <w:trHeight w:val="208"/>
        </w:trPr>
        <w:tc>
          <w:tcPr>
            <w:tcW w:w="140" w:type="dxa"/>
            <w:vAlign w:val="bottom"/>
          </w:tcPr>
          <w:p>
            <w:pPr>
              <w:spacing w:after="0"/>
              <w:rPr>
                <w:sz w:val="18"/>
                <w:szCs w:val="18"/>
                <w:color w:val="auto"/>
              </w:rPr>
            </w:pPr>
          </w:p>
        </w:tc>
        <w:tc>
          <w:tcPr>
            <w:tcW w:w="2780" w:type="dxa"/>
            <w:vAlign w:val="bottom"/>
            <w:tcBorders>
              <w:bottom w:val="single" w:sz="8" w:color="F0FFFF"/>
              <w:right w:val="single" w:sz="8" w:color="F0FFFF"/>
            </w:tcBorders>
            <w:gridSpan w:val="2"/>
            <w:shd w:val="clear" w:color="auto" w:fill="F0FFFF"/>
          </w:tcPr>
          <w:p>
            <w:pPr>
              <w:spacing w:after="0"/>
              <w:rPr>
                <w:sz w:val="20"/>
                <w:szCs w:val="20"/>
                <w:color w:val="auto"/>
              </w:rPr>
            </w:pPr>
            <w:r>
              <w:rPr>
                <w:rFonts w:ascii="Times New Roman" w:cs="Times New Roman" w:eastAsia="Times New Roman" w:hAnsi="Times New Roman"/>
                <w:sz w:val="13"/>
                <w:szCs w:val="13"/>
                <w:color w:val="auto"/>
              </w:rPr>
              <w:t>Gianna H. Figaro-Sterling</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367"/>
        </w:trPr>
        <w:tc>
          <w:tcPr>
            <w:tcW w:w="2920" w:type="dxa"/>
            <w:vAlign w:val="bottom"/>
            <w:gridSpan w:val="3"/>
          </w:tcPr>
          <w:p>
            <w:pPr>
              <w:spacing w:after="0"/>
              <w:rPr>
                <w:sz w:val="20"/>
                <w:szCs w:val="20"/>
                <w:color w:val="auto"/>
              </w:rPr>
            </w:pPr>
            <w:r>
              <w:rPr>
                <w:rFonts w:ascii="Times New Roman" w:cs="Times New Roman" w:eastAsia="Times New Roman" w:hAnsi="Times New Roman"/>
                <w:sz w:val="26"/>
                <w:szCs w:val="26"/>
                <w:color w:val="auto"/>
                <w:vertAlign w:val="subscript"/>
              </w:rPr>
              <w:t xml:space="preserve">   *By:</w:t>
            </w:r>
            <w:r>
              <w:rPr>
                <w:rFonts w:ascii="Times New Roman" w:cs="Times New Roman" w:eastAsia="Times New Roman" w:hAnsi="Times New Roman"/>
                <w:sz w:val="13"/>
                <w:szCs w:val="13"/>
                <w:color w:val="auto"/>
              </w:rPr>
              <w:t xml:space="preserve"> /s/ Michele H. Abate</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139"/>
        </w:trPr>
        <w:tc>
          <w:tcPr>
            <w:tcW w:w="140" w:type="dxa"/>
            <w:vAlign w:val="bottom"/>
          </w:tcPr>
          <w:p>
            <w:pPr>
              <w:spacing w:after="0"/>
              <w:rPr>
                <w:sz w:val="12"/>
                <w:szCs w:val="12"/>
                <w:color w:val="auto"/>
              </w:rPr>
            </w:pPr>
          </w:p>
        </w:tc>
        <w:tc>
          <w:tcPr>
            <w:tcW w:w="380" w:type="dxa"/>
            <w:vAlign w:val="bottom"/>
            <w:shd w:val="clear" w:color="auto" w:fill="F0FFFF"/>
          </w:tcPr>
          <w:p>
            <w:pPr>
              <w:spacing w:after="0"/>
              <w:rPr>
                <w:sz w:val="12"/>
                <w:szCs w:val="12"/>
                <w:color w:val="auto"/>
              </w:rPr>
            </w:pPr>
          </w:p>
        </w:tc>
        <w:tc>
          <w:tcPr>
            <w:tcW w:w="2400" w:type="dxa"/>
            <w:vAlign w:val="bottom"/>
            <w:tcBorders>
              <w:top w:val="single" w:sz="8" w:color="auto"/>
              <w:right w:val="single" w:sz="8" w:color="F0FFFF"/>
            </w:tcBorders>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Michele H. Abate, Attorney-In-Fact</w:t>
            </w:r>
          </w:p>
        </w:tc>
        <w:tc>
          <w:tcPr>
            <w:tcW w:w="1160" w:type="dxa"/>
            <w:vAlign w:val="bottom"/>
            <w:tcBorders>
              <w:top w:val="single" w:sz="8" w:color="auto"/>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960" w:type="dxa"/>
            <w:vAlign w:val="bottom"/>
          </w:tcPr>
          <w:p>
            <w:pPr>
              <w:spacing w:after="0"/>
              <w:rPr>
                <w:sz w:val="12"/>
                <w:szCs w:val="12"/>
                <w:color w:val="auto"/>
              </w:rPr>
            </w:pPr>
          </w:p>
        </w:tc>
      </w:tr>
      <w:tr>
        <w:trPr>
          <w:trHeight w:val="169"/>
        </w:trPr>
        <w:tc>
          <w:tcPr>
            <w:tcW w:w="140" w:type="dxa"/>
            <w:vAlign w:val="bottom"/>
          </w:tcPr>
          <w:p>
            <w:pPr>
              <w:spacing w:after="0"/>
              <w:rPr>
                <w:sz w:val="14"/>
                <w:szCs w:val="14"/>
                <w:color w:val="auto"/>
              </w:rPr>
            </w:pPr>
          </w:p>
        </w:tc>
        <w:tc>
          <w:tcPr>
            <w:tcW w:w="380" w:type="dxa"/>
            <w:vAlign w:val="bottom"/>
            <w:shd w:val="clear" w:color="auto" w:fill="F0FFFF"/>
          </w:tcPr>
          <w:p>
            <w:pPr>
              <w:spacing w:after="0"/>
              <w:rPr>
                <w:sz w:val="14"/>
                <w:szCs w:val="14"/>
                <w:color w:val="auto"/>
              </w:rPr>
            </w:pPr>
          </w:p>
        </w:tc>
        <w:tc>
          <w:tcPr>
            <w:tcW w:w="2400" w:type="dxa"/>
            <w:vAlign w:val="bottom"/>
            <w:tcBorders>
              <w:right w:val="single" w:sz="8" w:color="F0FFFF"/>
            </w:tcBorders>
            <w:shd w:val="clear" w:color="auto" w:fill="F0FFFF"/>
          </w:tcPr>
          <w:p>
            <w:pPr>
              <w:spacing w:after="0"/>
              <w:rPr>
                <w:sz w:val="20"/>
                <w:szCs w:val="20"/>
                <w:color w:val="auto"/>
              </w:rPr>
            </w:pPr>
            <w:r>
              <w:rPr>
                <w:rFonts w:ascii="Times New Roman" w:cs="Times New Roman" w:eastAsia="Times New Roman" w:hAnsi="Times New Roman"/>
                <w:sz w:val="13"/>
                <w:szCs w:val="13"/>
                <w:color w:val="auto"/>
              </w:rPr>
              <w:t>April 4, 2025</w:t>
            </w:r>
          </w:p>
        </w:tc>
        <w:tc>
          <w:tcPr>
            <w:tcW w:w="116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2960" w:type="dxa"/>
            <w:vAlign w:val="bottom"/>
          </w:tcPr>
          <w:p>
            <w:pPr>
              <w:spacing w:after="0"/>
              <w:rPr>
                <w:sz w:val="14"/>
                <w:szCs w:val="14"/>
                <w:color w:val="auto"/>
              </w:rPr>
            </w:pPr>
          </w:p>
        </w:tc>
      </w:tr>
    </w:tbl>
    <w:p>
      <w:pPr>
        <w:spacing w:after="0" w:line="37" w:lineRule="exact"/>
        <w:rPr>
          <w:sz w:val="20"/>
          <w:szCs w:val="20"/>
          <w:color w:val="auto"/>
        </w:rPr>
      </w:pPr>
    </w:p>
    <w:p>
      <w:pPr>
        <w:ind w:left="140" w:right="3219"/>
        <w:spacing w:after="0" w:line="290" w:lineRule="auto"/>
        <w:rPr>
          <w:sz w:val="20"/>
          <w:szCs w:val="20"/>
          <w:color w:val="auto"/>
        </w:rPr>
      </w:pPr>
      <w:r>
        <w:rPr>
          <w:rFonts w:ascii="Times New Roman" w:cs="Times New Roman" w:eastAsia="Times New Roman" w:hAnsi="Times New Roman"/>
          <w:sz w:val="13"/>
          <w:szCs w:val="13"/>
          <w:color w:val="auto"/>
        </w:rPr>
        <w:t>*Brighthouse Life Insurance Company of NY. Executed by Michele H. Abate, Esquire on behalf of those indicated pursuant to powers of attorney filed herewith.</w:t>
      </w:r>
    </w:p>
    <w:p>
      <w:pPr>
        <w:sectPr>
          <w:pgSz w:w="11900" w:h="16838" w:orient="portrait"/>
          <w:cols w:equalWidth="0" w:num="1">
            <w:col w:w="10059"/>
          </w:cols>
          <w:pgMar w:left="400" w:top="642" w:right="1440" w:bottom="1440" w:gutter="0" w:footer="0" w:header="0"/>
        </w:sectPr>
      </w:pPr>
    </w:p>
    <w:bookmarkStart w:id="119" w:name="page120"/>
    <w:bookmarkEnd w:id="119"/>
    <w:p>
      <w:pPr>
        <w:spacing w:after="0" w:line="29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177165</wp:posOffset>
            </wp:positionH>
            <wp:positionV relativeFrom="page">
              <wp:posOffset>120015</wp:posOffset>
            </wp:positionV>
            <wp:extent cx="719391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5">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ind w:left="2822"/>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6">
                      <a:extLst>
                        <a:ext uri="{28A0092B-C50C-407E-A947-70E740481C1C}"/>
                      </a:extLst>
                    </a:blip>
                    <a:srcRect/>
                    <a:stretch>
                      <a:fillRect/>
                    </a:stretch>
                  </pic:blipFill>
                  <pic:spPr bwMode="auto">
                    <a:xfrm>
                      <a:off x="0" y="0"/>
                      <a:ext cx="7206615" cy="31750"/>
                    </a:xfrm>
                    <a:prstGeom prst="rect">
                      <a:avLst/>
                    </a:prstGeom>
                    <a:noFill/>
                  </pic:spPr>
                </pic:pic>
              </a:graphicData>
            </a:graphic>
          </wp:anchor>
        </w:drawing>
        <w:t>INDEX TO EXHIBITS</w:t>
      </w:r>
    </w:p>
    <w:p>
      <w:pPr>
        <w:spacing w:after="0" w:line="59" w:lineRule="exact"/>
        <w:rPr>
          <w:sz w:val="20"/>
          <w:szCs w:val="20"/>
          <w:color w:val="auto"/>
        </w:rPr>
      </w:pPr>
    </w:p>
    <w:p>
      <w:pPr>
        <w:ind w:left="962" w:hanging="962"/>
        <w:spacing w:after="0"/>
        <w:tabs>
          <w:tab w:leader="none" w:pos="962"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Form of Brighthouse Shield</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Level II 6-Year Annuity Application</w:t>
      </w:r>
    </w:p>
    <w:p>
      <w:pPr>
        <w:spacing w:after="0" w:line="35" w:lineRule="exact"/>
        <w:rPr>
          <w:sz w:val="20"/>
          <w:szCs w:val="20"/>
          <w:color w:val="auto"/>
        </w:rPr>
      </w:pPr>
    </w:p>
    <w:p>
      <w:pPr>
        <w:ind w:left="962" w:hanging="962"/>
        <w:spacing w:after="0"/>
        <w:tabs>
          <w:tab w:leader="none" w:pos="962"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Opinion and Consent of Counsel</w:t>
      </w:r>
    </w:p>
    <w:p>
      <w:pPr>
        <w:spacing w:after="0" w:line="58" w:lineRule="exact"/>
        <w:rPr>
          <w:rFonts w:ascii="Times New Roman" w:cs="Times New Roman" w:eastAsia="Times New Roman" w:hAnsi="Times New Roman"/>
          <w:sz w:val="13"/>
          <w:szCs w:val="13"/>
          <w:color w:val="auto"/>
        </w:rPr>
      </w:pPr>
    </w:p>
    <w:p>
      <w:pPr>
        <w:ind w:left="962" w:hanging="962"/>
        <w:spacing w:after="0"/>
        <w:tabs>
          <w:tab w:leader="none" w:pos="962"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Consent of Independent Registered Public Accounting Firm</w:t>
      </w:r>
    </w:p>
    <w:p>
      <w:pPr>
        <w:spacing w:after="0" w:line="69" w:lineRule="exact"/>
        <w:rPr>
          <w:sz w:val="20"/>
          <w:szCs w:val="20"/>
          <w:color w:val="auto"/>
        </w:rPr>
      </w:pPr>
    </w:p>
    <w:p>
      <w:pPr>
        <w:ind w:left="962" w:hanging="962"/>
        <w:spacing w:after="0"/>
        <w:tabs>
          <w:tab w:leader="none" w:pos="962"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Form of Initial Summary Prospectus</w:t>
      </w:r>
    </w:p>
    <w:p>
      <w:pPr>
        <w:spacing w:after="0" w:line="58" w:lineRule="exact"/>
        <w:rPr>
          <w:rFonts w:ascii="Times New Roman" w:cs="Times New Roman" w:eastAsia="Times New Roman" w:hAnsi="Times New Roman"/>
          <w:sz w:val="13"/>
          <w:szCs w:val="13"/>
          <w:color w:val="auto"/>
        </w:rPr>
      </w:pPr>
    </w:p>
    <w:p>
      <w:pPr>
        <w:ind w:left="962" w:hanging="962"/>
        <w:spacing w:after="0"/>
        <w:tabs>
          <w:tab w:leader="none" w:pos="962"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Powers of Attorney</w:t>
      </w:r>
    </w:p>
    <w:p>
      <w:pPr>
        <w:spacing w:after="0" w:line="59" w:lineRule="exact"/>
        <w:rPr>
          <w:sz w:val="20"/>
          <w:szCs w:val="20"/>
          <w:color w:val="auto"/>
        </w:rPr>
      </w:pPr>
    </w:p>
    <w:p>
      <w:pPr>
        <w:ind w:left="962" w:hanging="962"/>
        <w:spacing w:after="0"/>
        <w:tabs>
          <w:tab w:leader="none" w:pos="962"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Historical Current Limits on Index Gains</w:t>
      </w:r>
    </w:p>
    <w:p>
      <w:pPr>
        <w:sectPr>
          <w:pgSz w:w="11900" w:h="16838" w:orient="portrait"/>
          <w:cols w:equalWidth="0" w:num="1">
            <w:col w:w="9921"/>
          </w:cols>
          <w:pgMar w:left="538" w:top="660" w:right="1440" w:bottom="1440" w:gutter="0" w:footer="0" w:header="0"/>
        </w:sectPr>
      </w:pPr>
    </w:p>
    <w:bookmarkStart w:id="121" w:name="page122"/>
    <w:bookmarkEnd w:id="121"/>
    <w:p>
      <w:pPr>
        <w:spacing w:after="0"/>
        <w:tabs>
          <w:tab w:leader="none" w:pos="9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177165</wp:posOffset>
            </wp:positionH>
            <wp:positionV relativeFrom="page">
              <wp:posOffset>120015</wp:posOffset>
            </wp:positionV>
            <wp:extent cx="719391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7">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tabs>
          <w:tab w:leader="none" w:pos="9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177165</wp:posOffset>
            </wp:positionH>
            <wp:positionV relativeFrom="page">
              <wp:posOffset>120015</wp:posOffset>
            </wp:positionV>
            <wp:extent cx="719391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8">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line="10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Brighthouse Life Insurance Company of NY</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(“Brighthouse Financial”)</w:t>
      </w:r>
    </w:p>
    <w:p>
      <w:pPr>
        <w:spacing w:after="0"/>
        <w:rPr>
          <w:sz w:val="20"/>
          <w:szCs w:val="20"/>
          <w:color w:val="auto"/>
        </w:rPr>
      </w:pPr>
      <w:r>
        <w:rPr>
          <w:rFonts w:ascii="Arial" w:cs="Arial" w:eastAsia="Arial" w:hAnsi="Arial"/>
          <w:sz w:val="13"/>
          <w:szCs w:val="13"/>
          <w:color w:val="auto"/>
        </w:rPr>
        <w:t>Home Office Address (no correspondence):</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285 Madison Avenue, New York, NY 10017</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Brighthouse Shield</w:t>
      </w:r>
      <w:r>
        <w:rPr>
          <w:rFonts w:ascii="Arial" w:cs="Arial" w:eastAsia="Arial" w:hAnsi="Arial"/>
          <w:sz w:val="11"/>
          <w:szCs w:val="11"/>
          <w:b w:val="1"/>
          <w:bCs w:val="1"/>
          <w:color w:val="auto"/>
        </w:rPr>
        <w:t>®</w:t>
      </w:r>
      <w:r>
        <w:rPr>
          <w:rFonts w:ascii="Arial" w:cs="Arial" w:eastAsia="Arial" w:hAnsi="Arial"/>
          <w:sz w:val="16"/>
          <w:szCs w:val="16"/>
          <w:b w:val="1"/>
          <w:bCs w:val="1"/>
          <w:color w:val="auto"/>
        </w:rPr>
        <w:t xml:space="preserve"> Level II 6-Year Annuity</w:t>
      </w:r>
    </w:p>
    <w:p>
      <w:pPr>
        <w:spacing w:after="0" w:line="13" w:lineRule="exact"/>
        <w:rPr>
          <w:sz w:val="20"/>
          <w:szCs w:val="20"/>
          <w:color w:val="auto"/>
        </w:rPr>
      </w:pPr>
    </w:p>
    <w:p>
      <w:pPr>
        <w:ind w:right="760"/>
        <w:spacing w:after="0" w:line="233" w:lineRule="auto"/>
        <w:rPr>
          <w:sz w:val="20"/>
          <w:szCs w:val="20"/>
          <w:color w:val="auto"/>
        </w:rPr>
      </w:pPr>
      <w:r>
        <w:rPr>
          <w:rFonts w:ascii="Arial" w:cs="Arial" w:eastAsia="Arial" w:hAnsi="Arial"/>
          <w:sz w:val="15"/>
          <w:szCs w:val="15"/>
          <w:color w:val="auto"/>
        </w:rPr>
        <w:t>Application for Individual Single Premium Deferred Index-Linked Separate Account Annuity</w:t>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auto"/>
        </w:rPr>
        <w:t>All sections are required unless otherwise indicated.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 xml:space="preserv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    </w:t>
      </w:r>
      <w:r>
        <w:rPr>
          <w:sz w:val="1"/>
          <w:szCs w:val="1"/>
          <w:color w:val="auto"/>
        </w:rPr>
        <w:drawing>
          <wp:inline distT="0" distB="0" distL="0" distR="0">
            <wp:extent cx="894715" cy="252095"/>
            <wp:effectExtent l="0" t="0" r="0" b="0"/>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9">
                      <a:extLst>
                        <a:ext uri="{28A0092B-C50C-407E-A947-70E740481C1C}"/>
                      </a:extLst>
                    </a:blip>
                    <a:srcRect/>
                    <a:stretch>
                      <a:fillRect/>
                    </a:stretch>
                  </pic:blipFill>
                  <pic:spPr bwMode="auto">
                    <a:xfrm>
                      <a:off x="0" y="0"/>
                      <a:ext cx="894715" cy="252095"/>
                    </a:xfrm>
                    <a:prstGeom prst="rect">
                      <a:avLst/>
                    </a:prstGeom>
                    <a:noFill/>
                    <a:ln>
                      <a:noFill/>
                    </a:ln>
                  </pic:spPr>
                </pic:pic>
              </a:graphicData>
            </a:graphic>
          </wp:inline>
        </w:drawing>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Regular mail:</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Brighthouse Financial</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P.O. Box 4365</w:t>
      </w:r>
    </w:p>
    <w:p>
      <w:pPr>
        <w:spacing w:after="0"/>
        <w:rPr>
          <w:sz w:val="20"/>
          <w:szCs w:val="20"/>
          <w:color w:val="auto"/>
        </w:rPr>
      </w:pPr>
      <w:r>
        <w:rPr>
          <w:rFonts w:ascii="Arial" w:cs="Arial" w:eastAsia="Arial" w:hAnsi="Arial"/>
          <w:sz w:val="13"/>
          <w:szCs w:val="13"/>
          <w:color w:val="auto"/>
        </w:rPr>
        <w:t>Clinton, IA 52733-4365</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Express mail only: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Brighthouse Financial</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ATTN: 4365 – Life &amp; Annuity MR-1</w:t>
      </w:r>
    </w:p>
    <w:p>
      <w:pPr>
        <w:spacing w:after="0" w:line="182" w:lineRule="auto"/>
        <w:rPr>
          <w:sz w:val="20"/>
          <w:szCs w:val="20"/>
          <w:color w:val="auto"/>
        </w:rPr>
      </w:pPr>
      <w:r>
        <w:rPr>
          <w:rFonts w:ascii="Arial" w:cs="Arial" w:eastAsia="Arial" w:hAnsi="Arial"/>
          <w:sz w:val="12"/>
          <w:szCs w:val="12"/>
          <w:color w:val="auto"/>
        </w:rPr>
        <w:t>1315 19</w:t>
      </w:r>
      <w:r>
        <w:rPr>
          <w:rFonts w:ascii="Arial" w:cs="Arial" w:eastAsia="Arial" w:hAnsi="Arial"/>
          <w:sz w:val="17"/>
          <w:szCs w:val="17"/>
          <w:color w:val="auto"/>
          <w:vertAlign w:val="superscript"/>
        </w:rPr>
        <w:t>th</w:t>
      </w:r>
      <w:r>
        <w:rPr>
          <w:rFonts w:ascii="Arial" w:cs="Arial" w:eastAsia="Arial" w:hAnsi="Arial"/>
          <w:sz w:val="12"/>
          <w:szCs w:val="12"/>
          <w:color w:val="auto"/>
        </w:rPr>
        <w:t xml:space="preserve"> Ave NW</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Clinton, IA 52732-2757</w:t>
      </w:r>
    </w:p>
    <w:p>
      <w:pPr>
        <w:spacing w:after="0" w:line="236" w:lineRule="exact"/>
        <w:rPr>
          <w:sz w:val="20"/>
          <w:szCs w:val="20"/>
          <w:color w:val="auto"/>
        </w:rPr>
      </w:pPr>
    </w:p>
    <w:p>
      <w:pPr>
        <w:sectPr>
          <w:pgSz w:w="11900" w:h="16838" w:orient="portrait"/>
          <w:cols w:equalWidth="0" w:num="3">
            <w:col w:w="4460" w:space="720"/>
            <w:col w:w="300" w:space="280"/>
            <w:col w:w="4399"/>
          </w:cols>
          <w:pgMar w:left="300" w:top="125" w:right="1440" w:bottom="1440" w:gutter="0" w:footer="0" w:header="0"/>
        </w:sectPr>
      </w:pPr>
    </w:p>
    <w:p>
      <w:pPr>
        <w:spacing w:after="0" w:line="143" w:lineRule="exact"/>
        <w:rPr>
          <w:sz w:val="20"/>
          <w:szCs w:val="20"/>
          <w:color w:val="auto"/>
        </w:rPr>
      </w:pPr>
    </w:p>
    <w:p>
      <w:pPr>
        <w:ind w:left="240" w:hanging="160"/>
        <w:spacing w:after="0"/>
        <w:tabs>
          <w:tab w:leader="none" w:pos="240" w:val="left"/>
        </w:tabs>
        <w:numPr>
          <w:ilvl w:val="0"/>
          <w:numId w:val="8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Annuitant Information </w:t>
      </w:r>
      <w:r>
        <w:rPr>
          <w:rFonts w:ascii="Arial" w:cs="Arial" w:eastAsia="Arial" w:hAnsi="Arial"/>
          <w:sz w:val="13"/>
          <w:szCs w:val="13"/>
          <w:color w:val="auto"/>
        </w:rPr>
        <w:t>Annuitant will be the Owner unless the Owner Information section is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140325" cy="127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0">
                      <a:extLst>
                        <a:ext uri="{28A0092B-C50C-407E-A947-70E740481C1C}"/>
                      </a:extLst>
                    </a:blip>
                    <a:srcRect/>
                    <a:stretch>
                      <a:fillRect/>
                    </a:stretch>
                  </pic:blipFill>
                  <pic:spPr bwMode="auto">
                    <a:xfrm>
                      <a:off x="0" y="0"/>
                      <a:ext cx="5140325" cy="12700"/>
                    </a:xfrm>
                    <a:prstGeom prst="rect">
                      <a:avLst/>
                    </a:prstGeom>
                    <a:noFill/>
                  </pic:spPr>
                </pic:pic>
              </a:graphicData>
            </a:graphic>
          </wp:anchor>
        </w:drawing>
      </w:r>
    </w:p>
    <w:p>
      <w:pPr>
        <w:spacing w:after="0" w:line="91"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1860" w:type="dxa"/>
            <w:vAlign w:val="bottom"/>
            <w:gridSpan w:val="15"/>
          </w:tcPr>
          <w:p>
            <w:pPr>
              <w:spacing w:after="0"/>
              <w:rPr>
                <w:sz w:val="20"/>
                <w:szCs w:val="20"/>
                <w:color w:val="auto"/>
              </w:rPr>
            </w:pPr>
            <w:r>
              <w:rPr>
                <w:rFonts w:ascii="Arial" w:cs="Arial" w:eastAsia="Arial" w:hAnsi="Arial"/>
                <w:sz w:val="13"/>
                <w:szCs w:val="13"/>
                <w:color w:val="auto"/>
              </w:rPr>
              <w:t xml:space="preserve">First Name: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20" w:type="dxa"/>
            <w:vAlign w:val="bottom"/>
          </w:tcPr>
          <w:p>
            <w:pPr>
              <w:jc w:val="center"/>
              <w:ind w:left="48"/>
              <w:spacing w:after="0"/>
              <w:rPr>
                <w:sz w:val="20"/>
                <w:szCs w:val="20"/>
                <w:color w:val="auto"/>
              </w:rPr>
            </w:pPr>
            <w:r>
              <w:rPr>
                <w:rFonts w:ascii="Arial" w:cs="Arial" w:eastAsia="Arial" w:hAnsi="Arial"/>
                <w:sz w:val="4"/>
                <w:szCs w:val="4"/>
                <w:color w:val="auto"/>
                <w:w w:val="98"/>
              </w:rPr>
              <w:t> </w:t>
            </w:r>
          </w:p>
        </w:tc>
        <w:tc>
          <w:tcPr>
            <w:tcW w:w="80" w:type="dxa"/>
            <w:vAlign w:val="bottom"/>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20" w:type="dxa"/>
            <w:vAlign w:val="bottom"/>
          </w:tcPr>
          <w:p>
            <w:pPr>
              <w:ind w:left="80"/>
              <w:spacing w:after="0"/>
              <w:rPr>
                <w:sz w:val="20"/>
                <w:szCs w:val="20"/>
                <w:color w:val="auto"/>
              </w:rPr>
            </w:pPr>
            <w:r>
              <w:rPr>
                <w:rFonts w:ascii="Arial" w:cs="Arial" w:eastAsia="Arial" w:hAnsi="Arial"/>
                <w:sz w:val="2"/>
                <w:szCs w:val="2"/>
                <w:color w:val="auto"/>
                <w:w w:val="97"/>
              </w:rPr>
              <w:t> </w:t>
            </w:r>
          </w:p>
        </w:tc>
        <w:tc>
          <w:tcPr>
            <w:tcW w:w="140" w:type="dxa"/>
            <w:vAlign w:val="bottom"/>
          </w:tcPr>
          <w:p>
            <w:pPr>
              <w:jc w:val="right"/>
              <w:spacing w:after="0"/>
              <w:rPr>
                <w:sz w:val="20"/>
                <w:szCs w:val="20"/>
                <w:color w:val="auto"/>
              </w:rPr>
            </w:pPr>
            <w:r>
              <w:rPr>
                <w:rFonts w:ascii="Arial" w:cs="Arial" w:eastAsia="Arial" w:hAnsi="Arial"/>
                <w:sz w:val="13"/>
                <w:szCs w:val="13"/>
                <w:color w:val="auto"/>
                <w:w w:val="76"/>
              </w:rPr>
              <w:t> </w:t>
            </w:r>
          </w:p>
        </w:tc>
        <w:tc>
          <w:tcPr>
            <w:tcW w:w="120" w:type="dxa"/>
            <w:vAlign w:val="bottom"/>
          </w:tcPr>
          <w:p>
            <w:pPr>
              <w:ind w:left="80"/>
              <w:spacing w:after="0"/>
              <w:rPr>
                <w:sz w:val="20"/>
                <w:szCs w:val="20"/>
                <w:color w:val="auto"/>
              </w:rPr>
            </w:pPr>
            <w:r>
              <w:rPr>
                <w:rFonts w:ascii="Arial" w:cs="Arial" w:eastAsia="Arial" w:hAnsi="Arial"/>
                <w:sz w:val="2"/>
                <w:szCs w:val="2"/>
                <w:color w:val="auto"/>
                <w:w w:val="97"/>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20" w:type="dxa"/>
            <w:vAlign w:val="bottom"/>
          </w:tcPr>
          <w:p>
            <w:pPr>
              <w:ind w:left="80"/>
              <w:spacing w:after="0"/>
              <w:rPr>
                <w:sz w:val="20"/>
                <w:szCs w:val="20"/>
                <w:color w:val="auto"/>
              </w:rPr>
            </w:pPr>
            <w:r>
              <w:rPr>
                <w:rFonts w:ascii="Arial" w:cs="Arial" w:eastAsia="Arial" w:hAnsi="Arial"/>
                <w:sz w:val="2"/>
                <w:szCs w:val="2"/>
                <w:color w:val="auto"/>
                <w:w w:val="97"/>
              </w:rPr>
              <w:t> </w:t>
            </w:r>
          </w:p>
        </w:tc>
        <w:tc>
          <w:tcPr>
            <w:tcW w:w="140" w:type="dxa"/>
            <w:vAlign w:val="bottom"/>
          </w:tcPr>
          <w:p>
            <w:pPr>
              <w:ind w:left="100"/>
              <w:spacing w:after="0"/>
              <w:rPr>
                <w:sz w:val="20"/>
                <w:szCs w:val="20"/>
                <w:color w:val="auto"/>
              </w:rPr>
            </w:pPr>
            <w:r>
              <w:rPr>
                <w:rFonts w:ascii="Arial" w:cs="Arial" w:eastAsia="Arial" w:hAnsi="Arial"/>
                <w:sz w:val="2"/>
                <w:szCs w:val="2"/>
                <w:color w:val="auto"/>
                <w:w w:val="97"/>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6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00" w:type="dxa"/>
            <w:vAlign w:val="bottom"/>
          </w:tcPr>
          <w:p>
            <w:pPr>
              <w:ind w:left="40"/>
              <w:spacing w:after="0"/>
              <w:rPr>
                <w:sz w:val="20"/>
                <w:szCs w:val="20"/>
                <w:color w:val="auto"/>
              </w:rPr>
            </w:pPr>
            <w:r>
              <w:rPr>
                <w:rFonts w:ascii="Arial" w:cs="Arial" w:eastAsia="Arial" w:hAnsi="Arial"/>
                <w:sz w:val="4"/>
                <w:szCs w:val="4"/>
                <w:color w:val="auto"/>
                <w:w w:val="98"/>
              </w:rPr>
              <w:t> </w:t>
            </w:r>
          </w:p>
        </w:tc>
        <w:tc>
          <w:tcPr>
            <w:tcW w:w="120" w:type="dxa"/>
            <w:vAlign w:val="bottom"/>
          </w:tcPr>
          <w:p>
            <w:pPr>
              <w:ind w:left="80"/>
              <w:spacing w:after="0"/>
              <w:rPr>
                <w:sz w:val="20"/>
                <w:szCs w:val="20"/>
                <w:color w:val="auto"/>
              </w:rPr>
            </w:pPr>
            <w:r>
              <w:rPr>
                <w:rFonts w:ascii="Arial" w:cs="Arial" w:eastAsia="Arial" w:hAnsi="Arial"/>
                <w:sz w:val="2"/>
                <w:szCs w:val="2"/>
                <w:color w:val="auto"/>
                <w:w w:val="97"/>
              </w:rPr>
              <w:t> </w:t>
            </w:r>
          </w:p>
        </w:tc>
        <w:tc>
          <w:tcPr>
            <w:tcW w:w="160" w:type="dxa"/>
            <w:vAlign w:val="bottom"/>
          </w:tcPr>
          <w:p>
            <w:pPr>
              <w:jc w:val="center"/>
              <w:ind w:left="2"/>
              <w:spacing w:after="0"/>
              <w:rPr>
                <w:sz w:val="20"/>
                <w:szCs w:val="20"/>
                <w:color w:val="auto"/>
              </w:rPr>
            </w:pPr>
            <w:r>
              <w:rPr>
                <w:rFonts w:ascii="Arial" w:cs="Arial" w:eastAsia="Arial" w:hAnsi="Arial"/>
                <w:sz w:val="4"/>
                <w:szCs w:val="4"/>
                <w:color w:val="auto"/>
                <w:w w:val="98"/>
              </w:rPr>
              <w:t> </w:t>
            </w:r>
          </w:p>
        </w:tc>
        <w:tc>
          <w:tcPr>
            <w:tcW w:w="1160" w:type="dxa"/>
            <w:vAlign w:val="bottom"/>
            <w:gridSpan w:val="3"/>
          </w:tcPr>
          <w:p>
            <w:pPr>
              <w:ind w:left="140"/>
              <w:spacing w:after="0"/>
              <w:rPr>
                <w:sz w:val="20"/>
                <w:szCs w:val="20"/>
                <w:color w:val="auto"/>
              </w:rPr>
            </w:pPr>
            <w:r>
              <w:rPr>
                <w:rFonts w:ascii="Arial" w:cs="Arial" w:eastAsia="Arial" w:hAnsi="Arial"/>
                <w:sz w:val="13"/>
                <w:szCs w:val="13"/>
                <w:color w:val="auto"/>
              </w:rPr>
              <w:t xml:space="preserve">Date of Birth: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gridSpan w:val="2"/>
          </w:tcPr>
          <w:p>
            <w:pPr>
              <w:ind w:left="40"/>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80" w:type="dxa"/>
            <w:vAlign w:val="bottom"/>
          </w:tcPr>
          <w:p>
            <w:pPr>
              <w:jc w:val="right"/>
              <w:ind w:right="23"/>
              <w:spacing w:after="0"/>
              <w:rPr>
                <w:sz w:val="20"/>
                <w:szCs w:val="20"/>
                <w:color w:val="auto"/>
              </w:rPr>
            </w:pPr>
            <w:r>
              <w:rPr>
                <w:rFonts w:ascii="Arial" w:cs="Arial" w:eastAsia="Arial" w:hAnsi="Arial"/>
                <w:sz w:val="11"/>
                <w:szCs w:val="11"/>
                <w:color w:val="auto"/>
                <w:w w:val="72"/>
              </w:rPr>
              <w:t> </w:t>
            </w: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160" w:type="dxa"/>
            <w:vAlign w:val="bottom"/>
          </w:tcPr>
          <w:p>
            <w:pPr>
              <w:jc w:val="center"/>
              <w:spacing w:after="0"/>
              <w:rPr>
                <w:sz w:val="20"/>
                <w:szCs w:val="20"/>
                <w:color w:val="auto"/>
              </w:rPr>
            </w:pPr>
            <w:r>
              <w:rPr>
                <w:rFonts w:ascii="Arial" w:cs="Arial" w:eastAsia="Arial" w:hAnsi="Arial"/>
                <w:sz w:val="13"/>
                <w:szCs w:val="13"/>
                <w:color w:val="auto"/>
              </w:rPr>
              <w:t xml:space="preserve">   </w:t>
            </w:r>
          </w:p>
        </w:tc>
        <w:tc>
          <w:tcPr>
            <w:tcW w:w="140" w:type="dxa"/>
            <w:vAlign w:val="bottom"/>
          </w:tcPr>
          <w:p>
            <w:pPr>
              <w:jc w:val="center"/>
              <w:spacing w:after="0"/>
              <w:rPr>
                <w:sz w:val="20"/>
                <w:szCs w:val="20"/>
                <w:color w:val="auto"/>
              </w:rPr>
            </w:pPr>
            <w:r>
              <w:rPr>
                <w:rFonts w:ascii="Arial" w:cs="Arial" w:eastAsia="Arial" w:hAnsi="Arial"/>
                <w:sz w:val="4"/>
                <w:szCs w:val="4"/>
                <w:color w:val="auto"/>
                <w:w w:val="98"/>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40"/>
              <w:spacing w:after="0"/>
              <w:rPr>
                <w:sz w:val="20"/>
                <w:szCs w:val="20"/>
                <w:color w:val="auto"/>
              </w:rPr>
            </w:pPr>
            <w:r>
              <w:rPr>
                <w:rFonts w:ascii="Arial" w:cs="Arial" w:eastAsia="Arial" w:hAnsi="Arial"/>
                <w:sz w:val="13"/>
                <w:szCs w:val="13"/>
                <w:color w:val="auto"/>
                <w:w w:val="91"/>
              </w:rPr>
              <w:t> </w:t>
            </w:r>
          </w:p>
        </w:tc>
        <w:tc>
          <w:tcPr>
            <w:tcW w:w="120" w:type="dxa"/>
            <w:vAlign w:val="bottom"/>
          </w:tcPr>
          <w:p>
            <w:pPr>
              <w:jc w:val="right"/>
              <w:ind w:right="65"/>
              <w:spacing w:after="0"/>
              <w:rPr>
                <w:sz w:val="20"/>
                <w:szCs w:val="20"/>
                <w:color w:val="auto"/>
              </w:rPr>
            </w:pPr>
            <w:r>
              <w:rPr>
                <w:rFonts w:ascii="Arial" w:cs="Arial" w:eastAsia="Arial" w:hAnsi="Arial"/>
                <w:sz w:val="1"/>
                <w:szCs w:val="1"/>
                <w:color w:val="auto"/>
                <w:w w:val="4294967291"/>
              </w:rPr>
              <w:t> </w:t>
            </w:r>
          </w:p>
        </w:tc>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120" w:type="dxa"/>
            <w:vAlign w:val="bottom"/>
          </w:tcPr>
          <w:p>
            <w:pPr>
              <w:jc w:val="right"/>
              <w:spacing w:after="0"/>
              <w:rPr>
                <w:sz w:val="20"/>
                <w:szCs w:val="20"/>
                <w:color w:val="auto"/>
              </w:rPr>
            </w:pPr>
            <w:r>
              <w:rPr>
                <w:rFonts w:ascii="Arial" w:cs="Arial" w:eastAsia="Arial" w:hAnsi="Arial"/>
                <w:sz w:val="9"/>
                <w:szCs w:val="9"/>
                <w:color w:val="auto"/>
                <w:w w:val="73"/>
              </w:rPr>
              <w:t>  </w:t>
            </w:r>
          </w:p>
        </w:tc>
        <w:tc>
          <w:tcPr>
            <w:tcW w:w="140" w:type="dxa"/>
            <w:vAlign w:val="bottom"/>
            <w:gridSpan w:val="2"/>
          </w:tcPr>
          <w:p>
            <w:pPr>
              <w:ind w:left="80"/>
              <w:spacing w:after="0"/>
              <w:rPr>
                <w:sz w:val="20"/>
                <w:szCs w:val="20"/>
                <w:color w:val="auto"/>
              </w:rPr>
            </w:pPr>
            <w:r>
              <w:rPr>
                <w:rFonts w:ascii="Arial" w:cs="Arial" w:eastAsia="Arial" w:hAnsi="Arial"/>
                <w:sz w:val="11"/>
                <w:szCs w:val="11"/>
                <w:color w:val="auto"/>
                <w:w w:val="71"/>
              </w:rPr>
              <w:t> </w:t>
            </w:r>
          </w:p>
        </w:tc>
        <w:tc>
          <w:tcPr>
            <w:tcW w:w="20" w:type="dxa"/>
            <w:vAlign w:val="bottom"/>
          </w:tcPr>
          <w:p>
            <w:pPr>
              <w:spacing w:after="0"/>
              <w:rPr>
                <w:sz w:val="13"/>
                <w:szCs w:val="13"/>
                <w:color w:val="auto"/>
              </w:rPr>
            </w:pPr>
          </w:p>
        </w:tc>
      </w:tr>
      <w:tr>
        <w:trPr>
          <w:trHeight w:val="20"/>
        </w:trPr>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gridSpan w:val="6"/>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tcBorders>
              <w:left w:val="single" w:sz="8" w:color="auto"/>
            </w:tcBorders>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1600" w:type="dxa"/>
            <w:vAlign w:val="bottom"/>
            <w:gridSpan w:val="13"/>
          </w:tcPr>
          <w:p>
            <w:pPr>
              <w:spacing w:after="0"/>
              <w:rPr>
                <w:sz w:val="20"/>
                <w:szCs w:val="20"/>
                <w:color w:val="auto"/>
              </w:rPr>
            </w:pPr>
            <w:r>
              <w:rPr>
                <w:rFonts w:ascii="Arial" w:cs="Arial" w:eastAsia="Arial" w:hAnsi="Arial"/>
                <w:sz w:val="13"/>
                <w:szCs w:val="13"/>
                <w:color w:val="auto"/>
              </w:rPr>
              <w:t xml:space="preserve">Middle Name:                 </w:t>
            </w:r>
          </w:p>
        </w:tc>
        <w:tc>
          <w:tcPr>
            <w:tcW w:w="120" w:type="dxa"/>
            <w:vAlign w:val="bottom"/>
          </w:tcPr>
          <w:p>
            <w:pPr>
              <w:ind w:left="80"/>
              <w:spacing w:after="0"/>
              <w:rPr>
                <w:sz w:val="20"/>
                <w:szCs w:val="20"/>
                <w:color w:val="auto"/>
              </w:rPr>
            </w:pPr>
            <w:r>
              <w:rPr>
                <w:rFonts w:ascii="Arial" w:cs="Arial" w:eastAsia="Arial" w:hAnsi="Arial"/>
                <w:sz w:val="2"/>
                <w:szCs w:val="2"/>
                <w:color w:val="auto"/>
                <w:w w:val="97"/>
              </w:rPr>
              <w:t> </w:t>
            </w:r>
          </w:p>
        </w:tc>
        <w:tc>
          <w:tcPr>
            <w:tcW w:w="140" w:type="dxa"/>
            <w:vAlign w:val="bottom"/>
          </w:tcPr>
          <w:p>
            <w:pPr>
              <w:ind w:left="80"/>
              <w:spacing w:after="0"/>
              <w:rPr>
                <w:sz w:val="20"/>
                <w:szCs w:val="20"/>
                <w:color w:val="auto"/>
              </w:rPr>
            </w:pPr>
            <w:r>
              <w:rPr>
                <w:rFonts w:ascii="Arial" w:cs="Arial" w:eastAsia="Arial" w:hAnsi="Arial"/>
                <w:sz w:val="2"/>
                <w:szCs w:val="2"/>
                <w:color w:val="auto"/>
                <w:w w:val="97"/>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20" w:type="dxa"/>
            <w:vAlign w:val="bottom"/>
          </w:tcPr>
          <w:p>
            <w:pPr>
              <w:jc w:val="center"/>
              <w:ind w:left="48"/>
              <w:spacing w:after="0"/>
              <w:rPr>
                <w:sz w:val="20"/>
                <w:szCs w:val="20"/>
                <w:color w:val="auto"/>
              </w:rPr>
            </w:pPr>
            <w:r>
              <w:rPr>
                <w:rFonts w:ascii="Arial" w:cs="Arial" w:eastAsia="Arial" w:hAnsi="Arial"/>
                <w:sz w:val="4"/>
                <w:szCs w:val="4"/>
                <w:color w:val="auto"/>
                <w:w w:val="98"/>
              </w:rPr>
              <w:t> </w:t>
            </w:r>
          </w:p>
        </w:tc>
        <w:tc>
          <w:tcPr>
            <w:tcW w:w="80" w:type="dxa"/>
            <w:vAlign w:val="bottom"/>
          </w:tcPr>
          <w:p>
            <w:pPr>
              <w:spacing w:after="0"/>
              <w:rPr>
                <w:sz w:val="18"/>
                <w:szCs w:val="18"/>
                <w:color w:val="auto"/>
              </w:rPr>
            </w:pPr>
          </w:p>
        </w:tc>
        <w:tc>
          <w:tcPr>
            <w:tcW w:w="60" w:type="dxa"/>
            <w:vAlign w:val="bottom"/>
          </w:tcPr>
          <w:p>
            <w:pPr>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20" w:type="dxa"/>
            <w:vAlign w:val="bottom"/>
          </w:tcPr>
          <w:p>
            <w:pPr>
              <w:ind w:left="80"/>
              <w:spacing w:after="0"/>
              <w:rPr>
                <w:sz w:val="20"/>
                <w:szCs w:val="20"/>
                <w:color w:val="auto"/>
              </w:rPr>
            </w:pPr>
            <w:r>
              <w:rPr>
                <w:rFonts w:ascii="Arial" w:cs="Arial" w:eastAsia="Arial" w:hAnsi="Arial"/>
                <w:sz w:val="2"/>
                <w:szCs w:val="2"/>
                <w:color w:val="auto"/>
                <w:w w:val="97"/>
              </w:rPr>
              <w:t> </w:t>
            </w:r>
          </w:p>
        </w:tc>
        <w:tc>
          <w:tcPr>
            <w:tcW w:w="140" w:type="dxa"/>
            <w:vAlign w:val="bottom"/>
          </w:tcPr>
          <w:p>
            <w:pPr>
              <w:jc w:val="right"/>
              <w:spacing w:after="0"/>
              <w:rPr>
                <w:sz w:val="20"/>
                <w:szCs w:val="20"/>
                <w:color w:val="auto"/>
              </w:rPr>
            </w:pPr>
            <w:r>
              <w:rPr>
                <w:rFonts w:ascii="Arial" w:cs="Arial" w:eastAsia="Arial" w:hAnsi="Arial"/>
                <w:sz w:val="13"/>
                <w:szCs w:val="13"/>
                <w:color w:val="auto"/>
                <w:w w:val="76"/>
              </w:rPr>
              <w:t> </w:t>
            </w:r>
          </w:p>
        </w:tc>
        <w:tc>
          <w:tcPr>
            <w:tcW w:w="120" w:type="dxa"/>
            <w:vAlign w:val="bottom"/>
          </w:tcPr>
          <w:p>
            <w:pPr>
              <w:ind w:left="80"/>
              <w:spacing w:after="0"/>
              <w:rPr>
                <w:sz w:val="20"/>
                <w:szCs w:val="20"/>
                <w:color w:val="auto"/>
              </w:rPr>
            </w:pPr>
            <w:r>
              <w:rPr>
                <w:rFonts w:ascii="Arial" w:cs="Arial" w:eastAsia="Arial" w:hAnsi="Arial"/>
                <w:sz w:val="2"/>
                <w:szCs w:val="2"/>
                <w:color w:val="auto"/>
                <w:w w:val="97"/>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20" w:type="dxa"/>
            <w:vAlign w:val="bottom"/>
          </w:tcPr>
          <w:p>
            <w:pPr>
              <w:ind w:left="80"/>
              <w:spacing w:after="0"/>
              <w:rPr>
                <w:sz w:val="20"/>
                <w:szCs w:val="20"/>
                <w:color w:val="auto"/>
              </w:rPr>
            </w:pPr>
            <w:r>
              <w:rPr>
                <w:rFonts w:ascii="Arial" w:cs="Arial" w:eastAsia="Arial" w:hAnsi="Arial"/>
                <w:sz w:val="2"/>
                <w:szCs w:val="2"/>
                <w:color w:val="auto"/>
                <w:w w:val="97"/>
              </w:rPr>
              <w:t> </w:t>
            </w:r>
          </w:p>
        </w:tc>
        <w:tc>
          <w:tcPr>
            <w:tcW w:w="140" w:type="dxa"/>
            <w:vAlign w:val="bottom"/>
          </w:tcPr>
          <w:p>
            <w:pPr>
              <w:ind w:left="100"/>
              <w:spacing w:after="0"/>
              <w:rPr>
                <w:sz w:val="20"/>
                <w:szCs w:val="20"/>
                <w:color w:val="auto"/>
              </w:rPr>
            </w:pPr>
            <w:r>
              <w:rPr>
                <w:rFonts w:ascii="Arial" w:cs="Arial" w:eastAsia="Arial" w:hAnsi="Arial"/>
                <w:sz w:val="2"/>
                <w:szCs w:val="2"/>
                <w:color w:val="auto"/>
                <w:w w:val="97"/>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6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00" w:type="dxa"/>
            <w:vAlign w:val="bottom"/>
          </w:tcPr>
          <w:p>
            <w:pPr>
              <w:ind w:left="40"/>
              <w:spacing w:after="0"/>
              <w:rPr>
                <w:sz w:val="20"/>
                <w:szCs w:val="20"/>
                <w:color w:val="auto"/>
              </w:rPr>
            </w:pPr>
            <w:r>
              <w:rPr>
                <w:rFonts w:ascii="Arial" w:cs="Arial" w:eastAsia="Arial" w:hAnsi="Arial"/>
                <w:sz w:val="4"/>
                <w:szCs w:val="4"/>
                <w:color w:val="auto"/>
                <w:w w:val="98"/>
              </w:rPr>
              <w:t> </w:t>
            </w:r>
          </w:p>
        </w:tc>
        <w:tc>
          <w:tcPr>
            <w:tcW w:w="120" w:type="dxa"/>
            <w:vAlign w:val="bottom"/>
          </w:tcPr>
          <w:p>
            <w:pPr>
              <w:ind w:left="80"/>
              <w:spacing w:after="0"/>
              <w:rPr>
                <w:sz w:val="20"/>
                <w:szCs w:val="20"/>
                <w:color w:val="auto"/>
              </w:rPr>
            </w:pPr>
            <w:r>
              <w:rPr>
                <w:rFonts w:ascii="Arial" w:cs="Arial" w:eastAsia="Arial" w:hAnsi="Arial"/>
                <w:sz w:val="2"/>
                <w:szCs w:val="2"/>
                <w:color w:val="auto"/>
                <w:w w:val="97"/>
              </w:rPr>
              <w:t> </w:t>
            </w:r>
          </w:p>
        </w:tc>
        <w:tc>
          <w:tcPr>
            <w:tcW w:w="160" w:type="dxa"/>
            <w:vAlign w:val="bottom"/>
          </w:tcPr>
          <w:p>
            <w:pPr>
              <w:jc w:val="center"/>
              <w:ind w:left="2"/>
              <w:spacing w:after="0"/>
              <w:rPr>
                <w:sz w:val="20"/>
                <w:szCs w:val="20"/>
                <w:color w:val="auto"/>
              </w:rPr>
            </w:pPr>
            <w:r>
              <w:rPr>
                <w:rFonts w:ascii="Arial" w:cs="Arial" w:eastAsia="Arial" w:hAnsi="Arial"/>
                <w:sz w:val="4"/>
                <w:szCs w:val="4"/>
                <w:color w:val="auto"/>
                <w:w w:val="98"/>
              </w:rPr>
              <w:t> </w:t>
            </w:r>
          </w:p>
        </w:tc>
        <w:tc>
          <w:tcPr>
            <w:tcW w:w="1560" w:type="dxa"/>
            <w:vAlign w:val="bottom"/>
            <w:gridSpan w:val="7"/>
          </w:tcPr>
          <w:p>
            <w:pPr>
              <w:ind w:left="140"/>
              <w:spacing w:after="0"/>
              <w:rPr>
                <w:sz w:val="20"/>
                <w:szCs w:val="20"/>
                <w:color w:val="auto"/>
              </w:rPr>
            </w:pPr>
            <w:r>
              <w:rPr>
                <w:rFonts w:ascii="Arial" w:cs="Arial" w:eastAsia="Arial" w:hAnsi="Arial"/>
                <w:sz w:val="13"/>
                <w:szCs w:val="13"/>
                <w:color w:val="auto"/>
                <w:w w:val="95"/>
              </w:rPr>
              <w:t>Country of Citizenship: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20" w:type="dxa"/>
            <w:vAlign w:val="bottom"/>
          </w:tcPr>
          <w:p>
            <w:pPr>
              <w:ind w:left="80"/>
              <w:spacing w:after="0"/>
              <w:rPr>
                <w:sz w:val="20"/>
                <w:szCs w:val="20"/>
                <w:color w:val="auto"/>
              </w:rPr>
            </w:pPr>
            <w:r>
              <w:rPr>
                <w:rFonts w:ascii="Arial" w:cs="Arial" w:eastAsia="Arial" w:hAnsi="Arial"/>
                <w:sz w:val="2"/>
                <w:szCs w:val="2"/>
                <w:color w:val="auto"/>
                <w:w w:val="97"/>
              </w:rPr>
              <w:t> </w:t>
            </w:r>
          </w:p>
        </w:tc>
        <w:tc>
          <w:tcPr>
            <w:tcW w:w="180" w:type="dxa"/>
            <w:vAlign w:val="bottom"/>
          </w:tcPr>
          <w:p>
            <w:pPr>
              <w:jc w:val="right"/>
              <w:ind w:right="3"/>
              <w:spacing w:after="0"/>
              <w:rPr>
                <w:sz w:val="20"/>
                <w:szCs w:val="20"/>
                <w:color w:val="auto"/>
              </w:rPr>
            </w:pPr>
            <w:r>
              <w:rPr>
                <w:rFonts w:ascii="Arial" w:cs="Arial" w:eastAsia="Arial" w:hAnsi="Arial"/>
                <w:sz w:val="13"/>
                <w:szCs w:val="13"/>
                <w:color w:val="auto"/>
                <w:w w:val="76"/>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60" w:type="dxa"/>
            <w:vAlign w:val="bottom"/>
          </w:tcPr>
          <w:p>
            <w:pPr>
              <w:jc w:val="center"/>
              <w:spacing w:after="0"/>
              <w:rPr>
                <w:sz w:val="20"/>
                <w:szCs w:val="20"/>
                <w:color w:val="auto"/>
              </w:rPr>
            </w:pPr>
            <w:r>
              <w:rPr>
                <w:rFonts w:ascii="Arial" w:cs="Arial" w:eastAsia="Arial" w:hAnsi="Arial"/>
                <w:sz w:val="2"/>
                <w:szCs w:val="2"/>
                <w:color w:val="auto"/>
                <w:w w:val="97"/>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20" w:type="dxa"/>
            <w:vAlign w:val="bottom"/>
          </w:tcPr>
          <w:p>
            <w:pPr>
              <w:spacing w:after="0"/>
              <w:rPr>
                <w:sz w:val="20"/>
                <w:szCs w:val="20"/>
                <w:color w:val="auto"/>
              </w:rPr>
            </w:pPr>
            <w:r>
              <w:rPr>
                <w:rFonts w:ascii="Arial" w:cs="Arial" w:eastAsia="Arial" w:hAnsi="Arial"/>
                <w:sz w:val="13"/>
                <w:szCs w:val="13"/>
                <w:color w:val="auto"/>
              </w:rPr>
              <w:t xml:space="preserve">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80" w:type="dxa"/>
            <w:vAlign w:val="bottom"/>
          </w:tcPr>
          <w:p>
            <w:pPr>
              <w:jc w:val="center"/>
              <w:spacing w:after="0"/>
              <w:rPr>
                <w:sz w:val="20"/>
                <w:szCs w:val="20"/>
                <w:color w:val="auto"/>
              </w:rPr>
            </w:pPr>
            <w:r>
              <w:rPr>
                <w:rFonts w:ascii="Arial" w:cs="Arial" w:eastAsia="Arial" w:hAnsi="Arial"/>
                <w:sz w:val="4"/>
                <w:szCs w:val="4"/>
                <w:color w:val="auto"/>
                <w:w w:val="98"/>
              </w:rPr>
              <w:t> </w:t>
            </w:r>
          </w:p>
        </w:tc>
        <w:tc>
          <w:tcPr>
            <w:tcW w:w="120" w:type="dxa"/>
            <w:vAlign w:val="bottom"/>
          </w:tcPr>
          <w:p>
            <w:pPr>
              <w:jc w:val="right"/>
              <w:ind w:right="25"/>
              <w:spacing w:after="0"/>
              <w:rPr>
                <w:sz w:val="20"/>
                <w:szCs w:val="20"/>
                <w:color w:val="auto"/>
              </w:rPr>
            </w:pPr>
            <w:r>
              <w:rPr>
                <w:rFonts w:ascii="Arial" w:cs="Arial" w:eastAsia="Arial" w:hAnsi="Arial"/>
                <w:sz w:val="4"/>
                <w:szCs w:val="4"/>
                <w:color w:val="auto"/>
                <w:w w:val="98"/>
              </w:rPr>
              <w:t> </w:t>
            </w:r>
          </w:p>
        </w:tc>
        <w:tc>
          <w:tcPr>
            <w:tcW w:w="100" w:type="dxa"/>
            <w:vAlign w:val="bottom"/>
          </w:tcPr>
          <w:p>
            <w:pPr>
              <w:ind w:left="40"/>
              <w:spacing w:after="0"/>
              <w:rPr>
                <w:sz w:val="20"/>
                <w:szCs w:val="20"/>
                <w:color w:val="auto"/>
              </w:rPr>
            </w:pPr>
            <w:r>
              <w:rPr>
                <w:rFonts w:ascii="Arial" w:cs="Arial" w:eastAsia="Arial" w:hAnsi="Arial"/>
                <w:sz w:val="4"/>
                <w:szCs w:val="4"/>
                <w:color w:val="auto"/>
                <w:w w:val="98"/>
              </w:rPr>
              <w:t> </w:t>
            </w:r>
          </w:p>
        </w:tc>
        <w:tc>
          <w:tcPr>
            <w:tcW w:w="120" w:type="dxa"/>
            <w:vAlign w:val="bottom"/>
          </w:tcPr>
          <w:p>
            <w:pPr>
              <w:jc w:val="right"/>
              <w:spacing w:after="0"/>
              <w:rPr>
                <w:sz w:val="20"/>
                <w:szCs w:val="20"/>
                <w:color w:val="auto"/>
              </w:rPr>
            </w:pPr>
            <w:r>
              <w:rPr>
                <w:rFonts w:ascii="Arial" w:cs="Arial" w:eastAsia="Arial" w:hAnsi="Arial"/>
                <w:sz w:val="11"/>
                <w:szCs w:val="11"/>
                <w:color w:val="auto"/>
                <w:w w:val="72"/>
              </w:rPr>
              <w:t> </w:t>
            </w: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 </w:t>
            </w:r>
          </w:p>
        </w:tc>
        <w:tc>
          <w:tcPr>
            <w:tcW w:w="2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gridSpan w:val="6"/>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tcBorders>
              <w:left w:val="single" w:sz="8" w:color="auto"/>
            </w:tcBorders>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08"/>
        </w:trPr>
        <w:tc>
          <w:tcPr>
            <w:tcW w:w="1600" w:type="dxa"/>
            <w:vAlign w:val="bottom"/>
            <w:gridSpan w:val="13"/>
          </w:tcPr>
          <w:p>
            <w:pPr>
              <w:spacing w:after="0"/>
              <w:rPr>
                <w:sz w:val="20"/>
                <w:szCs w:val="20"/>
                <w:color w:val="auto"/>
              </w:rPr>
            </w:pPr>
            <w:r>
              <w:rPr>
                <w:rFonts w:ascii="Arial" w:cs="Arial" w:eastAsia="Arial" w:hAnsi="Arial"/>
                <w:sz w:val="13"/>
                <w:szCs w:val="13"/>
                <w:color w:val="auto"/>
              </w:rPr>
              <w:t xml:space="preserve">Last Name:                    </w:t>
            </w:r>
          </w:p>
        </w:tc>
        <w:tc>
          <w:tcPr>
            <w:tcW w:w="120" w:type="dxa"/>
            <w:vAlign w:val="bottom"/>
          </w:tcPr>
          <w:p>
            <w:pPr>
              <w:ind w:left="80"/>
              <w:spacing w:after="0"/>
              <w:rPr>
                <w:sz w:val="20"/>
                <w:szCs w:val="20"/>
                <w:color w:val="auto"/>
              </w:rPr>
            </w:pPr>
            <w:r>
              <w:rPr>
                <w:rFonts w:ascii="Arial" w:cs="Arial" w:eastAsia="Arial" w:hAnsi="Arial"/>
                <w:sz w:val="2"/>
                <w:szCs w:val="2"/>
                <w:color w:val="auto"/>
                <w:w w:val="97"/>
              </w:rPr>
              <w:t> </w:t>
            </w:r>
          </w:p>
        </w:tc>
        <w:tc>
          <w:tcPr>
            <w:tcW w:w="140" w:type="dxa"/>
            <w:vAlign w:val="bottom"/>
          </w:tcPr>
          <w:p>
            <w:pPr>
              <w:ind w:left="80"/>
              <w:spacing w:after="0"/>
              <w:rPr>
                <w:sz w:val="20"/>
                <w:szCs w:val="20"/>
                <w:color w:val="auto"/>
              </w:rPr>
            </w:pPr>
            <w:r>
              <w:rPr>
                <w:rFonts w:ascii="Arial" w:cs="Arial" w:eastAsia="Arial" w:hAnsi="Arial"/>
                <w:sz w:val="2"/>
                <w:szCs w:val="2"/>
                <w:color w:val="auto"/>
                <w:w w:val="97"/>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20" w:type="dxa"/>
            <w:vAlign w:val="bottom"/>
          </w:tcPr>
          <w:p>
            <w:pPr>
              <w:jc w:val="center"/>
              <w:ind w:left="8"/>
              <w:spacing w:after="0"/>
              <w:rPr>
                <w:sz w:val="20"/>
                <w:szCs w:val="20"/>
                <w:color w:val="auto"/>
              </w:rPr>
            </w:pPr>
            <w:r>
              <w:rPr>
                <w:rFonts w:ascii="Arial" w:cs="Arial" w:eastAsia="Arial" w:hAnsi="Arial"/>
                <w:sz w:val="4"/>
                <w:szCs w:val="4"/>
                <w:color w:val="auto"/>
                <w:w w:val="98"/>
              </w:rPr>
              <w:t> </w:t>
            </w:r>
          </w:p>
        </w:tc>
        <w:tc>
          <w:tcPr>
            <w:tcW w:w="80" w:type="dxa"/>
            <w:vAlign w:val="bottom"/>
          </w:tcPr>
          <w:p>
            <w:pPr>
              <w:spacing w:after="0"/>
              <w:rPr>
                <w:sz w:val="18"/>
                <w:szCs w:val="18"/>
                <w:color w:val="auto"/>
              </w:rPr>
            </w:pPr>
          </w:p>
        </w:tc>
        <w:tc>
          <w:tcPr>
            <w:tcW w:w="60" w:type="dxa"/>
            <w:vAlign w:val="bottom"/>
          </w:tcPr>
          <w:p>
            <w:pPr>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tcPr>
          <w:p>
            <w:pPr>
              <w:jc w:val="right"/>
              <w:spacing w:after="0"/>
              <w:rPr>
                <w:sz w:val="20"/>
                <w:szCs w:val="20"/>
                <w:color w:val="auto"/>
              </w:rPr>
            </w:pPr>
            <w:r>
              <w:rPr>
                <w:rFonts w:ascii="Arial" w:cs="Arial" w:eastAsia="Arial" w:hAnsi="Arial"/>
                <w:sz w:val="13"/>
                <w:szCs w:val="13"/>
                <w:color w:val="auto"/>
                <w:w w:val="76"/>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20" w:type="dxa"/>
            <w:vAlign w:val="bottom"/>
          </w:tcPr>
          <w:p>
            <w:pPr>
              <w:ind w:left="80"/>
              <w:spacing w:after="0"/>
              <w:rPr>
                <w:sz w:val="20"/>
                <w:szCs w:val="20"/>
                <w:color w:val="auto"/>
              </w:rPr>
            </w:pPr>
            <w:r>
              <w:rPr>
                <w:rFonts w:ascii="Arial" w:cs="Arial" w:eastAsia="Arial" w:hAnsi="Arial"/>
                <w:sz w:val="2"/>
                <w:szCs w:val="2"/>
                <w:color w:val="auto"/>
                <w:w w:val="97"/>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6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00" w:type="dxa"/>
            <w:vAlign w:val="bottom"/>
          </w:tcPr>
          <w:p>
            <w:pPr>
              <w:ind w:left="40"/>
              <w:spacing w:after="0"/>
              <w:rPr>
                <w:sz w:val="20"/>
                <w:szCs w:val="20"/>
                <w:color w:val="auto"/>
              </w:rPr>
            </w:pPr>
            <w:r>
              <w:rPr>
                <w:rFonts w:ascii="Arial" w:cs="Arial" w:eastAsia="Arial" w:hAnsi="Arial"/>
                <w:sz w:val="4"/>
                <w:szCs w:val="4"/>
                <w:color w:val="auto"/>
                <w:w w:val="98"/>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60" w:type="dxa"/>
            <w:vAlign w:val="bottom"/>
          </w:tcPr>
          <w:p>
            <w:pPr>
              <w:jc w:val="center"/>
              <w:ind w:left="2"/>
              <w:spacing w:after="0"/>
              <w:rPr>
                <w:sz w:val="20"/>
                <w:szCs w:val="20"/>
                <w:color w:val="auto"/>
              </w:rPr>
            </w:pPr>
            <w:r>
              <w:rPr>
                <w:rFonts w:ascii="Arial" w:cs="Arial" w:eastAsia="Arial" w:hAnsi="Arial"/>
                <w:sz w:val="4"/>
                <w:szCs w:val="4"/>
                <w:color w:val="auto"/>
                <w:w w:val="98"/>
              </w:rPr>
              <w:t> </w:t>
            </w:r>
          </w:p>
        </w:tc>
        <w:tc>
          <w:tcPr>
            <w:tcW w:w="1940" w:type="dxa"/>
            <w:vAlign w:val="bottom"/>
            <w:gridSpan w:val="10"/>
          </w:tcPr>
          <w:p>
            <w:pPr>
              <w:ind w:left="140"/>
              <w:spacing w:after="0"/>
              <w:rPr>
                <w:sz w:val="20"/>
                <w:szCs w:val="20"/>
                <w:color w:val="auto"/>
              </w:rPr>
            </w:pPr>
            <w:r>
              <w:rPr>
                <w:rFonts w:ascii="Arial" w:cs="Arial" w:eastAsia="Arial" w:hAnsi="Arial"/>
                <w:sz w:val="13"/>
                <w:szCs w:val="13"/>
                <w:color w:val="auto"/>
                <w:w w:val="99"/>
              </w:rPr>
              <w:t>Country of Legal Residency: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180" w:type="dxa"/>
            <w:vAlign w:val="bottom"/>
          </w:tcPr>
          <w:p>
            <w:pPr>
              <w:jc w:val="right"/>
              <w:ind w:right="3"/>
              <w:spacing w:after="0"/>
              <w:rPr>
                <w:sz w:val="20"/>
                <w:szCs w:val="20"/>
                <w:color w:val="auto"/>
              </w:rPr>
            </w:pPr>
            <w:r>
              <w:rPr>
                <w:rFonts w:ascii="Arial" w:cs="Arial" w:eastAsia="Arial" w:hAnsi="Arial"/>
                <w:sz w:val="13"/>
                <w:szCs w:val="13"/>
                <w:color w:val="auto"/>
              </w:rPr>
              <w:t xml:space="preserve">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60" w:type="dxa"/>
            <w:vAlign w:val="bottom"/>
          </w:tcPr>
          <w:p>
            <w:pPr>
              <w:jc w:val="center"/>
              <w:spacing w:after="0"/>
              <w:rPr>
                <w:sz w:val="20"/>
                <w:szCs w:val="20"/>
                <w:color w:val="auto"/>
              </w:rPr>
            </w:pPr>
            <w:r>
              <w:rPr>
                <w:rFonts w:ascii="Arial" w:cs="Arial" w:eastAsia="Arial" w:hAnsi="Arial"/>
                <w:sz w:val="2"/>
                <w:szCs w:val="2"/>
                <w:color w:val="auto"/>
                <w:w w:val="97"/>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80" w:type="dxa"/>
            <w:vAlign w:val="bottom"/>
          </w:tcPr>
          <w:p>
            <w:pPr>
              <w:jc w:val="center"/>
              <w:spacing w:after="0"/>
              <w:rPr>
                <w:sz w:val="20"/>
                <w:szCs w:val="20"/>
                <w:color w:val="auto"/>
              </w:rPr>
            </w:pPr>
            <w:r>
              <w:rPr>
                <w:rFonts w:ascii="Arial" w:cs="Arial" w:eastAsia="Arial" w:hAnsi="Arial"/>
                <w:sz w:val="13"/>
                <w:szCs w:val="13"/>
                <w:color w:val="auto"/>
              </w:rPr>
              <w:t xml:space="preserve">    </w:t>
            </w:r>
          </w:p>
        </w:tc>
        <w:tc>
          <w:tcPr>
            <w:tcW w:w="120" w:type="dxa"/>
            <w:vAlign w:val="bottom"/>
          </w:tcPr>
          <w:p>
            <w:pPr>
              <w:jc w:val="right"/>
              <w:spacing w:after="0"/>
              <w:rPr>
                <w:sz w:val="20"/>
                <w:szCs w:val="20"/>
                <w:color w:val="auto"/>
              </w:rPr>
            </w:pPr>
            <w:r>
              <w:rPr>
                <w:rFonts w:ascii="Arial" w:cs="Arial" w:eastAsia="Arial" w:hAnsi="Arial"/>
                <w:sz w:val="13"/>
                <w:szCs w:val="13"/>
                <w:color w:val="auto"/>
                <w:w w:val="76"/>
              </w:rPr>
              <w:t> </w:t>
            </w:r>
          </w:p>
        </w:tc>
        <w:tc>
          <w:tcPr>
            <w:tcW w:w="100" w:type="dxa"/>
            <w:vAlign w:val="bottom"/>
          </w:tcPr>
          <w:p>
            <w:pPr>
              <w:spacing w:after="0"/>
              <w:rPr>
                <w:sz w:val="18"/>
                <w:szCs w:val="18"/>
                <w:color w:val="auto"/>
              </w:rPr>
            </w:pPr>
          </w:p>
        </w:tc>
        <w:tc>
          <w:tcPr>
            <w:tcW w:w="120" w:type="dxa"/>
            <w:vAlign w:val="bottom"/>
          </w:tcPr>
          <w:p>
            <w:pPr>
              <w:jc w:val="right"/>
              <w:ind w:right="32"/>
              <w:spacing w:after="0"/>
              <w:rPr>
                <w:sz w:val="20"/>
                <w:szCs w:val="20"/>
                <w:color w:val="auto"/>
              </w:rPr>
            </w:pPr>
            <w:r>
              <w:rPr>
                <w:rFonts w:ascii="Arial" w:cs="Arial" w:eastAsia="Arial" w:hAnsi="Arial"/>
                <w:sz w:val="2"/>
                <w:szCs w:val="2"/>
                <w:color w:val="auto"/>
                <w:w w:val="97"/>
              </w:rPr>
              <w:t> </w:t>
            </w:r>
          </w:p>
        </w:tc>
        <w:tc>
          <w:tcPr>
            <w:tcW w:w="140" w:type="dxa"/>
            <w:vAlign w:val="bottom"/>
            <w:gridSpan w:val="2"/>
          </w:tcPr>
          <w:p>
            <w:pPr>
              <w:ind w:left="20"/>
              <w:spacing w:after="0"/>
              <w:rPr>
                <w:sz w:val="20"/>
                <w:szCs w:val="20"/>
                <w:color w:val="auto"/>
              </w:rPr>
            </w:pPr>
            <w:r>
              <w:rPr>
                <w:rFonts w:ascii="Arial" w:cs="Arial" w:eastAsia="Arial" w:hAnsi="Arial"/>
                <w:sz w:val="13"/>
                <w:szCs w:val="13"/>
                <w:color w:val="auto"/>
                <w:w w:val="76"/>
              </w:rPr>
              <w:t> </w:t>
            </w:r>
          </w:p>
        </w:tc>
        <w:tc>
          <w:tcPr>
            <w:tcW w:w="20" w:type="dxa"/>
            <w:vAlign w:val="bottom"/>
          </w:tcPr>
          <w:p>
            <w:pPr>
              <w:spacing w:after="0"/>
              <w:rPr>
                <w:sz w:val="18"/>
                <w:szCs w:val="18"/>
                <w:color w:val="auto"/>
              </w:rPr>
            </w:pPr>
          </w:p>
        </w:tc>
      </w:tr>
      <w:tr>
        <w:trPr>
          <w:trHeight w:val="208"/>
        </w:trPr>
        <w:tc>
          <w:tcPr>
            <w:tcW w:w="740" w:type="dxa"/>
            <w:vAlign w:val="bottom"/>
            <w:gridSpan w:val="4"/>
          </w:tcPr>
          <w:p>
            <w:pPr>
              <w:spacing w:after="0"/>
              <w:rPr>
                <w:sz w:val="20"/>
                <w:szCs w:val="20"/>
                <w:color w:val="auto"/>
              </w:rPr>
            </w:pPr>
            <w:r>
              <w:rPr>
                <w:rFonts w:ascii="Arial" w:cs="Arial" w:eastAsia="Arial" w:hAnsi="Arial"/>
                <w:sz w:val="13"/>
                <w:szCs w:val="13"/>
                <w:color w:val="auto"/>
              </w:rPr>
              <w:t>Street</w:t>
            </w:r>
          </w:p>
        </w:tc>
        <w:tc>
          <w:tcPr>
            <w:tcW w:w="160" w:type="dxa"/>
            <w:vAlign w:val="bottom"/>
            <w:tcBorders>
              <w:top w:val="single" w:sz="8" w:color="auto"/>
            </w:tcBorders>
            <w:gridSpan w:val="3"/>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60" w:type="dxa"/>
            <w:vAlign w:val="bottom"/>
            <w:gridSpan w:val="7"/>
          </w:tcPr>
          <w:p>
            <w:pPr>
              <w:ind w:left="140"/>
              <w:spacing w:after="0"/>
              <w:rPr>
                <w:sz w:val="20"/>
                <w:szCs w:val="20"/>
                <w:color w:val="auto"/>
              </w:rPr>
            </w:pPr>
            <w:r>
              <w:rPr>
                <w:rFonts w:ascii="Arial" w:cs="Arial" w:eastAsia="Arial" w:hAnsi="Arial"/>
                <w:sz w:val="13"/>
                <w:szCs w:val="13"/>
                <w:color w:val="auto"/>
                <w:w w:val="95"/>
              </w:rPr>
              <w:t>Relationship to Owner:  </w:t>
            </w:r>
          </w:p>
        </w:tc>
        <w:tc>
          <w:tcPr>
            <w:tcW w:w="120" w:type="dxa"/>
            <w:vAlign w:val="bottom"/>
          </w:tcPr>
          <w:p>
            <w:pPr>
              <w:ind w:left="80"/>
              <w:spacing w:after="0"/>
              <w:rPr>
                <w:sz w:val="20"/>
                <w:szCs w:val="20"/>
                <w:color w:val="auto"/>
              </w:rPr>
            </w:pPr>
            <w:r>
              <w:rPr>
                <w:rFonts w:ascii="Arial" w:cs="Arial" w:eastAsia="Arial" w:hAnsi="Arial"/>
                <w:sz w:val="2"/>
                <w:szCs w:val="2"/>
                <w:color w:val="auto"/>
                <w:w w:val="97"/>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20" w:type="dxa"/>
            <w:vAlign w:val="bottom"/>
            <w:tcBorders>
              <w:top w:val="single" w:sz="8" w:color="auto"/>
            </w:tcBorders>
          </w:tcPr>
          <w:p>
            <w:pPr>
              <w:ind w:left="80"/>
              <w:spacing w:after="0"/>
              <w:rPr>
                <w:sz w:val="20"/>
                <w:szCs w:val="20"/>
                <w:color w:val="auto"/>
              </w:rPr>
            </w:pPr>
            <w:r>
              <w:rPr>
                <w:rFonts w:ascii="Arial" w:cs="Arial" w:eastAsia="Arial" w:hAnsi="Arial"/>
                <w:sz w:val="2"/>
                <w:szCs w:val="2"/>
                <w:color w:val="auto"/>
                <w:w w:val="97"/>
              </w:rPr>
              <w:t> </w:t>
            </w:r>
          </w:p>
        </w:tc>
        <w:tc>
          <w:tcPr>
            <w:tcW w:w="140" w:type="dxa"/>
            <w:vAlign w:val="bottom"/>
            <w:tcBorders>
              <w:top w:val="single" w:sz="8" w:color="auto"/>
            </w:tcBorders>
          </w:tcPr>
          <w:p>
            <w:pPr>
              <w:ind w:left="80"/>
              <w:spacing w:after="0"/>
              <w:rPr>
                <w:sz w:val="20"/>
                <w:szCs w:val="20"/>
                <w:color w:val="auto"/>
              </w:rPr>
            </w:pPr>
            <w:r>
              <w:rPr>
                <w:rFonts w:ascii="Arial" w:cs="Arial" w:eastAsia="Arial" w:hAnsi="Arial"/>
                <w:sz w:val="4"/>
                <w:szCs w:val="4"/>
                <w:color w:val="auto"/>
                <w:w w:val="98"/>
              </w:rPr>
              <w:t> </w:t>
            </w:r>
          </w:p>
        </w:tc>
        <w:tc>
          <w:tcPr>
            <w:tcW w:w="120" w:type="dxa"/>
            <w:vAlign w:val="bottom"/>
            <w:tcBorders>
              <w:top w:val="single" w:sz="8" w:color="auto"/>
            </w:tcBorders>
          </w:tcPr>
          <w:p>
            <w:pPr>
              <w:ind w:left="80"/>
              <w:spacing w:after="0"/>
              <w:rPr>
                <w:sz w:val="20"/>
                <w:szCs w:val="20"/>
                <w:color w:val="auto"/>
              </w:rPr>
            </w:pPr>
            <w:r>
              <w:rPr>
                <w:rFonts w:ascii="Arial" w:cs="Arial" w:eastAsia="Arial" w:hAnsi="Arial"/>
                <w:sz w:val="2"/>
                <w:szCs w:val="2"/>
                <w:color w:val="auto"/>
                <w:w w:val="97"/>
              </w:rPr>
              <w:t> </w:t>
            </w:r>
          </w:p>
        </w:tc>
        <w:tc>
          <w:tcPr>
            <w:tcW w:w="180" w:type="dxa"/>
            <w:vAlign w:val="bottom"/>
            <w:tcBorders>
              <w:top w:val="single" w:sz="8" w:color="auto"/>
            </w:tcBorders>
          </w:tcPr>
          <w:p>
            <w:pPr>
              <w:jc w:val="right"/>
              <w:ind w:right="3"/>
              <w:spacing w:after="0"/>
              <w:rPr>
                <w:sz w:val="20"/>
                <w:szCs w:val="20"/>
                <w:color w:val="auto"/>
              </w:rPr>
            </w:pPr>
            <w:r>
              <w:rPr>
                <w:rFonts w:ascii="Arial" w:cs="Arial" w:eastAsia="Arial" w:hAnsi="Arial"/>
                <w:sz w:val="13"/>
                <w:szCs w:val="13"/>
                <w:color w:val="auto"/>
                <w:w w:val="76"/>
              </w:rPr>
              <w:t> </w:t>
            </w: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8"/>
                <w:szCs w:val="8"/>
                <w:color w:val="auto"/>
                <w:w w:val="74"/>
              </w:rPr>
              <w:t> </w:t>
            </w:r>
          </w:p>
        </w:tc>
        <w:tc>
          <w:tcPr>
            <w:tcW w:w="160" w:type="dxa"/>
            <w:vAlign w:val="bottom"/>
            <w:tcBorders>
              <w:top w:val="single" w:sz="8" w:color="auto"/>
            </w:tcBorders>
          </w:tcPr>
          <w:p>
            <w:pPr>
              <w:ind w:left="60"/>
              <w:spacing w:after="0"/>
              <w:rPr>
                <w:sz w:val="20"/>
                <w:szCs w:val="20"/>
                <w:color w:val="auto"/>
              </w:rPr>
            </w:pPr>
            <w:r>
              <w:rPr>
                <w:rFonts w:ascii="Arial" w:cs="Arial" w:eastAsia="Arial" w:hAnsi="Arial"/>
                <w:sz w:val="11"/>
                <w:szCs w:val="11"/>
                <w:color w:val="auto"/>
                <w:w w:val="72"/>
              </w:rPr>
              <w:t> </w:t>
            </w:r>
          </w:p>
        </w:tc>
        <w:tc>
          <w:tcPr>
            <w:tcW w:w="14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rPr>
              <w:t xml:space="preserve">   </w:t>
            </w:r>
          </w:p>
        </w:tc>
        <w:tc>
          <w:tcPr>
            <w:tcW w:w="140" w:type="dxa"/>
            <w:vAlign w:val="bottom"/>
            <w:tcBorders>
              <w:top w:val="single" w:sz="8" w:color="auto"/>
            </w:tcBorders>
          </w:tcPr>
          <w:p>
            <w:pPr>
              <w:ind w:left="80"/>
              <w:spacing w:after="0"/>
              <w:rPr>
                <w:sz w:val="20"/>
                <w:szCs w:val="20"/>
                <w:color w:val="auto"/>
              </w:rPr>
            </w:pPr>
            <w:r>
              <w:rPr>
                <w:rFonts w:ascii="Arial" w:cs="Arial" w:eastAsia="Arial" w:hAnsi="Arial"/>
                <w:sz w:val="4"/>
                <w:szCs w:val="4"/>
                <w:color w:val="auto"/>
                <w:w w:val="98"/>
              </w:rPr>
              <w:t> </w:t>
            </w:r>
          </w:p>
        </w:tc>
        <w:tc>
          <w:tcPr>
            <w:tcW w:w="120" w:type="dxa"/>
            <w:vAlign w:val="bottom"/>
            <w:tcBorders>
              <w:top w:val="single" w:sz="8" w:color="auto"/>
            </w:tcBorders>
          </w:tcPr>
          <w:p>
            <w:pPr>
              <w:ind w:left="80"/>
              <w:spacing w:after="0"/>
              <w:rPr>
                <w:sz w:val="20"/>
                <w:szCs w:val="20"/>
                <w:color w:val="auto"/>
              </w:rPr>
            </w:pPr>
            <w:r>
              <w:rPr>
                <w:rFonts w:ascii="Arial" w:cs="Arial" w:eastAsia="Arial" w:hAnsi="Arial"/>
                <w:sz w:val="2"/>
                <w:szCs w:val="2"/>
                <w:color w:val="auto"/>
                <w:w w:val="97"/>
              </w:rPr>
              <w:t> </w:t>
            </w:r>
          </w:p>
        </w:tc>
        <w:tc>
          <w:tcPr>
            <w:tcW w:w="140" w:type="dxa"/>
            <w:vAlign w:val="bottom"/>
            <w:tcBorders>
              <w:top w:val="single" w:sz="8" w:color="auto"/>
            </w:tcBorders>
          </w:tcPr>
          <w:p>
            <w:pPr>
              <w:ind w:left="100"/>
              <w:spacing w:after="0"/>
              <w:rPr>
                <w:sz w:val="20"/>
                <w:szCs w:val="20"/>
                <w:color w:val="auto"/>
              </w:rPr>
            </w:pPr>
            <w:r>
              <w:rPr>
                <w:rFonts w:ascii="Arial" w:cs="Arial" w:eastAsia="Arial" w:hAnsi="Arial"/>
                <w:sz w:val="2"/>
                <w:szCs w:val="2"/>
                <w:color w:val="auto"/>
                <w:w w:val="97"/>
              </w:rPr>
              <w:t> </w:t>
            </w:r>
          </w:p>
        </w:tc>
        <w:tc>
          <w:tcPr>
            <w:tcW w:w="140" w:type="dxa"/>
            <w:vAlign w:val="bottom"/>
            <w:tcBorders>
              <w:top w:val="single" w:sz="8" w:color="auto"/>
            </w:tcBorders>
          </w:tcPr>
          <w:p>
            <w:pPr>
              <w:ind w:left="80"/>
              <w:spacing w:after="0"/>
              <w:rPr>
                <w:sz w:val="20"/>
                <w:szCs w:val="20"/>
                <w:color w:val="auto"/>
              </w:rPr>
            </w:pPr>
            <w:r>
              <w:rPr>
                <w:rFonts w:ascii="Arial" w:cs="Arial" w:eastAsia="Arial" w:hAnsi="Arial"/>
                <w:sz w:val="4"/>
                <w:szCs w:val="4"/>
                <w:color w:val="auto"/>
                <w:w w:val="98"/>
              </w:rPr>
              <w:t> </w:t>
            </w:r>
          </w:p>
        </w:tc>
        <w:tc>
          <w:tcPr>
            <w:tcW w:w="180" w:type="dxa"/>
            <w:vAlign w:val="bottom"/>
            <w:tcBorders>
              <w:top w:val="single" w:sz="8" w:color="auto"/>
            </w:tcBorders>
          </w:tcPr>
          <w:p>
            <w:pPr>
              <w:jc w:val="right"/>
              <w:ind w:right="1"/>
              <w:spacing w:after="0"/>
              <w:rPr>
                <w:sz w:val="20"/>
                <w:szCs w:val="20"/>
                <w:color w:val="auto"/>
              </w:rPr>
            </w:pPr>
            <w:r>
              <w:rPr>
                <w:rFonts w:ascii="Arial" w:cs="Arial" w:eastAsia="Arial" w:hAnsi="Arial"/>
                <w:sz w:val="13"/>
                <w:szCs w:val="13"/>
                <w:color w:val="auto"/>
                <w:w w:val="76"/>
              </w:rPr>
              <w:t> </w:t>
            </w:r>
          </w:p>
        </w:tc>
        <w:tc>
          <w:tcPr>
            <w:tcW w:w="120" w:type="dxa"/>
            <w:vAlign w:val="bottom"/>
            <w:tcBorders>
              <w:top w:val="single" w:sz="8" w:color="auto"/>
            </w:tcBorders>
          </w:tcPr>
          <w:p>
            <w:pPr>
              <w:jc w:val="right"/>
              <w:ind w:right="25"/>
              <w:spacing w:after="0"/>
              <w:rPr>
                <w:sz w:val="20"/>
                <w:szCs w:val="20"/>
                <w:color w:val="auto"/>
              </w:rPr>
            </w:pPr>
            <w:r>
              <w:rPr>
                <w:rFonts w:ascii="Arial" w:cs="Arial" w:eastAsia="Arial" w:hAnsi="Arial"/>
                <w:sz w:val="4"/>
                <w:szCs w:val="4"/>
                <w:color w:val="auto"/>
                <w:w w:val="98"/>
              </w:rPr>
              <w:t> </w:t>
            </w:r>
          </w:p>
        </w:tc>
        <w:tc>
          <w:tcPr>
            <w:tcW w:w="100" w:type="dxa"/>
            <w:vAlign w:val="bottom"/>
            <w:tcBorders>
              <w:top w:val="single" w:sz="8" w:color="auto"/>
            </w:tcBorders>
          </w:tcPr>
          <w:p>
            <w:pPr>
              <w:ind w:left="40"/>
              <w:spacing w:after="0"/>
              <w:rPr>
                <w:sz w:val="20"/>
                <w:szCs w:val="20"/>
                <w:color w:val="auto"/>
              </w:rPr>
            </w:pPr>
            <w:r>
              <w:rPr>
                <w:rFonts w:ascii="Arial" w:cs="Arial" w:eastAsia="Arial" w:hAnsi="Arial"/>
                <w:sz w:val="4"/>
                <w:szCs w:val="4"/>
                <w:color w:val="auto"/>
                <w:w w:val="98"/>
              </w:rPr>
              <w:t> </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76"/>
              </w:rPr>
              <w:t> </w:t>
            </w:r>
          </w:p>
        </w:tc>
        <w:tc>
          <w:tcPr>
            <w:tcW w:w="140" w:type="dxa"/>
            <w:vAlign w:val="bottom"/>
            <w:tcBorders>
              <w:top w:val="single" w:sz="8" w:color="auto"/>
            </w:tcBorders>
            <w:gridSpan w:val="2"/>
          </w:tcPr>
          <w:p>
            <w:pPr>
              <w:ind w:left="80"/>
              <w:spacing w:after="0"/>
              <w:rPr>
                <w:sz w:val="20"/>
                <w:szCs w:val="20"/>
                <w:color w:val="auto"/>
              </w:rPr>
            </w:pPr>
            <w:r>
              <w:rPr>
                <w:rFonts w:ascii="Arial" w:cs="Arial" w:eastAsia="Arial" w:hAnsi="Arial"/>
                <w:sz w:val="10"/>
                <w:szCs w:val="10"/>
                <w:color w:val="auto"/>
                <w:w w:val="71"/>
              </w:rPr>
              <w:t> </w:t>
            </w:r>
          </w:p>
        </w:tc>
        <w:tc>
          <w:tcPr>
            <w:tcW w:w="20" w:type="dxa"/>
            <w:vAlign w:val="bottom"/>
          </w:tcPr>
          <w:p>
            <w:pPr>
              <w:spacing w:after="0"/>
              <w:rPr>
                <w:sz w:val="18"/>
                <w:szCs w:val="18"/>
                <w:color w:val="auto"/>
              </w:rPr>
            </w:pPr>
          </w:p>
        </w:tc>
      </w:tr>
      <w:tr>
        <w:trPr>
          <w:trHeight w:val="129"/>
        </w:trPr>
        <w:tc>
          <w:tcPr>
            <w:tcW w:w="1600" w:type="dxa"/>
            <w:vAlign w:val="bottom"/>
            <w:gridSpan w:val="13"/>
          </w:tcPr>
          <w:p>
            <w:pPr>
              <w:spacing w:after="0" w:line="129" w:lineRule="exact"/>
              <w:rPr>
                <w:sz w:val="20"/>
                <w:szCs w:val="20"/>
                <w:color w:val="auto"/>
              </w:rPr>
            </w:pPr>
            <w:r>
              <w:rPr>
                <w:rFonts w:ascii="Arial" w:cs="Arial" w:eastAsia="Arial" w:hAnsi="Arial"/>
                <w:sz w:val="13"/>
                <w:szCs w:val="13"/>
                <w:color w:val="auto"/>
              </w:rPr>
              <w:t xml:space="preserve">Address: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20"/>
              <w:spacing w:after="0"/>
              <w:rPr>
                <w:sz w:val="20"/>
                <w:szCs w:val="20"/>
                <w:color w:val="auto"/>
              </w:rPr>
            </w:pPr>
            <w:r>
              <w:rPr>
                <w:rFonts w:ascii="Arial" w:cs="Arial" w:eastAsia="Arial" w:hAnsi="Arial"/>
                <w:sz w:val="9"/>
                <w:szCs w:val="9"/>
                <w:color w:val="auto"/>
                <w:w w:val="73"/>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gridSpan w:val="2"/>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jc w:val="right"/>
              <w:ind w:right="8"/>
              <w:spacing w:after="0"/>
              <w:rPr>
                <w:sz w:val="20"/>
                <w:szCs w:val="20"/>
                <w:color w:val="auto"/>
              </w:rPr>
            </w:pPr>
            <w:r>
              <w:rPr>
                <w:rFonts w:ascii="Arial" w:cs="Arial" w:eastAsia="Arial" w:hAnsi="Arial"/>
                <w:sz w:val="8"/>
                <w:szCs w:val="8"/>
                <w:color w:val="auto"/>
                <w:w w:val="74"/>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60" w:type="dxa"/>
            <w:vAlign w:val="bottom"/>
          </w:tcPr>
          <w:p>
            <w:pPr>
              <w:ind w:left="20"/>
              <w:spacing w:after="0" w:line="129" w:lineRule="exact"/>
              <w:rPr>
                <w:sz w:val="20"/>
                <w:szCs w:val="20"/>
                <w:color w:val="auto"/>
              </w:rPr>
            </w:pPr>
            <w:r>
              <w:rPr>
                <w:rFonts w:ascii="Arial" w:cs="Arial" w:eastAsia="Arial" w:hAnsi="Arial"/>
                <w:sz w:val="13"/>
                <w:szCs w:val="13"/>
                <w:color w:val="auto"/>
                <w:w w:val="76"/>
              </w:rPr>
              <w:t> </w:t>
            </w:r>
          </w:p>
        </w:tc>
        <w:tc>
          <w:tcPr>
            <w:tcW w:w="100" w:type="dxa"/>
            <w:vAlign w:val="bottom"/>
          </w:tcPr>
          <w:p>
            <w:pPr>
              <w:spacing w:after="0" w:line="129" w:lineRule="exact"/>
              <w:rPr>
                <w:sz w:val="20"/>
                <w:szCs w:val="20"/>
                <w:color w:val="auto"/>
              </w:rPr>
            </w:pPr>
            <w:r>
              <w:rPr>
                <w:rFonts w:ascii="Arial" w:cs="Arial" w:eastAsia="Arial" w:hAnsi="Arial"/>
                <w:sz w:val="13"/>
                <w:szCs w:val="13"/>
                <w:color w:val="auto"/>
              </w:rPr>
              <w:t> </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r>
      <w:tr>
        <w:trPr>
          <w:trHeight w:val="20"/>
        </w:trPr>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4"/>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gridSpan w:val="3"/>
            <w:shd w:val="clear" w:color="auto" w:fill="000000"/>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900" w:type="dxa"/>
            <w:vAlign w:val="bottom"/>
            <w:gridSpan w:val="7"/>
          </w:tcPr>
          <w:p>
            <w:pPr>
              <w:spacing w:after="0"/>
              <w:rPr>
                <w:sz w:val="20"/>
                <w:szCs w:val="20"/>
                <w:color w:val="auto"/>
              </w:rPr>
            </w:pPr>
            <w:r>
              <w:rPr>
                <w:rFonts w:ascii="Arial" w:cs="Arial" w:eastAsia="Arial" w:hAnsi="Arial"/>
                <w:sz w:val="13"/>
                <w:szCs w:val="13"/>
                <w:color w:val="auto"/>
              </w:rPr>
              <w:t xml:space="preserve">City: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60" w:type="dxa"/>
            <w:vAlign w:val="bottom"/>
          </w:tcPr>
          <w:p>
            <w:pPr>
              <w:jc w:val="center"/>
              <w:spacing w:after="0"/>
              <w:rPr>
                <w:sz w:val="20"/>
                <w:szCs w:val="20"/>
                <w:color w:val="auto"/>
              </w:rPr>
            </w:pPr>
            <w:r>
              <w:rPr>
                <w:rFonts w:ascii="Arial" w:cs="Arial" w:eastAsia="Arial" w:hAnsi="Arial"/>
                <w:sz w:val="4"/>
                <w:szCs w:val="4"/>
                <w:color w:val="auto"/>
                <w:w w:val="98"/>
              </w:rPr>
              <w:t> </w:t>
            </w:r>
          </w:p>
        </w:tc>
        <w:tc>
          <w:tcPr>
            <w:tcW w:w="140" w:type="dxa"/>
            <w:vAlign w:val="bottom"/>
            <w:gridSpan w:val="2"/>
          </w:tcPr>
          <w:p>
            <w:pPr>
              <w:ind w:left="20"/>
              <w:spacing w:after="0"/>
              <w:rPr>
                <w:sz w:val="20"/>
                <w:szCs w:val="20"/>
                <w:color w:val="auto"/>
              </w:rPr>
            </w:pPr>
            <w:r>
              <w:rPr>
                <w:rFonts w:ascii="Arial" w:cs="Arial" w:eastAsia="Arial" w:hAnsi="Arial"/>
                <w:sz w:val="13"/>
                <w:szCs w:val="13"/>
                <w:color w:val="auto"/>
                <w:w w:val="76"/>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8"/>
                <w:szCs w:val="8"/>
                <w:color w:val="auto"/>
                <w:w w:val="74"/>
              </w:rPr>
              <w:t> </w:t>
            </w:r>
          </w:p>
        </w:tc>
        <w:tc>
          <w:tcPr>
            <w:tcW w:w="800" w:type="dxa"/>
            <w:vAlign w:val="bottom"/>
            <w:gridSpan w:val="7"/>
          </w:tcPr>
          <w:p>
            <w:pPr>
              <w:jc w:val="right"/>
              <w:ind w:right="28"/>
              <w:spacing w:after="0"/>
              <w:rPr>
                <w:sz w:val="20"/>
                <w:szCs w:val="20"/>
                <w:color w:val="auto"/>
              </w:rPr>
            </w:pPr>
            <w:r>
              <w:rPr>
                <w:rFonts w:ascii="Arial" w:cs="Arial" w:eastAsia="Arial" w:hAnsi="Arial"/>
                <w:sz w:val="13"/>
                <w:szCs w:val="13"/>
                <w:color w:val="auto"/>
              </w:rPr>
              <w:t xml:space="preserve">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40" w:type="dxa"/>
            <w:vAlign w:val="bottom"/>
          </w:tcPr>
          <w:p>
            <w:pPr>
              <w:jc w:val="center"/>
              <w:ind w:right="29"/>
              <w:spacing w:after="0"/>
              <w:rPr>
                <w:sz w:val="20"/>
                <w:szCs w:val="20"/>
                <w:color w:val="auto"/>
              </w:rPr>
            </w:pPr>
            <w:r>
              <w:rPr>
                <w:rFonts w:ascii="Arial" w:cs="Arial" w:eastAsia="Arial" w:hAnsi="Arial"/>
                <w:sz w:val="4"/>
                <w:szCs w:val="4"/>
                <w:color w:val="auto"/>
                <w:w w:val="98"/>
              </w:rPr>
              <w:t> </w:t>
            </w:r>
          </w:p>
        </w:tc>
        <w:tc>
          <w:tcPr>
            <w:tcW w:w="160" w:type="dxa"/>
            <w:vAlign w:val="bottom"/>
          </w:tcPr>
          <w:p>
            <w:pPr>
              <w:spacing w:after="0"/>
              <w:rPr>
                <w:sz w:val="20"/>
                <w:szCs w:val="20"/>
                <w:color w:val="auto"/>
              </w:rPr>
            </w:pPr>
            <w:r>
              <w:rPr>
                <w:rFonts w:ascii="Arial" w:cs="Arial" w:eastAsia="Arial" w:hAnsi="Arial"/>
                <w:sz w:val="13"/>
                <w:szCs w:val="13"/>
                <w:color w:val="auto"/>
                <w:w w:val="91"/>
              </w:rPr>
              <w:t> </w:t>
            </w:r>
          </w:p>
        </w:tc>
        <w:tc>
          <w:tcPr>
            <w:tcW w:w="100" w:type="dxa"/>
            <w:vAlign w:val="bottom"/>
          </w:tcPr>
          <w:p>
            <w:pPr>
              <w:spacing w:after="0"/>
              <w:rPr>
                <w:sz w:val="20"/>
                <w:szCs w:val="20"/>
                <w:color w:val="auto"/>
              </w:rPr>
            </w:pPr>
            <w:r>
              <w:rPr>
                <w:rFonts w:ascii="Arial" w:cs="Arial" w:eastAsia="Arial" w:hAnsi="Arial"/>
                <w:sz w:val="9"/>
                <w:szCs w:val="9"/>
                <w:color w:val="auto"/>
                <w:w w:val="73"/>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6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160" w:type="dxa"/>
            <w:vAlign w:val="bottom"/>
            <w:gridSpan w:val="3"/>
          </w:tcPr>
          <w:p>
            <w:pPr>
              <w:ind w:left="140"/>
              <w:spacing w:after="0"/>
              <w:rPr>
                <w:sz w:val="20"/>
                <w:szCs w:val="20"/>
                <w:color w:val="auto"/>
              </w:rPr>
            </w:pPr>
            <w:r>
              <w:rPr>
                <w:rFonts w:ascii="Arial" w:cs="Arial" w:eastAsia="Arial" w:hAnsi="Arial"/>
                <w:sz w:val="13"/>
                <w:szCs w:val="13"/>
                <w:color w:val="auto"/>
                <w:w w:val="97"/>
              </w:rPr>
              <w:t>Email Address: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140" w:type="dxa"/>
            <w:vAlign w:val="bottom"/>
            <w:gridSpan w:val="2"/>
          </w:tcPr>
          <w:p>
            <w:pPr>
              <w:ind w:left="20"/>
              <w:spacing w:after="0"/>
              <w:rPr>
                <w:sz w:val="20"/>
                <w:szCs w:val="20"/>
                <w:color w:val="auto"/>
              </w:rPr>
            </w:pPr>
            <w:r>
              <w:rPr>
                <w:rFonts w:ascii="Arial" w:cs="Arial" w:eastAsia="Arial" w:hAnsi="Arial"/>
                <w:sz w:val="13"/>
                <w:szCs w:val="13"/>
                <w:color w:val="auto"/>
                <w:w w:val="76"/>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80" w:type="dxa"/>
            <w:vAlign w:val="bottom"/>
          </w:tcPr>
          <w:p>
            <w:pPr>
              <w:jc w:val="center"/>
              <w:spacing w:after="0"/>
              <w:rPr>
                <w:sz w:val="20"/>
                <w:szCs w:val="20"/>
                <w:color w:val="auto"/>
              </w:rPr>
            </w:pPr>
            <w:r>
              <w:rPr>
                <w:rFonts w:ascii="Arial" w:cs="Arial" w:eastAsia="Arial" w:hAnsi="Arial"/>
                <w:sz w:val="13"/>
                <w:szCs w:val="13"/>
                <w:color w:val="auto"/>
              </w:rPr>
              <w:t xml:space="preserve">    </w:t>
            </w:r>
          </w:p>
        </w:tc>
        <w:tc>
          <w:tcPr>
            <w:tcW w:w="120" w:type="dxa"/>
            <w:vAlign w:val="bottom"/>
          </w:tcPr>
          <w:p>
            <w:pPr>
              <w:ind w:left="80"/>
              <w:spacing w:after="0"/>
              <w:rPr>
                <w:sz w:val="20"/>
                <w:szCs w:val="20"/>
                <w:color w:val="auto"/>
              </w:rPr>
            </w:pPr>
            <w:r>
              <w:rPr>
                <w:rFonts w:ascii="Arial" w:cs="Arial" w:eastAsia="Arial" w:hAnsi="Arial"/>
                <w:sz w:val="2"/>
                <w:szCs w:val="2"/>
                <w:color w:val="auto"/>
                <w:w w:val="97"/>
              </w:rPr>
              <w:t> </w:t>
            </w:r>
          </w:p>
        </w:tc>
        <w:tc>
          <w:tcPr>
            <w:tcW w:w="160" w:type="dxa"/>
            <w:vAlign w:val="bottom"/>
          </w:tcPr>
          <w:p>
            <w:pPr>
              <w:ind w:left="100"/>
              <w:spacing w:after="0"/>
              <w:rPr>
                <w:sz w:val="20"/>
                <w:szCs w:val="20"/>
                <w:color w:val="auto"/>
              </w:rPr>
            </w:pPr>
            <w:r>
              <w:rPr>
                <w:rFonts w:ascii="Arial" w:cs="Arial" w:eastAsia="Arial" w:hAnsi="Arial"/>
                <w:sz w:val="4"/>
                <w:szCs w:val="4"/>
                <w:color w:val="auto"/>
                <w:w w:val="98"/>
              </w:rPr>
              <w:t> </w:t>
            </w:r>
          </w:p>
        </w:tc>
        <w:tc>
          <w:tcPr>
            <w:tcW w:w="140" w:type="dxa"/>
            <w:vAlign w:val="bottom"/>
          </w:tcPr>
          <w:p>
            <w:pPr>
              <w:jc w:val="center"/>
              <w:spacing w:after="0"/>
              <w:rPr>
                <w:sz w:val="20"/>
                <w:szCs w:val="20"/>
                <w:color w:val="auto"/>
              </w:rPr>
            </w:pPr>
            <w:r>
              <w:rPr>
                <w:rFonts w:ascii="Arial" w:cs="Arial" w:eastAsia="Arial" w:hAnsi="Arial"/>
                <w:sz w:val="4"/>
                <w:szCs w:val="4"/>
                <w:color w:val="auto"/>
                <w:w w:val="98"/>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80" w:type="dxa"/>
            <w:vAlign w:val="bottom"/>
          </w:tcPr>
          <w:p>
            <w:pPr>
              <w:ind w:left="40"/>
              <w:spacing w:after="0"/>
              <w:rPr>
                <w:sz w:val="20"/>
                <w:szCs w:val="20"/>
                <w:color w:val="auto"/>
              </w:rPr>
            </w:pPr>
            <w:r>
              <w:rPr>
                <w:rFonts w:ascii="Arial" w:cs="Arial" w:eastAsia="Arial" w:hAnsi="Arial"/>
                <w:sz w:val="13"/>
                <w:szCs w:val="13"/>
                <w:color w:val="auto"/>
              </w:rPr>
              <w:t xml:space="preserve">   </w:t>
            </w:r>
          </w:p>
        </w:tc>
        <w:tc>
          <w:tcPr>
            <w:tcW w:w="120" w:type="dxa"/>
            <w:vAlign w:val="bottom"/>
          </w:tcPr>
          <w:p>
            <w:pPr>
              <w:jc w:val="right"/>
              <w:spacing w:after="0"/>
              <w:rPr>
                <w:sz w:val="20"/>
                <w:szCs w:val="20"/>
                <w:color w:val="auto"/>
              </w:rPr>
            </w:pPr>
            <w:r>
              <w:rPr>
                <w:rFonts w:ascii="Arial" w:cs="Arial" w:eastAsia="Arial" w:hAnsi="Arial"/>
                <w:sz w:val="11"/>
                <w:szCs w:val="11"/>
                <w:color w:val="auto"/>
                <w:w w:val="72"/>
              </w:rPr>
              <w:t> </w:t>
            </w:r>
          </w:p>
        </w:tc>
        <w:tc>
          <w:tcPr>
            <w:tcW w:w="220" w:type="dxa"/>
            <w:vAlign w:val="bottom"/>
            <w:gridSpan w:val="2"/>
          </w:tcPr>
          <w:p>
            <w:pPr>
              <w:jc w:val="right"/>
              <w:ind w:right="32"/>
              <w:spacing w:after="0"/>
              <w:rPr>
                <w:sz w:val="20"/>
                <w:szCs w:val="20"/>
                <w:color w:val="auto"/>
              </w:rPr>
            </w:pPr>
            <w:r>
              <w:rPr>
                <w:rFonts w:ascii="Arial" w:cs="Arial" w:eastAsia="Arial" w:hAnsi="Arial"/>
                <w:sz w:val="13"/>
                <w:szCs w:val="13"/>
                <w:color w:val="auto"/>
                <w:w w:val="76"/>
              </w:rPr>
              <w:t>  </w:t>
            </w:r>
          </w:p>
        </w:tc>
        <w:tc>
          <w:tcPr>
            <w:tcW w:w="140" w:type="dxa"/>
            <w:vAlign w:val="bottom"/>
            <w:gridSpan w:val="2"/>
          </w:tcPr>
          <w:p>
            <w:pPr>
              <w:ind w:left="20"/>
              <w:spacing w:after="0"/>
              <w:rPr>
                <w:sz w:val="20"/>
                <w:szCs w:val="20"/>
                <w:color w:val="auto"/>
              </w:rPr>
            </w:pPr>
            <w:r>
              <w:rPr>
                <w:rFonts w:ascii="Arial" w:cs="Arial" w:eastAsia="Arial" w:hAnsi="Arial"/>
                <w:sz w:val="13"/>
                <w:szCs w:val="13"/>
                <w:color w:val="auto"/>
                <w:w w:val="76"/>
              </w:rPr>
              <w:t> </w:t>
            </w:r>
          </w:p>
        </w:tc>
        <w:tc>
          <w:tcPr>
            <w:tcW w:w="2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gridSpan w:val="5"/>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08"/>
        </w:trPr>
        <w:tc>
          <w:tcPr>
            <w:tcW w:w="900" w:type="dxa"/>
            <w:vAlign w:val="bottom"/>
            <w:gridSpan w:val="7"/>
          </w:tcPr>
          <w:p>
            <w:pPr>
              <w:spacing w:after="0"/>
              <w:rPr>
                <w:sz w:val="20"/>
                <w:szCs w:val="20"/>
                <w:color w:val="auto"/>
              </w:rPr>
            </w:pPr>
            <w:r>
              <w:rPr>
                <w:rFonts w:ascii="Arial" w:cs="Arial" w:eastAsia="Arial" w:hAnsi="Arial"/>
                <w:sz w:val="13"/>
                <w:szCs w:val="13"/>
                <w:color w:val="auto"/>
                <w:w w:val="93"/>
              </w:rPr>
              <w:t>State: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60" w:type="dxa"/>
            <w:vAlign w:val="bottom"/>
          </w:tcPr>
          <w:p>
            <w:pPr>
              <w:jc w:val="center"/>
              <w:spacing w:after="0"/>
              <w:rPr>
                <w:sz w:val="20"/>
                <w:szCs w:val="20"/>
                <w:color w:val="auto"/>
              </w:rPr>
            </w:pPr>
            <w:r>
              <w:rPr>
                <w:rFonts w:ascii="Arial" w:cs="Arial" w:eastAsia="Arial" w:hAnsi="Arial"/>
                <w:sz w:val="13"/>
                <w:szCs w:val="13"/>
                <w:color w:val="auto"/>
              </w:rPr>
              <w:t xml:space="preserve">   </w:t>
            </w:r>
          </w:p>
        </w:tc>
        <w:tc>
          <w:tcPr>
            <w:tcW w:w="20" w:type="dxa"/>
            <w:vAlign w:val="bottom"/>
          </w:tcPr>
          <w:p>
            <w:pPr>
              <w:spacing w:after="0"/>
              <w:rPr>
                <w:sz w:val="18"/>
                <w:szCs w:val="18"/>
                <w:color w:val="auto"/>
              </w:rPr>
            </w:pP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2"/>
                <w:szCs w:val="2"/>
                <w:color w:val="auto"/>
                <w:w w:val="97"/>
              </w:rPr>
              <w:t> </w:t>
            </w:r>
          </w:p>
        </w:tc>
        <w:tc>
          <w:tcPr>
            <w:tcW w:w="400" w:type="dxa"/>
            <w:vAlign w:val="bottom"/>
            <w:gridSpan w:val="4"/>
          </w:tcPr>
          <w:p>
            <w:pPr>
              <w:jc w:val="center"/>
              <w:spacing w:after="0"/>
              <w:rPr>
                <w:sz w:val="20"/>
                <w:szCs w:val="20"/>
                <w:color w:val="auto"/>
              </w:rPr>
            </w:pPr>
            <w:r>
              <w:rPr>
                <w:rFonts w:ascii="Arial" w:cs="Arial" w:eastAsia="Arial" w:hAnsi="Arial"/>
                <w:sz w:val="13"/>
                <w:szCs w:val="13"/>
                <w:color w:val="auto"/>
                <w:w w:val="80"/>
              </w:rPr>
              <w:t> Zip: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260" w:type="dxa"/>
            <w:vAlign w:val="bottom"/>
            <w:gridSpan w:val="2"/>
          </w:tcPr>
          <w:p>
            <w:pPr>
              <w:ind w:left="60"/>
              <w:spacing w:after="0"/>
              <w:rPr>
                <w:sz w:val="20"/>
                <w:szCs w:val="20"/>
                <w:color w:val="auto"/>
              </w:rPr>
            </w:pPr>
            <w:r>
              <w:rPr>
                <w:rFonts w:ascii="Arial" w:cs="Arial" w:eastAsia="Arial" w:hAnsi="Arial"/>
                <w:sz w:val="13"/>
                <w:szCs w:val="13"/>
                <w:color w:val="auto"/>
              </w:rPr>
              <w:t xml:space="preserve">   </w:t>
            </w: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40" w:type="dxa"/>
            <w:vAlign w:val="bottom"/>
          </w:tcPr>
          <w:p>
            <w:pPr>
              <w:spacing w:after="0"/>
              <w:rPr>
                <w:sz w:val="20"/>
                <w:szCs w:val="20"/>
                <w:color w:val="auto"/>
              </w:rPr>
            </w:pPr>
            <w:r>
              <w:rPr>
                <w:rFonts w:ascii="Arial" w:cs="Arial" w:eastAsia="Arial" w:hAnsi="Arial"/>
                <w:sz w:val="13"/>
                <w:szCs w:val="13"/>
                <w:color w:val="auto"/>
                <w:w w:val="91"/>
              </w:rPr>
              <w:t> </w:t>
            </w:r>
          </w:p>
        </w:tc>
        <w:tc>
          <w:tcPr>
            <w:tcW w:w="140" w:type="dxa"/>
            <w:vAlign w:val="bottom"/>
          </w:tcPr>
          <w:p>
            <w:pPr>
              <w:jc w:val="center"/>
              <w:ind w:right="49"/>
              <w:spacing w:after="0"/>
              <w:rPr>
                <w:sz w:val="20"/>
                <w:szCs w:val="20"/>
                <w:color w:val="auto"/>
              </w:rPr>
            </w:pPr>
            <w:r>
              <w:rPr>
                <w:rFonts w:ascii="Arial" w:cs="Arial" w:eastAsia="Arial" w:hAnsi="Arial"/>
                <w:sz w:val="7"/>
                <w:szCs w:val="7"/>
                <w:color w:val="auto"/>
                <w:w w:val="70"/>
              </w:rPr>
              <w:t>  </w:t>
            </w:r>
          </w:p>
        </w:tc>
        <w:tc>
          <w:tcPr>
            <w:tcW w:w="16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6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160" w:type="dxa"/>
            <w:vAlign w:val="bottom"/>
            <w:gridSpan w:val="3"/>
          </w:tcPr>
          <w:p>
            <w:pPr>
              <w:ind w:left="140"/>
              <w:spacing w:after="0"/>
              <w:rPr>
                <w:sz w:val="20"/>
                <w:szCs w:val="20"/>
                <w:color w:val="auto"/>
              </w:rPr>
            </w:pPr>
            <w:r>
              <w:rPr>
                <w:rFonts w:ascii="Arial" w:cs="Arial" w:eastAsia="Arial" w:hAnsi="Arial"/>
                <w:sz w:val="13"/>
                <w:szCs w:val="13"/>
                <w:color w:val="auto"/>
                <w:w w:val="93"/>
              </w:rPr>
              <w:t>Phone Number: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gridSpan w:val="2"/>
          </w:tcPr>
          <w:p>
            <w:pPr>
              <w:ind w:left="60"/>
              <w:spacing w:after="0"/>
              <w:rPr>
                <w:sz w:val="20"/>
                <w:szCs w:val="20"/>
                <w:color w:val="auto"/>
              </w:rPr>
            </w:pPr>
            <w:r>
              <w:rPr>
                <w:rFonts w:ascii="Arial" w:cs="Arial" w:eastAsia="Arial" w:hAnsi="Arial"/>
                <w:sz w:val="8"/>
                <w:szCs w:val="8"/>
                <w:color w:val="auto"/>
                <w:w w:val="74"/>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80" w:type="dxa"/>
            <w:vAlign w:val="bottom"/>
          </w:tcPr>
          <w:p>
            <w:pPr>
              <w:jc w:val="center"/>
              <w:spacing w:after="0"/>
              <w:rPr>
                <w:sz w:val="20"/>
                <w:szCs w:val="20"/>
                <w:color w:val="auto"/>
              </w:rPr>
            </w:pPr>
            <w:r>
              <w:rPr>
                <w:rFonts w:ascii="Arial" w:cs="Arial" w:eastAsia="Arial" w:hAnsi="Arial"/>
                <w:sz w:val="4"/>
                <w:szCs w:val="4"/>
                <w:color w:val="auto"/>
                <w:w w:val="98"/>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60" w:type="dxa"/>
            <w:vAlign w:val="bottom"/>
          </w:tcPr>
          <w:p>
            <w:pPr>
              <w:ind w:left="40"/>
              <w:spacing w:after="0"/>
              <w:rPr>
                <w:sz w:val="20"/>
                <w:szCs w:val="20"/>
                <w:color w:val="auto"/>
              </w:rPr>
            </w:pPr>
            <w:r>
              <w:rPr>
                <w:rFonts w:ascii="Arial" w:cs="Arial" w:eastAsia="Arial" w:hAnsi="Arial"/>
                <w:sz w:val="13"/>
                <w:szCs w:val="13"/>
                <w:color w:val="auto"/>
                <w:w w:val="76"/>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40" w:type="dxa"/>
            <w:vAlign w:val="bottom"/>
          </w:tcPr>
          <w:p>
            <w:pPr>
              <w:spacing w:after="0"/>
              <w:rPr>
                <w:sz w:val="20"/>
                <w:szCs w:val="20"/>
                <w:color w:val="auto"/>
              </w:rPr>
            </w:pPr>
            <w:r>
              <w:rPr>
                <w:rFonts w:ascii="Arial" w:cs="Arial" w:eastAsia="Arial" w:hAnsi="Arial"/>
                <w:sz w:val="13"/>
                <w:szCs w:val="13"/>
                <w:color w:val="auto"/>
                <w:w w:val="91"/>
              </w:rPr>
              <w:t> </w:t>
            </w: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140" w:type="dxa"/>
            <w:vAlign w:val="bottom"/>
          </w:tcPr>
          <w:p>
            <w:pPr>
              <w:ind w:left="20"/>
              <w:spacing w:after="0"/>
              <w:rPr>
                <w:sz w:val="20"/>
                <w:szCs w:val="20"/>
                <w:color w:val="auto"/>
              </w:rPr>
            </w:pPr>
            <w:r>
              <w:rPr>
                <w:rFonts w:ascii="Arial" w:cs="Arial" w:eastAsia="Arial" w:hAnsi="Arial"/>
                <w:sz w:val="11"/>
                <w:szCs w:val="11"/>
                <w:color w:val="auto"/>
                <w:w w:val="75"/>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80" w:type="dxa"/>
            <w:vAlign w:val="bottom"/>
          </w:tcPr>
          <w:p>
            <w:pPr>
              <w:jc w:val="right"/>
              <w:ind w:right="1"/>
              <w:spacing w:after="0"/>
              <w:rPr>
                <w:sz w:val="20"/>
                <w:szCs w:val="20"/>
                <w:color w:val="auto"/>
              </w:rPr>
            </w:pPr>
            <w:r>
              <w:rPr>
                <w:rFonts w:ascii="Arial" w:cs="Arial" w:eastAsia="Arial" w:hAnsi="Arial"/>
                <w:sz w:val="13"/>
                <w:szCs w:val="13"/>
                <w:color w:val="auto"/>
              </w:rPr>
              <w:t xml:space="preserve">   </w:t>
            </w:r>
          </w:p>
        </w:tc>
        <w:tc>
          <w:tcPr>
            <w:tcW w:w="120" w:type="dxa"/>
            <w:vAlign w:val="bottom"/>
          </w:tcPr>
          <w:p>
            <w:pPr>
              <w:jc w:val="right"/>
              <w:ind w:right="5"/>
              <w:spacing w:after="0"/>
              <w:rPr>
                <w:sz w:val="20"/>
                <w:szCs w:val="20"/>
                <w:color w:val="auto"/>
              </w:rPr>
            </w:pPr>
            <w:r>
              <w:rPr>
                <w:rFonts w:ascii="Arial" w:cs="Arial" w:eastAsia="Arial" w:hAnsi="Arial"/>
                <w:sz w:val="8"/>
                <w:szCs w:val="8"/>
                <w:color w:val="auto"/>
                <w:w w:val="74"/>
              </w:rPr>
              <w:t> </w:t>
            </w:r>
          </w:p>
        </w:tc>
        <w:tc>
          <w:tcPr>
            <w:tcW w:w="100" w:type="dxa"/>
            <w:vAlign w:val="bottom"/>
          </w:tcPr>
          <w:p>
            <w:pPr>
              <w:ind w:left="60"/>
              <w:spacing w:after="0"/>
              <w:rPr>
                <w:sz w:val="20"/>
                <w:szCs w:val="20"/>
                <w:color w:val="auto"/>
              </w:rPr>
            </w:pPr>
            <w:r>
              <w:rPr>
                <w:rFonts w:ascii="Arial" w:cs="Arial" w:eastAsia="Arial" w:hAnsi="Arial"/>
                <w:sz w:val="2"/>
                <w:szCs w:val="2"/>
                <w:color w:val="auto"/>
                <w:w w:val="97"/>
              </w:rPr>
              <w:t> </w:t>
            </w:r>
          </w:p>
        </w:tc>
        <w:tc>
          <w:tcPr>
            <w:tcW w:w="120" w:type="dxa"/>
            <w:vAlign w:val="bottom"/>
          </w:tcPr>
          <w:p>
            <w:pPr>
              <w:jc w:val="right"/>
              <w:spacing w:after="0"/>
              <w:rPr>
                <w:sz w:val="20"/>
                <w:szCs w:val="20"/>
                <w:color w:val="auto"/>
              </w:rPr>
            </w:pPr>
            <w:r>
              <w:rPr>
                <w:rFonts w:ascii="Arial" w:cs="Arial" w:eastAsia="Arial" w:hAnsi="Arial"/>
                <w:sz w:val="13"/>
                <w:szCs w:val="13"/>
                <w:color w:val="auto"/>
                <w:w w:val="76"/>
              </w:rPr>
              <w:t> </w:t>
            </w:r>
          </w:p>
        </w:tc>
        <w:tc>
          <w:tcPr>
            <w:tcW w:w="140" w:type="dxa"/>
            <w:vAlign w:val="bottom"/>
            <w:gridSpan w:val="2"/>
          </w:tcPr>
          <w:p>
            <w:pPr>
              <w:ind w:left="100"/>
              <w:spacing w:after="0"/>
              <w:rPr>
                <w:sz w:val="20"/>
                <w:szCs w:val="20"/>
                <w:color w:val="auto"/>
              </w:rPr>
            </w:pPr>
            <w:r>
              <w:rPr>
                <w:rFonts w:ascii="Arial" w:cs="Arial" w:eastAsia="Arial" w:hAnsi="Arial"/>
                <w:sz w:val="4"/>
                <w:szCs w:val="4"/>
                <w:color w:val="auto"/>
                <w:w w:val="87"/>
              </w:rPr>
              <w:t> </w:t>
            </w:r>
          </w:p>
        </w:tc>
        <w:tc>
          <w:tcPr>
            <w:tcW w:w="20" w:type="dxa"/>
            <w:vAlign w:val="bottom"/>
          </w:tcPr>
          <w:p>
            <w:pPr>
              <w:spacing w:after="0"/>
              <w:rPr>
                <w:sz w:val="18"/>
                <w:szCs w:val="18"/>
                <w:color w:val="auto"/>
              </w:rPr>
            </w:pPr>
          </w:p>
        </w:tc>
      </w:tr>
      <w:tr>
        <w:trPr>
          <w:trHeight w:val="20"/>
        </w:trPr>
        <w:tc>
          <w:tcPr>
            <w:tcW w:w="380" w:type="dxa"/>
            <w:vAlign w:val="bottom"/>
            <w:gridSpan w:val="2"/>
          </w:tcPr>
          <w:p>
            <w:pPr>
              <w:spacing w:after="0" w:line="20" w:lineRule="exact"/>
              <w:rPr>
                <w:sz w:val="1"/>
                <w:szCs w:val="1"/>
                <w:color w:val="auto"/>
              </w:rPr>
            </w:pPr>
          </w:p>
        </w:tc>
        <w:tc>
          <w:tcPr>
            <w:tcW w:w="520" w:type="dxa"/>
            <w:vAlign w:val="bottom"/>
            <w:gridSpan w:val="5"/>
            <w:shd w:val="clear" w:color="auto" w:fill="000000"/>
          </w:tcPr>
          <w:p>
            <w:pPr>
              <w:spacing w:after="0" w:line="20" w:lineRule="exact"/>
              <w:rPr>
                <w:sz w:val="1"/>
                <w:szCs w:val="1"/>
                <w:color w:val="auto"/>
              </w:rPr>
            </w:pPr>
          </w:p>
        </w:tc>
        <w:tc>
          <w:tcPr>
            <w:tcW w:w="580" w:type="dxa"/>
            <w:vAlign w:val="bottom"/>
            <w:gridSpan w:val="5"/>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900" w:type="dxa"/>
            <w:vAlign w:val="bottom"/>
            <w:gridSpan w:val="7"/>
          </w:tcPr>
          <w:p>
            <w:pPr>
              <w:spacing w:after="0"/>
              <w:rPr>
                <w:sz w:val="20"/>
                <w:szCs w:val="20"/>
                <w:color w:val="auto"/>
              </w:rPr>
            </w:pPr>
            <w:r>
              <w:rPr>
                <w:rFonts w:ascii="Arial" w:cs="Arial" w:eastAsia="Arial" w:hAnsi="Arial"/>
                <w:sz w:val="13"/>
                <w:szCs w:val="13"/>
                <w:color w:val="auto"/>
              </w:rPr>
              <w:t>Social Security</w:t>
            </w:r>
          </w:p>
        </w:tc>
        <w:tc>
          <w:tcPr>
            <w:tcW w:w="700" w:type="dxa"/>
            <w:vAlign w:val="bottom"/>
            <w:gridSpan w:val="6"/>
          </w:tcPr>
          <w:p>
            <w:pPr>
              <w:ind w:left="60"/>
              <w:spacing w:after="0"/>
              <w:rPr>
                <w:sz w:val="20"/>
                <w:szCs w:val="20"/>
                <w:color w:val="auto"/>
              </w:rPr>
            </w:pPr>
            <w:r>
              <w:rPr>
                <w:rFonts w:ascii="Arial" w:cs="Arial" w:eastAsia="Arial" w:hAnsi="Arial"/>
                <w:sz w:val="13"/>
                <w:szCs w:val="13"/>
                <w:color w:val="auto"/>
                <w:w w:val="94"/>
              </w:rPr>
              <w:t>Number: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gridSpan w:val="2"/>
          </w:tcPr>
          <w:p>
            <w:pPr>
              <w:ind w:left="20"/>
              <w:spacing w:after="0"/>
              <w:rPr>
                <w:sz w:val="20"/>
                <w:szCs w:val="20"/>
                <w:color w:val="auto"/>
              </w:rPr>
            </w:pPr>
            <w:r>
              <w:rPr>
                <w:rFonts w:ascii="Arial" w:cs="Arial" w:eastAsia="Arial" w:hAnsi="Arial"/>
                <w:sz w:val="13"/>
                <w:szCs w:val="13"/>
                <w:color w:val="auto"/>
                <w:w w:val="76"/>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jc w:val="right"/>
              <w:ind w:right="28"/>
              <w:spacing w:after="0"/>
              <w:rPr>
                <w:sz w:val="20"/>
                <w:szCs w:val="20"/>
                <w:color w:val="auto"/>
              </w:rPr>
            </w:pPr>
            <w:r>
              <w:rPr>
                <w:rFonts w:ascii="Arial" w:cs="Arial" w:eastAsia="Arial" w:hAnsi="Arial"/>
                <w:sz w:val="4"/>
                <w:szCs w:val="4"/>
                <w:color w:val="auto"/>
                <w:w w:val="98"/>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40" w:type="dxa"/>
            <w:vAlign w:val="bottom"/>
          </w:tcPr>
          <w:p>
            <w:pPr>
              <w:jc w:val="center"/>
              <w:ind w:right="29"/>
              <w:spacing w:after="0"/>
              <w:rPr>
                <w:sz w:val="20"/>
                <w:szCs w:val="20"/>
                <w:color w:val="auto"/>
              </w:rPr>
            </w:pPr>
            <w:r>
              <w:rPr>
                <w:rFonts w:ascii="Arial" w:cs="Arial" w:eastAsia="Arial" w:hAnsi="Arial"/>
                <w:sz w:val="4"/>
                <w:szCs w:val="4"/>
                <w:color w:val="auto"/>
                <w:w w:val="98"/>
              </w:rPr>
              <w:t> </w:t>
            </w:r>
          </w:p>
        </w:tc>
        <w:tc>
          <w:tcPr>
            <w:tcW w:w="16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60" w:type="dxa"/>
            <w:vAlign w:val="bottom"/>
          </w:tcPr>
          <w:p>
            <w:pPr>
              <w:jc w:val="center"/>
              <w:spacing w:after="0"/>
              <w:rPr>
                <w:sz w:val="20"/>
                <w:szCs w:val="20"/>
                <w:color w:val="auto"/>
              </w:rPr>
            </w:pPr>
            <w:r>
              <w:rPr>
                <w:rFonts w:ascii="Arial" w:cs="Arial" w:eastAsia="Arial" w:hAnsi="Arial"/>
                <w:sz w:val="13"/>
                <w:szCs w:val="13"/>
                <w:color w:val="auto"/>
              </w:rPr>
              <w:t xml:space="preserve">    </w:t>
            </w:r>
          </w:p>
        </w:tc>
        <w:tc>
          <w:tcPr>
            <w:tcW w:w="1300" w:type="dxa"/>
            <w:vAlign w:val="bottom"/>
            <w:gridSpan w:val="4"/>
          </w:tcPr>
          <w:p>
            <w:pPr>
              <w:ind w:left="140"/>
              <w:spacing w:after="0" w:line="150" w:lineRule="exact"/>
              <w:rPr>
                <w:sz w:val="20"/>
                <w:szCs w:val="20"/>
                <w:color w:val="auto"/>
              </w:rPr>
            </w:pPr>
            <w:r>
              <w:rPr>
                <w:rFonts w:ascii="MS PGothic" w:cs="MS PGothic" w:eastAsia="MS PGothic" w:hAnsi="MS PGothic"/>
                <w:sz w:val="13"/>
                <w:szCs w:val="13"/>
                <w:color w:val="auto"/>
                <w:w w:val="96"/>
              </w:rPr>
              <w:t>☐</w:t>
            </w:r>
            <w:r>
              <w:rPr>
                <w:rFonts w:ascii="Arial" w:cs="Arial" w:eastAsia="Arial" w:hAnsi="Arial"/>
                <w:sz w:val="13"/>
                <w:szCs w:val="13"/>
                <w:color w:val="auto"/>
                <w:w w:val="96"/>
              </w:rPr>
              <w:t xml:space="preserve"> Male   </w:t>
            </w:r>
            <w:r>
              <w:rPr>
                <w:rFonts w:ascii="MS PGothic" w:cs="MS PGothic" w:eastAsia="MS PGothic" w:hAnsi="MS PGothic"/>
                <w:sz w:val="13"/>
                <w:szCs w:val="13"/>
                <w:color w:val="auto"/>
                <w:w w:val="96"/>
              </w:rPr>
              <w:t>☐</w:t>
            </w:r>
            <w:r>
              <w:rPr>
                <w:rFonts w:ascii="Arial" w:cs="Arial" w:eastAsia="Arial" w:hAnsi="Arial"/>
                <w:sz w:val="13"/>
                <w:szCs w:val="13"/>
                <w:color w:val="auto"/>
                <w:w w:val="96"/>
              </w:rPr>
              <w:t xml:space="preserve"> Female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1860" w:type="dxa"/>
            <w:vAlign w:val="bottom"/>
            <w:gridSpan w:val="15"/>
          </w:tcPr>
          <w:p>
            <w:pPr>
              <w:spacing w:after="0" w:line="20" w:lineRule="exact"/>
              <w:rPr>
                <w:sz w:val="1"/>
                <w:szCs w:val="1"/>
                <w:color w:val="auto"/>
              </w:rPr>
            </w:pPr>
          </w:p>
        </w:tc>
        <w:tc>
          <w:tcPr>
            <w:tcW w:w="1760" w:type="dxa"/>
            <w:vAlign w:val="bottom"/>
            <w:tcBorders>
              <w:left w:val="single" w:sz="8" w:color="auto"/>
              <w:right w:val="single" w:sz="8" w:color="auto"/>
            </w:tcBorders>
            <w:gridSpan w:val="14"/>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4020" w:type="dxa"/>
            <w:vAlign w:val="bottom"/>
            <w:tcBorders>
              <w:left w:val="single" w:sz="8" w:color="auto"/>
            </w:tcBorders>
            <w:gridSpan w:val="27"/>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240" w:hanging="160"/>
        <w:spacing w:after="0"/>
        <w:tabs>
          <w:tab w:leader="none" w:pos="240" w:val="left"/>
        </w:tabs>
        <w:numPr>
          <w:ilvl w:val="1"/>
          <w:numId w:val="89"/>
        </w:numPr>
        <w:rPr>
          <w:rFonts w:ascii="Arial" w:cs="Arial" w:eastAsia="Arial" w:hAnsi="Arial"/>
          <w:sz w:val="15"/>
          <w:szCs w:val="15"/>
          <w:b w:val="1"/>
          <w:bCs w:val="1"/>
          <w:color w:val="auto"/>
        </w:rPr>
      </w:pPr>
      <w:r>
        <w:rPr>
          <w:rFonts w:ascii="Arial" w:cs="Arial" w:eastAsia="Arial" w:hAnsi="Arial"/>
          <w:sz w:val="15"/>
          <w:szCs w:val="15"/>
          <w:b w:val="1"/>
          <w:bCs w:val="1"/>
          <w:color w:val="auto"/>
        </w:rPr>
        <w:t>Owner Information</w:t>
      </w:r>
    </w:p>
    <w:p>
      <w:pPr>
        <w:spacing w:after="0" w:line="109" w:lineRule="exact"/>
        <w:rPr>
          <w:rFonts w:ascii="Arial" w:cs="Arial" w:eastAsia="Arial" w:hAnsi="Arial"/>
          <w:sz w:val="15"/>
          <w:szCs w:val="15"/>
          <w:b w:val="1"/>
          <w:bCs w:val="1"/>
          <w:color w:val="auto"/>
        </w:rPr>
      </w:pPr>
    </w:p>
    <w:p>
      <w:pPr>
        <w:ind w:left="240" w:hanging="161"/>
        <w:spacing w:after="0"/>
        <w:tabs>
          <w:tab w:leader="none" w:pos="240" w:val="left"/>
        </w:tabs>
        <w:numPr>
          <w:ilvl w:val="0"/>
          <w:numId w:val="89"/>
        </w:numPr>
        <w:rPr>
          <w:rFonts w:ascii="Arial" w:cs="Arial" w:eastAsia="Arial" w:hAnsi="Arial"/>
          <w:sz w:val="13"/>
          <w:szCs w:val="13"/>
          <w:color w:val="auto"/>
        </w:rPr>
      </w:pPr>
      <w:r>
        <w:rPr>
          <w:rFonts w:ascii="Arial" w:cs="Arial" w:eastAsia="Arial" w:hAnsi="Arial"/>
          <w:sz w:val="13"/>
          <w:szCs w:val="13"/>
          <w:color w:val="auto"/>
        </w:rPr>
        <w:t>Complete if the Owner is different than the Annuitant. Correspondence is sent to the Owner.</w:t>
      </w:r>
    </w:p>
    <w:p>
      <w:pPr>
        <w:spacing w:after="0" w:line="11" w:lineRule="exact"/>
        <w:rPr>
          <w:rFonts w:ascii="Arial" w:cs="Arial" w:eastAsia="Arial" w:hAnsi="Arial"/>
          <w:sz w:val="13"/>
          <w:szCs w:val="13"/>
          <w:color w:val="auto"/>
        </w:rPr>
      </w:pPr>
    </w:p>
    <w:p>
      <w:pPr>
        <w:ind w:left="240" w:hanging="161"/>
        <w:spacing w:after="0"/>
        <w:tabs>
          <w:tab w:leader="none" w:pos="240" w:val="left"/>
        </w:tabs>
        <w:numPr>
          <w:ilvl w:val="0"/>
          <w:numId w:val="89"/>
        </w:numPr>
        <w:rPr>
          <w:rFonts w:ascii="Arial" w:cs="Arial" w:eastAsia="Arial" w:hAnsi="Arial"/>
          <w:sz w:val="13"/>
          <w:szCs w:val="13"/>
          <w:color w:val="auto"/>
        </w:rPr>
      </w:pPr>
      <w:r>
        <w:rPr>
          <w:rFonts w:ascii="Arial" w:cs="Arial" w:eastAsia="Arial" w:hAnsi="Arial"/>
          <w:sz w:val="13"/>
          <w:szCs w:val="13"/>
          <w:color w:val="auto"/>
        </w:rPr>
        <w:t>If Owner is a Trust, complete the Trustee Certification form.</w:t>
      </w:r>
    </w:p>
    <w:p>
      <w:pPr>
        <w:ind w:left="240" w:right="2199" w:hanging="161"/>
        <w:spacing w:after="0" w:line="258" w:lineRule="auto"/>
        <w:tabs>
          <w:tab w:leader="none" w:pos="240" w:val="left"/>
        </w:tabs>
        <w:numPr>
          <w:ilvl w:val="0"/>
          <w:numId w:val="89"/>
        </w:numPr>
        <w:rPr>
          <w:rFonts w:ascii="Arial" w:cs="Arial" w:eastAsia="Arial" w:hAnsi="Arial"/>
          <w:sz w:val="13"/>
          <w:szCs w:val="13"/>
          <w:color w:val="auto"/>
        </w:rPr>
      </w:pPr>
      <w:r>
        <w:rPr>
          <w:rFonts w:ascii="Arial" w:cs="Arial" w:eastAsia="Arial" w:hAnsi="Arial"/>
          <w:sz w:val="13"/>
          <w:szCs w:val="13"/>
          <w:color w:val="auto"/>
        </w:rPr>
        <w:t>Unless otherwise permitted by the Internal Revenue Code, the Owner and Annuitant of this Contract must be the same individual for all IRA plan types except IRAs held by a custodian.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-455295</wp:posOffset>
            </wp:positionV>
            <wp:extent cx="5140325" cy="127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1">
                      <a:extLst>
                        <a:ext uri="{28A0092B-C50C-407E-A947-70E740481C1C}"/>
                      </a:extLst>
                    </a:blip>
                    <a:srcRect/>
                    <a:stretch>
                      <a:fillRect/>
                    </a:stretch>
                  </pic:blipFill>
                  <pic:spPr bwMode="auto">
                    <a:xfrm>
                      <a:off x="0" y="0"/>
                      <a:ext cx="5140325" cy="127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1920" w:type="dxa"/>
            <w:vAlign w:val="bottom"/>
            <w:gridSpan w:val="13"/>
          </w:tcPr>
          <w:p>
            <w:pPr>
              <w:ind w:left="60"/>
              <w:spacing w:after="0"/>
              <w:rPr>
                <w:sz w:val="20"/>
                <w:szCs w:val="20"/>
                <w:color w:val="auto"/>
              </w:rPr>
            </w:pPr>
            <w:r>
              <w:rPr>
                <w:rFonts w:ascii="Arial" w:cs="Arial" w:eastAsia="Arial" w:hAnsi="Arial"/>
                <w:sz w:val="13"/>
                <w:szCs w:val="13"/>
                <w:color w:val="auto"/>
              </w:rPr>
              <w:t xml:space="preserve">First/Entity Name: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jc w:val="right"/>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jc w:val="right"/>
              <w:ind w:right="22"/>
              <w:spacing w:after="0"/>
              <w:rPr>
                <w:sz w:val="20"/>
                <w:szCs w:val="20"/>
                <w:color w:val="auto"/>
              </w:rPr>
            </w:pPr>
            <w:r>
              <w:rPr>
                <w:rFonts w:ascii="Arial" w:cs="Arial" w:eastAsia="Arial" w:hAnsi="Arial"/>
                <w:sz w:val="8"/>
                <w:szCs w:val="8"/>
                <w:color w:val="auto"/>
                <w:w w:val="74"/>
              </w:rPr>
              <w:t> </w:t>
            </w:r>
          </w:p>
        </w:tc>
        <w:tc>
          <w:tcPr>
            <w:tcW w:w="16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00" w:type="dxa"/>
            <w:vAlign w:val="bottom"/>
          </w:tcPr>
          <w:p>
            <w:pPr>
              <w:ind w:left="2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240" w:type="dxa"/>
            <w:vAlign w:val="bottom"/>
            <w:gridSpan w:val="2"/>
          </w:tcPr>
          <w:p>
            <w:pPr>
              <w:ind w:left="40"/>
              <w:spacing w:after="0"/>
              <w:rPr>
                <w:sz w:val="20"/>
                <w:szCs w:val="20"/>
                <w:color w:val="auto"/>
              </w:rPr>
            </w:pPr>
            <w:r>
              <w:rPr>
                <w:rFonts w:ascii="Arial" w:cs="Arial" w:eastAsia="Arial" w:hAnsi="Arial"/>
                <w:sz w:val="13"/>
                <w:szCs w:val="13"/>
                <w:color w:val="auto"/>
              </w:rPr>
              <w:t xml:space="preserve">    </w:t>
            </w:r>
          </w:p>
        </w:tc>
        <w:tc>
          <w:tcPr>
            <w:tcW w:w="1040" w:type="dxa"/>
            <w:vAlign w:val="bottom"/>
          </w:tcPr>
          <w:p>
            <w:pPr>
              <w:ind w:left="60"/>
              <w:spacing w:after="0"/>
              <w:rPr>
                <w:sz w:val="20"/>
                <w:szCs w:val="20"/>
                <w:color w:val="auto"/>
              </w:rPr>
            </w:pPr>
            <w:r>
              <w:rPr>
                <w:rFonts w:ascii="Arial" w:cs="Arial" w:eastAsia="Arial" w:hAnsi="Arial"/>
                <w:sz w:val="13"/>
                <w:szCs w:val="13"/>
                <w:color w:val="auto"/>
              </w:rPr>
              <w:t xml:space="preserve">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40" w:type="dxa"/>
            <w:vAlign w:val="bottom"/>
            <w:gridSpan w:val="2"/>
          </w:tcPr>
          <w:p>
            <w:pPr>
              <w:ind w:left="20"/>
              <w:spacing w:after="0"/>
              <w:rPr>
                <w:sz w:val="20"/>
                <w:szCs w:val="20"/>
                <w:color w:val="auto"/>
              </w:rPr>
            </w:pPr>
            <w:r>
              <w:rPr>
                <w:rFonts w:ascii="Arial" w:cs="Arial" w:eastAsia="Arial" w:hAnsi="Arial"/>
                <w:sz w:val="13"/>
                <w:szCs w:val="13"/>
                <w:color w:val="auto"/>
                <w:w w:val="76"/>
              </w:rPr>
              <w:t> </w:t>
            </w:r>
          </w:p>
        </w:tc>
        <w:tc>
          <w:tcPr>
            <w:tcW w:w="80" w:type="dxa"/>
            <w:vAlign w:val="bottom"/>
          </w:tcPr>
          <w:p>
            <w:pPr>
              <w:spacing w:after="0"/>
              <w:rPr>
                <w:sz w:val="20"/>
                <w:szCs w:val="20"/>
                <w:color w:val="auto"/>
              </w:rPr>
            </w:pPr>
            <w:r>
              <w:rPr>
                <w:rFonts w:ascii="Arial" w:cs="Arial" w:eastAsia="Arial" w:hAnsi="Arial"/>
                <w:sz w:val="8"/>
                <w:szCs w:val="8"/>
                <w:color w:val="auto"/>
                <w:w w:val="74"/>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gridSpan w:val="2"/>
          </w:tcPr>
          <w:p>
            <w:pPr>
              <w:ind w:left="80"/>
              <w:spacing w:after="0"/>
              <w:rPr>
                <w:sz w:val="20"/>
                <w:szCs w:val="20"/>
                <w:color w:val="auto"/>
              </w:rPr>
            </w:pPr>
            <w:r>
              <w:rPr>
                <w:rFonts w:ascii="Arial" w:cs="Arial" w:eastAsia="Arial" w:hAnsi="Arial"/>
                <w:sz w:val="4"/>
                <w:szCs w:val="4"/>
                <w:color w:val="auto"/>
                <w:w w:val="98"/>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20" w:type="dxa"/>
            <w:vAlign w:val="bottom"/>
          </w:tcPr>
          <w:p>
            <w:pPr>
              <w:jc w:val="right"/>
              <w:spacing w:after="0"/>
              <w:rPr>
                <w:sz w:val="20"/>
                <w:szCs w:val="20"/>
                <w:color w:val="auto"/>
              </w:rPr>
            </w:pPr>
            <w:r>
              <w:rPr>
                <w:rFonts w:ascii="Arial" w:cs="Arial" w:eastAsia="Arial" w:hAnsi="Arial"/>
                <w:sz w:val="11"/>
                <w:szCs w:val="11"/>
                <w:color w:val="auto"/>
                <w:w w:val="72"/>
              </w:rPr>
              <w:t> </w:t>
            </w:r>
          </w:p>
        </w:tc>
        <w:tc>
          <w:tcPr>
            <w:tcW w:w="140" w:type="dxa"/>
            <w:vAlign w:val="bottom"/>
          </w:tcPr>
          <w:p>
            <w:pPr>
              <w:jc w:val="right"/>
              <w:spacing w:after="0"/>
              <w:rPr>
                <w:sz w:val="20"/>
                <w:szCs w:val="20"/>
                <w:color w:val="auto"/>
              </w:rPr>
            </w:pPr>
            <w:r>
              <w:rPr>
                <w:rFonts w:ascii="Arial" w:cs="Arial" w:eastAsia="Arial" w:hAnsi="Arial"/>
                <w:sz w:val="13"/>
                <w:szCs w:val="13"/>
                <w:color w:val="auto"/>
                <w:w w:val="76"/>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60" w:type="dxa"/>
            <w:vAlign w:val="bottom"/>
          </w:tcPr>
          <w:p>
            <w:pPr>
              <w:jc w:val="right"/>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80" w:type="dxa"/>
            <w:vAlign w:val="bottom"/>
          </w:tcPr>
          <w:p>
            <w:pPr>
              <w:jc w:val="right"/>
              <w:spacing w:after="0"/>
              <w:rPr>
                <w:sz w:val="20"/>
                <w:szCs w:val="20"/>
                <w:color w:val="auto"/>
              </w:rPr>
            </w:pPr>
            <w:r>
              <w:rPr>
                <w:rFonts w:ascii="Arial" w:cs="Arial" w:eastAsia="Arial" w:hAnsi="Arial"/>
                <w:sz w:val="8"/>
                <w:szCs w:val="8"/>
                <w:color w:val="auto"/>
                <w:w w:val="74"/>
              </w:rPr>
              <w:t> </w:t>
            </w:r>
          </w:p>
        </w:tc>
        <w:tc>
          <w:tcPr>
            <w:tcW w:w="140" w:type="dxa"/>
            <w:vAlign w:val="bottom"/>
          </w:tcPr>
          <w:p>
            <w:pPr>
              <w:ind w:left="100"/>
              <w:spacing w:after="0"/>
              <w:rPr>
                <w:sz w:val="20"/>
                <w:szCs w:val="20"/>
                <w:color w:val="auto"/>
              </w:rPr>
            </w:pPr>
            <w:r>
              <w:rPr>
                <w:rFonts w:ascii="Arial" w:cs="Arial" w:eastAsia="Arial" w:hAnsi="Arial"/>
                <w:sz w:val="2"/>
                <w:szCs w:val="2"/>
                <w:color w:val="auto"/>
                <w:w w:val="97"/>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40" w:type="dxa"/>
            <w:vAlign w:val="bottom"/>
          </w:tcPr>
          <w:p>
            <w:pPr>
              <w:jc w:val="right"/>
              <w:spacing w:after="0"/>
              <w:rPr>
                <w:sz w:val="20"/>
                <w:szCs w:val="20"/>
                <w:color w:val="auto"/>
              </w:rPr>
            </w:pPr>
            <w:r>
              <w:rPr>
                <w:rFonts w:ascii="Arial" w:cs="Arial" w:eastAsia="Arial" w:hAnsi="Arial"/>
                <w:sz w:val="13"/>
                <w:szCs w:val="13"/>
                <w:color w:val="auto"/>
                <w:w w:val="76"/>
              </w:rPr>
              <w:t> </w:t>
            </w:r>
          </w:p>
        </w:tc>
        <w:tc>
          <w:tcPr>
            <w:tcW w:w="140" w:type="dxa"/>
            <w:vAlign w:val="bottom"/>
          </w:tcPr>
          <w:p>
            <w:pPr>
              <w:ind w:left="60"/>
              <w:spacing w:after="0"/>
              <w:rPr>
                <w:sz w:val="20"/>
                <w:szCs w:val="20"/>
                <w:color w:val="auto"/>
              </w:rPr>
            </w:pPr>
            <w:r>
              <w:rPr>
                <w:rFonts w:ascii="Arial" w:cs="Arial" w:eastAsia="Arial" w:hAnsi="Arial"/>
                <w:sz w:val="11"/>
                <w:szCs w:val="11"/>
                <w:color w:val="auto"/>
                <w:w w:val="71"/>
              </w:rPr>
              <w:t> </w:t>
            </w:r>
          </w:p>
        </w:tc>
        <w:tc>
          <w:tcPr>
            <w:tcW w:w="40" w:type="dxa"/>
            <w:vAlign w:val="bottom"/>
          </w:tcPr>
          <w:p>
            <w:pPr>
              <w:spacing w:after="0"/>
              <w:rPr>
                <w:sz w:val="13"/>
                <w:szCs w:val="13"/>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8"/>
        </w:trPr>
        <w:tc>
          <w:tcPr>
            <w:tcW w:w="1320" w:type="dxa"/>
            <w:vAlign w:val="bottom"/>
            <w:gridSpan w:val="8"/>
          </w:tcPr>
          <w:p>
            <w:pPr>
              <w:ind w:left="60"/>
              <w:spacing w:after="0"/>
              <w:rPr>
                <w:sz w:val="20"/>
                <w:szCs w:val="20"/>
                <w:color w:val="auto"/>
              </w:rPr>
            </w:pPr>
            <w:r>
              <w:rPr>
                <w:rFonts w:ascii="Arial" w:cs="Arial" w:eastAsia="Arial" w:hAnsi="Arial"/>
                <w:sz w:val="13"/>
                <w:szCs w:val="13"/>
                <w:color w:val="auto"/>
              </w:rPr>
              <w:t xml:space="preserve">Middle Name:        </w:t>
            </w:r>
          </w:p>
        </w:tc>
        <w:tc>
          <w:tcPr>
            <w:tcW w:w="60" w:type="dxa"/>
            <w:vAlign w:val="bottom"/>
          </w:tcPr>
          <w:p>
            <w:pPr>
              <w:ind w:left="20"/>
              <w:spacing w:after="0"/>
              <w:rPr>
                <w:sz w:val="20"/>
                <w:szCs w:val="20"/>
                <w:color w:val="auto"/>
              </w:rPr>
            </w:pPr>
            <w:r>
              <w:rPr>
                <w:rFonts w:ascii="Arial" w:cs="Arial" w:eastAsia="Arial" w:hAnsi="Arial"/>
                <w:sz w:val="2"/>
                <w:szCs w:val="2"/>
                <w:color w:val="auto"/>
                <w:w w:val="97"/>
              </w:rPr>
              <w:t> </w:t>
            </w:r>
          </w:p>
        </w:tc>
        <w:tc>
          <w:tcPr>
            <w:tcW w:w="140" w:type="dxa"/>
            <w:vAlign w:val="bottom"/>
          </w:tcPr>
          <w:p>
            <w:pPr>
              <w:ind w:left="100"/>
              <w:spacing w:after="0"/>
              <w:rPr>
                <w:sz w:val="20"/>
                <w:szCs w:val="20"/>
                <w:color w:val="auto"/>
              </w:rPr>
            </w:pPr>
            <w:r>
              <w:rPr>
                <w:rFonts w:ascii="Arial" w:cs="Arial" w:eastAsia="Arial" w:hAnsi="Arial"/>
                <w:sz w:val="2"/>
                <w:szCs w:val="2"/>
                <w:color w:val="auto"/>
                <w:w w:val="97"/>
              </w:rPr>
              <w:t> </w:t>
            </w:r>
          </w:p>
        </w:tc>
        <w:tc>
          <w:tcPr>
            <w:tcW w:w="120" w:type="dxa"/>
            <w:vAlign w:val="bottom"/>
          </w:tcPr>
          <w:p>
            <w:pPr>
              <w:jc w:val="right"/>
              <w:spacing w:after="0"/>
              <w:rPr>
                <w:sz w:val="20"/>
                <w:szCs w:val="20"/>
                <w:color w:val="auto"/>
              </w:rPr>
            </w:pPr>
            <w:r>
              <w:rPr>
                <w:rFonts w:ascii="Arial" w:cs="Arial" w:eastAsia="Arial" w:hAnsi="Arial"/>
                <w:sz w:val="13"/>
                <w:szCs w:val="13"/>
                <w:color w:val="auto"/>
                <w:w w:val="76"/>
              </w:rPr>
              <w:t> </w:t>
            </w:r>
          </w:p>
        </w:tc>
        <w:tc>
          <w:tcPr>
            <w:tcW w:w="140" w:type="dxa"/>
            <w:vAlign w:val="bottom"/>
          </w:tcPr>
          <w:p>
            <w:pPr>
              <w:ind w:left="100"/>
              <w:spacing w:after="0"/>
              <w:rPr>
                <w:sz w:val="20"/>
                <w:szCs w:val="20"/>
                <w:color w:val="auto"/>
              </w:rPr>
            </w:pPr>
            <w:r>
              <w:rPr>
                <w:rFonts w:ascii="Arial" w:cs="Arial" w:eastAsia="Arial" w:hAnsi="Arial"/>
                <w:sz w:val="2"/>
                <w:szCs w:val="2"/>
                <w:color w:val="auto"/>
                <w:w w:val="97"/>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20" w:type="dxa"/>
            <w:vAlign w:val="bottom"/>
          </w:tcPr>
          <w:p>
            <w:pPr>
              <w:ind w:left="80"/>
              <w:spacing w:after="0"/>
              <w:rPr>
                <w:sz w:val="20"/>
                <w:szCs w:val="20"/>
                <w:color w:val="auto"/>
              </w:rPr>
            </w:pPr>
            <w:r>
              <w:rPr>
                <w:rFonts w:ascii="Arial" w:cs="Arial" w:eastAsia="Arial" w:hAnsi="Arial"/>
                <w:sz w:val="2"/>
                <w:szCs w:val="2"/>
                <w:color w:val="auto"/>
                <w:w w:val="97"/>
              </w:rPr>
              <w:t> </w:t>
            </w:r>
          </w:p>
        </w:tc>
        <w:tc>
          <w:tcPr>
            <w:tcW w:w="140" w:type="dxa"/>
            <w:vAlign w:val="bottom"/>
          </w:tcPr>
          <w:p>
            <w:pPr>
              <w:jc w:val="right"/>
              <w:spacing w:after="0"/>
              <w:rPr>
                <w:sz w:val="20"/>
                <w:szCs w:val="20"/>
                <w:color w:val="auto"/>
              </w:rPr>
            </w:pPr>
            <w:r>
              <w:rPr>
                <w:rFonts w:ascii="Arial" w:cs="Arial" w:eastAsia="Arial" w:hAnsi="Arial"/>
                <w:sz w:val="13"/>
                <w:szCs w:val="13"/>
                <w:color w:val="auto"/>
                <w:w w:val="76"/>
              </w:rPr>
              <w:t> </w:t>
            </w:r>
          </w:p>
        </w:tc>
        <w:tc>
          <w:tcPr>
            <w:tcW w:w="120" w:type="dxa"/>
            <w:vAlign w:val="bottom"/>
          </w:tcPr>
          <w:p>
            <w:pPr>
              <w:ind w:left="80"/>
              <w:spacing w:after="0"/>
              <w:rPr>
                <w:sz w:val="20"/>
                <w:szCs w:val="20"/>
                <w:color w:val="auto"/>
              </w:rPr>
            </w:pPr>
            <w:r>
              <w:rPr>
                <w:rFonts w:ascii="Arial" w:cs="Arial" w:eastAsia="Arial" w:hAnsi="Arial"/>
                <w:sz w:val="2"/>
                <w:szCs w:val="2"/>
                <w:color w:val="auto"/>
                <w:w w:val="97"/>
              </w:rPr>
              <w:t> </w:t>
            </w:r>
          </w:p>
        </w:tc>
        <w:tc>
          <w:tcPr>
            <w:tcW w:w="140" w:type="dxa"/>
            <w:vAlign w:val="bottom"/>
          </w:tcPr>
          <w:p>
            <w:pPr>
              <w:ind w:left="100"/>
              <w:spacing w:after="0"/>
              <w:rPr>
                <w:sz w:val="20"/>
                <w:szCs w:val="20"/>
                <w:color w:val="auto"/>
              </w:rPr>
            </w:pPr>
            <w:r>
              <w:rPr>
                <w:rFonts w:ascii="Arial" w:cs="Arial" w:eastAsia="Arial" w:hAnsi="Arial"/>
                <w:sz w:val="2"/>
                <w:szCs w:val="2"/>
                <w:color w:val="auto"/>
                <w:w w:val="97"/>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20" w:type="dxa"/>
            <w:vAlign w:val="bottom"/>
          </w:tcPr>
          <w:p>
            <w:pPr>
              <w:ind w:left="80"/>
              <w:spacing w:after="0"/>
              <w:rPr>
                <w:sz w:val="20"/>
                <w:szCs w:val="20"/>
                <w:color w:val="auto"/>
              </w:rPr>
            </w:pPr>
            <w:r>
              <w:rPr>
                <w:rFonts w:ascii="Arial" w:cs="Arial" w:eastAsia="Arial" w:hAnsi="Arial"/>
                <w:sz w:val="2"/>
                <w:szCs w:val="2"/>
                <w:color w:val="auto"/>
                <w:w w:val="97"/>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20" w:type="dxa"/>
            <w:vAlign w:val="bottom"/>
          </w:tcPr>
          <w:p>
            <w:pPr>
              <w:ind w:left="80"/>
              <w:spacing w:after="0"/>
              <w:rPr>
                <w:sz w:val="20"/>
                <w:szCs w:val="20"/>
                <w:color w:val="auto"/>
              </w:rPr>
            </w:pPr>
            <w:r>
              <w:rPr>
                <w:rFonts w:ascii="Arial" w:cs="Arial" w:eastAsia="Arial" w:hAnsi="Arial"/>
                <w:sz w:val="2"/>
                <w:szCs w:val="2"/>
                <w:color w:val="auto"/>
                <w:w w:val="97"/>
              </w:rPr>
              <w:t> </w:t>
            </w:r>
          </w:p>
        </w:tc>
        <w:tc>
          <w:tcPr>
            <w:tcW w:w="140" w:type="dxa"/>
            <w:vAlign w:val="bottom"/>
          </w:tcPr>
          <w:p>
            <w:pPr>
              <w:ind w:left="100"/>
              <w:spacing w:after="0"/>
              <w:rPr>
                <w:sz w:val="20"/>
                <w:szCs w:val="20"/>
                <w:color w:val="auto"/>
              </w:rPr>
            </w:pPr>
            <w:r>
              <w:rPr>
                <w:rFonts w:ascii="Arial" w:cs="Arial" w:eastAsia="Arial" w:hAnsi="Arial"/>
                <w:sz w:val="2"/>
                <w:szCs w:val="2"/>
                <w:color w:val="auto"/>
                <w:w w:val="97"/>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40" w:type="dxa"/>
            <w:vAlign w:val="bottom"/>
          </w:tcPr>
          <w:p>
            <w:pPr>
              <w:jc w:val="right"/>
              <w:spacing w:after="0"/>
              <w:rPr>
                <w:sz w:val="20"/>
                <w:szCs w:val="20"/>
                <w:color w:val="auto"/>
              </w:rPr>
            </w:pPr>
            <w:r>
              <w:rPr>
                <w:rFonts w:ascii="Arial" w:cs="Arial" w:eastAsia="Arial" w:hAnsi="Arial"/>
                <w:sz w:val="13"/>
                <w:szCs w:val="13"/>
                <w:color w:val="auto"/>
                <w:w w:val="76"/>
              </w:rPr>
              <w:t> </w:t>
            </w:r>
          </w:p>
        </w:tc>
        <w:tc>
          <w:tcPr>
            <w:tcW w:w="16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00" w:type="dxa"/>
            <w:vAlign w:val="bottom"/>
          </w:tcPr>
          <w:p>
            <w:pPr>
              <w:ind w:left="4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240" w:type="dxa"/>
            <w:vAlign w:val="bottom"/>
            <w:gridSpan w:val="2"/>
          </w:tcPr>
          <w:p>
            <w:pPr>
              <w:ind w:left="60"/>
              <w:spacing w:after="0"/>
              <w:rPr>
                <w:sz w:val="20"/>
                <w:szCs w:val="20"/>
                <w:color w:val="auto"/>
              </w:rPr>
            </w:pPr>
            <w:r>
              <w:rPr>
                <w:rFonts w:ascii="Arial" w:cs="Arial" w:eastAsia="Arial" w:hAnsi="Arial"/>
                <w:sz w:val="13"/>
                <w:szCs w:val="13"/>
                <w:color w:val="auto"/>
              </w:rPr>
              <w:t> </w:t>
            </w:r>
          </w:p>
        </w:tc>
        <w:tc>
          <w:tcPr>
            <w:tcW w:w="1300" w:type="dxa"/>
            <w:vAlign w:val="bottom"/>
            <w:gridSpan w:val="3"/>
          </w:tcPr>
          <w:p>
            <w:pPr>
              <w:ind w:left="40"/>
              <w:spacing w:after="0"/>
              <w:rPr>
                <w:sz w:val="20"/>
                <w:szCs w:val="20"/>
                <w:color w:val="auto"/>
              </w:rPr>
            </w:pPr>
            <w:r>
              <w:rPr>
                <w:rFonts w:ascii="Arial" w:cs="Arial" w:eastAsia="Arial" w:hAnsi="Arial"/>
                <w:sz w:val="13"/>
                <w:szCs w:val="13"/>
                <w:color w:val="auto"/>
                <w:w w:val="99"/>
              </w:rPr>
              <w:t>Date of Birth/Trust:  </w:t>
            </w:r>
          </w:p>
        </w:tc>
        <w:tc>
          <w:tcPr>
            <w:tcW w:w="140" w:type="dxa"/>
            <w:vAlign w:val="bottom"/>
            <w:gridSpan w:val="2"/>
          </w:tcPr>
          <w:p>
            <w:pPr>
              <w:spacing w:after="0"/>
              <w:rPr>
                <w:sz w:val="20"/>
                <w:szCs w:val="20"/>
                <w:color w:val="auto"/>
              </w:rPr>
            </w:pPr>
            <w:r>
              <w:rPr>
                <w:rFonts w:ascii="Arial" w:cs="Arial" w:eastAsia="Arial" w:hAnsi="Arial"/>
                <w:sz w:val="13"/>
                <w:szCs w:val="13"/>
                <w:color w:val="auto"/>
                <w:w w:val="91"/>
              </w:rPr>
              <w:t> </w:t>
            </w:r>
          </w:p>
        </w:tc>
        <w:tc>
          <w:tcPr>
            <w:tcW w:w="80" w:type="dxa"/>
            <w:vAlign w:val="bottom"/>
          </w:tcPr>
          <w:p>
            <w:pPr>
              <w:spacing w:after="0"/>
              <w:rPr>
                <w:sz w:val="20"/>
                <w:szCs w:val="20"/>
                <w:color w:val="auto"/>
              </w:rPr>
            </w:pPr>
            <w:r>
              <w:rPr>
                <w:rFonts w:ascii="Arial" w:cs="Arial" w:eastAsia="Arial" w:hAnsi="Arial"/>
                <w:sz w:val="8"/>
                <w:szCs w:val="8"/>
                <w:color w:val="auto"/>
                <w:w w:val="74"/>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gridSpan w:val="2"/>
          </w:tcPr>
          <w:p>
            <w:pPr>
              <w:ind w:left="60"/>
              <w:spacing w:after="0"/>
              <w:rPr>
                <w:sz w:val="20"/>
                <w:szCs w:val="20"/>
                <w:color w:val="auto"/>
              </w:rPr>
            </w:pPr>
            <w:r>
              <w:rPr>
                <w:rFonts w:ascii="Arial" w:cs="Arial" w:eastAsia="Arial" w:hAnsi="Arial"/>
                <w:sz w:val="8"/>
                <w:szCs w:val="8"/>
                <w:color w:val="auto"/>
                <w:w w:val="74"/>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20" w:type="dxa"/>
            <w:vAlign w:val="bottom"/>
          </w:tcPr>
          <w:p>
            <w:pPr>
              <w:jc w:val="right"/>
              <w:ind w:right="1"/>
              <w:spacing w:after="0"/>
              <w:rPr>
                <w:sz w:val="20"/>
                <w:szCs w:val="20"/>
                <w:color w:val="auto"/>
              </w:rPr>
            </w:pPr>
            <w:r>
              <w:rPr>
                <w:rFonts w:ascii="Arial" w:cs="Arial" w:eastAsia="Arial" w:hAnsi="Arial"/>
                <w:sz w:val="8"/>
                <w:szCs w:val="8"/>
                <w:color w:val="auto"/>
                <w:w w:val="74"/>
              </w:rPr>
              <w:t> </w:t>
            </w:r>
          </w:p>
        </w:tc>
        <w:tc>
          <w:tcPr>
            <w:tcW w:w="140" w:type="dxa"/>
            <w:vAlign w:val="bottom"/>
          </w:tcPr>
          <w:p>
            <w:pPr>
              <w:jc w:val="right"/>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60" w:type="dxa"/>
            <w:vAlign w:val="bottom"/>
          </w:tcPr>
          <w:p>
            <w:pPr>
              <w:jc w:val="right"/>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80" w:type="dxa"/>
            <w:vAlign w:val="bottom"/>
          </w:tcPr>
          <w:p>
            <w:pPr>
              <w:jc w:val="right"/>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jc w:val="right"/>
              <w:spacing w:after="0"/>
              <w:rPr>
                <w:sz w:val="20"/>
                <w:szCs w:val="20"/>
                <w:color w:val="auto"/>
              </w:rPr>
            </w:pPr>
            <w:r>
              <w:rPr>
                <w:rFonts w:ascii="Arial" w:cs="Arial" w:eastAsia="Arial" w:hAnsi="Arial"/>
                <w:sz w:val="11"/>
                <w:szCs w:val="11"/>
                <w:color w:val="auto"/>
                <w:w w:val="75"/>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7"/>
              </w:rPr>
              <w:t> </w:t>
            </w:r>
          </w:p>
        </w:tc>
        <w:tc>
          <w:tcPr>
            <w:tcW w:w="40" w:type="dxa"/>
            <w:vAlign w:val="bottom"/>
          </w:tcPr>
          <w:p>
            <w:pPr>
              <w:spacing w:after="0"/>
              <w:rPr>
                <w:sz w:val="18"/>
                <w:szCs w:val="18"/>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8"/>
        </w:trPr>
        <w:tc>
          <w:tcPr>
            <w:tcW w:w="1320" w:type="dxa"/>
            <w:vAlign w:val="bottom"/>
            <w:gridSpan w:val="8"/>
          </w:tcPr>
          <w:p>
            <w:pPr>
              <w:ind w:left="60"/>
              <w:spacing w:after="0"/>
              <w:rPr>
                <w:sz w:val="20"/>
                <w:szCs w:val="20"/>
                <w:color w:val="auto"/>
              </w:rPr>
            </w:pPr>
            <w:r>
              <w:rPr>
                <w:rFonts w:ascii="Arial" w:cs="Arial" w:eastAsia="Arial" w:hAnsi="Arial"/>
                <w:sz w:val="13"/>
                <w:szCs w:val="13"/>
                <w:color w:val="auto"/>
              </w:rPr>
              <w:t xml:space="preserve">Last Name:           </w:t>
            </w:r>
          </w:p>
        </w:tc>
        <w:tc>
          <w:tcPr>
            <w:tcW w:w="60" w:type="dxa"/>
            <w:vAlign w:val="bottom"/>
          </w:tcPr>
          <w:p>
            <w:pPr>
              <w:ind w:left="20"/>
              <w:spacing w:after="0"/>
              <w:rPr>
                <w:sz w:val="20"/>
                <w:szCs w:val="20"/>
                <w:color w:val="auto"/>
              </w:rPr>
            </w:pPr>
            <w:r>
              <w:rPr>
                <w:rFonts w:ascii="Arial" w:cs="Arial" w:eastAsia="Arial" w:hAnsi="Arial"/>
                <w:sz w:val="2"/>
                <w:szCs w:val="2"/>
                <w:color w:val="auto"/>
                <w:w w:val="97"/>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20" w:type="dxa"/>
            <w:vAlign w:val="bottom"/>
          </w:tcPr>
          <w:p>
            <w:pPr>
              <w:jc w:val="right"/>
              <w:spacing w:after="0"/>
              <w:rPr>
                <w:sz w:val="20"/>
                <w:szCs w:val="20"/>
                <w:color w:val="auto"/>
              </w:rPr>
            </w:pPr>
            <w:r>
              <w:rPr>
                <w:rFonts w:ascii="Arial" w:cs="Arial" w:eastAsia="Arial" w:hAnsi="Arial"/>
                <w:sz w:val="13"/>
                <w:szCs w:val="13"/>
                <w:color w:val="auto"/>
                <w:w w:val="76"/>
              </w:rPr>
              <w:t> </w:t>
            </w:r>
          </w:p>
        </w:tc>
        <w:tc>
          <w:tcPr>
            <w:tcW w:w="140" w:type="dxa"/>
            <w:vAlign w:val="bottom"/>
          </w:tcPr>
          <w:p>
            <w:pPr>
              <w:ind w:left="100"/>
              <w:spacing w:after="0"/>
              <w:rPr>
                <w:sz w:val="20"/>
                <w:szCs w:val="20"/>
                <w:color w:val="auto"/>
              </w:rPr>
            </w:pPr>
            <w:r>
              <w:rPr>
                <w:rFonts w:ascii="Arial" w:cs="Arial" w:eastAsia="Arial" w:hAnsi="Arial"/>
                <w:sz w:val="2"/>
                <w:szCs w:val="2"/>
                <w:color w:val="auto"/>
                <w:w w:val="97"/>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tcPr>
          <w:p>
            <w:pPr>
              <w:jc w:val="right"/>
              <w:spacing w:after="0"/>
              <w:rPr>
                <w:sz w:val="20"/>
                <w:szCs w:val="20"/>
                <w:color w:val="auto"/>
              </w:rPr>
            </w:pPr>
            <w:r>
              <w:rPr>
                <w:rFonts w:ascii="Arial" w:cs="Arial" w:eastAsia="Arial" w:hAnsi="Arial"/>
                <w:sz w:val="13"/>
                <w:szCs w:val="13"/>
                <w:color w:val="auto"/>
                <w:w w:val="76"/>
              </w:rPr>
              <w:t> </w:t>
            </w:r>
          </w:p>
        </w:tc>
        <w:tc>
          <w:tcPr>
            <w:tcW w:w="120" w:type="dxa"/>
            <w:vAlign w:val="bottom"/>
          </w:tcPr>
          <w:p>
            <w:pPr>
              <w:ind w:left="80"/>
              <w:spacing w:after="0"/>
              <w:rPr>
                <w:sz w:val="20"/>
                <w:szCs w:val="20"/>
                <w:color w:val="auto"/>
              </w:rPr>
            </w:pPr>
            <w:r>
              <w:rPr>
                <w:rFonts w:ascii="Arial" w:cs="Arial" w:eastAsia="Arial" w:hAnsi="Arial"/>
                <w:sz w:val="2"/>
                <w:szCs w:val="2"/>
                <w:color w:val="auto"/>
                <w:w w:val="97"/>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20" w:type="dxa"/>
            <w:vAlign w:val="bottom"/>
          </w:tcPr>
          <w:p>
            <w:pPr>
              <w:ind w:left="80"/>
              <w:spacing w:after="0"/>
              <w:rPr>
                <w:sz w:val="20"/>
                <w:szCs w:val="20"/>
                <w:color w:val="auto"/>
              </w:rPr>
            </w:pPr>
            <w:r>
              <w:rPr>
                <w:rFonts w:ascii="Arial" w:cs="Arial" w:eastAsia="Arial" w:hAnsi="Arial"/>
                <w:sz w:val="2"/>
                <w:szCs w:val="2"/>
                <w:color w:val="auto"/>
                <w:w w:val="97"/>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40" w:type="dxa"/>
            <w:vAlign w:val="bottom"/>
          </w:tcPr>
          <w:p>
            <w:pPr>
              <w:jc w:val="right"/>
              <w:ind w:right="2"/>
              <w:spacing w:after="0"/>
              <w:rPr>
                <w:sz w:val="20"/>
                <w:szCs w:val="20"/>
                <w:color w:val="auto"/>
              </w:rPr>
            </w:pPr>
            <w:r>
              <w:rPr>
                <w:rFonts w:ascii="Arial" w:cs="Arial" w:eastAsia="Arial" w:hAnsi="Arial"/>
                <w:sz w:val="11"/>
                <w:szCs w:val="11"/>
                <w:color w:val="auto"/>
                <w:w w:val="72"/>
              </w:rPr>
              <w:t> </w:t>
            </w:r>
          </w:p>
        </w:tc>
        <w:tc>
          <w:tcPr>
            <w:tcW w:w="16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00" w:type="dxa"/>
            <w:vAlign w:val="bottom"/>
          </w:tcPr>
          <w:p>
            <w:pPr>
              <w:ind w:left="4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240" w:type="dxa"/>
            <w:vAlign w:val="bottom"/>
            <w:gridSpan w:val="2"/>
          </w:tcPr>
          <w:p>
            <w:pPr>
              <w:ind w:left="60"/>
              <w:spacing w:after="0"/>
              <w:rPr>
                <w:sz w:val="20"/>
                <w:szCs w:val="20"/>
                <w:color w:val="auto"/>
              </w:rPr>
            </w:pPr>
            <w:r>
              <w:rPr>
                <w:rFonts w:ascii="Arial" w:cs="Arial" w:eastAsia="Arial" w:hAnsi="Arial"/>
                <w:sz w:val="13"/>
                <w:szCs w:val="13"/>
                <w:color w:val="auto"/>
              </w:rPr>
              <w:t> </w:t>
            </w:r>
          </w:p>
        </w:tc>
        <w:tc>
          <w:tcPr>
            <w:tcW w:w="1440" w:type="dxa"/>
            <w:vAlign w:val="bottom"/>
            <w:gridSpan w:val="5"/>
          </w:tcPr>
          <w:p>
            <w:pPr>
              <w:ind w:left="40"/>
              <w:spacing w:after="0"/>
              <w:rPr>
                <w:sz w:val="20"/>
                <w:szCs w:val="20"/>
                <w:color w:val="auto"/>
              </w:rPr>
            </w:pPr>
            <w:r>
              <w:rPr>
                <w:rFonts w:ascii="Arial" w:cs="Arial" w:eastAsia="Arial" w:hAnsi="Arial"/>
                <w:sz w:val="13"/>
                <w:szCs w:val="13"/>
                <w:color w:val="auto"/>
                <w:w w:val="94"/>
              </w:rPr>
              <w:t>Country of Citizenship:  </w:t>
            </w:r>
          </w:p>
        </w:tc>
        <w:tc>
          <w:tcPr>
            <w:tcW w:w="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140" w:type="dxa"/>
            <w:vAlign w:val="bottom"/>
            <w:gridSpan w:val="2"/>
          </w:tcPr>
          <w:p>
            <w:pPr>
              <w:ind w:left="20"/>
              <w:spacing w:after="0"/>
              <w:rPr>
                <w:sz w:val="20"/>
                <w:szCs w:val="20"/>
                <w:color w:val="auto"/>
              </w:rPr>
            </w:pPr>
            <w:r>
              <w:rPr>
                <w:rFonts w:ascii="Arial" w:cs="Arial" w:eastAsia="Arial" w:hAnsi="Arial"/>
                <w:sz w:val="13"/>
                <w:szCs w:val="13"/>
                <w:color w:val="auto"/>
                <w:w w:val="76"/>
              </w:rPr>
              <w:t> </w:t>
            </w: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20" w:type="dxa"/>
            <w:vAlign w:val="bottom"/>
          </w:tcPr>
          <w:p>
            <w:pPr>
              <w:jc w:val="right"/>
              <w:ind w:right="21"/>
              <w:spacing w:after="0"/>
              <w:rPr>
                <w:sz w:val="20"/>
                <w:szCs w:val="20"/>
                <w:color w:val="auto"/>
              </w:rPr>
            </w:pPr>
            <w:r>
              <w:rPr>
                <w:rFonts w:ascii="Arial" w:cs="Arial" w:eastAsia="Arial" w:hAnsi="Arial"/>
                <w:sz w:val="4"/>
                <w:szCs w:val="4"/>
                <w:color w:val="auto"/>
                <w:w w:val="98"/>
              </w:rPr>
              <w:t> </w:t>
            </w:r>
          </w:p>
        </w:tc>
        <w:tc>
          <w:tcPr>
            <w:tcW w:w="140" w:type="dxa"/>
            <w:vAlign w:val="bottom"/>
          </w:tcPr>
          <w:p>
            <w:pPr>
              <w:jc w:val="right"/>
              <w:spacing w:after="0"/>
              <w:rPr>
                <w:sz w:val="20"/>
                <w:szCs w:val="20"/>
                <w:color w:val="auto"/>
              </w:rPr>
            </w:pPr>
            <w:r>
              <w:rPr>
                <w:rFonts w:ascii="Arial" w:cs="Arial" w:eastAsia="Arial" w:hAnsi="Arial"/>
                <w:sz w:val="13"/>
                <w:szCs w:val="13"/>
                <w:color w:val="auto"/>
              </w:rPr>
              <w:t xml:space="preserve">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20" w:type="dxa"/>
            <w:vAlign w:val="bottom"/>
          </w:tcPr>
          <w:p>
            <w:pPr>
              <w:ind w:left="80"/>
              <w:spacing w:after="0"/>
              <w:rPr>
                <w:sz w:val="20"/>
                <w:szCs w:val="20"/>
                <w:color w:val="auto"/>
              </w:rPr>
            </w:pPr>
            <w:r>
              <w:rPr>
                <w:rFonts w:ascii="Arial" w:cs="Arial" w:eastAsia="Arial" w:hAnsi="Arial"/>
                <w:sz w:val="2"/>
                <w:szCs w:val="2"/>
                <w:color w:val="auto"/>
                <w:w w:val="97"/>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60" w:type="dxa"/>
            <w:vAlign w:val="bottom"/>
          </w:tcPr>
          <w:p>
            <w:pPr>
              <w:jc w:val="right"/>
              <w:spacing w:after="0"/>
              <w:rPr>
                <w:sz w:val="20"/>
                <w:szCs w:val="20"/>
                <w:color w:val="auto"/>
              </w:rPr>
            </w:pPr>
            <w:r>
              <w:rPr>
                <w:rFonts w:ascii="Arial" w:cs="Arial" w:eastAsia="Arial" w:hAnsi="Arial"/>
                <w:sz w:val="13"/>
                <w:szCs w:val="13"/>
                <w:color w:val="auto"/>
                <w:w w:val="76"/>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80" w:type="dxa"/>
            <w:vAlign w:val="bottom"/>
          </w:tcPr>
          <w:p>
            <w:pPr>
              <w:jc w:val="right"/>
              <w:spacing w:after="0"/>
              <w:rPr>
                <w:sz w:val="20"/>
                <w:szCs w:val="20"/>
                <w:color w:val="auto"/>
              </w:rPr>
            </w:pPr>
            <w:r>
              <w:rPr>
                <w:rFonts w:ascii="Arial" w:cs="Arial" w:eastAsia="Arial" w:hAnsi="Arial"/>
                <w:sz w:val="8"/>
                <w:szCs w:val="8"/>
                <w:color w:val="auto"/>
                <w:w w:val="74"/>
              </w:rPr>
              <w:t> </w:t>
            </w:r>
          </w:p>
        </w:tc>
        <w:tc>
          <w:tcPr>
            <w:tcW w:w="140" w:type="dxa"/>
            <w:vAlign w:val="bottom"/>
          </w:tcPr>
          <w:p>
            <w:pPr>
              <w:ind w:left="100"/>
              <w:spacing w:after="0"/>
              <w:rPr>
                <w:sz w:val="20"/>
                <w:szCs w:val="20"/>
                <w:color w:val="auto"/>
              </w:rPr>
            </w:pPr>
            <w:r>
              <w:rPr>
                <w:rFonts w:ascii="Arial" w:cs="Arial" w:eastAsia="Arial" w:hAnsi="Arial"/>
                <w:sz w:val="2"/>
                <w:szCs w:val="2"/>
                <w:color w:val="auto"/>
                <w:w w:val="97"/>
              </w:rPr>
              <w:t> </w:t>
            </w:r>
          </w:p>
        </w:tc>
        <w:tc>
          <w:tcPr>
            <w:tcW w:w="140" w:type="dxa"/>
            <w:vAlign w:val="bottom"/>
          </w:tcPr>
          <w:p>
            <w:pPr>
              <w:ind w:left="100"/>
              <w:spacing w:after="0"/>
              <w:rPr>
                <w:sz w:val="20"/>
                <w:szCs w:val="20"/>
                <w:color w:val="auto"/>
              </w:rPr>
            </w:pPr>
            <w:r>
              <w:rPr>
                <w:rFonts w:ascii="Arial" w:cs="Arial" w:eastAsia="Arial" w:hAnsi="Arial"/>
                <w:sz w:val="2"/>
                <w:szCs w:val="2"/>
                <w:color w:val="auto"/>
                <w:w w:val="97"/>
              </w:rPr>
              <w:t> </w:t>
            </w:r>
          </w:p>
        </w:tc>
        <w:tc>
          <w:tcPr>
            <w:tcW w:w="140" w:type="dxa"/>
            <w:vAlign w:val="bottom"/>
          </w:tcPr>
          <w:p>
            <w:pPr>
              <w:jc w:val="right"/>
              <w:spacing w:after="0"/>
              <w:rPr>
                <w:sz w:val="20"/>
                <w:szCs w:val="20"/>
                <w:color w:val="auto"/>
              </w:rPr>
            </w:pPr>
            <w:r>
              <w:rPr>
                <w:rFonts w:ascii="Arial" w:cs="Arial" w:eastAsia="Arial" w:hAnsi="Arial"/>
                <w:sz w:val="13"/>
                <w:szCs w:val="13"/>
                <w:color w:val="auto"/>
                <w:w w:val="76"/>
              </w:rPr>
              <w:t> </w:t>
            </w:r>
          </w:p>
        </w:tc>
        <w:tc>
          <w:tcPr>
            <w:tcW w:w="140" w:type="dxa"/>
            <w:vAlign w:val="bottom"/>
          </w:tcPr>
          <w:p>
            <w:pPr>
              <w:ind w:left="80"/>
              <w:spacing w:after="0"/>
              <w:rPr>
                <w:sz w:val="20"/>
                <w:szCs w:val="20"/>
                <w:color w:val="auto"/>
              </w:rPr>
            </w:pPr>
            <w:r>
              <w:rPr>
                <w:rFonts w:ascii="Arial" w:cs="Arial" w:eastAsia="Arial" w:hAnsi="Arial"/>
                <w:sz w:val="4"/>
                <w:szCs w:val="4"/>
                <w:color w:val="auto"/>
                <w:w w:val="87"/>
              </w:rPr>
              <w:t> </w:t>
            </w:r>
          </w:p>
        </w:tc>
        <w:tc>
          <w:tcPr>
            <w:tcW w:w="40" w:type="dxa"/>
            <w:vAlign w:val="bottom"/>
          </w:tcPr>
          <w:p>
            <w:pPr>
              <w:spacing w:after="0"/>
              <w:rPr>
                <w:sz w:val="18"/>
                <w:szCs w:val="18"/>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2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r>
      <w:tr>
        <w:trPr>
          <w:trHeight w:val="208"/>
        </w:trPr>
        <w:tc>
          <w:tcPr>
            <w:tcW w:w="800" w:type="dxa"/>
            <w:vAlign w:val="bottom"/>
            <w:gridSpan w:val="5"/>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gridSpan w:val="3"/>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9"/>
          </w:tcPr>
          <w:p>
            <w:pPr>
              <w:ind w:left="40"/>
              <w:spacing w:after="0"/>
              <w:rPr>
                <w:sz w:val="20"/>
                <w:szCs w:val="20"/>
                <w:color w:val="auto"/>
              </w:rPr>
            </w:pPr>
            <w:r>
              <w:rPr>
                <w:rFonts w:ascii="Arial" w:cs="Arial" w:eastAsia="Arial" w:hAnsi="Arial"/>
                <w:sz w:val="13"/>
                <w:szCs w:val="13"/>
                <w:color w:val="auto"/>
                <w:w w:val="96"/>
              </w:rPr>
              <w:t>Country of Legal Residency:  </w:t>
            </w:r>
          </w:p>
        </w:tc>
        <w:tc>
          <w:tcPr>
            <w:tcW w:w="120" w:type="dxa"/>
            <w:vAlign w:val="bottom"/>
          </w:tcPr>
          <w:p>
            <w:pPr>
              <w:ind w:left="80"/>
              <w:spacing w:after="0"/>
              <w:rPr>
                <w:sz w:val="20"/>
                <w:szCs w:val="20"/>
                <w:color w:val="auto"/>
              </w:rPr>
            </w:pPr>
            <w:r>
              <w:rPr>
                <w:rFonts w:ascii="Arial" w:cs="Arial" w:eastAsia="Arial" w:hAnsi="Arial"/>
                <w:sz w:val="2"/>
                <w:szCs w:val="2"/>
                <w:color w:val="auto"/>
                <w:w w:val="97"/>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20" w:type="dxa"/>
            <w:vAlign w:val="bottom"/>
          </w:tcPr>
          <w:p>
            <w:pPr>
              <w:jc w:val="right"/>
              <w:spacing w:after="0"/>
              <w:rPr>
                <w:sz w:val="20"/>
                <w:szCs w:val="20"/>
                <w:color w:val="auto"/>
              </w:rPr>
            </w:pPr>
            <w:r>
              <w:rPr>
                <w:rFonts w:ascii="Arial" w:cs="Arial" w:eastAsia="Arial" w:hAnsi="Arial"/>
                <w:sz w:val="13"/>
                <w:szCs w:val="13"/>
                <w:color w:val="auto"/>
                <w:w w:val="76"/>
              </w:rPr>
              <w:t> </w:t>
            </w:r>
          </w:p>
        </w:tc>
        <w:tc>
          <w:tcPr>
            <w:tcW w:w="140" w:type="dxa"/>
            <w:vAlign w:val="bottom"/>
          </w:tcPr>
          <w:p>
            <w:pPr>
              <w:jc w:val="right"/>
              <w:spacing w:after="0"/>
              <w:rPr>
                <w:sz w:val="20"/>
                <w:szCs w:val="20"/>
                <w:color w:val="auto"/>
              </w:rPr>
            </w:pPr>
            <w:r>
              <w:rPr>
                <w:rFonts w:ascii="Arial" w:cs="Arial" w:eastAsia="Arial" w:hAnsi="Arial"/>
                <w:sz w:val="13"/>
                <w:szCs w:val="13"/>
                <w:color w:val="auto"/>
                <w:w w:val="76"/>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20" w:type="dxa"/>
            <w:vAlign w:val="bottom"/>
          </w:tcPr>
          <w:p>
            <w:pPr>
              <w:ind w:left="80"/>
              <w:spacing w:after="0"/>
              <w:rPr>
                <w:sz w:val="20"/>
                <w:szCs w:val="20"/>
                <w:color w:val="auto"/>
              </w:rPr>
            </w:pPr>
            <w:r>
              <w:rPr>
                <w:rFonts w:ascii="Arial" w:cs="Arial" w:eastAsia="Arial" w:hAnsi="Arial"/>
                <w:sz w:val="2"/>
                <w:szCs w:val="2"/>
                <w:color w:val="auto"/>
                <w:w w:val="97"/>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60" w:type="dxa"/>
            <w:vAlign w:val="bottom"/>
          </w:tcPr>
          <w:p>
            <w:pPr>
              <w:jc w:val="right"/>
              <w:spacing w:after="0"/>
              <w:rPr>
                <w:sz w:val="20"/>
                <w:szCs w:val="20"/>
                <w:color w:val="auto"/>
              </w:rPr>
            </w:pPr>
            <w:r>
              <w:rPr>
                <w:rFonts w:ascii="Arial" w:cs="Arial" w:eastAsia="Arial" w:hAnsi="Arial"/>
                <w:sz w:val="13"/>
                <w:szCs w:val="13"/>
                <w:color w:val="auto"/>
                <w:w w:val="76"/>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80" w:type="dxa"/>
            <w:vAlign w:val="bottom"/>
          </w:tcPr>
          <w:p>
            <w:pPr>
              <w:jc w:val="right"/>
              <w:spacing w:after="0"/>
              <w:rPr>
                <w:sz w:val="20"/>
                <w:szCs w:val="20"/>
                <w:color w:val="auto"/>
              </w:rPr>
            </w:pPr>
            <w:r>
              <w:rPr>
                <w:rFonts w:ascii="Arial" w:cs="Arial" w:eastAsia="Arial" w:hAnsi="Arial"/>
                <w:sz w:val="8"/>
                <w:szCs w:val="8"/>
                <w:color w:val="auto"/>
                <w:w w:val="74"/>
              </w:rPr>
              <w:t> </w:t>
            </w:r>
          </w:p>
        </w:tc>
        <w:tc>
          <w:tcPr>
            <w:tcW w:w="140" w:type="dxa"/>
            <w:vAlign w:val="bottom"/>
          </w:tcPr>
          <w:p>
            <w:pPr>
              <w:ind w:left="100"/>
              <w:spacing w:after="0"/>
              <w:rPr>
                <w:sz w:val="20"/>
                <w:szCs w:val="20"/>
                <w:color w:val="auto"/>
              </w:rPr>
            </w:pPr>
            <w:r>
              <w:rPr>
                <w:rFonts w:ascii="Arial" w:cs="Arial" w:eastAsia="Arial" w:hAnsi="Arial"/>
                <w:sz w:val="2"/>
                <w:szCs w:val="2"/>
                <w:color w:val="auto"/>
                <w:w w:val="97"/>
              </w:rPr>
              <w:t> </w:t>
            </w:r>
          </w:p>
        </w:tc>
        <w:tc>
          <w:tcPr>
            <w:tcW w:w="140" w:type="dxa"/>
            <w:vAlign w:val="bottom"/>
          </w:tcPr>
          <w:p>
            <w:pPr>
              <w:ind w:left="100"/>
              <w:spacing w:after="0"/>
              <w:rPr>
                <w:sz w:val="20"/>
                <w:szCs w:val="20"/>
                <w:color w:val="auto"/>
              </w:rPr>
            </w:pPr>
            <w:r>
              <w:rPr>
                <w:rFonts w:ascii="Arial" w:cs="Arial" w:eastAsia="Arial" w:hAnsi="Arial"/>
                <w:sz w:val="2"/>
                <w:szCs w:val="2"/>
                <w:color w:val="auto"/>
                <w:w w:val="97"/>
              </w:rPr>
              <w:t> </w:t>
            </w:r>
          </w:p>
        </w:tc>
        <w:tc>
          <w:tcPr>
            <w:tcW w:w="140" w:type="dxa"/>
            <w:vAlign w:val="bottom"/>
          </w:tcPr>
          <w:p>
            <w:pPr>
              <w:jc w:val="right"/>
              <w:spacing w:after="0"/>
              <w:rPr>
                <w:sz w:val="20"/>
                <w:szCs w:val="20"/>
                <w:color w:val="auto"/>
              </w:rPr>
            </w:pPr>
            <w:r>
              <w:rPr>
                <w:rFonts w:ascii="Arial" w:cs="Arial" w:eastAsia="Arial" w:hAnsi="Arial"/>
                <w:sz w:val="13"/>
                <w:szCs w:val="13"/>
                <w:color w:val="auto"/>
                <w:w w:val="76"/>
              </w:rPr>
              <w:t> </w:t>
            </w:r>
          </w:p>
        </w:tc>
        <w:tc>
          <w:tcPr>
            <w:tcW w:w="140" w:type="dxa"/>
            <w:vAlign w:val="bottom"/>
          </w:tcPr>
          <w:p>
            <w:pPr>
              <w:ind w:left="80"/>
              <w:spacing w:after="0"/>
              <w:rPr>
                <w:sz w:val="20"/>
                <w:szCs w:val="20"/>
                <w:color w:val="auto"/>
              </w:rPr>
            </w:pPr>
            <w:r>
              <w:rPr>
                <w:rFonts w:ascii="Arial" w:cs="Arial" w:eastAsia="Arial" w:hAnsi="Arial"/>
                <w:sz w:val="4"/>
                <w:szCs w:val="4"/>
                <w:color w:val="auto"/>
                <w:w w:val="87"/>
              </w:rPr>
              <w:t> </w:t>
            </w:r>
          </w:p>
        </w:tc>
        <w:tc>
          <w:tcPr>
            <w:tcW w:w="40" w:type="dxa"/>
            <w:vAlign w:val="bottom"/>
          </w:tcPr>
          <w:p>
            <w:pPr>
              <w:spacing w:after="0"/>
              <w:rPr>
                <w:sz w:val="18"/>
                <w:szCs w:val="18"/>
                <w:color w:val="auto"/>
              </w:rPr>
            </w:pPr>
          </w:p>
        </w:tc>
      </w:tr>
      <w:tr>
        <w:trPr>
          <w:trHeight w:val="129"/>
        </w:trPr>
        <w:tc>
          <w:tcPr>
            <w:tcW w:w="1320" w:type="dxa"/>
            <w:vAlign w:val="bottom"/>
            <w:gridSpan w:val="8"/>
          </w:tcPr>
          <w:p>
            <w:pPr>
              <w:ind w:left="60"/>
              <w:spacing w:after="0" w:line="129" w:lineRule="exact"/>
              <w:rPr>
                <w:sz w:val="20"/>
                <w:szCs w:val="20"/>
                <w:color w:val="auto"/>
              </w:rPr>
            </w:pPr>
            <w:r>
              <w:rPr>
                <w:rFonts w:ascii="Arial" w:cs="Arial" w:eastAsia="Arial" w:hAnsi="Arial"/>
                <w:sz w:val="13"/>
                <w:szCs w:val="13"/>
                <w:color w:val="auto"/>
              </w:rPr>
              <w:t xml:space="preserve">Address:                 </w:t>
            </w:r>
          </w:p>
        </w:tc>
        <w:tc>
          <w:tcPr>
            <w:tcW w:w="60" w:type="dxa"/>
            <w:vAlign w:val="bottom"/>
          </w:tcPr>
          <w:p>
            <w:pPr>
              <w:spacing w:after="0"/>
              <w:rPr>
                <w:sz w:val="11"/>
                <w:szCs w:val="11"/>
                <w:color w:val="auto"/>
              </w:rPr>
            </w:pPr>
          </w:p>
        </w:tc>
        <w:tc>
          <w:tcPr>
            <w:tcW w:w="140" w:type="dxa"/>
            <w:vAlign w:val="bottom"/>
          </w:tcPr>
          <w:p>
            <w:pPr>
              <w:ind w:left="20"/>
              <w:spacing w:after="0"/>
              <w:rPr>
                <w:sz w:val="20"/>
                <w:szCs w:val="20"/>
                <w:color w:val="auto"/>
              </w:rPr>
            </w:pPr>
            <w:r>
              <w:rPr>
                <w:rFonts w:ascii="Arial" w:cs="Arial" w:eastAsia="Arial" w:hAnsi="Arial"/>
                <w:sz w:val="11"/>
                <w:szCs w:val="11"/>
                <w:color w:val="auto"/>
                <w:w w:val="75"/>
              </w:rPr>
              <w:t>  </w:t>
            </w:r>
          </w:p>
        </w:tc>
        <w:tc>
          <w:tcPr>
            <w:tcW w:w="120" w:type="dxa"/>
            <w:vAlign w:val="bottom"/>
          </w:tcPr>
          <w:p>
            <w:pPr>
              <w:jc w:val="right"/>
              <w:ind w:right="4"/>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jc w:val="right"/>
              <w:ind w:right="8"/>
              <w:spacing w:after="0"/>
              <w:rPr>
                <w:sz w:val="20"/>
                <w:szCs w:val="20"/>
                <w:color w:val="auto"/>
              </w:rPr>
            </w:pPr>
            <w:r>
              <w:rPr>
                <w:rFonts w:ascii="Arial" w:cs="Arial" w:eastAsia="Arial" w:hAnsi="Arial"/>
                <w:sz w:val="8"/>
                <w:szCs w:val="8"/>
                <w:color w:val="auto"/>
                <w:w w:val="74"/>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Pr>
          <w:p>
            <w:pPr>
              <w:jc w:val="right"/>
              <w:ind w:right="22"/>
              <w:spacing w:after="0"/>
              <w:rPr>
                <w:sz w:val="20"/>
                <w:szCs w:val="20"/>
                <w:color w:val="auto"/>
              </w:rPr>
            </w:pPr>
            <w:r>
              <w:rPr>
                <w:rFonts w:ascii="Arial" w:cs="Arial" w:eastAsia="Arial" w:hAnsi="Arial"/>
                <w:sz w:val="8"/>
                <w:szCs w:val="8"/>
                <w:color w:val="auto"/>
                <w:w w:val="74"/>
              </w:rPr>
              <w:t> </w:t>
            </w:r>
          </w:p>
        </w:tc>
        <w:tc>
          <w:tcPr>
            <w:tcW w:w="160" w:type="dxa"/>
            <w:vAlign w:val="bottom"/>
          </w:tcPr>
          <w:p>
            <w:pPr>
              <w:ind w:left="20"/>
              <w:spacing w:after="0" w:line="129" w:lineRule="exact"/>
              <w:rPr>
                <w:sz w:val="20"/>
                <w:szCs w:val="20"/>
                <w:color w:val="auto"/>
              </w:rPr>
            </w:pPr>
            <w:r>
              <w:rPr>
                <w:rFonts w:ascii="Arial" w:cs="Arial" w:eastAsia="Arial" w:hAnsi="Arial"/>
                <w:sz w:val="13"/>
                <w:szCs w:val="13"/>
                <w:color w:val="auto"/>
                <w:w w:val="76"/>
              </w:rPr>
              <w:t> </w:t>
            </w:r>
          </w:p>
        </w:tc>
        <w:tc>
          <w:tcPr>
            <w:tcW w:w="100" w:type="dxa"/>
            <w:vAlign w:val="bottom"/>
          </w:tcPr>
          <w:p>
            <w:pPr>
              <w:jc w:val="center"/>
              <w:ind w:right="25"/>
              <w:spacing w:after="0" w:line="129" w:lineRule="exact"/>
              <w:rPr>
                <w:sz w:val="20"/>
                <w:szCs w:val="20"/>
                <w:color w:val="auto"/>
              </w:rPr>
            </w:pPr>
            <w:r>
              <w:rPr>
                <w:rFonts w:ascii="Arial" w:cs="Arial" w:eastAsia="Arial" w:hAnsi="Arial"/>
                <w:sz w:val="13"/>
                <w:szCs w:val="13"/>
                <w:color w:val="auto"/>
              </w:rPr>
              <w:t> </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gridSpan w:val="5"/>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8"/>
        </w:trPr>
        <w:tc>
          <w:tcPr>
            <w:tcW w:w="1320" w:type="dxa"/>
            <w:vAlign w:val="bottom"/>
            <w:gridSpan w:val="8"/>
          </w:tcPr>
          <w:p>
            <w:pPr>
              <w:ind w:left="60"/>
              <w:spacing w:after="0"/>
              <w:rPr>
                <w:sz w:val="20"/>
                <w:szCs w:val="20"/>
                <w:color w:val="auto"/>
              </w:rPr>
            </w:pPr>
            <w:r>
              <w:rPr>
                <w:rFonts w:ascii="Arial" w:cs="Arial" w:eastAsia="Arial" w:hAnsi="Arial"/>
                <w:sz w:val="13"/>
                <w:szCs w:val="13"/>
                <w:color w:val="auto"/>
              </w:rPr>
              <w:t xml:space="preserve">City:                       </w:t>
            </w:r>
          </w:p>
        </w:tc>
        <w:tc>
          <w:tcPr>
            <w:tcW w:w="60" w:type="dxa"/>
            <w:vAlign w:val="bottom"/>
          </w:tcPr>
          <w:p>
            <w:pPr>
              <w:spacing w:after="0"/>
              <w:rPr>
                <w:sz w:val="18"/>
                <w:szCs w:val="18"/>
                <w:color w:val="auto"/>
              </w:rPr>
            </w:pP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20" w:type="dxa"/>
            <w:vAlign w:val="bottom"/>
          </w:tcPr>
          <w:p>
            <w:pPr>
              <w:jc w:val="right"/>
              <w:ind w:right="24"/>
              <w:spacing w:after="0"/>
              <w:rPr>
                <w:sz w:val="20"/>
                <w:szCs w:val="20"/>
                <w:color w:val="auto"/>
              </w:rPr>
            </w:pPr>
            <w:r>
              <w:rPr>
                <w:rFonts w:ascii="Arial" w:cs="Arial" w:eastAsia="Arial" w:hAnsi="Arial"/>
                <w:sz w:val="4"/>
                <w:szCs w:val="4"/>
                <w:color w:val="auto"/>
                <w:w w:val="98"/>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660" w:type="dxa"/>
            <w:vAlign w:val="bottom"/>
            <w:gridSpan w:val="5"/>
          </w:tcPr>
          <w:p>
            <w:pPr>
              <w:ind w:left="20"/>
              <w:spacing w:after="0"/>
              <w:rPr>
                <w:sz w:val="20"/>
                <w:szCs w:val="20"/>
                <w:color w:val="auto"/>
              </w:rPr>
            </w:pPr>
            <w:r>
              <w:rPr>
                <w:rFonts w:ascii="Arial" w:cs="Arial" w:eastAsia="Arial" w:hAnsi="Arial"/>
                <w:sz w:val="13"/>
                <w:szCs w:val="13"/>
                <w:color w:val="auto"/>
              </w:rPr>
              <w:t xml:space="preserve">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40" w:type="dxa"/>
            <w:vAlign w:val="bottom"/>
          </w:tcPr>
          <w:p>
            <w:pPr>
              <w:jc w:val="right"/>
              <w:ind w:right="42"/>
              <w:spacing w:after="0"/>
              <w:rPr>
                <w:sz w:val="20"/>
                <w:szCs w:val="20"/>
                <w:color w:val="auto"/>
              </w:rPr>
            </w:pPr>
            <w:r>
              <w:rPr>
                <w:rFonts w:ascii="Arial" w:cs="Arial" w:eastAsia="Arial" w:hAnsi="Arial"/>
                <w:sz w:val="4"/>
                <w:szCs w:val="4"/>
                <w:color w:val="auto"/>
                <w:w w:val="98"/>
              </w:rPr>
              <w:t> </w:t>
            </w:r>
          </w:p>
        </w:tc>
        <w:tc>
          <w:tcPr>
            <w:tcW w:w="160" w:type="dxa"/>
            <w:vAlign w:val="bottom"/>
          </w:tcPr>
          <w:p>
            <w:pPr>
              <w:spacing w:after="0"/>
              <w:rPr>
                <w:sz w:val="20"/>
                <w:szCs w:val="20"/>
                <w:color w:val="auto"/>
              </w:rPr>
            </w:pPr>
            <w:r>
              <w:rPr>
                <w:rFonts w:ascii="Arial" w:cs="Arial" w:eastAsia="Arial" w:hAnsi="Arial"/>
                <w:sz w:val="13"/>
                <w:szCs w:val="13"/>
                <w:color w:val="auto"/>
                <w:w w:val="91"/>
              </w:rPr>
              <w:t> </w:t>
            </w:r>
          </w:p>
        </w:tc>
        <w:tc>
          <w:tcPr>
            <w:tcW w:w="100" w:type="dxa"/>
            <w:vAlign w:val="bottom"/>
          </w:tcPr>
          <w:p>
            <w:pPr>
              <w:jc w:val="center"/>
              <w:ind w:right="25"/>
              <w:spacing w:after="0"/>
              <w:rPr>
                <w:sz w:val="20"/>
                <w:szCs w:val="20"/>
                <w:color w:val="auto"/>
              </w:rPr>
            </w:pPr>
            <w:r>
              <w:rPr>
                <w:rFonts w:ascii="Arial" w:cs="Arial" w:eastAsia="Arial" w:hAnsi="Arial"/>
                <w:sz w:val="4"/>
                <w:szCs w:val="4"/>
                <w:color w:val="auto"/>
                <w:w w:val="8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240" w:type="dxa"/>
            <w:vAlign w:val="bottom"/>
            <w:gridSpan w:val="2"/>
          </w:tcPr>
          <w:p>
            <w:pPr>
              <w:ind w:left="40"/>
              <w:spacing w:after="0"/>
              <w:rPr>
                <w:sz w:val="20"/>
                <w:szCs w:val="20"/>
                <w:color w:val="auto"/>
              </w:rPr>
            </w:pPr>
            <w:r>
              <w:rPr>
                <w:rFonts w:ascii="Arial" w:cs="Arial" w:eastAsia="Arial" w:hAnsi="Arial"/>
                <w:sz w:val="13"/>
                <w:szCs w:val="13"/>
                <w:color w:val="auto"/>
              </w:rPr>
              <w:t> </w:t>
            </w:r>
          </w:p>
        </w:tc>
        <w:tc>
          <w:tcPr>
            <w:tcW w:w="1040" w:type="dxa"/>
            <w:vAlign w:val="bottom"/>
          </w:tcPr>
          <w:p>
            <w:pPr>
              <w:ind w:left="40"/>
              <w:spacing w:after="0"/>
              <w:rPr>
                <w:sz w:val="20"/>
                <w:szCs w:val="20"/>
                <w:color w:val="auto"/>
              </w:rPr>
            </w:pPr>
            <w:r>
              <w:rPr>
                <w:rFonts w:ascii="Arial" w:cs="Arial" w:eastAsia="Arial" w:hAnsi="Arial"/>
                <w:sz w:val="13"/>
                <w:szCs w:val="13"/>
                <w:color w:val="auto"/>
                <w:w w:val="93"/>
              </w:rPr>
              <w:t>Email Address: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gridSpan w:val="2"/>
          </w:tcPr>
          <w:p>
            <w:pPr>
              <w:ind w:left="40"/>
              <w:spacing w:after="0"/>
              <w:rPr>
                <w:sz w:val="20"/>
                <w:szCs w:val="20"/>
                <w:color w:val="auto"/>
              </w:rPr>
            </w:pPr>
            <w:r>
              <w:rPr>
                <w:rFonts w:ascii="Arial" w:cs="Arial" w:eastAsia="Arial" w:hAnsi="Arial"/>
                <w:sz w:val="11"/>
                <w:szCs w:val="11"/>
                <w:color w:val="auto"/>
                <w:w w:val="72"/>
              </w:rPr>
              <w:t> </w:t>
            </w:r>
          </w:p>
        </w:tc>
        <w:tc>
          <w:tcPr>
            <w:tcW w:w="80" w:type="dxa"/>
            <w:vAlign w:val="bottom"/>
          </w:tcPr>
          <w:p>
            <w:pPr>
              <w:ind w:left="40"/>
              <w:spacing w:after="0"/>
              <w:rPr>
                <w:sz w:val="20"/>
                <w:szCs w:val="20"/>
                <w:color w:val="auto"/>
              </w:rPr>
            </w:pPr>
            <w:r>
              <w:rPr>
                <w:rFonts w:ascii="Arial" w:cs="Arial" w:eastAsia="Arial" w:hAnsi="Arial"/>
                <w:sz w:val="2"/>
                <w:szCs w:val="2"/>
                <w:color w:val="auto"/>
                <w:w w:val="97"/>
              </w:rPr>
              <w:t> </w:t>
            </w:r>
          </w:p>
        </w:tc>
        <w:tc>
          <w:tcPr>
            <w:tcW w:w="120" w:type="dxa"/>
            <w:vAlign w:val="bottom"/>
          </w:tcPr>
          <w:p>
            <w:pPr>
              <w:ind w:left="80"/>
              <w:spacing w:after="0"/>
              <w:rPr>
                <w:sz w:val="20"/>
                <w:szCs w:val="20"/>
                <w:color w:val="auto"/>
              </w:rPr>
            </w:pPr>
            <w:r>
              <w:rPr>
                <w:rFonts w:ascii="Arial" w:cs="Arial" w:eastAsia="Arial" w:hAnsi="Arial"/>
                <w:sz w:val="2"/>
                <w:szCs w:val="2"/>
                <w:color w:val="auto"/>
                <w:w w:val="97"/>
              </w:rPr>
              <w:t> </w:t>
            </w:r>
          </w:p>
        </w:tc>
        <w:tc>
          <w:tcPr>
            <w:tcW w:w="80" w:type="dxa"/>
            <w:vAlign w:val="bottom"/>
          </w:tcPr>
          <w:p>
            <w:pPr>
              <w:spacing w:after="0"/>
              <w:rPr>
                <w:sz w:val="18"/>
                <w:szCs w:val="18"/>
                <w:color w:val="auto"/>
              </w:rPr>
            </w:pPr>
          </w:p>
        </w:tc>
        <w:tc>
          <w:tcPr>
            <w:tcW w:w="60" w:type="dxa"/>
            <w:vAlign w:val="bottom"/>
          </w:tcPr>
          <w:p>
            <w:pPr>
              <w:ind w:left="20"/>
              <w:spacing w:after="0"/>
              <w:rPr>
                <w:sz w:val="20"/>
                <w:szCs w:val="20"/>
                <w:color w:val="auto"/>
              </w:rPr>
            </w:pPr>
            <w:r>
              <w:rPr>
                <w:rFonts w:ascii="Arial" w:cs="Arial" w:eastAsia="Arial" w:hAnsi="Arial"/>
                <w:sz w:val="2"/>
                <w:szCs w:val="2"/>
                <w:color w:val="auto"/>
                <w:w w:val="97"/>
              </w:rPr>
              <w:t> </w:t>
            </w:r>
          </w:p>
        </w:tc>
        <w:tc>
          <w:tcPr>
            <w:tcW w:w="120" w:type="dxa"/>
            <w:vAlign w:val="bottom"/>
          </w:tcPr>
          <w:p>
            <w:pPr>
              <w:ind w:left="80"/>
              <w:spacing w:after="0"/>
              <w:rPr>
                <w:sz w:val="20"/>
                <w:szCs w:val="20"/>
                <w:color w:val="auto"/>
              </w:rPr>
            </w:pPr>
            <w:r>
              <w:rPr>
                <w:rFonts w:ascii="Arial" w:cs="Arial" w:eastAsia="Arial" w:hAnsi="Arial"/>
                <w:sz w:val="2"/>
                <w:szCs w:val="2"/>
                <w:color w:val="auto"/>
                <w:w w:val="97"/>
              </w:rPr>
              <w:t> </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 xml:space="preserve">    </w:t>
            </w:r>
          </w:p>
        </w:tc>
        <w:tc>
          <w:tcPr>
            <w:tcW w:w="140" w:type="dxa"/>
            <w:vAlign w:val="bottom"/>
          </w:tcPr>
          <w:p>
            <w:pPr>
              <w:jc w:val="right"/>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60" w:type="dxa"/>
            <w:vAlign w:val="bottom"/>
          </w:tcPr>
          <w:p>
            <w:pPr>
              <w:jc w:val="right"/>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3"/>
                <w:szCs w:val="13"/>
                <w:color w:val="auto"/>
              </w:rPr>
              <w:t xml:space="preserve">   </w:t>
            </w:r>
          </w:p>
        </w:tc>
        <w:tc>
          <w:tcPr>
            <w:tcW w:w="8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40" w:type="dxa"/>
            <w:vAlign w:val="bottom"/>
          </w:tcPr>
          <w:p>
            <w:pPr>
              <w:spacing w:after="0"/>
              <w:rPr>
                <w:sz w:val="20"/>
                <w:szCs w:val="20"/>
                <w:color w:val="auto"/>
              </w:rPr>
            </w:pPr>
            <w:r>
              <w:rPr>
                <w:rFonts w:ascii="Arial" w:cs="Arial" w:eastAsia="Arial" w:hAnsi="Arial"/>
                <w:sz w:val="13"/>
                <w:szCs w:val="13"/>
                <w:color w:val="auto"/>
                <w:w w:val="91"/>
              </w:rPr>
              <w:t> </w:t>
            </w:r>
          </w:p>
        </w:tc>
        <w:tc>
          <w:tcPr>
            <w:tcW w:w="140" w:type="dxa"/>
            <w:vAlign w:val="bottom"/>
          </w:tcPr>
          <w:p>
            <w:pPr>
              <w:jc w:val="right"/>
              <w:ind w:right="28"/>
              <w:spacing w:after="0"/>
              <w:rPr>
                <w:sz w:val="20"/>
                <w:szCs w:val="20"/>
                <w:color w:val="auto"/>
              </w:rPr>
            </w:pPr>
            <w:r>
              <w:rPr>
                <w:rFonts w:ascii="Arial" w:cs="Arial" w:eastAsia="Arial" w:hAnsi="Arial"/>
                <w:sz w:val="4"/>
                <w:szCs w:val="4"/>
                <w:color w:val="auto"/>
                <w:w w:val="82"/>
              </w:rPr>
              <w:t>  </w:t>
            </w:r>
          </w:p>
        </w:tc>
        <w:tc>
          <w:tcPr>
            <w:tcW w:w="14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40" w:type="dxa"/>
            <w:vAlign w:val="bottom"/>
          </w:tcPr>
          <w:p>
            <w:pPr>
              <w:spacing w:after="0"/>
              <w:rPr>
                <w:sz w:val="18"/>
                <w:szCs w:val="18"/>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gridSpan w:val="5"/>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8"/>
        </w:trPr>
        <w:tc>
          <w:tcPr>
            <w:tcW w:w="1320" w:type="dxa"/>
            <w:vAlign w:val="bottom"/>
            <w:gridSpan w:val="8"/>
          </w:tcPr>
          <w:p>
            <w:pPr>
              <w:ind w:left="60"/>
              <w:spacing w:after="0"/>
              <w:rPr>
                <w:sz w:val="20"/>
                <w:szCs w:val="20"/>
                <w:color w:val="auto"/>
              </w:rPr>
            </w:pPr>
            <w:r>
              <w:rPr>
                <w:rFonts w:ascii="Arial" w:cs="Arial" w:eastAsia="Arial" w:hAnsi="Arial"/>
                <w:sz w:val="13"/>
                <w:szCs w:val="13"/>
                <w:color w:val="auto"/>
              </w:rPr>
              <w:t xml:space="preserve">State:                     </w:t>
            </w:r>
          </w:p>
        </w:tc>
        <w:tc>
          <w:tcPr>
            <w:tcW w:w="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3"/>
                <w:szCs w:val="13"/>
                <w:color w:val="auto"/>
                <w:w w:val="91"/>
              </w:rPr>
              <w:t> </w:t>
            </w:r>
          </w:p>
        </w:tc>
        <w:tc>
          <w:tcPr>
            <w:tcW w:w="120" w:type="dxa"/>
            <w:vAlign w:val="bottom"/>
          </w:tcPr>
          <w:p>
            <w:pPr>
              <w:jc w:val="right"/>
              <w:ind w:right="44"/>
              <w:spacing w:after="0"/>
              <w:rPr>
                <w:sz w:val="20"/>
                <w:szCs w:val="20"/>
                <w:color w:val="auto"/>
              </w:rPr>
            </w:pPr>
            <w:r>
              <w:rPr>
                <w:rFonts w:ascii="Arial" w:cs="Arial" w:eastAsia="Arial" w:hAnsi="Arial"/>
                <w:sz w:val="2"/>
                <w:szCs w:val="2"/>
                <w:color w:val="auto"/>
                <w:w w:val="97"/>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40" w:type="dxa"/>
            <w:vAlign w:val="bottom"/>
          </w:tcPr>
          <w:p>
            <w:pPr>
              <w:spacing w:after="0"/>
              <w:rPr>
                <w:sz w:val="20"/>
                <w:szCs w:val="20"/>
                <w:color w:val="auto"/>
              </w:rPr>
            </w:pPr>
            <w:r>
              <w:rPr>
                <w:rFonts w:ascii="Arial" w:cs="Arial" w:eastAsia="Arial" w:hAnsi="Arial"/>
                <w:sz w:val="13"/>
                <w:szCs w:val="13"/>
                <w:color w:val="auto"/>
                <w:w w:val="91"/>
              </w:rPr>
              <w:t> </w:t>
            </w:r>
          </w:p>
        </w:tc>
        <w:tc>
          <w:tcPr>
            <w:tcW w:w="140" w:type="dxa"/>
            <w:vAlign w:val="bottom"/>
          </w:tcPr>
          <w:p>
            <w:pPr>
              <w:spacing w:after="0"/>
              <w:rPr>
                <w:sz w:val="20"/>
                <w:szCs w:val="20"/>
                <w:color w:val="auto"/>
              </w:rPr>
            </w:pPr>
            <w:r>
              <w:rPr>
                <w:rFonts w:ascii="Arial" w:cs="Arial" w:eastAsia="Arial" w:hAnsi="Arial"/>
                <w:sz w:val="13"/>
                <w:szCs w:val="13"/>
                <w:color w:val="auto"/>
                <w:w w:val="91"/>
              </w:rPr>
              <w:t> </w:t>
            </w:r>
          </w:p>
        </w:tc>
        <w:tc>
          <w:tcPr>
            <w:tcW w:w="380" w:type="dxa"/>
            <w:vAlign w:val="bottom"/>
            <w:gridSpan w:val="3"/>
          </w:tcPr>
          <w:p>
            <w:pPr>
              <w:spacing w:after="0"/>
              <w:rPr>
                <w:sz w:val="20"/>
                <w:szCs w:val="20"/>
                <w:color w:val="auto"/>
              </w:rPr>
            </w:pPr>
            <w:r>
              <w:rPr>
                <w:rFonts w:ascii="Arial" w:cs="Arial" w:eastAsia="Arial" w:hAnsi="Arial"/>
                <w:sz w:val="13"/>
                <w:szCs w:val="13"/>
                <w:color w:val="auto"/>
                <w:w w:val="90"/>
              </w:rPr>
              <w:t> Zip: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40" w:type="dxa"/>
            <w:vAlign w:val="bottom"/>
          </w:tcPr>
          <w:p>
            <w:pPr>
              <w:spacing w:after="0"/>
              <w:rPr>
                <w:sz w:val="20"/>
                <w:szCs w:val="20"/>
                <w:color w:val="auto"/>
              </w:rPr>
            </w:pPr>
            <w:r>
              <w:rPr>
                <w:rFonts w:ascii="Arial" w:cs="Arial" w:eastAsia="Arial" w:hAnsi="Arial"/>
                <w:sz w:val="13"/>
                <w:szCs w:val="13"/>
                <w:color w:val="auto"/>
                <w:w w:val="91"/>
              </w:rPr>
              <w:t> </w:t>
            </w: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40" w:type="dxa"/>
            <w:vAlign w:val="bottom"/>
          </w:tcPr>
          <w:p>
            <w:pPr>
              <w:spacing w:after="0"/>
              <w:rPr>
                <w:sz w:val="20"/>
                <w:szCs w:val="20"/>
                <w:color w:val="auto"/>
              </w:rPr>
            </w:pPr>
            <w:r>
              <w:rPr>
                <w:rFonts w:ascii="Arial" w:cs="Arial" w:eastAsia="Arial" w:hAnsi="Arial"/>
                <w:sz w:val="13"/>
                <w:szCs w:val="13"/>
                <w:color w:val="auto"/>
                <w:w w:val="91"/>
              </w:rPr>
              <w:t> </w:t>
            </w:r>
          </w:p>
        </w:tc>
        <w:tc>
          <w:tcPr>
            <w:tcW w:w="140" w:type="dxa"/>
            <w:vAlign w:val="bottom"/>
          </w:tcPr>
          <w:p>
            <w:pPr>
              <w:jc w:val="right"/>
              <w:ind w:right="42"/>
              <w:spacing w:after="0"/>
              <w:rPr>
                <w:sz w:val="20"/>
                <w:szCs w:val="20"/>
                <w:color w:val="auto"/>
              </w:rPr>
            </w:pPr>
            <w:r>
              <w:rPr>
                <w:rFonts w:ascii="Arial" w:cs="Arial" w:eastAsia="Arial" w:hAnsi="Arial"/>
                <w:sz w:val="4"/>
                <w:szCs w:val="4"/>
                <w:color w:val="auto"/>
                <w:w w:val="82"/>
              </w:rPr>
              <w:t>  </w:t>
            </w:r>
          </w:p>
        </w:tc>
        <w:tc>
          <w:tcPr>
            <w:tcW w:w="16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00" w:type="dxa"/>
            <w:vAlign w:val="bottom"/>
          </w:tcPr>
          <w:p>
            <w:pPr>
              <w:jc w:val="center"/>
              <w:ind w:right="45"/>
              <w:spacing w:after="0"/>
              <w:rPr>
                <w:sz w:val="20"/>
                <w:szCs w:val="20"/>
                <w:color w:val="auto"/>
              </w:rPr>
            </w:pPr>
            <w:r>
              <w:rPr>
                <w:rFonts w:ascii="Arial" w:cs="Arial" w:eastAsia="Arial" w:hAnsi="Arial"/>
                <w:sz w:val="2"/>
                <w:szCs w:val="2"/>
                <w:color w:val="auto"/>
                <w:w w:val="97"/>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240" w:type="dxa"/>
            <w:vAlign w:val="bottom"/>
            <w:gridSpan w:val="2"/>
          </w:tcPr>
          <w:p>
            <w:pPr>
              <w:ind w:left="20"/>
              <w:spacing w:after="0"/>
              <w:rPr>
                <w:sz w:val="20"/>
                <w:szCs w:val="20"/>
                <w:color w:val="auto"/>
              </w:rPr>
            </w:pPr>
            <w:r>
              <w:rPr>
                <w:rFonts w:ascii="Arial" w:cs="Arial" w:eastAsia="Arial" w:hAnsi="Arial"/>
                <w:sz w:val="13"/>
                <w:szCs w:val="13"/>
                <w:color w:val="auto"/>
              </w:rPr>
              <w:t> </w:t>
            </w:r>
          </w:p>
        </w:tc>
        <w:tc>
          <w:tcPr>
            <w:tcW w:w="1040" w:type="dxa"/>
            <w:vAlign w:val="bottom"/>
          </w:tcPr>
          <w:p>
            <w:pPr>
              <w:ind w:left="40"/>
              <w:spacing w:after="0"/>
              <w:rPr>
                <w:sz w:val="20"/>
                <w:szCs w:val="20"/>
                <w:color w:val="auto"/>
              </w:rPr>
            </w:pPr>
            <w:r>
              <w:rPr>
                <w:rFonts w:ascii="Arial" w:cs="Arial" w:eastAsia="Arial" w:hAnsi="Arial"/>
                <w:sz w:val="13"/>
                <w:szCs w:val="13"/>
                <w:color w:val="auto"/>
                <w:w w:val="89"/>
              </w:rPr>
              <w:t>Phone Number:  </w:t>
            </w:r>
          </w:p>
        </w:tc>
        <w:tc>
          <w:tcPr>
            <w:tcW w:w="120" w:type="dxa"/>
            <w:vAlign w:val="bottom"/>
          </w:tcPr>
          <w:p>
            <w:pPr>
              <w:ind w:left="80"/>
              <w:spacing w:after="0"/>
              <w:rPr>
                <w:sz w:val="20"/>
                <w:szCs w:val="20"/>
                <w:color w:val="auto"/>
              </w:rPr>
            </w:pPr>
            <w:r>
              <w:rPr>
                <w:rFonts w:ascii="Arial" w:cs="Arial" w:eastAsia="Arial" w:hAnsi="Arial"/>
                <w:sz w:val="2"/>
                <w:szCs w:val="2"/>
                <w:color w:val="auto"/>
                <w:w w:val="97"/>
              </w:rPr>
              <w:t> </w:t>
            </w:r>
          </w:p>
        </w:tc>
        <w:tc>
          <w:tcPr>
            <w:tcW w:w="140" w:type="dxa"/>
            <w:vAlign w:val="bottom"/>
          </w:tcPr>
          <w:p>
            <w:pPr>
              <w:ind w:left="100"/>
              <w:spacing w:after="0"/>
              <w:rPr>
                <w:sz w:val="20"/>
                <w:szCs w:val="20"/>
                <w:color w:val="auto"/>
              </w:rPr>
            </w:pPr>
            <w:r>
              <w:rPr>
                <w:rFonts w:ascii="Arial" w:cs="Arial" w:eastAsia="Arial" w:hAnsi="Arial"/>
                <w:sz w:val="2"/>
                <w:szCs w:val="2"/>
                <w:color w:val="auto"/>
                <w:w w:val="97"/>
              </w:rPr>
              <w:t> </w:t>
            </w:r>
          </w:p>
        </w:tc>
        <w:tc>
          <w:tcPr>
            <w:tcW w:w="140" w:type="dxa"/>
            <w:vAlign w:val="bottom"/>
            <w:gridSpan w:val="2"/>
          </w:tcPr>
          <w:p>
            <w:pPr>
              <w:ind w:left="80"/>
              <w:spacing w:after="0"/>
              <w:rPr>
                <w:sz w:val="20"/>
                <w:szCs w:val="20"/>
                <w:color w:val="auto"/>
              </w:rPr>
            </w:pPr>
            <w:r>
              <w:rPr>
                <w:rFonts w:ascii="Arial" w:cs="Arial" w:eastAsia="Arial" w:hAnsi="Arial"/>
                <w:sz w:val="4"/>
                <w:szCs w:val="4"/>
                <w:color w:val="auto"/>
                <w:w w:val="98"/>
              </w:rPr>
              <w:t> </w:t>
            </w:r>
          </w:p>
        </w:tc>
        <w:tc>
          <w:tcPr>
            <w:tcW w:w="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140" w:type="dxa"/>
            <w:vAlign w:val="bottom"/>
            <w:gridSpan w:val="2"/>
          </w:tcPr>
          <w:p>
            <w:pPr>
              <w:spacing w:after="0"/>
              <w:rPr>
                <w:sz w:val="20"/>
                <w:szCs w:val="20"/>
                <w:color w:val="auto"/>
              </w:rPr>
            </w:pPr>
            <w:r>
              <w:rPr>
                <w:rFonts w:ascii="Arial" w:cs="Arial" w:eastAsia="Arial" w:hAnsi="Arial"/>
                <w:sz w:val="13"/>
                <w:szCs w:val="13"/>
                <w:color w:val="auto"/>
                <w:w w:val="91"/>
              </w:rPr>
              <w:t> </w:t>
            </w: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20" w:type="dxa"/>
            <w:vAlign w:val="bottom"/>
          </w:tcPr>
          <w:p>
            <w:pPr>
              <w:jc w:val="right"/>
              <w:ind w:right="41"/>
              <w:spacing w:after="0"/>
              <w:rPr>
                <w:sz w:val="20"/>
                <w:szCs w:val="20"/>
                <w:color w:val="auto"/>
              </w:rPr>
            </w:pPr>
            <w:r>
              <w:rPr>
                <w:rFonts w:ascii="Arial" w:cs="Arial" w:eastAsia="Arial" w:hAnsi="Arial"/>
                <w:sz w:val="2"/>
                <w:szCs w:val="2"/>
                <w:color w:val="auto"/>
                <w:w w:val="97"/>
              </w:rPr>
              <w:t> </w:t>
            </w:r>
          </w:p>
        </w:tc>
        <w:tc>
          <w:tcPr>
            <w:tcW w:w="140" w:type="dxa"/>
            <w:vAlign w:val="bottom"/>
          </w:tcPr>
          <w:p>
            <w:pPr>
              <w:jc w:val="right"/>
              <w:ind w:right="25"/>
              <w:spacing w:after="0"/>
              <w:rPr>
                <w:sz w:val="20"/>
                <w:szCs w:val="20"/>
                <w:color w:val="auto"/>
              </w:rPr>
            </w:pPr>
            <w:r>
              <w:rPr>
                <w:rFonts w:ascii="Arial" w:cs="Arial" w:eastAsia="Arial" w:hAnsi="Arial"/>
                <w:sz w:val="4"/>
                <w:szCs w:val="4"/>
                <w:color w:val="auto"/>
                <w:w w:val="98"/>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60" w:type="dxa"/>
            <w:vAlign w:val="bottom"/>
          </w:tcPr>
          <w:p>
            <w:pPr>
              <w:jc w:val="right"/>
              <w:spacing w:after="0"/>
              <w:rPr>
                <w:sz w:val="20"/>
                <w:szCs w:val="20"/>
                <w:color w:val="auto"/>
              </w:rPr>
            </w:pPr>
            <w:r>
              <w:rPr>
                <w:rFonts w:ascii="Arial" w:cs="Arial" w:eastAsia="Arial" w:hAnsi="Arial"/>
                <w:sz w:val="13"/>
                <w:szCs w:val="13"/>
                <w:color w:val="auto"/>
              </w:rPr>
              <w:t xml:space="preserve">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60"/>
              <w:spacing w:after="0"/>
              <w:rPr>
                <w:sz w:val="20"/>
                <w:szCs w:val="20"/>
                <w:color w:val="auto"/>
              </w:rPr>
            </w:pPr>
            <w:r>
              <w:rPr>
                <w:rFonts w:ascii="Arial" w:cs="Arial" w:eastAsia="Arial" w:hAnsi="Arial"/>
                <w:sz w:val="7"/>
                <w:szCs w:val="7"/>
                <w:color w:val="auto"/>
                <w:w w:val="70"/>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220" w:type="dxa"/>
            <w:vAlign w:val="bottom"/>
            <w:gridSpan w:val="2"/>
          </w:tcPr>
          <w:p>
            <w:pPr>
              <w:ind w:left="80"/>
              <w:spacing w:after="0"/>
              <w:rPr>
                <w:sz w:val="20"/>
                <w:szCs w:val="20"/>
                <w:color w:val="auto"/>
              </w:rPr>
            </w:pPr>
            <w:r>
              <w:rPr>
                <w:rFonts w:ascii="Arial" w:cs="Arial" w:eastAsia="Arial" w:hAnsi="Arial"/>
                <w:sz w:val="13"/>
                <w:szCs w:val="13"/>
                <w:color w:val="auto"/>
              </w:rPr>
              <w:t xml:space="preserve">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jc w:val="right"/>
              <w:ind w:right="8"/>
              <w:spacing w:after="0"/>
              <w:rPr>
                <w:sz w:val="20"/>
                <w:szCs w:val="20"/>
                <w:color w:val="auto"/>
              </w:rPr>
            </w:pPr>
            <w:r>
              <w:rPr>
                <w:rFonts w:ascii="Arial" w:cs="Arial" w:eastAsia="Arial" w:hAnsi="Arial"/>
                <w:sz w:val="8"/>
                <w:szCs w:val="8"/>
                <w:color w:val="auto"/>
                <w:w w:val="74"/>
              </w:rPr>
              <w:t> </w:t>
            </w:r>
          </w:p>
        </w:tc>
        <w:tc>
          <w:tcPr>
            <w:tcW w:w="140" w:type="dxa"/>
            <w:vAlign w:val="bottom"/>
          </w:tcPr>
          <w:p>
            <w:pPr>
              <w:jc w:val="right"/>
              <w:ind w:right="24"/>
              <w:spacing w:after="0"/>
              <w:rPr>
                <w:sz w:val="20"/>
                <w:szCs w:val="20"/>
                <w:color w:val="auto"/>
              </w:rPr>
            </w:pPr>
            <w:r>
              <w:rPr>
                <w:rFonts w:ascii="Arial" w:cs="Arial" w:eastAsia="Arial" w:hAnsi="Arial"/>
                <w:sz w:val="8"/>
                <w:szCs w:val="8"/>
                <w:color w:val="auto"/>
                <w:w w:val="74"/>
              </w:rPr>
              <w:t> </w:t>
            </w:r>
          </w:p>
        </w:tc>
        <w:tc>
          <w:tcPr>
            <w:tcW w:w="40" w:type="dxa"/>
            <w:vAlign w:val="bottom"/>
          </w:tcPr>
          <w:p>
            <w:pPr>
              <w:spacing w:after="0"/>
              <w:rPr>
                <w:sz w:val="18"/>
                <w:szCs w:val="18"/>
                <w:color w:val="auto"/>
              </w:rPr>
            </w:pPr>
          </w:p>
        </w:tc>
      </w:tr>
      <w:tr>
        <w:trPr>
          <w:trHeight w:val="20"/>
        </w:trPr>
        <w:tc>
          <w:tcPr>
            <w:tcW w:w="44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gridSpan w:val="5"/>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740" w:type="dxa"/>
            <w:vAlign w:val="bottom"/>
            <w:gridSpan w:val="8"/>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r>
      <w:tr>
        <w:trPr>
          <w:trHeight w:val="215"/>
        </w:trPr>
        <w:tc>
          <w:tcPr>
            <w:tcW w:w="440" w:type="dxa"/>
            <w:vAlign w:val="bottom"/>
            <w:gridSpan w:val="2"/>
          </w:tcPr>
          <w:p>
            <w:pPr>
              <w:ind w:left="60"/>
              <w:spacing w:after="0"/>
              <w:rPr>
                <w:sz w:val="20"/>
                <w:szCs w:val="20"/>
                <w:color w:val="auto"/>
              </w:rPr>
            </w:pPr>
            <w:r>
              <w:rPr>
                <w:rFonts w:ascii="Arial" w:cs="Arial" w:eastAsia="Arial" w:hAnsi="Arial"/>
                <w:sz w:val="13"/>
                <w:szCs w:val="13"/>
                <w:color w:val="auto"/>
              </w:rPr>
              <w:t>Social</w:t>
            </w:r>
          </w:p>
        </w:tc>
        <w:tc>
          <w:tcPr>
            <w:tcW w:w="880" w:type="dxa"/>
            <w:vAlign w:val="bottom"/>
            <w:gridSpan w:val="6"/>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9"/>
          </w:tcPr>
          <w:p>
            <w:pPr>
              <w:ind w:left="4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Male   </w:t>
            </w:r>
            <w:r>
              <w:rPr>
                <w:rFonts w:ascii="MS PGothic" w:cs="MS PGothic" w:eastAsia="MS PGothic" w:hAnsi="MS PGothic"/>
                <w:sz w:val="13"/>
                <w:szCs w:val="13"/>
                <w:color w:val="auto"/>
              </w:rPr>
              <w:t>☐</w:t>
            </w:r>
            <w:r>
              <w:rPr>
                <w:rFonts w:ascii="Arial" w:cs="Arial" w:eastAsia="Arial" w:hAnsi="Arial"/>
                <w:sz w:val="13"/>
                <w:szCs w:val="13"/>
                <w:color w:val="auto"/>
              </w:rPr>
              <w:t xml:space="preserve"> Female </w:t>
            </w:r>
            <w:r>
              <w:rPr>
                <w:rFonts w:ascii="MS PGothic" w:cs="MS PGothic" w:eastAsia="MS PGothic" w:hAnsi="MS PGothic"/>
                <w:sz w:val="13"/>
                <w:szCs w:val="13"/>
                <w:color w:val="auto"/>
              </w:rPr>
              <w:t>☐</w:t>
            </w:r>
            <w:r>
              <w:rPr>
                <w:rFonts w:ascii="Arial" w:cs="Arial" w:eastAsia="Arial" w:hAnsi="Arial"/>
                <w:sz w:val="13"/>
                <w:szCs w:val="13"/>
                <w:color w:val="auto"/>
              </w:rPr>
              <w:t xml:space="preserve"> Entity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42"/>
        </w:trPr>
        <w:tc>
          <w:tcPr>
            <w:tcW w:w="1320" w:type="dxa"/>
            <w:vAlign w:val="bottom"/>
            <w:gridSpan w:val="8"/>
          </w:tcPr>
          <w:p>
            <w:pPr>
              <w:ind w:left="60"/>
              <w:spacing w:after="0" w:line="142" w:lineRule="exact"/>
              <w:rPr>
                <w:sz w:val="20"/>
                <w:szCs w:val="20"/>
                <w:color w:val="auto"/>
              </w:rPr>
            </w:pPr>
            <w:r>
              <w:rPr>
                <w:rFonts w:ascii="Arial" w:cs="Arial" w:eastAsia="Arial" w:hAnsi="Arial"/>
                <w:sz w:val="13"/>
                <w:szCs w:val="13"/>
                <w:color w:val="auto"/>
              </w:rPr>
              <w:t xml:space="preserve">Security:                 </w:t>
            </w:r>
          </w:p>
        </w:tc>
        <w:tc>
          <w:tcPr>
            <w:tcW w:w="60" w:type="dxa"/>
            <w:vAlign w:val="bottom"/>
          </w:tcPr>
          <w:p>
            <w:pPr>
              <w:spacing w:after="0"/>
              <w:rPr>
                <w:sz w:val="12"/>
                <w:szCs w:val="12"/>
                <w:color w:val="auto"/>
              </w:rPr>
            </w:pPr>
          </w:p>
        </w:tc>
        <w:tc>
          <w:tcPr>
            <w:tcW w:w="140" w:type="dxa"/>
            <w:vAlign w:val="bottom"/>
          </w:tcPr>
          <w:p>
            <w:pPr>
              <w:ind w:left="20"/>
              <w:spacing w:after="0" w:line="142" w:lineRule="exact"/>
              <w:rPr>
                <w:sz w:val="20"/>
                <w:szCs w:val="20"/>
                <w:color w:val="auto"/>
              </w:rPr>
            </w:pPr>
            <w:r>
              <w:rPr>
                <w:rFonts w:ascii="Arial" w:cs="Arial" w:eastAsia="Arial" w:hAnsi="Arial"/>
                <w:sz w:val="13"/>
                <w:szCs w:val="13"/>
                <w:color w:val="auto"/>
                <w:w w:val="76"/>
              </w:rPr>
              <w:t> </w:t>
            </w:r>
          </w:p>
        </w:tc>
        <w:tc>
          <w:tcPr>
            <w:tcW w:w="120" w:type="dxa"/>
            <w:vAlign w:val="bottom"/>
          </w:tcPr>
          <w:p>
            <w:pPr>
              <w:jc w:val="right"/>
              <w:ind w:right="44"/>
              <w:spacing w:after="0"/>
              <w:rPr>
                <w:sz w:val="20"/>
                <w:szCs w:val="20"/>
                <w:color w:val="auto"/>
              </w:rPr>
            </w:pPr>
            <w:r>
              <w:rPr>
                <w:rFonts w:ascii="Arial" w:cs="Arial" w:eastAsia="Arial" w:hAnsi="Arial"/>
                <w:sz w:val="2"/>
                <w:szCs w:val="2"/>
                <w:color w:val="auto"/>
                <w:w w:val="97"/>
              </w:rPr>
              <w:t> </w:t>
            </w:r>
          </w:p>
        </w:tc>
        <w:tc>
          <w:tcPr>
            <w:tcW w:w="140" w:type="dxa"/>
            <w:vAlign w:val="bottom"/>
          </w:tcPr>
          <w:p>
            <w:pPr>
              <w:ind w:left="20"/>
              <w:spacing w:after="0" w:line="142" w:lineRule="exact"/>
              <w:rPr>
                <w:sz w:val="20"/>
                <w:szCs w:val="20"/>
                <w:color w:val="auto"/>
              </w:rPr>
            </w:pPr>
            <w:r>
              <w:rPr>
                <w:rFonts w:ascii="Arial" w:cs="Arial" w:eastAsia="Arial" w:hAnsi="Arial"/>
                <w:sz w:val="13"/>
                <w:szCs w:val="13"/>
                <w:color w:val="auto"/>
                <w:w w:val="76"/>
              </w:rPr>
              <w:t> </w:t>
            </w:r>
          </w:p>
        </w:tc>
        <w:tc>
          <w:tcPr>
            <w:tcW w:w="140" w:type="dxa"/>
            <w:vAlign w:val="bottom"/>
          </w:tcPr>
          <w:p>
            <w:pPr>
              <w:ind w:left="20"/>
              <w:spacing w:after="0" w:line="142" w:lineRule="exact"/>
              <w:rPr>
                <w:sz w:val="20"/>
                <w:szCs w:val="20"/>
                <w:color w:val="auto"/>
              </w:rPr>
            </w:pPr>
            <w:r>
              <w:rPr>
                <w:rFonts w:ascii="Arial" w:cs="Arial" w:eastAsia="Arial" w:hAnsi="Arial"/>
                <w:sz w:val="13"/>
                <w:szCs w:val="13"/>
                <w:color w:val="auto"/>
                <w:w w:val="76"/>
              </w:rPr>
              <w:t> </w:t>
            </w:r>
          </w:p>
        </w:tc>
        <w:tc>
          <w:tcPr>
            <w:tcW w:w="140" w:type="dxa"/>
            <w:vAlign w:val="bottom"/>
          </w:tcPr>
          <w:p>
            <w:pPr>
              <w:spacing w:after="0" w:line="142" w:lineRule="exact"/>
              <w:rPr>
                <w:sz w:val="20"/>
                <w:szCs w:val="20"/>
                <w:color w:val="auto"/>
              </w:rPr>
            </w:pPr>
            <w:r>
              <w:rPr>
                <w:rFonts w:ascii="Arial" w:cs="Arial" w:eastAsia="Arial" w:hAnsi="Arial"/>
                <w:sz w:val="13"/>
                <w:szCs w:val="13"/>
                <w:color w:val="auto"/>
                <w:w w:val="91"/>
              </w:rPr>
              <w:t> </w:t>
            </w:r>
          </w:p>
        </w:tc>
        <w:tc>
          <w:tcPr>
            <w:tcW w:w="120" w:type="dxa"/>
            <w:vAlign w:val="bottom"/>
          </w:tcPr>
          <w:p>
            <w:pPr>
              <w:spacing w:after="0" w:line="142" w:lineRule="exact"/>
              <w:rPr>
                <w:sz w:val="20"/>
                <w:szCs w:val="20"/>
                <w:color w:val="auto"/>
              </w:rPr>
            </w:pPr>
            <w:r>
              <w:rPr>
                <w:rFonts w:ascii="Arial" w:cs="Arial" w:eastAsia="Arial" w:hAnsi="Arial"/>
                <w:sz w:val="13"/>
                <w:szCs w:val="13"/>
                <w:color w:val="auto"/>
                <w:w w:val="76"/>
              </w:rPr>
              <w:t> </w:t>
            </w:r>
          </w:p>
        </w:tc>
        <w:tc>
          <w:tcPr>
            <w:tcW w:w="140" w:type="dxa"/>
            <w:vAlign w:val="bottom"/>
          </w:tcPr>
          <w:p>
            <w:pPr>
              <w:jc w:val="right"/>
              <w:ind w:right="8"/>
              <w:spacing w:after="0"/>
              <w:rPr>
                <w:sz w:val="20"/>
                <w:szCs w:val="20"/>
                <w:color w:val="auto"/>
              </w:rPr>
            </w:pPr>
            <w:r>
              <w:rPr>
                <w:rFonts w:ascii="Arial" w:cs="Arial" w:eastAsia="Arial" w:hAnsi="Arial"/>
                <w:sz w:val="7"/>
                <w:szCs w:val="7"/>
                <w:color w:val="auto"/>
                <w:w w:val="70"/>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Pr>
          <w:p>
            <w:pPr>
              <w:jc w:val="right"/>
              <w:ind w:right="42"/>
              <w:spacing w:after="0"/>
              <w:rPr>
                <w:sz w:val="20"/>
                <w:szCs w:val="20"/>
                <w:color w:val="auto"/>
              </w:rPr>
            </w:pPr>
            <w:r>
              <w:rPr>
                <w:rFonts w:ascii="Arial" w:cs="Arial" w:eastAsia="Arial" w:hAnsi="Arial"/>
                <w:sz w:val="4"/>
                <w:szCs w:val="4"/>
                <w:color w:val="auto"/>
                <w:w w:val="98"/>
              </w:rPr>
              <w:t> </w:t>
            </w:r>
          </w:p>
        </w:tc>
        <w:tc>
          <w:tcPr>
            <w:tcW w:w="160" w:type="dxa"/>
            <w:vAlign w:val="bottom"/>
          </w:tcPr>
          <w:p>
            <w:pPr>
              <w:ind w:left="20"/>
              <w:spacing w:after="0" w:line="142" w:lineRule="exact"/>
              <w:rPr>
                <w:sz w:val="20"/>
                <w:szCs w:val="20"/>
                <w:color w:val="auto"/>
              </w:rPr>
            </w:pPr>
            <w:r>
              <w:rPr>
                <w:rFonts w:ascii="Arial" w:cs="Arial" w:eastAsia="Arial" w:hAnsi="Arial"/>
                <w:sz w:val="13"/>
                <w:szCs w:val="13"/>
                <w:color w:val="auto"/>
                <w:w w:val="76"/>
              </w:rPr>
              <w:t> </w:t>
            </w:r>
          </w:p>
        </w:tc>
        <w:tc>
          <w:tcPr>
            <w:tcW w:w="100" w:type="dxa"/>
            <w:vAlign w:val="bottom"/>
          </w:tcPr>
          <w:p>
            <w:pPr>
              <w:jc w:val="center"/>
              <w:ind w:right="25"/>
              <w:spacing w:after="0" w:line="142" w:lineRule="exact"/>
              <w:rPr>
                <w:sz w:val="20"/>
                <w:szCs w:val="20"/>
                <w:color w:val="auto"/>
              </w:rPr>
            </w:pPr>
            <w:r>
              <w:rPr>
                <w:rFonts w:ascii="Arial" w:cs="Arial" w:eastAsia="Arial" w:hAnsi="Arial"/>
                <w:sz w:val="13"/>
                <w:szCs w:val="13"/>
                <w:color w:val="auto"/>
              </w:rPr>
              <w:t> </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600" w:type="dxa"/>
            <w:vAlign w:val="bottom"/>
            <w:gridSpan w:val="3"/>
          </w:tcPr>
          <w:p>
            <w:pPr>
              <w:spacing w:after="0" w:line="20" w:lineRule="exact"/>
              <w:rPr>
                <w:sz w:val="1"/>
                <w:szCs w:val="1"/>
                <w:color w:val="auto"/>
              </w:rPr>
            </w:pPr>
          </w:p>
        </w:tc>
        <w:tc>
          <w:tcPr>
            <w:tcW w:w="720" w:type="dxa"/>
            <w:vAlign w:val="bottom"/>
            <w:gridSpan w:val="5"/>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0"/>
        </w:trPr>
        <w:tc>
          <w:tcPr>
            <w:tcW w:w="1320" w:type="dxa"/>
            <w:vAlign w:val="bottom"/>
            <w:gridSpan w:val="8"/>
          </w:tcPr>
          <w:p>
            <w:pPr>
              <w:spacing w:after="0"/>
              <w:rPr>
                <w:sz w:val="20"/>
                <w:szCs w:val="20"/>
                <w:color w:val="auto"/>
              </w:rPr>
            </w:pPr>
            <w:r>
              <w:rPr>
                <w:rFonts w:ascii="Arial" w:cs="Arial" w:eastAsia="Arial" w:hAnsi="Arial"/>
                <w:sz w:val="13"/>
                <w:szCs w:val="13"/>
                <w:color w:val="auto"/>
              </w:rPr>
              <w:t>SLS2-APP-NY (07/24)</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gridSpan w:val="4"/>
          </w:tcPr>
          <w:p>
            <w:pPr>
              <w:ind w:left="100"/>
              <w:spacing w:after="0"/>
              <w:rPr>
                <w:sz w:val="20"/>
                <w:szCs w:val="20"/>
                <w:color w:val="auto"/>
              </w:rPr>
            </w:pPr>
            <w:r>
              <w:rPr>
                <w:rFonts w:ascii="Arial" w:cs="Arial" w:eastAsia="Arial" w:hAnsi="Arial"/>
                <w:sz w:val="13"/>
                <w:szCs w:val="13"/>
                <w:color w:val="auto"/>
              </w:rPr>
              <w:t>Page 1 of 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10"/>
          </w:tcPr>
          <w:p>
            <w:pPr>
              <w:jc w:val="right"/>
              <w:ind w:right="24"/>
              <w:spacing w:after="0"/>
              <w:rPr>
                <w:sz w:val="20"/>
                <w:szCs w:val="20"/>
                <w:color w:val="auto"/>
              </w:rPr>
            </w:pPr>
            <w:r>
              <w:rPr>
                <w:rFonts w:ascii="Arial" w:cs="Arial" w:eastAsia="Arial" w:hAnsi="Arial"/>
                <w:sz w:val="13"/>
                <w:szCs w:val="13"/>
                <w:color w:val="auto"/>
              </w:rPr>
              <w:t xml:space="preserve">BSL2-6-NY (07/24) </w:t>
            </w:r>
          </w:p>
        </w:tc>
        <w:tc>
          <w:tcPr>
            <w:tcW w:w="40" w:type="dxa"/>
            <w:vAlign w:val="bottom"/>
          </w:tcPr>
          <w:p>
            <w:pPr>
              <w:spacing w:after="0"/>
              <w:rPr>
                <w:sz w:val="23"/>
                <w:szCs w:val="23"/>
                <w:color w:val="auto"/>
              </w:rPr>
            </w:pPr>
          </w:p>
        </w:tc>
      </w:tr>
    </w:tbl>
    <w:p>
      <w:pPr>
        <w:sectPr>
          <w:pgSz w:w="11900" w:h="16838" w:orient="portrait"/>
          <w:cols w:equalWidth="0" w:num="1">
            <w:col w:w="10159"/>
          </w:cols>
          <w:pgMar w:left="300" w:top="125" w:right="1440" w:bottom="1440" w:gutter="0" w:footer="0" w:header="0"/>
          <w:type w:val="continuous"/>
        </w:sectPr>
      </w:pPr>
    </w:p>
    <w:bookmarkStart w:id="124" w:name="page125"/>
    <w:bookmarkEnd w:id="124"/>
    <w:p>
      <w:pPr>
        <w:ind w:left="241" w:hanging="160"/>
        <w:spacing w:after="0"/>
        <w:tabs>
          <w:tab w:leader="none" w:pos="241" w:val="left"/>
        </w:tabs>
        <w:numPr>
          <w:ilvl w:val="0"/>
          <w:numId w:val="90"/>
        </w:numPr>
        <w:rPr>
          <w:rFonts w:ascii="Arial" w:cs="Arial" w:eastAsia="Arial" w:hAnsi="Arial"/>
          <w:sz w:val="15"/>
          <w:szCs w:val="15"/>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2">
                      <a:extLst>
                        <a:ext uri="{28A0092B-C50C-407E-A947-70E740481C1C}"/>
                      </a:extLst>
                    </a:blip>
                    <a:srcRect/>
                    <a:stretch>
                      <a:fillRect/>
                    </a:stretch>
                  </pic:blipFill>
                  <pic:spPr bwMode="auto">
                    <a:xfrm>
                      <a:off x="0" y="0"/>
                      <a:ext cx="7206615" cy="31750"/>
                    </a:xfrm>
                    <a:prstGeom prst="rect">
                      <a:avLst/>
                    </a:prstGeom>
                    <a:noFill/>
                  </pic:spPr>
                </pic:pic>
              </a:graphicData>
            </a:graphic>
          </wp:anchor>
        </w:drawing>
        <w:t xml:space="preserve">Joint Owner Information </w:t>
      </w:r>
      <w:r>
        <w:rPr>
          <w:rFonts w:ascii="Arial" w:cs="Arial" w:eastAsia="Arial" w:hAnsi="Arial"/>
          <w:sz w:val="13"/>
          <w:szCs w:val="13"/>
          <w:color w:val="auto"/>
        </w:rPr>
        <w:t>(Optional) Available for Non-Qualified contracts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140325" cy="127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3">
                      <a:extLst>
                        <a:ext uri="{28A0092B-C50C-407E-A947-70E740481C1C}"/>
                      </a:extLst>
                    </a:blip>
                    <a:srcRect/>
                    <a:stretch>
                      <a:fillRect/>
                    </a:stretch>
                  </pic:blipFill>
                  <pic:spPr bwMode="auto">
                    <a:xfrm>
                      <a:off x="0" y="0"/>
                      <a:ext cx="5140325" cy="12700"/>
                    </a:xfrm>
                    <a:prstGeom prst="rect">
                      <a:avLst/>
                    </a:prstGeom>
                    <a:noFill/>
                  </pic:spPr>
                </pic:pic>
              </a:graphicData>
            </a:graphic>
          </wp:anchor>
        </w:drawing>
      </w:r>
    </w:p>
    <w:p>
      <w:pPr>
        <w:spacing w:after="0" w:line="91" w:lineRule="exact"/>
        <w:rPr>
          <w:sz w:val="20"/>
          <w:szCs w:val="20"/>
          <w:color w:val="auto"/>
        </w:rPr>
      </w:pPr>
    </w:p>
    <w:tbl>
      <w:tblPr>
        <w:tblLayout w:type="fixed"/>
        <w:tblInd w:w="61" w:type="dxa"/>
        <w:tblCellMar>
          <w:top w:w="0" w:type="dxa"/>
          <w:left w:w="0" w:type="dxa"/>
          <w:bottom w:w="0" w:type="dxa"/>
          <w:right w:w="0" w:type="dxa"/>
        </w:tblCellMar>
      </w:tblPr>
      <w:tr>
        <w:trPr>
          <w:trHeight w:val="149"/>
        </w:trPr>
        <w:tc>
          <w:tcPr>
            <w:tcW w:w="1580" w:type="dxa"/>
            <w:vAlign w:val="bottom"/>
            <w:gridSpan w:val="9"/>
          </w:tcPr>
          <w:p>
            <w:pPr>
              <w:spacing w:after="0"/>
              <w:rPr>
                <w:sz w:val="20"/>
                <w:szCs w:val="20"/>
                <w:color w:val="auto"/>
              </w:rPr>
            </w:pPr>
            <w:r>
              <w:rPr>
                <w:rFonts w:ascii="Arial" w:cs="Arial" w:eastAsia="Arial" w:hAnsi="Arial"/>
                <w:sz w:val="13"/>
                <w:szCs w:val="13"/>
                <w:color w:val="auto"/>
              </w:rPr>
              <w:t xml:space="preserve">First Name:                    </w:t>
            </w:r>
          </w:p>
        </w:tc>
        <w:tc>
          <w:tcPr>
            <w:tcW w:w="140" w:type="dxa"/>
            <w:vAlign w:val="bottom"/>
          </w:tcPr>
          <w:p>
            <w:pPr>
              <w:ind w:left="100"/>
              <w:spacing w:after="0"/>
              <w:rPr>
                <w:sz w:val="20"/>
                <w:szCs w:val="20"/>
                <w:color w:val="auto"/>
              </w:rPr>
            </w:pPr>
            <w:r>
              <w:rPr>
                <w:rFonts w:ascii="Arial" w:cs="Arial" w:eastAsia="Arial" w:hAnsi="Arial"/>
                <w:sz w:val="2"/>
                <w:szCs w:val="2"/>
                <w:color w:val="auto"/>
                <w:w w:val="97"/>
              </w:rPr>
              <w:t> </w:t>
            </w:r>
          </w:p>
        </w:tc>
        <w:tc>
          <w:tcPr>
            <w:tcW w:w="140" w:type="dxa"/>
            <w:vAlign w:val="bottom"/>
          </w:tcPr>
          <w:p>
            <w:pPr>
              <w:jc w:val="right"/>
              <w:spacing w:after="0"/>
              <w:rPr>
                <w:sz w:val="20"/>
                <w:szCs w:val="20"/>
                <w:color w:val="auto"/>
              </w:rPr>
            </w:pPr>
            <w:r>
              <w:rPr>
                <w:rFonts w:ascii="Arial" w:cs="Arial" w:eastAsia="Arial" w:hAnsi="Arial"/>
                <w:sz w:val="13"/>
                <w:szCs w:val="13"/>
                <w:color w:val="auto"/>
                <w:w w:val="76"/>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60" w:type="dxa"/>
            <w:vAlign w:val="bottom"/>
          </w:tcPr>
          <w:p>
            <w:pPr>
              <w:spacing w:after="0"/>
              <w:rPr>
                <w:sz w:val="13"/>
                <w:szCs w:val="13"/>
                <w:color w:val="auto"/>
              </w:rPr>
            </w:pPr>
          </w:p>
        </w:tc>
        <w:tc>
          <w:tcPr>
            <w:tcW w:w="140" w:type="dxa"/>
            <w:vAlign w:val="bottom"/>
            <w:gridSpan w:val="2"/>
          </w:tcPr>
          <w:p>
            <w:pPr>
              <w:ind w:left="20"/>
              <w:spacing w:after="0"/>
              <w:rPr>
                <w:sz w:val="20"/>
                <w:szCs w:val="20"/>
                <w:color w:val="auto"/>
              </w:rPr>
            </w:pPr>
            <w:r>
              <w:rPr>
                <w:rFonts w:ascii="Arial" w:cs="Arial" w:eastAsia="Arial" w:hAnsi="Arial"/>
                <w:sz w:val="13"/>
                <w:szCs w:val="13"/>
                <w:color w:val="auto"/>
                <w:w w:val="76"/>
              </w:rPr>
              <w:t> </w:t>
            </w: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60" w:type="dxa"/>
            <w:vAlign w:val="bottom"/>
          </w:tcPr>
          <w:p>
            <w:pPr>
              <w:ind w:left="20"/>
              <w:spacing w:after="0"/>
              <w:rPr>
                <w:sz w:val="20"/>
                <w:szCs w:val="20"/>
                <w:color w:val="auto"/>
              </w:rPr>
            </w:pPr>
            <w:r>
              <w:rPr>
                <w:rFonts w:ascii="Arial" w:cs="Arial" w:eastAsia="Arial" w:hAnsi="Arial"/>
                <w:sz w:val="2"/>
                <w:szCs w:val="2"/>
                <w:color w:val="auto"/>
                <w:w w:val="97"/>
              </w:rPr>
              <w:t> </w:t>
            </w:r>
          </w:p>
        </w:tc>
        <w:tc>
          <w:tcPr>
            <w:tcW w:w="140" w:type="dxa"/>
            <w:vAlign w:val="bottom"/>
          </w:tcPr>
          <w:p>
            <w:pPr>
              <w:ind w:left="100"/>
              <w:spacing w:after="0"/>
              <w:rPr>
                <w:sz w:val="20"/>
                <w:szCs w:val="20"/>
                <w:color w:val="auto"/>
              </w:rPr>
            </w:pPr>
            <w:r>
              <w:rPr>
                <w:rFonts w:ascii="Arial" w:cs="Arial" w:eastAsia="Arial" w:hAnsi="Arial"/>
                <w:sz w:val="2"/>
                <w:szCs w:val="2"/>
                <w:color w:val="auto"/>
                <w:w w:val="97"/>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80" w:type="dxa"/>
            <w:vAlign w:val="bottom"/>
          </w:tcPr>
          <w:p>
            <w:pPr>
              <w:ind w:left="80"/>
              <w:spacing w:after="0"/>
              <w:rPr>
                <w:sz w:val="20"/>
                <w:szCs w:val="20"/>
                <w:color w:val="auto"/>
              </w:rPr>
            </w:pPr>
            <w:r>
              <w:rPr>
                <w:rFonts w:ascii="Arial" w:cs="Arial" w:eastAsia="Arial" w:hAnsi="Arial"/>
                <w:sz w:val="13"/>
                <w:szCs w:val="13"/>
                <w:color w:val="auto"/>
              </w:rPr>
              <w:t xml:space="preserve">   </w:t>
            </w:r>
          </w:p>
        </w:tc>
        <w:tc>
          <w:tcPr>
            <w:tcW w:w="140" w:type="dxa"/>
            <w:vAlign w:val="bottom"/>
          </w:tcPr>
          <w:p>
            <w:pPr>
              <w:jc w:val="right"/>
              <w:spacing w:after="0"/>
              <w:rPr>
                <w:sz w:val="20"/>
                <w:szCs w:val="20"/>
                <w:color w:val="auto"/>
              </w:rPr>
            </w:pPr>
            <w:r>
              <w:rPr>
                <w:rFonts w:ascii="Arial" w:cs="Arial" w:eastAsia="Arial" w:hAnsi="Arial"/>
                <w:sz w:val="13"/>
                <w:szCs w:val="13"/>
                <w:color w:val="auto"/>
                <w:w w:val="91"/>
              </w:rPr>
              <w:t> </w:t>
            </w:r>
          </w:p>
        </w:tc>
        <w:tc>
          <w:tcPr>
            <w:tcW w:w="8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60" w:type="dxa"/>
            <w:vAlign w:val="bottom"/>
          </w:tcPr>
          <w:p>
            <w:pPr>
              <w:ind w:left="20"/>
              <w:spacing w:after="0"/>
              <w:rPr>
                <w:sz w:val="20"/>
                <w:szCs w:val="20"/>
                <w:color w:val="auto"/>
              </w:rPr>
            </w:pPr>
            <w:r>
              <w:rPr>
                <w:rFonts w:ascii="Arial" w:cs="Arial" w:eastAsia="Arial" w:hAnsi="Arial"/>
                <w:sz w:val="2"/>
                <w:szCs w:val="2"/>
                <w:color w:val="auto"/>
                <w:w w:val="97"/>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20" w:type="dxa"/>
            <w:vAlign w:val="bottom"/>
          </w:tcPr>
          <w:p>
            <w:pPr>
              <w:ind w:left="60"/>
              <w:spacing w:after="0"/>
              <w:rPr>
                <w:sz w:val="20"/>
                <w:szCs w:val="20"/>
                <w:color w:val="auto"/>
              </w:rPr>
            </w:pPr>
            <w:r>
              <w:rPr>
                <w:rFonts w:ascii="Arial" w:cs="Arial" w:eastAsia="Arial" w:hAnsi="Arial"/>
                <w:sz w:val="2"/>
                <w:szCs w:val="2"/>
                <w:color w:val="auto"/>
                <w:w w:val="97"/>
              </w:rPr>
              <w:t> </w:t>
            </w:r>
          </w:p>
        </w:tc>
        <w:tc>
          <w:tcPr>
            <w:tcW w:w="80" w:type="dxa"/>
            <w:vAlign w:val="bottom"/>
          </w:tcPr>
          <w:p>
            <w:pPr>
              <w:spacing w:after="0"/>
              <w:rPr>
                <w:sz w:val="13"/>
                <w:szCs w:val="13"/>
                <w:color w:val="auto"/>
              </w:rPr>
            </w:pPr>
          </w:p>
        </w:tc>
        <w:tc>
          <w:tcPr>
            <w:tcW w:w="1880" w:type="dxa"/>
            <w:vAlign w:val="bottom"/>
            <w:gridSpan w:val="9"/>
          </w:tcPr>
          <w:p>
            <w:pPr>
              <w:ind w:left="60"/>
              <w:spacing w:after="0"/>
              <w:rPr>
                <w:sz w:val="20"/>
                <w:szCs w:val="20"/>
                <w:color w:val="auto"/>
              </w:rPr>
            </w:pPr>
            <w:r>
              <w:rPr>
                <w:rFonts w:ascii="Arial" w:cs="Arial" w:eastAsia="Arial" w:hAnsi="Arial"/>
                <w:sz w:val="13"/>
                <w:szCs w:val="13"/>
                <w:color w:val="auto"/>
              </w:rPr>
              <w:t xml:space="preserve">Date of Birth:                       </w:t>
            </w:r>
          </w:p>
        </w:tc>
        <w:tc>
          <w:tcPr>
            <w:tcW w:w="120" w:type="dxa"/>
            <w:vAlign w:val="bottom"/>
          </w:tcPr>
          <w:p>
            <w:pPr>
              <w:ind w:left="80"/>
              <w:spacing w:after="0"/>
              <w:rPr>
                <w:sz w:val="20"/>
                <w:szCs w:val="20"/>
                <w:color w:val="auto"/>
              </w:rPr>
            </w:pPr>
            <w:r>
              <w:rPr>
                <w:rFonts w:ascii="Arial" w:cs="Arial" w:eastAsia="Arial" w:hAnsi="Arial"/>
                <w:sz w:val="2"/>
                <w:szCs w:val="2"/>
                <w:color w:val="auto"/>
                <w:w w:val="97"/>
              </w:rPr>
              <w:t> </w:t>
            </w:r>
          </w:p>
        </w:tc>
        <w:tc>
          <w:tcPr>
            <w:tcW w:w="140" w:type="dxa"/>
            <w:vAlign w:val="bottom"/>
          </w:tcPr>
          <w:p>
            <w:pPr>
              <w:ind w:left="100"/>
              <w:spacing w:after="0"/>
              <w:rPr>
                <w:sz w:val="20"/>
                <w:szCs w:val="20"/>
                <w:color w:val="auto"/>
              </w:rPr>
            </w:pPr>
            <w:r>
              <w:rPr>
                <w:rFonts w:ascii="Arial" w:cs="Arial" w:eastAsia="Arial" w:hAnsi="Arial"/>
                <w:sz w:val="2"/>
                <w:szCs w:val="2"/>
                <w:color w:val="auto"/>
                <w:w w:val="97"/>
              </w:rPr>
              <w:t> </w:t>
            </w:r>
          </w:p>
        </w:tc>
        <w:tc>
          <w:tcPr>
            <w:tcW w:w="200" w:type="dxa"/>
            <w:vAlign w:val="bottom"/>
          </w:tcPr>
          <w:p>
            <w:pPr>
              <w:ind w:left="80"/>
              <w:spacing w:after="0"/>
              <w:rPr>
                <w:sz w:val="20"/>
                <w:szCs w:val="20"/>
                <w:color w:val="auto"/>
              </w:rPr>
            </w:pPr>
            <w:r>
              <w:rPr>
                <w:rFonts w:ascii="Arial" w:cs="Arial" w:eastAsia="Arial" w:hAnsi="Arial"/>
                <w:sz w:val="13"/>
                <w:szCs w:val="13"/>
                <w:color w:val="auto"/>
                <w:w w:val="76"/>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Pr>
          <w:p>
            <w:pPr>
              <w:jc w:val="center"/>
              <w:ind w:right="21"/>
              <w:spacing w:after="0"/>
              <w:rPr>
                <w:sz w:val="20"/>
                <w:szCs w:val="20"/>
                <w:color w:val="auto"/>
              </w:rPr>
            </w:pPr>
            <w:r>
              <w:rPr>
                <w:rFonts w:ascii="Arial" w:cs="Arial" w:eastAsia="Arial" w:hAnsi="Arial"/>
                <w:sz w:val="4"/>
                <w:szCs w:val="4"/>
                <w:color w:val="auto"/>
                <w:w w:val="98"/>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40" w:type="dxa"/>
            <w:vAlign w:val="bottom"/>
          </w:tcPr>
          <w:p>
            <w:pPr>
              <w:jc w:val="right"/>
              <w:ind w:right="63"/>
              <w:spacing w:after="0"/>
              <w:rPr>
                <w:sz w:val="20"/>
                <w:szCs w:val="20"/>
                <w:color w:val="auto"/>
              </w:rPr>
            </w:pPr>
            <w:r>
              <w:rPr>
                <w:rFonts w:ascii="Arial" w:cs="Arial" w:eastAsia="Arial" w:hAnsi="Arial"/>
                <w:sz w:val="2"/>
                <w:szCs w:val="2"/>
                <w:color w:val="auto"/>
                <w:w w:val="97"/>
              </w:rPr>
              <w:t> </w:t>
            </w:r>
          </w:p>
        </w:tc>
        <w:tc>
          <w:tcPr>
            <w:tcW w:w="120" w:type="dxa"/>
            <w:vAlign w:val="bottom"/>
          </w:tcPr>
          <w:p>
            <w:pPr>
              <w:spacing w:after="0"/>
              <w:rPr>
                <w:sz w:val="20"/>
                <w:szCs w:val="20"/>
                <w:color w:val="auto"/>
              </w:rPr>
            </w:pPr>
            <w:r>
              <w:rPr>
                <w:rFonts w:ascii="Arial" w:cs="Arial" w:eastAsia="Arial" w:hAnsi="Arial"/>
                <w:sz w:val="11"/>
                <w:szCs w:val="11"/>
                <w:color w:val="auto"/>
                <w:w w:val="75"/>
              </w:rPr>
              <w:t>  </w:t>
            </w:r>
          </w:p>
        </w:tc>
        <w:tc>
          <w:tcPr>
            <w:tcW w:w="100" w:type="dxa"/>
            <w:vAlign w:val="bottom"/>
            <w:gridSpan w:val="2"/>
          </w:tcPr>
          <w:p>
            <w:pPr>
              <w:ind w:left="40"/>
              <w:spacing w:after="0"/>
              <w:rPr>
                <w:sz w:val="20"/>
                <w:szCs w:val="20"/>
                <w:color w:val="auto"/>
              </w:rPr>
            </w:pPr>
            <w:r>
              <w:rPr>
                <w:rFonts w:ascii="Arial" w:cs="Arial" w:eastAsia="Arial" w:hAnsi="Arial"/>
                <w:sz w:val="11"/>
                <w:szCs w:val="11"/>
                <w:color w:val="auto"/>
                <w:w w:val="71"/>
              </w:rPr>
              <w:t> </w:t>
            </w:r>
          </w:p>
        </w:tc>
      </w:tr>
      <w:tr>
        <w:trPr>
          <w:trHeight w:val="20"/>
        </w:trPr>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08"/>
        </w:trPr>
        <w:tc>
          <w:tcPr>
            <w:tcW w:w="1580" w:type="dxa"/>
            <w:vAlign w:val="bottom"/>
            <w:gridSpan w:val="9"/>
          </w:tcPr>
          <w:p>
            <w:pPr>
              <w:spacing w:after="0"/>
              <w:rPr>
                <w:sz w:val="20"/>
                <w:szCs w:val="20"/>
                <w:color w:val="auto"/>
              </w:rPr>
            </w:pPr>
            <w:r>
              <w:rPr>
                <w:rFonts w:ascii="Arial" w:cs="Arial" w:eastAsia="Arial" w:hAnsi="Arial"/>
                <w:sz w:val="13"/>
                <w:szCs w:val="13"/>
                <w:color w:val="auto"/>
              </w:rPr>
              <w:t xml:space="preserve">Middle Name:                 </w:t>
            </w:r>
          </w:p>
        </w:tc>
        <w:tc>
          <w:tcPr>
            <w:tcW w:w="140" w:type="dxa"/>
            <w:vAlign w:val="bottom"/>
          </w:tcPr>
          <w:p>
            <w:pPr>
              <w:ind w:left="100"/>
              <w:spacing w:after="0"/>
              <w:rPr>
                <w:sz w:val="20"/>
                <w:szCs w:val="20"/>
                <w:color w:val="auto"/>
              </w:rPr>
            </w:pPr>
            <w:r>
              <w:rPr>
                <w:rFonts w:ascii="Arial" w:cs="Arial" w:eastAsia="Arial" w:hAnsi="Arial"/>
                <w:sz w:val="2"/>
                <w:szCs w:val="2"/>
                <w:color w:val="auto"/>
                <w:w w:val="97"/>
              </w:rPr>
              <w:t> </w:t>
            </w:r>
          </w:p>
        </w:tc>
        <w:tc>
          <w:tcPr>
            <w:tcW w:w="140" w:type="dxa"/>
            <w:vAlign w:val="bottom"/>
          </w:tcPr>
          <w:p>
            <w:pPr>
              <w:jc w:val="right"/>
              <w:spacing w:after="0"/>
              <w:rPr>
                <w:sz w:val="20"/>
                <w:szCs w:val="20"/>
                <w:color w:val="auto"/>
              </w:rPr>
            </w:pPr>
            <w:r>
              <w:rPr>
                <w:rFonts w:ascii="Arial" w:cs="Arial" w:eastAsia="Arial" w:hAnsi="Arial"/>
                <w:sz w:val="13"/>
                <w:szCs w:val="13"/>
                <w:color w:val="auto"/>
                <w:w w:val="76"/>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60" w:type="dxa"/>
            <w:vAlign w:val="bottom"/>
          </w:tcPr>
          <w:p>
            <w:pPr>
              <w:spacing w:after="0"/>
              <w:rPr>
                <w:sz w:val="18"/>
                <w:szCs w:val="18"/>
                <w:color w:val="auto"/>
              </w:rPr>
            </w:pPr>
          </w:p>
        </w:tc>
        <w:tc>
          <w:tcPr>
            <w:tcW w:w="140" w:type="dxa"/>
            <w:vAlign w:val="bottom"/>
            <w:gridSpan w:val="2"/>
          </w:tcPr>
          <w:p>
            <w:pPr>
              <w:ind w:left="20"/>
              <w:spacing w:after="0"/>
              <w:rPr>
                <w:sz w:val="20"/>
                <w:szCs w:val="20"/>
                <w:color w:val="auto"/>
              </w:rPr>
            </w:pPr>
            <w:r>
              <w:rPr>
                <w:rFonts w:ascii="Arial" w:cs="Arial" w:eastAsia="Arial" w:hAnsi="Arial"/>
                <w:sz w:val="13"/>
                <w:szCs w:val="13"/>
                <w:color w:val="auto"/>
                <w:w w:val="76"/>
              </w:rPr>
              <w:t> </w:t>
            </w: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60" w:type="dxa"/>
            <w:vAlign w:val="bottom"/>
          </w:tcPr>
          <w:p>
            <w:pPr>
              <w:ind w:left="20"/>
              <w:spacing w:after="0"/>
              <w:rPr>
                <w:sz w:val="20"/>
                <w:szCs w:val="20"/>
                <w:color w:val="auto"/>
              </w:rPr>
            </w:pPr>
            <w:r>
              <w:rPr>
                <w:rFonts w:ascii="Arial" w:cs="Arial" w:eastAsia="Arial" w:hAnsi="Arial"/>
                <w:sz w:val="2"/>
                <w:szCs w:val="2"/>
                <w:color w:val="auto"/>
                <w:w w:val="97"/>
              </w:rPr>
              <w:t> </w:t>
            </w:r>
          </w:p>
        </w:tc>
        <w:tc>
          <w:tcPr>
            <w:tcW w:w="140" w:type="dxa"/>
            <w:vAlign w:val="bottom"/>
          </w:tcPr>
          <w:p>
            <w:pPr>
              <w:ind w:left="100"/>
              <w:spacing w:after="0"/>
              <w:rPr>
                <w:sz w:val="20"/>
                <w:szCs w:val="20"/>
                <w:color w:val="auto"/>
              </w:rPr>
            </w:pPr>
            <w:r>
              <w:rPr>
                <w:rFonts w:ascii="Arial" w:cs="Arial" w:eastAsia="Arial" w:hAnsi="Arial"/>
                <w:sz w:val="2"/>
                <w:szCs w:val="2"/>
                <w:color w:val="auto"/>
                <w:w w:val="97"/>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40" w:type="dxa"/>
            <w:vAlign w:val="bottom"/>
          </w:tcPr>
          <w:p>
            <w:pPr>
              <w:jc w:val="right"/>
              <w:spacing w:after="0"/>
              <w:rPr>
                <w:sz w:val="20"/>
                <w:szCs w:val="20"/>
                <w:color w:val="auto"/>
              </w:rPr>
            </w:pPr>
            <w:r>
              <w:rPr>
                <w:rFonts w:ascii="Arial" w:cs="Arial" w:eastAsia="Arial" w:hAnsi="Arial"/>
                <w:sz w:val="13"/>
                <w:szCs w:val="13"/>
                <w:color w:val="auto"/>
              </w:rPr>
              <w:t xml:space="preserve">   </w:t>
            </w:r>
          </w:p>
        </w:tc>
        <w:tc>
          <w:tcPr>
            <w:tcW w:w="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60" w:type="dxa"/>
            <w:vAlign w:val="bottom"/>
          </w:tcPr>
          <w:p>
            <w:pPr>
              <w:ind w:left="20"/>
              <w:spacing w:after="0"/>
              <w:rPr>
                <w:sz w:val="20"/>
                <w:szCs w:val="20"/>
                <w:color w:val="auto"/>
              </w:rPr>
            </w:pPr>
            <w:r>
              <w:rPr>
                <w:rFonts w:ascii="Arial" w:cs="Arial" w:eastAsia="Arial" w:hAnsi="Arial"/>
                <w:sz w:val="2"/>
                <w:szCs w:val="2"/>
                <w:color w:val="auto"/>
                <w:w w:val="97"/>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20" w:type="dxa"/>
            <w:vAlign w:val="bottom"/>
          </w:tcPr>
          <w:p>
            <w:pPr>
              <w:ind w:left="60"/>
              <w:spacing w:after="0"/>
              <w:rPr>
                <w:sz w:val="20"/>
                <w:szCs w:val="20"/>
                <w:color w:val="auto"/>
              </w:rPr>
            </w:pPr>
            <w:r>
              <w:rPr>
                <w:rFonts w:ascii="Arial" w:cs="Arial" w:eastAsia="Arial" w:hAnsi="Arial"/>
                <w:sz w:val="2"/>
                <w:szCs w:val="2"/>
                <w:color w:val="auto"/>
                <w:w w:val="97"/>
              </w:rPr>
              <w:t> </w:t>
            </w:r>
          </w:p>
        </w:tc>
        <w:tc>
          <w:tcPr>
            <w:tcW w:w="80" w:type="dxa"/>
            <w:vAlign w:val="bottom"/>
          </w:tcPr>
          <w:p>
            <w:pPr>
              <w:spacing w:after="0"/>
              <w:rPr>
                <w:sz w:val="18"/>
                <w:szCs w:val="18"/>
                <w:color w:val="auto"/>
              </w:rPr>
            </w:pPr>
          </w:p>
        </w:tc>
        <w:tc>
          <w:tcPr>
            <w:tcW w:w="1480" w:type="dxa"/>
            <w:vAlign w:val="bottom"/>
            <w:gridSpan w:val="6"/>
          </w:tcPr>
          <w:p>
            <w:pPr>
              <w:ind w:left="60"/>
              <w:spacing w:after="0"/>
              <w:rPr>
                <w:sz w:val="20"/>
                <w:szCs w:val="20"/>
                <w:color w:val="auto"/>
              </w:rPr>
            </w:pPr>
            <w:r>
              <w:rPr>
                <w:rFonts w:ascii="Arial" w:cs="Arial" w:eastAsia="Arial" w:hAnsi="Arial"/>
                <w:sz w:val="13"/>
                <w:szCs w:val="13"/>
                <w:color w:val="auto"/>
                <w:w w:val="95"/>
              </w:rPr>
              <w:t>Country of Citizenship: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20" w:type="dxa"/>
            <w:vAlign w:val="bottom"/>
          </w:tcPr>
          <w:p>
            <w:pPr>
              <w:ind w:left="80"/>
              <w:spacing w:after="0"/>
              <w:rPr>
                <w:sz w:val="20"/>
                <w:szCs w:val="20"/>
                <w:color w:val="auto"/>
              </w:rPr>
            </w:pPr>
            <w:r>
              <w:rPr>
                <w:rFonts w:ascii="Arial" w:cs="Arial" w:eastAsia="Arial" w:hAnsi="Arial"/>
                <w:sz w:val="2"/>
                <w:szCs w:val="2"/>
                <w:color w:val="auto"/>
                <w:w w:val="97"/>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200" w:type="dxa"/>
            <w:vAlign w:val="bottom"/>
          </w:tcPr>
          <w:p>
            <w:pPr>
              <w:jc w:val="center"/>
              <w:spacing w:after="0"/>
              <w:rPr>
                <w:sz w:val="20"/>
                <w:szCs w:val="20"/>
                <w:color w:val="auto"/>
              </w:rPr>
            </w:pPr>
            <w:r>
              <w:rPr>
                <w:rFonts w:ascii="Arial" w:cs="Arial" w:eastAsia="Arial" w:hAnsi="Arial"/>
                <w:sz w:val="4"/>
                <w:szCs w:val="4"/>
                <w:color w:val="auto"/>
                <w:w w:val="98"/>
              </w:rPr>
              <w:t> </w:t>
            </w: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40" w:type="dxa"/>
            <w:vAlign w:val="bottom"/>
          </w:tcPr>
          <w:p>
            <w:pPr>
              <w:jc w:val="right"/>
              <w:ind w:right="63"/>
              <w:spacing w:after="0"/>
              <w:rPr>
                <w:sz w:val="20"/>
                <w:szCs w:val="20"/>
                <w:color w:val="auto"/>
              </w:rPr>
            </w:pPr>
            <w:r>
              <w:rPr>
                <w:rFonts w:ascii="Arial" w:cs="Arial" w:eastAsia="Arial" w:hAnsi="Arial"/>
                <w:sz w:val="2"/>
                <w:szCs w:val="2"/>
                <w:color w:val="auto"/>
                <w:w w:val="97"/>
              </w:rPr>
              <w:t> </w:t>
            </w: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100" w:type="dxa"/>
            <w:vAlign w:val="bottom"/>
            <w:gridSpan w:val="2"/>
          </w:tcPr>
          <w:p>
            <w:pPr>
              <w:spacing w:after="0"/>
              <w:rPr>
                <w:sz w:val="20"/>
                <w:szCs w:val="20"/>
                <w:color w:val="auto"/>
              </w:rPr>
            </w:pPr>
            <w:r>
              <w:rPr>
                <w:rFonts w:ascii="Arial" w:cs="Arial" w:eastAsia="Arial" w:hAnsi="Arial"/>
                <w:sz w:val="13"/>
                <w:szCs w:val="13"/>
                <w:color w:val="auto"/>
              </w:rPr>
              <w:t> </w:t>
            </w:r>
          </w:p>
        </w:tc>
      </w:tr>
      <w:tr>
        <w:trPr>
          <w:trHeight w:val="20"/>
        </w:trPr>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1580" w:type="dxa"/>
            <w:vAlign w:val="bottom"/>
            <w:gridSpan w:val="9"/>
          </w:tcPr>
          <w:p>
            <w:pPr>
              <w:spacing w:after="0"/>
              <w:rPr>
                <w:sz w:val="20"/>
                <w:szCs w:val="20"/>
                <w:color w:val="auto"/>
              </w:rPr>
            </w:pPr>
            <w:r>
              <w:rPr>
                <w:rFonts w:ascii="Arial" w:cs="Arial" w:eastAsia="Arial" w:hAnsi="Arial"/>
                <w:sz w:val="13"/>
                <w:szCs w:val="13"/>
                <w:color w:val="auto"/>
              </w:rPr>
              <w:t xml:space="preserve">Last Name:                    </w:t>
            </w:r>
          </w:p>
        </w:tc>
        <w:tc>
          <w:tcPr>
            <w:tcW w:w="140" w:type="dxa"/>
            <w:vAlign w:val="bottom"/>
          </w:tcPr>
          <w:p>
            <w:pPr>
              <w:ind w:left="100"/>
              <w:spacing w:after="0"/>
              <w:rPr>
                <w:sz w:val="20"/>
                <w:szCs w:val="20"/>
                <w:color w:val="auto"/>
              </w:rPr>
            </w:pPr>
            <w:r>
              <w:rPr>
                <w:rFonts w:ascii="Arial" w:cs="Arial" w:eastAsia="Arial" w:hAnsi="Arial"/>
                <w:sz w:val="2"/>
                <w:szCs w:val="2"/>
                <w:color w:val="auto"/>
                <w:w w:val="97"/>
              </w:rPr>
              <w:t> </w:t>
            </w:r>
          </w:p>
        </w:tc>
        <w:tc>
          <w:tcPr>
            <w:tcW w:w="140" w:type="dxa"/>
            <w:vAlign w:val="bottom"/>
          </w:tcPr>
          <w:p>
            <w:pPr>
              <w:jc w:val="right"/>
              <w:spacing w:after="0"/>
              <w:rPr>
                <w:sz w:val="20"/>
                <w:szCs w:val="20"/>
                <w:color w:val="auto"/>
              </w:rPr>
            </w:pPr>
            <w:r>
              <w:rPr>
                <w:rFonts w:ascii="Arial" w:cs="Arial" w:eastAsia="Arial" w:hAnsi="Arial"/>
                <w:sz w:val="13"/>
                <w:szCs w:val="13"/>
                <w:color w:val="auto"/>
                <w:w w:val="76"/>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6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Arial" w:cs="Arial" w:eastAsia="Arial" w:hAnsi="Arial"/>
                <w:sz w:val="13"/>
                <w:szCs w:val="13"/>
                <w:color w:val="auto"/>
                <w:w w:val="91"/>
              </w:rPr>
              <w:t> </w:t>
            </w: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60" w:type="dxa"/>
            <w:vAlign w:val="bottom"/>
          </w:tcPr>
          <w:p>
            <w:pPr>
              <w:ind w:left="20"/>
              <w:spacing w:after="0"/>
              <w:rPr>
                <w:sz w:val="20"/>
                <w:szCs w:val="20"/>
                <w:color w:val="auto"/>
              </w:rPr>
            </w:pPr>
            <w:r>
              <w:rPr>
                <w:rFonts w:ascii="Arial" w:cs="Arial" w:eastAsia="Arial" w:hAnsi="Arial"/>
                <w:sz w:val="2"/>
                <w:szCs w:val="2"/>
                <w:color w:val="auto"/>
                <w:w w:val="97"/>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80" w:type="dxa"/>
            <w:vAlign w:val="bottom"/>
          </w:tcPr>
          <w:p>
            <w:pPr>
              <w:jc w:val="right"/>
              <w:ind w:right="17"/>
              <w:spacing w:after="0"/>
              <w:rPr>
                <w:sz w:val="20"/>
                <w:szCs w:val="20"/>
                <w:color w:val="auto"/>
              </w:rPr>
            </w:pPr>
            <w:r>
              <w:rPr>
                <w:rFonts w:ascii="Arial" w:cs="Arial" w:eastAsia="Arial" w:hAnsi="Arial"/>
                <w:sz w:val="11"/>
                <w:szCs w:val="11"/>
                <w:color w:val="auto"/>
                <w:w w:val="72"/>
              </w:rPr>
              <w:t> </w:t>
            </w:r>
          </w:p>
        </w:tc>
        <w:tc>
          <w:tcPr>
            <w:tcW w:w="140" w:type="dxa"/>
            <w:vAlign w:val="bottom"/>
          </w:tcPr>
          <w:p>
            <w:pPr>
              <w:jc w:val="right"/>
              <w:spacing w:after="0"/>
              <w:rPr>
                <w:sz w:val="20"/>
                <w:szCs w:val="20"/>
                <w:color w:val="auto"/>
              </w:rPr>
            </w:pPr>
            <w:r>
              <w:rPr>
                <w:rFonts w:ascii="Arial" w:cs="Arial" w:eastAsia="Arial" w:hAnsi="Arial"/>
                <w:sz w:val="13"/>
                <w:szCs w:val="13"/>
                <w:color w:val="auto"/>
              </w:rPr>
              <w:t xml:space="preserve">   </w:t>
            </w:r>
          </w:p>
        </w:tc>
        <w:tc>
          <w:tcPr>
            <w:tcW w:w="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60" w:type="dxa"/>
            <w:vAlign w:val="bottom"/>
          </w:tcPr>
          <w:p>
            <w:pPr>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20" w:type="dxa"/>
            <w:vAlign w:val="bottom"/>
          </w:tcPr>
          <w:p>
            <w:pPr>
              <w:ind w:left="60"/>
              <w:spacing w:after="0"/>
              <w:rPr>
                <w:sz w:val="20"/>
                <w:szCs w:val="20"/>
                <w:color w:val="auto"/>
              </w:rPr>
            </w:pPr>
            <w:r>
              <w:rPr>
                <w:rFonts w:ascii="Arial" w:cs="Arial" w:eastAsia="Arial" w:hAnsi="Arial"/>
                <w:sz w:val="2"/>
                <w:szCs w:val="2"/>
                <w:color w:val="auto"/>
                <w:w w:val="97"/>
              </w:rPr>
              <w:t> </w:t>
            </w:r>
          </w:p>
        </w:tc>
        <w:tc>
          <w:tcPr>
            <w:tcW w:w="80" w:type="dxa"/>
            <w:vAlign w:val="bottom"/>
          </w:tcPr>
          <w:p>
            <w:pPr>
              <w:spacing w:after="0"/>
              <w:rPr>
                <w:sz w:val="18"/>
                <w:szCs w:val="18"/>
                <w:color w:val="auto"/>
              </w:rPr>
            </w:pPr>
          </w:p>
        </w:tc>
        <w:tc>
          <w:tcPr>
            <w:tcW w:w="1880" w:type="dxa"/>
            <w:vAlign w:val="bottom"/>
            <w:gridSpan w:val="9"/>
          </w:tcPr>
          <w:p>
            <w:pPr>
              <w:ind w:left="60"/>
              <w:spacing w:after="0"/>
              <w:rPr>
                <w:sz w:val="20"/>
                <w:szCs w:val="20"/>
                <w:color w:val="auto"/>
              </w:rPr>
            </w:pPr>
            <w:r>
              <w:rPr>
                <w:rFonts w:ascii="Arial" w:cs="Arial" w:eastAsia="Arial" w:hAnsi="Arial"/>
                <w:sz w:val="13"/>
                <w:szCs w:val="13"/>
                <w:color w:val="auto"/>
              </w:rPr>
              <w:t>Country of Legal Residency:  </w:t>
            </w: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200" w:type="dxa"/>
            <w:vAlign w:val="bottom"/>
          </w:tcPr>
          <w:p>
            <w:pPr>
              <w:jc w:val="center"/>
              <w:spacing w:after="0"/>
              <w:rPr>
                <w:sz w:val="20"/>
                <w:szCs w:val="20"/>
                <w:color w:val="auto"/>
              </w:rPr>
            </w:pPr>
            <w:r>
              <w:rPr>
                <w:rFonts w:ascii="Arial" w:cs="Arial" w:eastAsia="Arial" w:hAnsi="Arial"/>
                <w:sz w:val="13"/>
                <w:szCs w:val="13"/>
                <w:color w:val="auto"/>
              </w:rPr>
              <w:t xml:space="preserve">    </w:t>
            </w:r>
          </w:p>
        </w:tc>
        <w:tc>
          <w:tcPr>
            <w:tcW w:w="120" w:type="dxa"/>
            <w:vAlign w:val="bottom"/>
          </w:tcPr>
          <w:p>
            <w:pPr>
              <w:ind w:left="80"/>
              <w:spacing w:after="0"/>
              <w:rPr>
                <w:sz w:val="20"/>
                <w:szCs w:val="20"/>
                <w:color w:val="auto"/>
              </w:rPr>
            </w:pPr>
            <w:r>
              <w:rPr>
                <w:rFonts w:ascii="Arial" w:cs="Arial" w:eastAsia="Arial" w:hAnsi="Arial"/>
                <w:sz w:val="2"/>
                <w:szCs w:val="2"/>
                <w:color w:val="auto"/>
                <w:w w:val="97"/>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20" w:type="dxa"/>
            <w:vAlign w:val="bottom"/>
          </w:tcPr>
          <w:p>
            <w:pPr>
              <w:ind w:left="80"/>
              <w:spacing w:after="0"/>
              <w:rPr>
                <w:sz w:val="20"/>
                <w:szCs w:val="20"/>
                <w:color w:val="auto"/>
              </w:rPr>
            </w:pPr>
            <w:r>
              <w:rPr>
                <w:rFonts w:ascii="Arial" w:cs="Arial" w:eastAsia="Arial" w:hAnsi="Arial"/>
                <w:sz w:val="2"/>
                <w:szCs w:val="2"/>
                <w:color w:val="auto"/>
                <w:w w:val="97"/>
              </w:rPr>
              <w:t> </w:t>
            </w:r>
          </w:p>
        </w:tc>
        <w:tc>
          <w:tcPr>
            <w:tcW w:w="140" w:type="dxa"/>
            <w:vAlign w:val="bottom"/>
          </w:tcPr>
          <w:p>
            <w:pPr>
              <w:ind w:left="100"/>
              <w:spacing w:after="0"/>
              <w:rPr>
                <w:sz w:val="20"/>
                <w:szCs w:val="20"/>
                <w:color w:val="auto"/>
              </w:rPr>
            </w:pPr>
            <w:r>
              <w:rPr>
                <w:rFonts w:ascii="Arial" w:cs="Arial" w:eastAsia="Arial" w:hAnsi="Arial"/>
                <w:sz w:val="2"/>
                <w:szCs w:val="2"/>
                <w:color w:val="auto"/>
                <w:w w:val="97"/>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20" w:type="dxa"/>
            <w:vAlign w:val="bottom"/>
          </w:tcPr>
          <w:p>
            <w:pPr>
              <w:ind w:left="80"/>
              <w:spacing w:after="0"/>
              <w:rPr>
                <w:sz w:val="20"/>
                <w:szCs w:val="20"/>
                <w:color w:val="auto"/>
              </w:rPr>
            </w:pPr>
            <w:r>
              <w:rPr>
                <w:rFonts w:ascii="Arial" w:cs="Arial" w:eastAsia="Arial" w:hAnsi="Arial"/>
                <w:sz w:val="2"/>
                <w:szCs w:val="2"/>
                <w:color w:val="auto"/>
                <w:w w:val="97"/>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20" w:type="dxa"/>
            <w:vAlign w:val="bottom"/>
          </w:tcPr>
          <w:p>
            <w:pPr>
              <w:ind w:left="80"/>
              <w:spacing w:after="0"/>
              <w:rPr>
                <w:sz w:val="20"/>
                <w:szCs w:val="20"/>
                <w:color w:val="auto"/>
              </w:rPr>
            </w:pPr>
            <w:r>
              <w:rPr>
                <w:rFonts w:ascii="Arial" w:cs="Arial" w:eastAsia="Arial" w:hAnsi="Arial"/>
                <w:sz w:val="2"/>
                <w:szCs w:val="2"/>
                <w:color w:val="auto"/>
                <w:w w:val="97"/>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4"/>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1580" w:type="dxa"/>
            <w:vAlign w:val="bottom"/>
            <w:gridSpan w:val="9"/>
          </w:tcPr>
          <w:p>
            <w:pPr>
              <w:spacing w:after="0"/>
              <w:rPr>
                <w:sz w:val="20"/>
                <w:szCs w:val="20"/>
                <w:color w:val="auto"/>
              </w:rPr>
            </w:pPr>
            <w:r>
              <w:rPr>
                <w:rFonts w:ascii="Arial" w:cs="Arial" w:eastAsia="Arial" w:hAnsi="Arial"/>
                <w:sz w:val="13"/>
                <w:szCs w:val="13"/>
                <w:color w:val="auto"/>
              </w:rPr>
              <w:t xml:space="preserve">Street Address: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jc w:val="right"/>
              <w:spacing w:after="0"/>
              <w:rPr>
                <w:sz w:val="20"/>
                <w:szCs w:val="20"/>
                <w:color w:val="auto"/>
              </w:rPr>
            </w:pPr>
            <w:r>
              <w:rPr>
                <w:rFonts w:ascii="Arial" w:cs="Arial" w:eastAsia="Arial" w:hAnsi="Arial"/>
                <w:sz w:val="11"/>
                <w:szCs w:val="11"/>
                <w:color w:val="auto"/>
                <w:w w:val="75"/>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6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Arial" w:cs="Arial" w:eastAsia="Arial" w:hAnsi="Arial"/>
                <w:sz w:val="13"/>
                <w:szCs w:val="13"/>
                <w:color w:val="auto"/>
                <w:w w:val="91"/>
              </w:rPr>
              <w:t> </w:t>
            </w: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60" w:type="dxa"/>
            <w:vAlign w:val="bottom"/>
          </w:tcPr>
          <w:p>
            <w:pPr>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80" w:type="dxa"/>
            <w:vAlign w:val="bottom"/>
          </w:tcPr>
          <w:p>
            <w:pPr>
              <w:ind w:left="60"/>
              <w:spacing w:after="0"/>
              <w:rPr>
                <w:sz w:val="20"/>
                <w:szCs w:val="20"/>
                <w:color w:val="auto"/>
              </w:rPr>
            </w:pPr>
            <w:r>
              <w:rPr>
                <w:rFonts w:ascii="Arial" w:cs="Arial" w:eastAsia="Arial" w:hAnsi="Arial"/>
                <w:sz w:val="13"/>
                <w:szCs w:val="13"/>
                <w:color w:val="auto"/>
              </w:rPr>
              <w:t xml:space="preserve">   </w:t>
            </w:r>
          </w:p>
        </w:tc>
        <w:tc>
          <w:tcPr>
            <w:tcW w:w="140" w:type="dxa"/>
            <w:vAlign w:val="bottom"/>
          </w:tcPr>
          <w:p>
            <w:pPr>
              <w:jc w:val="right"/>
              <w:spacing w:after="0"/>
              <w:rPr>
                <w:sz w:val="20"/>
                <w:szCs w:val="20"/>
                <w:color w:val="auto"/>
              </w:rPr>
            </w:pPr>
            <w:r>
              <w:rPr>
                <w:rFonts w:ascii="Arial" w:cs="Arial" w:eastAsia="Arial" w:hAnsi="Arial"/>
                <w:sz w:val="13"/>
                <w:szCs w:val="13"/>
                <w:color w:val="auto"/>
                <w:w w:val="76"/>
              </w:rPr>
              <w:t> </w:t>
            </w:r>
          </w:p>
        </w:tc>
        <w:tc>
          <w:tcPr>
            <w:tcW w:w="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140" w:type="dxa"/>
            <w:vAlign w:val="bottom"/>
          </w:tcPr>
          <w:p>
            <w:pPr>
              <w:spacing w:after="0"/>
              <w:rPr>
                <w:sz w:val="20"/>
                <w:szCs w:val="20"/>
                <w:color w:val="auto"/>
              </w:rPr>
            </w:pPr>
            <w:r>
              <w:rPr>
                <w:rFonts w:ascii="Arial" w:cs="Arial" w:eastAsia="Arial" w:hAnsi="Arial"/>
                <w:sz w:val="13"/>
                <w:szCs w:val="13"/>
                <w:color w:val="auto"/>
                <w:w w:val="91"/>
              </w:rPr>
              <w:t> </w:t>
            </w:r>
          </w:p>
        </w:tc>
        <w:tc>
          <w:tcPr>
            <w:tcW w:w="60" w:type="dxa"/>
            <w:vAlign w:val="bottom"/>
          </w:tcPr>
          <w:p>
            <w:pPr>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20" w:type="dxa"/>
            <w:vAlign w:val="bottom"/>
          </w:tcPr>
          <w:p>
            <w:pPr>
              <w:ind w:left="60"/>
              <w:spacing w:after="0"/>
              <w:rPr>
                <w:sz w:val="20"/>
                <w:szCs w:val="20"/>
                <w:color w:val="auto"/>
              </w:rPr>
            </w:pPr>
            <w:r>
              <w:rPr>
                <w:rFonts w:ascii="Arial" w:cs="Arial" w:eastAsia="Arial" w:hAnsi="Arial"/>
                <w:sz w:val="2"/>
                <w:szCs w:val="2"/>
                <w:color w:val="auto"/>
                <w:w w:val="97"/>
              </w:rPr>
              <w:t> </w:t>
            </w:r>
          </w:p>
        </w:tc>
        <w:tc>
          <w:tcPr>
            <w:tcW w:w="1160" w:type="dxa"/>
            <w:vAlign w:val="bottom"/>
            <w:gridSpan w:val="3"/>
          </w:tcPr>
          <w:p>
            <w:pPr>
              <w:ind w:left="60"/>
              <w:spacing w:after="0"/>
              <w:rPr>
                <w:sz w:val="20"/>
                <w:szCs w:val="20"/>
                <w:color w:val="auto"/>
              </w:rPr>
            </w:pPr>
            <w:r>
              <w:rPr>
                <w:rFonts w:ascii="Arial" w:cs="Arial" w:eastAsia="Arial" w:hAnsi="Arial"/>
                <w:sz w:val="13"/>
                <w:szCs w:val="13"/>
                <w:color w:val="auto"/>
                <w:w w:val="97"/>
              </w:rPr>
              <w:t>  Email Address: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gridSpan w:val="2"/>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200" w:type="dxa"/>
            <w:vAlign w:val="bottom"/>
          </w:tcPr>
          <w:p>
            <w:pPr>
              <w:jc w:val="center"/>
              <w:spacing w:after="0"/>
              <w:rPr>
                <w:sz w:val="20"/>
                <w:szCs w:val="20"/>
                <w:color w:val="auto"/>
              </w:rPr>
            </w:pPr>
            <w:r>
              <w:rPr>
                <w:rFonts w:ascii="Arial" w:cs="Arial" w:eastAsia="Arial" w:hAnsi="Arial"/>
                <w:sz w:val="13"/>
                <w:szCs w:val="13"/>
                <w:color w:val="auto"/>
              </w:rPr>
              <w:t xml:space="preserve">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jc w:val="right"/>
              <w:ind w:right="3"/>
              <w:spacing w:after="0"/>
              <w:rPr>
                <w:sz w:val="20"/>
                <w:szCs w:val="20"/>
                <w:color w:val="auto"/>
              </w:rPr>
            </w:pPr>
            <w:r>
              <w:rPr>
                <w:rFonts w:ascii="Arial" w:cs="Arial" w:eastAsia="Arial" w:hAnsi="Arial"/>
                <w:sz w:val="9"/>
                <w:szCs w:val="9"/>
                <w:color w:val="auto"/>
                <w:w w:val="73"/>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080" w:type="dxa"/>
            <w:vAlign w:val="bottom"/>
            <w:tcBorders>
              <w:right w:val="single" w:sz="8" w:color="auto"/>
            </w:tcBorders>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900" w:type="dxa"/>
            <w:vAlign w:val="bottom"/>
            <w:gridSpan w:val="6"/>
          </w:tcPr>
          <w:p>
            <w:pPr>
              <w:spacing w:after="0"/>
              <w:rPr>
                <w:sz w:val="20"/>
                <w:szCs w:val="20"/>
                <w:color w:val="auto"/>
              </w:rPr>
            </w:pPr>
            <w:r>
              <w:rPr>
                <w:rFonts w:ascii="Arial" w:cs="Arial" w:eastAsia="Arial" w:hAnsi="Arial"/>
                <w:sz w:val="13"/>
                <w:szCs w:val="13"/>
                <w:color w:val="auto"/>
              </w:rPr>
              <w:t xml:space="preserve">City:              </w:t>
            </w: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 xml:space="preserve">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Pr>
          <w:p>
            <w:pPr>
              <w:jc w:val="right"/>
              <w:ind w:right="36"/>
              <w:spacing w:after="0"/>
              <w:rPr>
                <w:sz w:val="20"/>
                <w:szCs w:val="20"/>
                <w:color w:val="auto"/>
              </w:rPr>
            </w:pPr>
            <w:r>
              <w:rPr>
                <w:rFonts w:ascii="Arial" w:cs="Arial" w:eastAsia="Arial" w:hAnsi="Arial"/>
                <w:sz w:val="4"/>
                <w:szCs w:val="4"/>
                <w:color w:val="auto"/>
                <w:w w:val="98"/>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60" w:type="dxa"/>
            <w:vAlign w:val="bottom"/>
          </w:tcPr>
          <w:p>
            <w:pPr>
              <w:ind w:left="20"/>
              <w:spacing w:after="0"/>
              <w:rPr>
                <w:sz w:val="20"/>
                <w:szCs w:val="20"/>
                <w:color w:val="auto"/>
              </w:rPr>
            </w:pPr>
            <w:r>
              <w:rPr>
                <w:rFonts w:ascii="Arial" w:cs="Arial" w:eastAsia="Arial" w:hAnsi="Arial"/>
                <w:sz w:val="2"/>
                <w:szCs w:val="2"/>
                <w:color w:val="auto"/>
                <w:w w:val="97"/>
              </w:rPr>
              <w:t> </w:t>
            </w:r>
          </w:p>
        </w:tc>
        <w:tc>
          <w:tcPr>
            <w:tcW w:w="80" w:type="dxa"/>
            <w:vAlign w:val="bottom"/>
          </w:tcPr>
          <w:p>
            <w:pPr>
              <w:spacing w:after="0"/>
              <w:rPr>
                <w:sz w:val="18"/>
                <w:szCs w:val="18"/>
                <w:color w:val="auto"/>
              </w:rPr>
            </w:pPr>
          </w:p>
        </w:tc>
        <w:tc>
          <w:tcPr>
            <w:tcW w:w="60" w:type="dxa"/>
            <w:vAlign w:val="bottom"/>
          </w:tcPr>
          <w:p>
            <w:pPr>
              <w:spacing w:after="0"/>
              <w:rPr>
                <w:sz w:val="20"/>
                <w:szCs w:val="20"/>
                <w:color w:val="auto"/>
              </w:rPr>
            </w:pPr>
            <w:r>
              <w:rPr>
                <w:rFonts w:ascii="Arial" w:cs="Arial" w:eastAsia="Arial" w:hAnsi="Arial"/>
                <w:sz w:val="4"/>
                <w:szCs w:val="4"/>
                <w:color w:val="auto"/>
                <w:w w:val="98"/>
              </w:rPr>
              <w:t> </w:t>
            </w:r>
          </w:p>
        </w:tc>
        <w:tc>
          <w:tcPr>
            <w:tcW w:w="120" w:type="dxa"/>
            <w:vAlign w:val="bottom"/>
          </w:tcPr>
          <w:p>
            <w:pPr>
              <w:ind w:left="80"/>
              <w:spacing w:after="0"/>
              <w:rPr>
                <w:sz w:val="20"/>
                <w:szCs w:val="20"/>
                <w:color w:val="auto"/>
              </w:rPr>
            </w:pPr>
            <w:r>
              <w:rPr>
                <w:rFonts w:ascii="Arial" w:cs="Arial" w:eastAsia="Arial" w:hAnsi="Arial"/>
                <w:sz w:val="2"/>
                <w:szCs w:val="2"/>
                <w:color w:val="auto"/>
                <w:w w:val="97"/>
              </w:rPr>
              <w:t> </w:t>
            </w:r>
          </w:p>
        </w:tc>
        <w:tc>
          <w:tcPr>
            <w:tcW w:w="60" w:type="dxa"/>
            <w:vAlign w:val="bottom"/>
          </w:tcPr>
          <w:p>
            <w:pPr>
              <w:spacing w:after="0"/>
              <w:rPr>
                <w:sz w:val="18"/>
                <w:szCs w:val="18"/>
                <w:color w:val="auto"/>
              </w:rPr>
            </w:pP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20"/>
              <w:spacing w:after="0"/>
              <w:rPr>
                <w:sz w:val="20"/>
                <w:szCs w:val="20"/>
                <w:color w:val="auto"/>
              </w:rPr>
            </w:pPr>
            <w:r>
              <w:rPr>
                <w:rFonts w:ascii="Arial" w:cs="Arial" w:eastAsia="Arial" w:hAnsi="Arial"/>
                <w:sz w:val="13"/>
                <w:szCs w:val="13"/>
                <w:color w:val="auto"/>
              </w:rPr>
              <w:t xml:space="preserve">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80" w:type="dxa"/>
            <w:vAlign w:val="bottom"/>
          </w:tcPr>
          <w:p>
            <w:pPr>
              <w:ind w:left="20"/>
              <w:spacing w:after="0"/>
              <w:rPr>
                <w:sz w:val="20"/>
                <w:szCs w:val="20"/>
                <w:color w:val="auto"/>
              </w:rPr>
            </w:pPr>
            <w:r>
              <w:rPr>
                <w:rFonts w:ascii="Arial" w:cs="Arial" w:eastAsia="Arial" w:hAnsi="Arial"/>
                <w:sz w:val="4"/>
                <w:szCs w:val="4"/>
                <w:color w:val="auto"/>
                <w:w w:val="98"/>
              </w:rPr>
              <w:t> </w:t>
            </w:r>
          </w:p>
        </w:tc>
        <w:tc>
          <w:tcPr>
            <w:tcW w:w="120" w:type="dxa"/>
            <w:vAlign w:val="bottom"/>
          </w:tcPr>
          <w:p>
            <w:pPr>
              <w:jc w:val="right"/>
              <w:spacing w:after="0"/>
              <w:rPr>
                <w:sz w:val="20"/>
                <w:szCs w:val="20"/>
                <w:color w:val="auto"/>
              </w:rPr>
            </w:pPr>
            <w:r>
              <w:rPr>
                <w:rFonts w:ascii="Arial" w:cs="Arial" w:eastAsia="Arial" w:hAnsi="Arial"/>
                <w:sz w:val="13"/>
                <w:szCs w:val="13"/>
                <w:color w:val="auto"/>
                <w:w w:val="76"/>
              </w:rPr>
              <w:t> </w:t>
            </w:r>
          </w:p>
        </w:tc>
        <w:tc>
          <w:tcPr>
            <w:tcW w:w="140" w:type="dxa"/>
            <w:vAlign w:val="bottom"/>
          </w:tcPr>
          <w:p>
            <w:pPr>
              <w:ind w:left="100"/>
              <w:spacing w:after="0"/>
              <w:rPr>
                <w:sz w:val="20"/>
                <w:szCs w:val="20"/>
                <w:color w:val="auto"/>
              </w:rPr>
            </w:pPr>
            <w:r>
              <w:rPr>
                <w:rFonts w:ascii="Arial" w:cs="Arial" w:eastAsia="Arial" w:hAnsi="Arial"/>
                <w:sz w:val="2"/>
                <w:szCs w:val="2"/>
                <w:color w:val="auto"/>
                <w:w w:val="97"/>
              </w:rPr>
              <w:t> </w:t>
            </w:r>
          </w:p>
        </w:tc>
        <w:tc>
          <w:tcPr>
            <w:tcW w:w="6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1"/>
                <w:szCs w:val="11"/>
                <w:color w:val="auto"/>
                <w:w w:val="75"/>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40"/>
              <w:spacing w:after="0"/>
              <w:rPr>
                <w:sz w:val="20"/>
                <w:szCs w:val="20"/>
                <w:color w:val="auto"/>
              </w:rPr>
            </w:pPr>
            <w:r>
              <w:rPr>
                <w:rFonts w:ascii="Arial" w:cs="Arial" w:eastAsia="Arial" w:hAnsi="Arial"/>
                <w:sz w:val="4"/>
                <w:szCs w:val="4"/>
                <w:color w:val="auto"/>
                <w:w w:val="98"/>
              </w:rPr>
              <w:t> </w:t>
            </w:r>
          </w:p>
        </w:tc>
        <w:tc>
          <w:tcPr>
            <w:tcW w:w="8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color w:val="auto"/>
                <w:w w:val="91"/>
              </w:rPr>
              <w:t>Phone Number: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gridSpan w:val="2"/>
          </w:tcPr>
          <w:p>
            <w:pPr>
              <w:ind w:left="8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200" w:type="dxa"/>
            <w:vAlign w:val="bottom"/>
          </w:tcPr>
          <w:p>
            <w:pPr>
              <w:ind w:left="60"/>
              <w:spacing w:after="0"/>
              <w:rPr>
                <w:sz w:val="20"/>
                <w:szCs w:val="20"/>
                <w:color w:val="auto"/>
              </w:rPr>
            </w:pPr>
            <w:r>
              <w:rPr>
                <w:rFonts w:ascii="Arial" w:cs="Arial" w:eastAsia="Arial" w:hAnsi="Arial"/>
                <w:sz w:val="13"/>
                <w:szCs w:val="13"/>
                <w:color w:val="auto"/>
                <w:w w:val="91"/>
              </w:rPr>
              <w:t> </w:t>
            </w: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40" w:type="dxa"/>
            <w:vAlign w:val="bottom"/>
          </w:tcPr>
          <w:p>
            <w:pPr>
              <w:jc w:val="center"/>
              <w:ind w:right="21"/>
              <w:spacing w:after="0"/>
              <w:rPr>
                <w:sz w:val="20"/>
                <w:szCs w:val="20"/>
                <w:color w:val="auto"/>
              </w:rPr>
            </w:pPr>
            <w:r>
              <w:rPr>
                <w:rFonts w:ascii="Arial" w:cs="Arial" w:eastAsia="Arial" w:hAnsi="Arial"/>
                <w:sz w:val="9"/>
                <w:szCs w:val="9"/>
                <w:color w:val="auto"/>
                <w:w w:val="73"/>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3"/>
                <w:szCs w:val="13"/>
                <w:color w:val="auto"/>
              </w:rPr>
              <w:t xml:space="preserve">   </w:t>
            </w:r>
          </w:p>
        </w:tc>
        <w:tc>
          <w:tcPr>
            <w:tcW w:w="140" w:type="dxa"/>
            <w:vAlign w:val="bottom"/>
          </w:tcPr>
          <w:p>
            <w:pPr>
              <w:ind w:left="100"/>
              <w:spacing w:after="0"/>
              <w:rPr>
                <w:sz w:val="20"/>
                <w:szCs w:val="20"/>
                <w:color w:val="auto"/>
              </w:rPr>
            </w:pPr>
            <w:r>
              <w:rPr>
                <w:rFonts w:ascii="Arial" w:cs="Arial" w:eastAsia="Arial" w:hAnsi="Arial"/>
                <w:sz w:val="2"/>
                <w:szCs w:val="2"/>
                <w:color w:val="auto"/>
                <w:w w:val="97"/>
              </w:rPr>
              <w:t> </w:t>
            </w:r>
          </w:p>
        </w:tc>
        <w:tc>
          <w:tcPr>
            <w:tcW w:w="140" w:type="dxa"/>
            <w:vAlign w:val="bottom"/>
          </w:tcPr>
          <w:p>
            <w:pPr>
              <w:jc w:val="right"/>
              <w:spacing w:after="0"/>
              <w:rPr>
                <w:sz w:val="20"/>
                <w:szCs w:val="20"/>
                <w:color w:val="auto"/>
              </w:rPr>
            </w:pPr>
            <w:r>
              <w:rPr>
                <w:rFonts w:ascii="Arial" w:cs="Arial" w:eastAsia="Arial" w:hAnsi="Arial"/>
                <w:sz w:val="13"/>
                <w:szCs w:val="13"/>
                <w:color w:val="auto"/>
                <w:w w:val="76"/>
              </w:rPr>
              <w:t> </w:t>
            </w:r>
          </w:p>
        </w:tc>
        <w:tc>
          <w:tcPr>
            <w:tcW w:w="120" w:type="dxa"/>
            <w:vAlign w:val="bottom"/>
          </w:tcPr>
          <w:p>
            <w:pPr>
              <w:ind w:left="80"/>
              <w:spacing w:after="0"/>
              <w:rPr>
                <w:sz w:val="20"/>
                <w:szCs w:val="20"/>
                <w:color w:val="auto"/>
              </w:rPr>
            </w:pPr>
            <w:r>
              <w:rPr>
                <w:rFonts w:ascii="Arial" w:cs="Arial" w:eastAsia="Arial" w:hAnsi="Arial"/>
                <w:sz w:val="2"/>
                <w:szCs w:val="2"/>
                <w:color w:val="auto"/>
                <w:w w:val="97"/>
              </w:rPr>
              <w:t>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gridSpan w:val="4"/>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080" w:type="dxa"/>
            <w:vAlign w:val="bottom"/>
            <w:tcBorders>
              <w:right w:val="single" w:sz="8" w:color="auto"/>
            </w:tcBorders>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08"/>
        </w:trPr>
        <w:tc>
          <w:tcPr>
            <w:tcW w:w="900" w:type="dxa"/>
            <w:vAlign w:val="bottom"/>
            <w:gridSpan w:val="6"/>
          </w:tcPr>
          <w:p>
            <w:pPr>
              <w:spacing w:after="0"/>
              <w:rPr>
                <w:sz w:val="20"/>
                <w:szCs w:val="20"/>
                <w:color w:val="auto"/>
              </w:rPr>
            </w:pPr>
            <w:r>
              <w:rPr>
                <w:rFonts w:ascii="Arial" w:cs="Arial" w:eastAsia="Arial" w:hAnsi="Arial"/>
                <w:sz w:val="13"/>
                <w:szCs w:val="13"/>
                <w:color w:val="auto"/>
                <w:w w:val="93"/>
              </w:rPr>
              <w:t>State:            </w:t>
            </w:r>
          </w:p>
        </w:tc>
        <w:tc>
          <w:tcPr>
            <w:tcW w:w="680" w:type="dxa"/>
            <w:vAlign w:val="bottom"/>
            <w:gridSpan w:val="3"/>
          </w:tcPr>
          <w:p>
            <w:pPr>
              <w:ind w:left="40"/>
              <w:spacing w:after="0"/>
              <w:rPr>
                <w:sz w:val="20"/>
                <w:szCs w:val="20"/>
                <w:color w:val="auto"/>
              </w:rPr>
            </w:pPr>
            <w:r>
              <w:rPr>
                <w:rFonts w:ascii="Arial" w:cs="Arial" w:eastAsia="Arial" w:hAnsi="Arial"/>
                <w:sz w:val="13"/>
                <w:szCs w:val="13"/>
                <w:color w:val="auto"/>
              </w:rPr>
              <w:t xml:space="preserve">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40" w:type="dxa"/>
            <w:vAlign w:val="bottom"/>
          </w:tcPr>
          <w:p>
            <w:pPr>
              <w:jc w:val="right"/>
              <w:ind w:right="56"/>
              <w:spacing w:after="0"/>
              <w:rPr>
                <w:sz w:val="20"/>
                <w:szCs w:val="20"/>
                <w:color w:val="auto"/>
              </w:rPr>
            </w:pPr>
            <w:r>
              <w:rPr>
                <w:rFonts w:ascii="Arial" w:cs="Arial" w:eastAsia="Arial" w:hAnsi="Arial"/>
                <w:sz w:val="2"/>
                <w:szCs w:val="2"/>
                <w:color w:val="auto"/>
                <w:w w:val="97"/>
              </w:rPr>
              <w:t> </w:t>
            </w:r>
          </w:p>
        </w:tc>
        <w:tc>
          <w:tcPr>
            <w:tcW w:w="340" w:type="dxa"/>
            <w:vAlign w:val="bottom"/>
            <w:gridSpan w:val="4"/>
          </w:tcPr>
          <w:p>
            <w:pPr>
              <w:spacing w:after="0"/>
              <w:rPr>
                <w:sz w:val="20"/>
                <w:szCs w:val="20"/>
                <w:color w:val="auto"/>
              </w:rPr>
            </w:pPr>
            <w:r>
              <w:rPr>
                <w:rFonts w:ascii="Arial" w:cs="Arial" w:eastAsia="Arial" w:hAnsi="Arial"/>
                <w:sz w:val="13"/>
                <w:szCs w:val="13"/>
                <w:color w:val="auto"/>
                <w:w w:val="80"/>
              </w:rPr>
              <w:t> Zip: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6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40" w:type="dxa"/>
            <w:vAlign w:val="bottom"/>
          </w:tcPr>
          <w:p>
            <w:pPr>
              <w:spacing w:after="0"/>
              <w:rPr>
                <w:sz w:val="20"/>
                <w:szCs w:val="20"/>
                <w:color w:val="auto"/>
              </w:rPr>
            </w:pPr>
            <w:r>
              <w:rPr>
                <w:rFonts w:ascii="Arial" w:cs="Arial" w:eastAsia="Arial" w:hAnsi="Arial"/>
                <w:sz w:val="13"/>
                <w:szCs w:val="13"/>
                <w:color w:val="auto"/>
                <w:w w:val="91"/>
              </w:rPr>
              <w:t> </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 xml:space="preserve">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80" w:type="dxa"/>
            <w:vAlign w:val="bottom"/>
          </w:tcPr>
          <w:p>
            <w:pPr>
              <w:ind w:left="20"/>
              <w:spacing w:after="0"/>
              <w:rPr>
                <w:sz w:val="20"/>
                <w:szCs w:val="20"/>
                <w:color w:val="auto"/>
              </w:rPr>
            </w:pPr>
            <w:r>
              <w:rPr>
                <w:rFonts w:ascii="Arial" w:cs="Arial" w:eastAsia="Arial" w:hAnsi="Arial"/>
                <w:sz w:val="4"/>
                <w:szCs w:val="4"/>
                <w:color w:val="auto"/>
                <w:w w:val="98"/>
              </w:rPr>
              <w:t> </w:t>
            </w:r>
          </w:p>
        </w:tc>
        <w:tc>
          <w:tcPr>
            <w:tcW w:w="120" w:type="dxa"/>
            <w:vAlign w:val="bottom"/>
          </w:tcPr>
          <w:p>
            <w:pPr>
              <w:jc w:val="right"/>
              <w:spacing w:after="0"/>
              <w:rPr>
                <w:sz w:val="20"/>
                <w:szCs w:val="20"/>
                <w:color w:val="auto"/>
              </w:rPr>
            </w:pPr>
            <w:r>
              <w:rPr>
                <w:rFonts w:ascii="Arial" w:cs="Arial" w:eastAsia="Arial" w:hAnsi="Arial"/>
                <w:sz w:val="11"/>
                <w:szCs w:val="11"/>
                <w:color w:val="auto"/>
                <w:w w:val="75"/>
              </w:rPr>
              <w:t>  </w:t>
            </w:r>
          </w:p>
        </w:tc>
        <w:tc>
          <w:tcPr>
            <w:tcW w:w="140" w:type="dxa"/>
            <w:vAlign w:val="bottom"/>
          </w:tcPr>
          <w:p>
            <w:pPr>
              <w:ind w:left="100"/>
              <w:spacing w:after="0"/>
              <w:rPr>
                <w:sz w:val="20"/>
                <w:szCs w:val="20"/>
                <w:color w:val="auto"/>
              </w:rPr>
            </w:pPr>
            <w:r>
              <w:rPr>
                <w:rFonts w:ascii="Arial" w:cs="Arial" w:eastAsia="Arial" w:hAnsi="Arial"/>
                <w:sz w:val="2"/>
                <w:szCs w:val="2"/>
                <w:color w:val="auto"/>
                <w:w w:val="97"/>
              </w:rPr>
              <w:t> </w:t>
            </w:r>
          </w:p>
        </w:tc>
        <w:tc>
          <w:tcPr>
            <w:tcW w:w="60" w:type="dxa"/>
            <w:vAlign w:val="bottom"/>
          </w:tcPr>
          <w:p>
            <w:pPr>
              <w:spacing w:after="0"/>
              <w:rPr>
                <w:sz w:val="18"/>
                <w:szCs w:val="18"/>
                <w:color w:val="auto"/>
              </w:rPr>
            </w:pP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20" w:type="dxa"/>
            <w:vAlign w:val="bottom"/>
          </w:tcPr>
          <w:p>
            <w:pPr>
              <w:ind w:left="20"/>
              <w:spacing w:after="0"/>
              <w:rPr>
                <w:sz w:val="20"/>
                <w:szCs w:val="20"/>
                <w:color w:val="auto"/>
              </w:rPr>
            </w:pPr>
            <w:r>
              <w:rPr>
                <w:rFonts w:ascii="Arial" w:cs="Arial" w:eastAsia="Arial" w:hAnsi="Arial"/>
                <w:sz w:val="8"/>
                <w:szCs w:val="8"/>
                <w:color w:val="auto"/>
                <w:w w:val="74"/>
              </w:rPr>
              <w:t> </w:t>
            </w:r>
          </w:p>
        </w:tc>
        <w:tc>
          <w:tcPr>
            <w:tcW w:w="80" w:type="dxa"/>
            <w:vAlign w:val="bottom"/>
          </w:tcPr>
          <w:p>
            <w:pPr>
              <w:spacing w:after="0"/>
              <w:rPr>
                <w:sz w:val="18"/>
                <w:szCs w:val="18"/>
                <w:color w:val="auto"/>
              </w:rPr>
            </w:pPr>
          </w:p>
        </w:tc>
        <w:tc>
          <w:tcPr>
            <w:tcW w:w="1220" w:type="dxa"/>
            <w:vAlign w:val="bottom"/>
            <w:gridSpan w:val="3"/>
          </w:tcPr>
          <w:p>
            <w:pPr>
              <w:ind w:left="60"/>
              <w:spacing w:after="0" w:line="150" w:lineRule="exact"/>
              <w:rPr>
                <w:sz w:val="20"/>
                <w:szCs w:val="20"/>
                <w:color w:val="auto"/>
              </w:rPr>
            </w:pPr>
            <w:r>
              <w:rPr>
                <w:rFonts w:ascii="MS PGothic" w:cs="MS PGothic" w:eastAsia="MS PGothic" w:hAnsi="MS PGothic"/>
                <w:sz w:val="13"/>
                <w:szCs w:val="13"/>
                <w:color w:val="auto"/>
                <w:w w:val="96"/>
              </w:rPr>
              <w:t>☐</w:t>
            </w:r>
            <w:r>
              <w:rPr>
                <w:rFonts w:ascii="Arial" w:cs="Arial" w:eastAsia="Arial" w:hAnsi="Arial"/>
                <w:sz w:val="13"/>
                <w:szCs w:val="13"/>
                <w:color w:val="auto"/>
                <w:w w:val="96"/>
              </w:rPr>
              <w:t xml:space="preserve"> Male   </w:t>
            </w:r>
            <w:r>
              <w:rPr>
                <w:rFonts w:ascii="MS PGothic" w:cs="MS PGothic" w:eastAsia="MS PGothic" w:hAnsi="MS PGothic"/>
                <w:sz w:val="13"/>
                <w:szCs w:val="13"/>
                <w:color w:val="auto"/>
                <w:w w:val="96"/>
              </w:rPr>
              <w:t>☐</w:t>
            </w:r>
            <w:r>
              <w:rPr>
                <w:rFonts w:ascii="Arial" w:cs="Arial" w:eastAsia="Arial" w:hAnsi="Arial"/>
                <w:sz w:val="13"/>
                <w:szCs w:val="13"/>
                <w:color w:val="auto"/>
                <w:w w:val="96"/>
              </w:rPr>
              <w:t xml:space="preserve"> Female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380" w:type="dxa"/>
            <w:vAlign w:val="bottom"/>
            <w:gridSpan w:val="2"/>
          </w:tcPr>
          <w:p>
            <w:pPr>
              <w:spacing w:after="0" w:line="20" w:lineRule="exact"/>
              <w:rPr>
                <w:sz w:val="1"/>
                <w:szCs w:val="1"/>
                <w:color w:val="auto"/>
              </w:rPr>
            </w:pPr>
          </w:p>
        </w:tc>
        <w:tc>
          <w:tcPr>
            <w:tcW w:w="520" w:type="dxa"/>
            <w:vAlign w:val="bottom"/>
            <w:gridSpan w:val="4"/>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900" w:type="dxa"/>
            <w:vAlign w:val="bottom"/>
            <w:gridSpan w:val="6"/>
          </w:tcPr>
          <w:p>
            <w:pPr>
              <w:spacing w:after="0"/>
              <w:rPr>
                <w:sz w:val="20"/>
                <w:szCs w:val="20"/>
                <w:color w:val="auto"/>
              </w:rPr>
            </w:pPr>
            <w:r>
              <w:rPr>
                <w:rFonts w:ascii="Arial" w:cs="Arial" w:eastAsia="Arial" w:hAnsi="Arial"/>
                <w:sz w:val="13"/>
                <w:szCs w:val="13"/>
                <w:color w:val="auto"/>
              </w:rPr>
              <w:t>Social Security</w:t>
            </w:r>
          </w:p>
        </w:tc>
        <w:tc>
          <w:tcPr>
            <w:tcW w:w="680" w:type="dxa"/>
            <w:vAlign w:val="bottom"/>
            <w:gridSpan w:val="3"/>
          </w:tcPr>
          <w:p>
            <w:pPr>
              <w:ind w:left="60"/>
              <w:spacing w:after="0"/>
              <w:rPr>
                <w:sz w:val="20"/>
                <w:szCs w:val="20"/>
                <w:color w:val="auto"/>
              </w:rPr>
            </w:pPr>
            <w:r>
              <w:rPr>
                <w:rFonts w:ascii="Arial" w:cs="Arial" w:eastAsia="Arial" w:hAnsi="Arial"/>
                <w:sz w:val="13"/>
                <w:szCs w:val="13"/>
                <w:color w:val="auto"/>
                <w:w w:val="91"/>
              </w:rPr>
              <w:t>Number: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Pr>
          <w:p>
            <w:pPr>
              <w:jc w:val="right"/>
              <w:ind w:right="36"/>
              <w:spacing w:after="0"/>
              <w:rPr>
                <w:sz w:val="20"/>
                <w:szCs w:val="20"/>
                <w:color w:val="auto"/>
              </w:rPr>
            </w:pPr>
            <w:r>
              <w:rPr>
                <w:rFonts w:ascii="Arial" w:cs="Arial" w:eastAsia="Arial" w:hAnsi="Arial"/>
                <w:sz w:val="4"/>
                <w:szCs w:val="4"/>
                <w:color w:val="auto"/>
                <w:w w:val="98"/>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60" w:type="dxa"/>
            <w:vAlign w:val="bottom"/>
          </w:tcPr>
          <w:p>
            <w:pPr>
              <w:ind w:left="20"/>
              <w:spacing w:after="0"/>
              <w:rPr>
                <w:sz w:val="20"/>
                <w:szCs w:val="20"/>
                <w:color w:val="auto"/>
              </w:rPr>
            </w:pPr>
            <w:r>
              <w:rPr>
                <w:rFonts w:ascii="Arial" w:cs="Arial" w:eastAsia="Arial" w:hAnsi="Arial"/>
                <w:sz w:val="2"/>
                <w:szCs w:val="2"/>
                <w:color w:val="auto"/>
                <w:w w:val="97"/>
              </w:rPr>
              <w:t> </w:t>
            </w:r>
          </w:p>
        </w:tc>
        <w:tc>
          <w:tcPr>
            <w:tcW w:w="80" w:type="dxa"/>
            <w:vAlign w:val="bottom"/>
          </w:tcPr>
          <w:p>
            <w:pPr>
              <w:spacing w:after="0"/>
              <w:rPr>
                <w:sz w:val="18"/>
                <w:szCs w:val="18"/>
                <w:color w:val="auto"/>
              </w:rPr>
            </w:pPr>
          </w:p>
        </w:tc>
        <w:tc>
          <w:tcPr>
            <w:tcW w:w="60" w:type="dxa"/>
            <w:vAlign w:val="bottom"/>
          </w:tcPr>
          <w:p>
            <w:pPr>
              <w:spacing w:after="0"/>
              <w:rPr>
                <w:sz w:val="20"/>
                <w:szCs w:val="20"/>
                <w:color w:val="auto"/>
              </w:rPr>
            </w:pPr>
            <w:r>
              <w:rPr>
                <w:rFonts w:ascii="Arial" w:cs="Arial" w:eastAsia="Arial" w:hAnsi="Arial"/>
                <w:sz w:val="4"/>
                <w:szCs w:val="4"/>
                <w:color w:val="auto"/>
                <w:w w:val="98"/>
              </w:rPr>
              <w:t> </w:t>
            </w:r>
          </w:p>
        </w:tc>
        <w:tc>
          <w:tcPr>
            <w:tcW w:w="120" w:type="dxa"/>
            <w:vAlign w:val="bottom"/>
          </w:tcPr>
          <w:p>
            <w:pPr>
              <w:ind w:left="80"/>
              <w:spacing w:after="0"/>
              <w:rPr>
                <w:sz w:val="20"/>
                <w:szCs w:val="20"/>
                <w:color w:val="auto"/>
              </w:rPr>
            </w:pPr>
            <w:r>
              <w:rPr>
                <w:rFonts w:ascii="Arial" w:cs="Arial" w:eastAsia="Arial" w:hAnsi="Arial"/>
                <w:sz w:val="2"/>
                <w:szCs w:val="2"/>
                <w:color w:val="auto"/>
                <w:w w:val="97"/>
              </w:rPr>
              <w:t> </w:t>
            </w:r>
          </w:p>
        </w:tc>
        <w:tc>
          <w:tcPr>
            <w:tcW w:w="60" w:type="dxa"/>
            <w:vAlign w:val="bottom"/>
          </w:tcPr>
          <w:p>
            <w:pPr>
              <w:spacing w:after="0"/>
              <w:rPr>
                <w:sz w:val="18"/>
                <w:szCs w:val="18"/>
                <w:color w:val="auto"/>
              </w:rPr>
            </w:pP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20"/>
              <w:spacing w:after="0"/>
              <w:rPr>
                <w:sz w:val="20"/>
                <w:szCs w:val="20"/>
                <w:color w:val="auto"/>
              </w:rPr>
            </w:pPr>
            <w:r>
              <w:rPr>
                <w:rFonts w:ascii="Arial" w:cs="Arial" w:eastAsia="Arial" w:hAnsi="Arial"/>
                <w:sz w:val="13"/>
                <w:szCs w:val="13"/>
                <w:color w:val="auto"/>
              </w:rPr>
              <w:t xml:space="preserve">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80" w:type="dxa"/>
            <w:vAlign w:val="bottom"/>
          </w:tcPr>
          <w:p>
            <w:pPr>
              <w:ind w:left="20"/>
              <w:spacing w:after="0"/>
              <w:rPr>
                <w:sz w:val="20"/>
                <w:szCs w:val="20"/>
                <w:color w:val="auto"/>
              </w:rPr>
            </w:pPr>
            <w:r>
              <w:rPr>
                <w:rFonts w:ascii="Arial" w:cs="Arial" w:eastAsia="Arial" w:hAnsi="Arial"/>
                <w:sz w:val="4"/>
                <w:szCs w:val="4"/>
                <w:color w:val="auto"/>
                <w:w w:val="98"/>
              </w:rPr>
              <w:t> </w:t>
            </w:r>
          </w:p>
        </w:tc>
        <w:tc>
          <w:tcPr>
            <w:tcW w:w="120" w:type="dxa"/>
            <w:vAlign w:val="bottom"/>
          </w:tcPr>
          <w:p>
            <w:pPr>
              <w:jc w:val="right"/>
              <w:spacing w:after="0"/>
              <w:rPr>
                <w:sz w:val="20"/>
                <w:szCs w:val="20"/>
                <w:color w:val="auto"/>
              </w:rPr>
            </w:pPr>
            <w:r>
              <w:rPr>
                <w:rFonts w:ascii="Arial" w:cs="Arial" w:eastAsia="Arial" w:hAnsi="Arial"/>
                <w:sz w:val="13"/>
                <w:szCs w:val="13"/>
                <w:color w:val="auto"/>
                <w:w w:val="76"/>
              </w:rPr>
              <w:t> </w:t>
            </w:r>
          </w:p>
        </w:tc>
        <w:tc>
          <w:tcPr>
            <w:tcW w:w="140" w:type="dxa"/>
            <w:vAlign w:val="bottom"/>
          </w:tcPr>
          <w:p>
            <w:pPr>
              <w:ind w:left="100"/>
              <w:spacing w:after="0"/>
              <w:rPr>
                <w:sz w:val="20"/>
                <w:szCs w:val="20"/>
                <w:color w:val="auto"/>
              </w:rPr>
            </w:pPr>
            <w:r>
              <w:rPr>
                <w:rFonts w:ascii="Arial" w:cs="Arial" w:eastAsia="Arial" w:hAnsi="Arial"/>
                <w:sz w:val="2"/>
                <w:szCs w:val="2"/>
                <w:color w:val="auto"/>
                <w:w w:val="97"/>
              </w:rPr>
              <w:t> </w:t>
            </w:r>
          </w:p>
        </w:tc>
        <w:tc>
          <w:tcPr>
            <w:tcW w:w="6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20" w:type="dxa"/>
            <w:vAlign w:val="bottom"/>
          </w:tcPr>
          <w:p>
            <w:pPr>
              <w:spacing w:after="0"/>
              <w:rPr>
                <w:sz w:val="20"/>
                <w:szCs w:val="20"/>
                <w:color w:val="auto"/>
              </w:rPr>
            </w:pPr>
            <w:r>
              <w:rPr>
                <w:rFonts w:ascii="Arial" w:cs="Arial" w:eastAsia="Arial" w:hAnsi="Arial"/>
                <w:sz w:val="11"/>
                <w:szCs w:val="11"/>
                <w:color w:val="auto"/>
                <w:w w:val="72"/>
              </w:rPr>
              <w:t> </w:t>
            </w:r>
          </w:p>
        </w:tc>
        <w:tc>
          <w:tcPr>
            <w:tcW w:w="1160" w:type="dxa"/>
            <w:vAlign w:val="bottom"/>
            <w:gridSpan w:val="3"/>
          </w:tcPr>
          <w:p>
            <w:pPr>
              <w:ind w:left="20"/>
              <w:spacing w:after="0"/>
              <w:rPr>
                <w:sz w:val="20"/>
                <w:szCs w:val="20"/>
                <w:color w:val="auto"/>
              </w:rPr>
            </w:pPr>
            <w:r>
              <w:rPr>
                <w:rFonts w:ascii="Arial" w:cs="Arial" w:eastAsia="Arial" w:hAnsi="Arial"/>
                <w:sz w:val="13"/>
                <w:szCs w:val="13"/>
                <w:color w:val="auto"/>
              </w:rPr>
              <w:t>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3780" w:type="dxa"/>
            <w:vAlign w:val="bottom"/>
            <w:gridSpan w:val="28"/>
          </w:tcPr>
          <w:p>
            <w:pPr>
              <w:spacing w:after="0" w:line="20" w:lineRule="exact"/>
              <w:rPr>
                <w:sz w:val="1"/>
                <w:szCs w:val="1"/>
                <w:color w:val="auto"/>
              </w:rPr>
            </w:pPr>
          </w:p>
        </w:tc>
        <w:tc>
          <w:tcPr>
            <w:tcW w:w="4240" w:type="dxa"/>
            <w:vAlign w:val="bottom"/>
            <w:tcBorders>
              <w:left w:val="single" w:sz="8" w:color="auto"/>
            </w:tcBorders>
            <w:gridSpan w:val="28"/>
            <w:shd w:val="clear" w:color="auto" w:fill="000000"/>
          </w:tcPr>
          <w:p>
            <w:pPr>
              <w:spacing w:after="0" w:line="20" w:lineRule="exact"/>
              <w:rPr>
                <w:sz w:val="1"/>
                <w:szCs w:val="1"/>
                <w:color w:val="auto"/>
              </w:rPr>
            </w:pPr>
          </w:p>
        </w:tc>
      </w:tr>
    </w:tbl>
    <w:p>
      <w:pPr>
        <w:spacing w:after="0" w:line="231" w:lineRule="exact"/>
        <w:rPr>
          <w:sz w:val="20"/>
          <w:szCs w:val="20"/>
          <w:color w:val="auto"/>
        </w:rPr>
      </w:pPr>
    </w:p>
    <w:p>
      <w:pPr>
        <w:ind w:left="241" w:hanging="160"/>
        <w:spacing w:after="0"/>
        <w:tabs>
          <w:tab w:leader="none" w:pos="241" w:val="left"/>
        </w:tabs>
        <w:numPr>
          <w:ilvl w:val="2"/>
          <w:numId w:val="91"/>
        </w:numPr>
        <w:rPr>
          <w:rFonts w:ascii="Arial" w:cs="Arial" w:eastAsia="Arial" w:hAnsi="Arial"/>
          <w:sz w:val="15"/>
          <w:szCs w:val="15"/>
          <w:b w:val="1"/>
          <w:bCs w:val="1"/>
          <w:color w:val="auto"/>
        </w:rPr>
      </w:pPr>
      <w:r>
        <w:rPr>
          <w:rFonts w:ascii="Arial" w:cs="Arial" w:eastAsia="Arial" w:hAnsi="Arial"/>
          <w:sz w:val="15"/>
          <w:szCs w:val="15"/>
          <w:b w:val="1"/>
          <w:bCs w:val="1"/>
          <w:color w:val="auto"/>
        </w:rPr>
        <w:t>Beneficiary Information</w:t>
      </w:r>
    </w:p>
    <w:p>
      <w:pPr>
        <w:spacing w:after="0" w:line="109" w:lineRule="exact"/>
        <w:rPr>
          <w:rFonts w:ascii="Arial" w:cs="Arial" w:eastAsia="Arial" w:hAnsi="Arial"/>
          <w:sz w:val="15"/>
          <w:szCs w:val="15"/>
          <w:b w:val="1"/>
          <w:bCs w:val="1"/>
          <w:color w:val="auto"/>
        </w:rPr>
      </w:pPr>
    </w:p>
    <w:p>
      <w:pPr>
        <w:ind w:left="241" w:hanging="161"/>
        <w:spacing w:after="0"/>
        <w:tabs>
          <w:tab w:leader="none" w:pos="241" w:val="left"/>
        </w:tabs>
        <w:numPr>
          <w:ilvl w:val="1"/>
          <w:numId w:val="91"/>
        </w:numPr>
        <w:rPr>
          <w:rFonts w:ascii="Arial" w:cs="Arial" w:eastAsia="Arial" w:hAnsi="Arial"/>
          <w:sz w:val="13"/>
          <w:szCs w:val="13"/>
          <w:color w:val="auto"/>
        </w:rPr>
      </w:pPr>
      <w:r>
        <w:rPr>
          <w:rFonts w:ascii="Arial" w:cs="Arial" w:eastAsia="Arial" w:hAnsi="Arial"/>
          <w:sz w:val="13"/>
          <w:szCs w:val="13"/>
          <w:b w:val="1"/>
          <w:bCs w:val="1"/>
          <w:color w:val="auto"/>
        </w:rPr>
        <w:t>The death benefit will be payable to your estate if no designated beneficiary survives you or if you do not name a beneficiary.</w:t>
      </w:r>
    </w:p>
    <w:p>
      <w:pPr>
        <w:spacing w:after="0" w:line="11" w:lineRule="exact"/>
        <w:rPr>
          <w:rFonts w:ascii="Arial" w:cs="Arial" w:eastAsia="Arial" w:hAnsi="Arial"/>
          <w:sz w:val="13"/>
          <w:szCs w:val="13"/>
          <w:color w:val="auto"/>
        </w:rPr>
      </w:pPr>
    </w:p>
    <w:p>
      <w:pPr>
        <w:ind w:left="241" w:right="2119" w:hanging="161"/>
        <w:spacing w:after="0" w:line="238" w:lineRule="auto"/>
        <w:tabs>
          <w:tab w:leader="none" w:pos="241" w:val="left"/>
        </w:tabs>
        <w:numPr>
          <w:ilvl w:val="1"/>
          <w:numId w:val="91"/>
        </w:numPr>
        <w:rPr>
          <w:rFonts w:ascii="Arial" w:cs="Arial" w:eastAsia="Arial" w:hAnsi="Arial"/>
          <w:sz w:val="13"/>
          <w:szCs w:val="13"/>
          <w:color w:val="auto"/>
        </w:rPr>
      </w:pPr>
      <w:r>
        <w:rPr>
          <w:rFonts w:ascii="Arial" w:cs="Arial" w:eastAsia="Arial" w:hAnsi="Arial"/>
          <w:sz w:val="13"/>
          <w:szCs w:val="13"/>
          <w:color w:val="auto"/>
        </w:rPr>
        <w:t>If all Primary Beneficiaries predecease the Owner, then any surviving Contingent Beneficiaries listed below will be considered Primary Beneficiaries unless we are notified otherwise by the Owner.</w:t>
      </w:r>
    </w:p>
    <w:p>
      <w:pPr>
        <w:spacing w:after="0" w:line="1" w:lineRule="exact"/>
        <w:rPr>
          <w:rFonts w:ascii="Arial" w:cs="Arial" w:eastAsia="Arial" w:hAnsi="Arial"/>
          <w:sz w:val="13"/>
          <w:szCs w:val="13"/>
          <w:color w:val="auto"/>
        </w:rPr>
      </w:pPr>
    </w:p>
    <w:p>
      <w:pPr>
        <w:jc w:val="both"/>
        <w:ind w:left="241" w:right="2179" w:hanging="161"/>
        <w:spacing w:after="0" w:line="238" w:lineRule="auto"/>
        <w:tabs>
          <w:tab w:leader="none" w:pos="241" w:val="left"/>
        </w:tabs>
        <w:numPr>
          <w:ilvl w:val="1"/>
          <w:numId w:val="91"/>
        </w:numPr>
        <w:rPr>
          <w:rFonts w:ascii="Arial" w:cs="Arial" w:eastAsia="Arial" w:hAnsi="Arial"/>
          <w:sz w:val="13"/>
          <w:szCs w:val="13"/>
          <w:color w:val="auto"/>
        </w:rPr>
      </w:pPr>
      <w:r>
        <w:rPr>
          <w:rFonts w:ascii="Arial" w:cs="Arial" w:eastAsia="Arial" w:hAnsi="Arial"/>
          <w:sz w:val="13"/>
          <w:szCs w:val="13"/>
          <w:b w:val="1"/>
          <w:bCs w:val="1"/>
          <w:color w:val="auto"/>
        </w:rPr>
        <w:t>If Joint Owners are named, upon the death of either Joint Owner, the surviving Joint Owner will be the Primary Beneficiary, and the beneficiaries listed below (whether listed as Primary or Contingent Beneficiaries) will be considered the Contingent Beneficiaries.</w:t>
      </w:r>
    </w:p>
    <w:p>
      <w:pPr>
        <w:spacing w:after="0" w:line="1" w:lineRule="exact"/>
        <w:rPr>
          <w:rFonts w:ascii="Arial" w:cs="Arial" w:eastAsia="Arial" w:hAnsi="Arial"/>
          <w:sz w:val="13"/>
          <w:szCs w:val="13"/>
          <w:color w:val="auto"/>
        </w:rPr>
      </w:pPr>
    </w:p>
    <w:p>
      <w:pPr>
        <w:ind w:left="241" w:hanging="161"/>
        <w:spacing w:after="0"/>
        <w:tabs>
          <w:tab w:leader="none" w:pos="241" w:val="left"/>
        </w:tabs>
        <w:numPr>
          <w:ilvl w:val="1"/>
          <w:numId w:val="91"/>
        </w:numPr>
        <w:rPr>
          <w:rFonts w:ascii="Arial" w:cs="Arial" w:eastAsia="Arial" w:hAnsi="Arial"/>
          <w:sz w:val="13"/>
          <w:szCs w:val="13"/>
          <w:color w:val="auto"/>
        </w:rPr>
      </w:pPr>
      <w:r>
        <w:rPr>
          <w:rFonts w:ascii="Arial" w:cs="Arial" w:eastAsia="Arial" w:hAnsi="Arial"/>
          <w:sz w:val="13"/>
          <w:szCs w:val="13"/>
          <w:color w:val="auto"/>
        </w:rPr>
        <w:t>Either the Relationship to Owner or Social Security Number must be provided for all beneficiaries named.</w:t>
      </w:r>
    </w:p>
    <w:p>
      <w:pPr>
        <w:ind w:left="241" w:hanging="161"/>
        <w:spacing w:after="0"/>
        <w:tabs>
          <w:tab w:leader="none" w:pos="241" w:val="left"/>
        </w:tabs>
        <w:numPr>
          <w:ilvl w:val="1"/>
          <w:numId w:val="91"/>
        </w:numPr>
        <w:rPr>
          <w:rFonts w:ascii="Arial" w:cs="Arial" w:eastAsia="Arial" w:hAnsi="Arial"/>
          <w:sz w:val="13"/>
          <w:szCs w:val="13"/>
          <w:color w:val="auto"/>
        </w:rPr>
      </w:pPr>
      <w:r>
        <w:rPr>
          <w:rFonts w:ascii="Arial" w:cs="Arial" w:eastAsia="Arial" w:hAnsi="Arial"/>
          <w:sz w:val="13"/>
          <w:szCs w:val="13"/>
          <w:color w:val="auto"/>
        </w:rPr>
        <w:t>If more than three beneficiaries are named, attach a signed and dated separate sheet.</w:t>
      </w:r>
    </w:p>
    <w:p>
      <w:pPr>
        <w:ind w:left="241" w:hanging="161"/>
        <w:spacing w:after="0"/>
        <w:tabs>
          <w:tab w:leader="none" w:pos="241" w:val="left"/>
        </w:tabs>
        <w:numPr>
          <w:ilvl w:val="1"/>
          <w:numId w:val="91"/>
        </w:numPr>
        <w:rPr>
          <w:rFonts w:ascii="Arial" w:cs="Arial" w:eastAsia="Arial" w:hAnsi="Arial"/>
          <w:sz w:val="13"/>
          <w:szCs w:val="13"/>
          <w:color w:val="auto"/>
        </w:rPr>
      </w:pPr>
      <w:r>
        <w:rPr>
          <w:rFonts w:ascii="Arial" w:cs="Arial" w:eastAsia="Arial" w:hAnsi="Arial"/>
          <w:sz w:val="13"/>
          <w:szCs w:val="13"/>
          <w:color w:val="auto"/>
        </w:rPr>
        <w:t>Primary and Contingent Beneficiary percentages must each add up to 100%.</w:t>
      </w:r>
    </w:p>
    <w:p>
      <w:pPr>
        <w:spacing w:after="0" w:line="146" w:lineRule="exact"/>
        <w:rPr>
          <w:rFonts w:ascii="Arial" w:cs="Arial" w:eastAsia="Arial" w:hAnsi="Arial"/>
          <w:sz w:val="13"/>
          <w:szCs w:val="13"/>
          <w:color w:val="auto"/>
        </w:rPr>
      </w:pPr>
    </w:p>
    <w:p>
      <w:pPr>
        <w:ind w:left="161" w:hanging="161"/>
        <w:spacing w:after="0"/>
        <w:tabs>
          <w:tab w:leader="none" w:pos="161" w:val="left"/>
        </w:tabs>
        <w:numPr>
          <w:ilvl w:val="0"/>
          <w:numId w:val="91"/>
        </w:numPr>
        <w:rPr>
          <w:rFonts w:ascii="MS PGothic" w:cs="MS PGothic" w:eastAsia="MS PGothic" w:hAnsi="MS PGothic"/>
          <w:sz w:val="13"/>
          <w:szCs w:val="13"/>
          <w:color w:val="auto"/>
        </w:rPr>
      </w:pPr>
      <w:r>
        <w:rPr>
          <w:rFonts w:ascii="Arial" w:cs="Arial" w:eastAsia="Arial" w:hAnsi="Arial"/>
          <w:sz w:val="13"/>
          <w:szCs w:val="13"/>
          <w:color w:val="auto"/>
        </w:rPr>
        <w:t>Divide proceeds equally among Primary Beneficiaries</w:t>
      </w:r>
    </w:p>
    <w:p>
      <w:pPr>
        <w:spacing w:after="0" w:line="68" w:lineRule="exact"/>
        <w:rPr>
          <w:rFonts w:ascii="MS PGothic" w:cs="MS PGothic" w:eastAsia="MS PGothic" w:hAnsi="MS PGothic"/>
          <w:sz w:val="13"/>
          <w:szCs w:val="13"/>
          <w:color w:val="auto"/>
        </w:rPr>
      </w:pPr>
    </w:p>
    <w:p>
      <w:pPr>
        <w:ind w:left="161" w:hanging="161"/>
        <w:spacing w:after="0"/>
        <w:tabs>
          <w:tab w:leader="none" w:pos="161" w:val="left"/>
        </w:tabs>
        <w:numPr>
          <w:ilvl w:val="0"/>
          <w:numId w:val="91"/>
        </w:numPr>
        <w:rPr>
          <w:rFonts w:ascii="MS PGothic" w:cs="MS PGothic" w:eastAsia="MS PGothic" w:hAnsi="MS PGothic"/>
          <w:sz w:val="13"/>
          <w:szCs w:val="13"/>
          <w:color w:val="auto"/>
        </w:rPr>
      </w:pPr>
      <w:r>
        <w:rPr>
          <w:rFonts w:ascii="Arial" w:cs="Arial" w:eastAsia="Arial" w:hAnsi="Arial"/>
          <w:sz w:val="13"/>
          <w:szCs w:val="13"/>
          <w:color w:val="auto"/>
        </w:rPr>
        <w:t>Divide proceeds equally among Contingent Beneficiaries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-1238885</wp:posOffset>
            </wp:positionV>
            <wp:extent cx="5140325" cy="127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4">
                      <a:extLst>
                        <a:ext uri="{28A0092B-C50C-407E-A947-70E740481C1C}"/>
                      </a:extLst>
                    </a:blip>
                    <a:srcRect/>
                    <a:stretch>
                      <a:fillRect/>
                    </a:stretch>
                  </pic:blipFill>
                  <pic:spPr bwMode="auto">
                    <a:xfrm>
                      <a:off x="0" y="0"/>
                      <a:ext cx="5140325" cy="12700"/>
                    </a:xfrm>
                    <a:prstGeom prst="rect">
                      <a:avLst/>
                    </a:prstGeom>
                    <a:noFill/>
                  </pic:spPr>
                </pic:pic>
              </a:graphicData>
            </a:graphic>
          </wp:anchor>
        </w:drawing>
      </w:r>
    </w:p>
    <w:p>
      <w:pPr>
        <w:spacing w:after="0" w:line="168" w:lineRule="exact"/>
        <w:rPr>
          <w:sz w:val="20"/>
          <w:szCs w:val="20"/>
          <w:color w:val="auto"/>
        </w:rPr>
      </w:pPr>
    </w:p>
    <w:tbl>
      <w:tblPr>
        <w:tblLayout w:type="fixed"/>
        <w:tblInd w:w="1" w:type="dxa"/>
        <w:tblCellMar>
          <w:top w:w="0" w:type="dxa"/>
          <w:left w:w="0" w:type="dxa"/>
          <w:bottom w:w="0" w:type="dxa"/>
          <w:right w:w="0" w:type="dxa"/>
        </w:tblCellMar>
      </w:tblPr>
      <w:tr>
        <w:trPr>
          <w:trHeight w:val="180"/>
        </w:trPr>
        <w:tc>
          <w:tcPr>
            <w:tcW w:w="1460" w:type="dxa"/>
            <w:vAlign w:val="bottom"/>
            <w:gridSpan w:val="6"/>
          </w:tcPr>
          <w:p>
            <w:pPr>
              <w:spacing w:after="0"/>
              <w:rPr>
                <w:sz w:val="20"/>
                <w:szCs w:val="20"/>
                <w:color w:val="auto"/>
              </w:rPr>
            </w:pPr>
            <w:r>
              <w:rPr>
                <w:rFonts w:ascii="Arial" w:cs="Arial" w:eastAsia="Arial" w:hAnsi="Arial"/>
                <w:sz w:val="13"/>
                <w:szCs w:val="13"/>
                <w:b w:val="1"/>
                <w:bCs w:val="1"/>
                <w:color w:val="auto"/>
              </w:rPr>
              <w:t>Primary Beneficiary</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gridSpan w:val="13"/>
          </w:tcPr>
          <w:p>
            <w:pPr>
              <w:ind w:left="40"/>
              <w:spacing w:after="0"/>
              <w:rPr>
                <w:sz w:val="20"/>
                <w:szCs w:val="20"/>
                <w:color w:val="auto"/>
              </w:rPr>
            </w:pPr>
            <w:r>
              <w:rPr>
                <w:rFonts w:ascii="Arial" w:cs="Arial" w:eastAsia="Arial" w:hAnsi="Arial"/>
                <w:sz w:val="13"/>
                <w:szCs w:val="13"/>
                <w:b w:val="1"/>
                <w:bCs w:val="1"/>
                <w:color w:val="auto"/>
              </w:rPr>
              <w:t xml:space="preserve">Percentage: </w:t>
            </w:r>
            <w:r>
              <w:rPr>
                <w:rFonts w:ascii="Arial" w:cs="Arial" w:eastAsia="Arial" w:hAnsi="Arial"/>
                <w:sz w:val="13"/>
                <w:szCs w:val="13"/>
                <w:color w:val="auto"/>
              </w:rPr>
              <w:t>__________%</w:t>
            </w:r>
          </w:p>
        </w:tc>
      </w:tr>
      <w:tr>
        <w:trPr>
          <w:trHeight w:val="168"/>
        </w:trPr>
        <w:tc>
          <w:tcPr>
            <w:tcW w:w="1460" w:type="dxa"/>
            <w:vAlign w:val="bottom"/>
            <w:gridSpan w:val="6"/>
          </w:tcPr>
          <w:p>
            <w:pPr>
              <w:spacing w:after="0"/>
              <w:rPr>
                <w:sz w:val="20"/>
                <w:szCs w:val="20"/>
                <w:color w:val="auto"/>
              </w:rPr>
            </w:pPr>
            <w:r>
              <w:rPr>
                <w:rFonts w:ascii="Arial" w:cs="Arial" w:eastAsia="Arial" w:hAnsi="Arial"/>
                <w:sz w:val="13"/>
                <w:szCs w:val="13"/>
                <w:color w:val="auto"/>
              </w:rPr>
              <w:t>First/Entity</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1460" w:type="dxa"/>
            <w:vAlign w:val="bottom"/>
            <w:gridSpan w:val="6"/>
          </w:tcPr>
          <w:p>
            <w:pPr>
              <w:spacing w:after="0" w:line="142" w:lineRule="exact"/>
              <w:rPr>
                <w:sz w:val="20"/>
                <w:szCs w:val="20"/>
                <w:color w:val="auto"/>
              </w:rPr>
            </w:pPr>
            <w:r>
              <w:rPr>
                <w:rFonts w:ascii="Arial" w:cs="Arial" w:eastAsia="Arial" w:hAnsi="Arial"/>
                <w:sz w:val="13"/>
                <w:szCs w:val="13"/>
                <w:color w:val="auto"/>
              </w:rPr>
              <w:t xml:space="preserve">Name: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20"/>
              <w:spacing w:after="0" w:line="142" w:lineRule="exact"/>
              <w:rPr>
                <w:sz w:val="20"/>
                <w:szCs w:val="20"/>
                <w:color w:val="auto"/>
              </w:rPr>
            </w:pPr>
            <w:r>
              <w:rPr>
                <w:rFonts w:ascii="Arial" w:cs="Arial" w:eastAsia="Arial" w:hAnsi="Arial"/>
                <w:sz w:val="13"/>
                <w:szCs w:val="13"/>
                <w:color w:val="auto"/>
                <w:w w:val="76"/>
              </w:rPr>
              <w:t> </w:t>
            </w:r>
          </w:p>
        </w:tc>
        <w:tc>
          <w:tcPr>
            <w:tcW w:w="180" w:type="dxa"/>
            <w:vAlign w:val="bottom"/>
          </w:tcPr>
          <w:p>
            <w:pPr>
              <w:jc w:val="center"/>
              <w:spacing w:after="0" w:line="142" w:lineRule="exact"/>
              <w:rPr>
                <w:sz w:val="20"/>
                <w:szCs w:val="20"/>
                <w:color w:val="auto"/>
              </w:rPr>
            </w:pPr>
            <w:r>
              <w:rPr>
                <w:rFonts w:ascii="Arial" w:cs="Arial" w:eastAsia="Arial" w:hAnsi="Arial"/>
                <w:sz w:val="13"/>
                <w:szCs w:val="13"/>
                <w:color w:val="auto"/>
              </w:rPr>
              <w:t xml:space="preserve">    </w:t>
            </w:r>
          </w:p>
        </w:tc>
        <w:tc>
          <w:tcPr>
            <w:tcW w:w="80" w:type="dxa"/>
            <w:vAlign w:val="bottom"/>
          </w:tcPr>
          <w:p>
            <w:pPr>
              <w:spacing w:after="0"/>
              <w:rPr>
                <w:sz w:val="12"/>
                <w:szCs w:val="12"/>
                <w:color w:val="auto"/>
              </w:rPr>
            </w:pPr>
          </w:p>
        </w:tc>
        <w:tc>
          <w:tcPr>
            <w:tcW w:w="140" w:type="dxa"/>
            <w:vAlign w:val="bottom"/>
          </w:tcPr>
          <w:p>
            <w:pPr>
              <w:ind w:left="20"/>
              <w:spacing w:after="0" w:line="142" w:lineRule="exact"/>
              <w:rPr>
                <w:sz w:val="20"/>
                <w:szCs w:val="20"/>
                <w:color w:val="auto"/>
              </w:rPr>
            </w:pPr>
            <w:r>
              <w:rPr>
                <w:rFonts w:ascii="Arial" w:cs="Arial" w:eastAsia="Arial" w:hAnsi="Arial"/>
                <w:sz w:val="13"/>
                <w:szCs w:val="13"/>
                <w:color w:val="auto"/>
                <w:w w:val="76"/>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20"/>
              <w:spacing w:after="0" w:line="142" w:lineRule="exact"/>
              <w:rPr>
                <w:sz w:val="20"/>
                <w:szCs w:val="20"/>
                <w:color w:val="auto"/>
              </w:rPr>
            </w:pPr>
            <w:r>
              <w:rPr>
                <w:rFonts w:ascii="Arial" w:cs="Arial" w:eastAsia="Arial" w:hAnsi="Arial"/>
                <w:sz w:val="13"/>
                <w:szCs w:val="13"/>
                <w:color w:val="auto"/>
                <w:w w:val="76"/>
              </w:rPr>
              <w:t> </w:t>
            </w:r>
          </w:p>
        </w:tc>
        <w:tc>
          <w:tcPr>
            <w:tcW w:w="140" w:type="dxa"/>
            <w:vAlign w:val="bottom"/>
          </w:tcPr>
          <w:p>
            <w:pPr>
              <w:ind w:left="20"/>
              <w:spacing w:after="0" w:line="142" w:lineRule="exact"/>
              <w:rPr>
                <w:sz w:val="20"/>
                <w:szCs w:val="20"/>
                <w:color w:val="auto"/>
              </w:rPr>
            </w:pPr>
            <w:r>
              <w:rPr>
                <w:rFonts w:ascii="Arial" w:cs="Arial" w:eastAsia="Arial" w:hAnsi="Arial"/>
                <w:sz w:val="13"/>
                <w:szCs w:val="13"/>
                <w:color w:val="auto"/>
                <w:w w:val="76"/>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00" w:type="dxa"/>
            <w:vAlign w:val="bottom"/>
          </w:tcPr>
          <w:p>
            <w:pPr>
              <w:ind w:left="20"/>
              <w:spacing w:after="0"/>
              <w:rPr>
                <w:sz w:val="20"/>
                <w:szCs w:val="20"/>
                <w:color w:val="auto"/>
              </w:rPr>
            </w:pPr>
            <w:r>
              <w:rPr>
                <w:rFonts w:ascii="Arial" w:cs="Arial" w:eastAsia="Arial" w:hAnsi="Arial"/>
                <w:sz w:val="8"/>
                <w:szCs w:val="8"/>
                <w:color w:val="auto"/>
                <w:w w:val="74"/>
              </w:rPr>
              <w:t> </w:t>
            </w:r>
          </w:p>
        </w:tc>
        <w:tc>
          <w:tcPr>
            <w:tcW w:w="220" w:type="dxa"/>
            <w:vAlign w:val="bottom"/>
            <w:gridSpan w:val="2"/>
          </w:tcPr>
          <w:p>
            <w:pPr>
              <w:jc w:val="right"/>
              <w:ind w:right="3"/>
              <w:spacing w:after="0" w:line="142" w:lineRule="exact"/>
              <w:rPr>
                <w:sz w:val="20"/>
                <w:szCs w:val="20"/>
                <w:color w:val="auto"/>
              </w:rPr>
            </w:pPr>
            <w:r>
              <w:rPr>
                <w:rFonts w:ascii="Arial" w:cs="Arial" w:eastAsia="Arial" w:hAnsi="Arial"/>
                <w:sz w:val="13"/>
                <w:szCs w:val="13"/>
                <w:color w:val="auto"/>
              </w:rPr>
              <w:t xml:space="preserve">   </w:t>
            </w:r>
          </w:p>
        </w:tc>
        <w:tc>
          <w:tcPr>
            <w:tcW w:w="160" w:type="dxa"/>
            <w:vAlign w:val="bottom"/>
          </w:tcPr>
          <w:p>
            <w:pPr>
              <w:jc w:val="right"/>
              <w:spacing w:after="0" w:line="142" w:lineRule="exact"/>
              <w:rPr>
                <w:sz w:val="20"/>
                <w:szCs w:val="20"/>
                <w:color w:val="auto"/>
              </w:rPr>
            </w:pPr>
            <w:r>
              <w:rPr>
                <w:rFonts w:ascii="Arial" w:cs="Arial" w:eastAsia="Arial" w:hAnsi="Arial"/>
                <w:sz w:val="13"/>
                <w:szCs w:val="13"/>
                <w:color w:val="auto"/>
              </w:rPr>
              <w:t xml:space="preserve">   </w:t>
            </w:r>
          </w:p>
        </w:tc>
        <w:tc>
          <w:tcPr>
            <w:tcW w:w="140" w:type="dxa"/>
            <w:vAlign w:val="bottom"/>
          </w:tcPr>
          <w:p>
            <w:pPr>
              <w:jc w:val="right"/>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20" w:type="dxa"/>
            <w:vAlign w:val="bottom"/>
          </w:tcPr>
          <w:p>
            <w:pPr>
              <w:ind w:left="60"/>
              <w:spacing w:after="0"/>
              <w:rPr>
                <w:sz w:val="20"/>
                <w:szCs w:val="20"/>
                <w:color w:val="auto"/>
              </w:rPr>
            </w:pPr>
            <w:r>
              <w:rPr>
                <w:rFonts w:ascii="Arial" w:cs="Arial" w:eastAsia="Arial" w:hAnsi="Arial"/>
                <w:sz w:val="2"/>
                <w:szCs w:val="2"/>
                <w:color w:val="auto"/>
                <w:w w:val="97"/>
              </w:rPr>
              <w:t> </w:t>
            </w:r>
          </w:p>
        </w:tc>
        <w:tc>
          <w:tcPr>
            <w:tcW w:w="80" w:type="dxa"/>
            <w:vAlign w:val="bottom"/>
          </w:tcPr>
          <w:p>
            <w:pPr>
              <w:spacing w:after="0"/>
              <w:rPr>
                <w:sz w:val="12"/>
                <w:szCs w:val="12"/>
                <w:color w:val="auto"/>
              </w:rPr>
            </w:pPr>
          </w:p>
        </w:tc>
        <w:tc>
          <w:tcPr>
            <w:tcW w:w="1560" w:type="dxa"/>
            <w:vAlign w:val="bottom"/>
            <w:gridSpan w:val="8"/>
          </w:tcPr>
          <w:p>
            <w:pPr>
              <w:ind w:left="120"/>
              <w:spacing w:after="0" w:line="142" w:lineRule="exact"/>
              <w:rPr>
                <w:sz w:val="20"/>
                <w:szCs w:val="20"/>
                <w:color w:val="auto"/>
              </w:rPr>
            </w:pPr>
            <w:r>
              <w:rPr>
                <w:rFonts w:ascii="Arial" w:cs="Arial" w:eastAsia="Arial" w:hAnsi="Arial"/>
                <w:sz w:val="13"/>
                <w:szCs w:val="13"/>
                <w:color w:val="auto"/>
              </w:rPr>
              <w:t xml:space="preserve">Street Address: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20" w:type="dxa"/>
            <w:vAlign w:val="bottom"/>
          </w:tcPr>
          <w:p>
            <w:pPr>
              <w:ind w:left="80"/>
              <w:spacing w:after="0"/>
              <w:rPr>
                <w:sz w:val="20"/>
                <w:szCs w:val="20"/>
                <w:color w:val="auto"/>
              </w:rPr>
            </w:pPr>
            <w:r>
              <w:rPr>
                <w:rFonts w:ascii="Arial" w:cs="Arial" w:eastAsia="Arial" w:hAnsi="Arial"/>
                <w:sz w:val="2"/>
                <w:szCs w:val="2"/>
                <w:color w:val="auto"/>
                <w:w w:val="97"/>
              </w:rPr>
              <w:t> </w:t>
            </w:r>
          </w:p>
        </w:tc>
        <w:tc>
          <w:tcPr>
            <w:tcW w:w="140" w:type="dxa"/>
            <w:vAlign w:val="bottom"/>
          </w:tcPr>
          <w:p>
            <w:pPr>
              <w:ind w:left="100"/>
              <w:spacing w:after="0"/>
              <w:rPr>
                <w:sz w:val="20"/>
                <w:szCs w:val="20"/>
                <w:color w:val="auto"/>
              </w:rPr>
            </w:pPr>
            <w:r>
              <w:rPr>
                <w:rFonts w:ascii="Arial" w:cs="Arial" w:eastAsia="Arial" w:hAnsi="Arial"/>
                <w:sz w:val="1"/>
                <w:szCs w:val="1"/>
                <w:color w:val="auto"/>
                <w:w w:val="4294967291"/>
              </w:rPr>
              <w:t> </w:t>
            </w:r>
          </w:p>
        </w:tc>
        <w:tc>
          <w:tcPr>
            <w:tcW w:w="120" w:type="dxa"/>
            <w:vAlign w:val="bottom"/>
          </w:tcPr>
          <w:p>
            <w:pPr>
              <w:ind w:left="80"/>
              <w:spacing w:after="0"/>
              <w:rPr>
                <w:sz w:val="20"/>
                <w:szCs w:val="20"/>
                <w:color w:val="auto"/>
              </w:rPr>
            </w:pPr>
            <w:r>
              <w:rPr>
                <w:rFonts w:ascii="Arial" w:cs="Arial" w:eastAsia="Arial" w:hAnsi="Arial"/>
                <w:sz w:val="2"/>
                <w:szCs w:val="2"/>
                <w:color w:val="auto"/>
                <w:w w:val="97"/>
              </w:rPr>
              <w:t> </w:t>
            </w:r>
          </w:p>
        </w:tc>
        <w:tc>
          <w:tcPr>
            <w:tcW w:w="140" w:type="dxa"/>
            <w:vAlign w:val="bottom"/>
          </w:tcPr>
          <w:p>
            <w:pPr>
              <w:ind w:left="100"/>
              <w:spacing w:after="0"/>
              <w:rPr>
                <w:sz w:val="20"/>
                <w:szCs w:val="20"/>
                <w:color w:val="auto"/>
              </w:rPr>
            </w:pPr>
            <w:r>
              <w:rPr>
                <w:rFonts w:ascii="Arial" w:cs="Arial" w:eastAsia="Arial" w:hAnsi="Arial"/>
                <w:sz w:val="2"/>
                <w:szCs w:val="2"/>
                <w:color w:val="auto"/>
                <w:w w:val="97"/>
              </w:rPr>
              <w:t> </w:t>
            </w:r>
          </w:p>
        </w:tc>
        <w:tc>
          <w:tcPr>
            <w:tcW w:w="60" w:type="dxa"/>
            <w:vAlign w:val="bottom"/>
          </w:tcPr>
          <w:p>
            <w:pPr>
              <w:spacing w:after="0"/>
              <w:rPr>
                <w:sz w:val="12"/>
                <w:szCs w:val="12"/>
                <w:color w:val="auto"/>
              </w:rPr>
            </w:pPr>
          </w:p>
        </w:tc>
        <w:tc>
          <w:tcPr>
            <w:tcW w:w="200" w:type="dxa"/>
            <w:vAlign w:val="bottom"/>
            <w:gridSpan w:val="2"/>
          </w:tcPr>
          <w:p>
            <w:pPr>
              <w:jc w:val="center"/>
              <w:spacing w:after="0" w:line="142" w:lineRule="exact"/>
              <w:rPr>
                <w:sz w:val="20"/>
                <w:szCs w:val="20"/>
                <w:color w:val="auto"/>
              </w:rPr>
            </w:pPr>
            <w:r>
              <w:rPr>
                <w:rFonts w:ascii="Arial" w:cs="Arial" w:eastAsia="Arial" w:hAnsi="Arial"/>
                <w:sz w:val="13"/>
                <w:szCs w:val="13"/>
                <w:color w:val="auto"/>
              </w:rPr>
              <w:t xml:space="preserve">    </w:t>
            </w:r>
          </w:p>
        </w:tc>
        <w:tc>
          <w:tcPr>
            <w:tcW w:w="180" w:type="dxa"/>
            <w:vAlign w:val="bottom"/>
            <w:gridSpan w:val="2"/>
          </w:tcPr>
          <w:p>
            <w:pPr>
              <w:ind w:left="60"/>
              <w:spacing w:after="0" w:line="142" w:lineRule="exact"/>
              <w:rPr>
                <w:sz w:val="20"/>
                <w:szCs w:val="20"/>
                <w:color w:val="auto"/>
              </w:rPr>
            </w:pPr>
            <w:r>
              <w:rPr>
                <w:rFonts w:ascii="Arial" w:cs="Arial" w:eastAsia="Arial" w:hAnsi="Arial"/>
                <w:sz w:val="13"/>
                <w:szCs w:val="13"/>
                <w:color w:val="auto"/>
                <w:w w:val="76"/>
              </w:rPr>
              <w:t> </w:t>
            </w:r>
          </w:p>
        </w:tc>
        <w:tc>
          <w:tcPr>
            <w:tcW w:w="80" w:type="dxa"/>
            <w:vAlign w:val="bottom"/>
          </w:tcPr>
          <w:p>
            <w:pPr>
              <w:jc w:val="center"/>
              <w:spacing w:after="0"/>
              <w:rPr>
                <w:sz w:val="20"/>
                <w:szCs w:val="20"/>
                <w:color w:val="auto"/>
              </w:rPr>
            </w:pPr>
            <w:r>
              <w:rPr>
                <w:rFonts w:ascii="Arial" w:cs="Arial" w:eastAsia="Arial" w:hAnsi="Arial"/>
                <w:sz w:val="4"/>
                <w:szCs w:val="4"/>
                <w:color w:val="auto"/>
                <w:w w:val="98"/>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tcPr>
          <w:p>
            <w:pPr>
              <w:jc w:val="right"/>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60" w:type="dxa"/>
            <w:vAlign w:val="bottom"/>
          </w:tcPr>
          <w:p>
            <w:pPr>
              <w:jc w:val="right"/>
              <w:spacing w:after="0" w:line="142" w:lineRule="exact"/>
              <w:rPr>
                <w:sz w:val="20"/>
                <w:szCs w:val="20"/>
                <w:color w:val="auto"/>
              </w:rPr>
            </w:pPr>
            <w:r>
              <w:rPr>
                <w:rFonts w:ascii="Arial" w:cs="Arial" w:eastAsia="Arial" w:hAnsi="Arial"/>
                <w:sz w:val="13"/>
                <w:szCs w:val="13"/>
                <w:color w:val="auto"/>
              </w:rPr>
              <w:t xml:space="preserve">   </w:t>
            </w:r>
          </w:p>
        </w:tc>
        <w:tc>
          <w:tcPr>
            <w:tcW w:w="140" w:type="dxa"/>
            <w:vAlign w:val="bottom"/>
          </w:tcPr>
          <w:p>
            <w:pPr>
              <w:jc w:val="right"/>
              <w:spacing w:after="0" w:line="142" w:lineRule="exact"/>
              <w:rPr>
                <w:sz w:val="20"/>
                <w:szCs w:val="20"/>
                <w:color w:val="auto"/>
              </w:rPr>
            </w:pPr>
            <w:r>
              <w:rPr>
                <w:rFonts w:ascii="Arial" w:cs="Arial" w:eastAsia="Arial" w:hAnsi="Arial"/>
                <w:sz w:val="13"/>
                <w:szCs w:val="13"/>
                <w:color w:val="auto"/>
                <w:w w:val="76"/>
              </w:rPr>
              <w:t> </w:t>
            </w:r>
          </w:p>
        </w:tc>
        <w:tc>
          <w:tcPr>
            <w:tcW w:w="140" w:type="dxa"/>
            <w:vAlign w:val="bottom"/>
          </w:tcPr>
          <w:p>
            <w:pPr>
              <w:jc w:val="right"/>
              <w:spacing w:after="0" w:line="142" w:lineRule="exact"/>
              <w:rPr>
                <w:sz w:val="20"/>
                <w:szCs w:val="20"/>
                <w:color w:val="auto"/>
              </w:rPr>
            </w:pPr>
            <w:r>
              <w:rPr>
                <w:rFonts w:ascii="Arial" w:cs="Arial" w:eastAsia="Arial" w:hAnsi="Arial"/>
                <w:sz w:val="13"/>
                <w:szCs w:val="13"/>
                <w:color w:val="auto"/>
                <w:w w:val="76"/>
              </w:rPr>
              <w:t> </w:t>
            </w:r>
          </w:p>
        </w:tc>
        <w:tc>
          <w:tcPr>
            <w:tcW w:w="120" w:type="dxa"/>
            <w:vAlign w:val="bottom"/>
          </w:tcPr>
          <w:p>
            <w:pPr>
              <w:jc w:val="right"/>
              <w:spacing w:after="0"/>
              <w:rPr>
                <w:sz w:val="20"/>
                <w:szCs w:val="20"/>
                <w:color w:val="auto"/>
              </w:rPr>
            </w:pPr>
            <w:r>
              <w:rPr>
                <w:rFonts w:ascii="Arial" w:cs="Arial" w:eastAsia="Arial" w:hAnsi="Arial"/>
                <w:sz w:val="11"/>
                <w:szCs w:val="11"/>
                <w:color w:val="auto"/>
                <w:w w:val="72"/>
              </w:rPr>
              <w:t> </w:t>
            </w:r>
          </w:p>
        </w:tc>
        <w:tc>
          <w:tcPr>
            <w:tcW w:w="160" w:type="dxa"/>
            <w:vAlign w:val="bottom"/>
          </w:tcPr>
          <w:p>
            <w:pPr>
              <w:ind w:left="80"/>
              <w:spacing w:after="0"/>
              <w:rPr>
                <w:sz w:val="20"/>
                <w:szCs w:val="20"/>
                <w:color w:val="auto"/>
              </w:rPr>
            </w:pPr>
            <w:r>
              <w:rPr>
                <w:rFonts w:ascii="Arial" w:cs="Arial" w:eastAsia="Arial" w:hAnsi="Arial"/>
                <w:sz w:val="7"/>
                <w:szCs w:val="7"/>
                <w:color w:val="auto"/>
                <w:w w:val="70"/>
              </w:rPr>
              <w:t>  </w:t>
            </w:r>
          </w:p>
        </w:tc>
        <w:tc>
          <w:tcPr>
            <w:tcW w:w="240" w:type="dxa"/>
            <w:vAlign w:val="bottom"/>
            <w:gridSpan w:val="2"/>
          </w:tcPr>
          <w:p>
            <w:pPr>
              <w:ind w:left="80"/>
              <w:spacing w:after="0" w:line="142" w:lineRule="exact"/>
              <w:rPr>
                <w:sz w:val="20"/>
                <w:szCs w:val="20"/>
                <w:color w:val="auto"/>
              </w:rPr>
            </w:pPr>
            <w:r>
              <w:rPr>
                <w:rFonts w:ascii="Arial" w:cs="Arial" w:eastAsia="Arial" w:hAnsi="Arial"/>
                <w:sz w:val="13"/>
                <w:szCs w:val="13"/>
                <w:color w:val="auto"/>
              </w:rPr>
              <w:t> </w:t>
            </w:r>
          </w:p>
        </w:tc>
      </w:tr>
      <w:tr>
        <w:trPr>
          <w:trHeight w:val="20"/>
        </w:trPr>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gridSpan w:val="5"/>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r>
      <w:tr>
        <w:trPr>
          <w:trHeight w:val="208"/>
        </w:trPr>
        <w:tc>
          <w:tcPr>
            <w:tcW w:w="1460" w:type="dxa"/>
            <w:vAlign w:val="bottom"/>
            <w:gridSpan w:val="6"/>
          </w:tcPr>
          <w:p>
            <w:pPr>
              <w:spacing w:after="0"/>
              <w:rPr>
                <w:sz w:val="20"/>
                <w:szCs w:val="20"/>
                <w:color w:val="auto"/>
              </w:rPr>
            </w:pPr>
            <w:r>
              <w:rPr>
                <w:rFonts w:ascii="Arial" w:cs="Arial" w:eastAsia="Arial" w:hAnsi="Arial"/>
                <w:sz w:val="13"/>
                <w:szCs w:val="13"/>
                <w:color w:val="auto"/>
              </w:rPr>
              <w:t xml:space="preserve">Middle Name:              </w:t>
            </w:r>
          </w:p>
        </w:tc>
        <w:tc>
          <w:tcPr>
            <w:tcW w:w="660" w:type="dxa"/>
            <w:vAlign w:val="bottom"/>
            <w:gridSpan w:val="5"/>
          </w:tcPr>
          <w:p>
            <w:pPr>
              <w:ind w:left="40"/>
              <w:spacing w:after="0"/>
              <w:rPr>
                <w:sz w:val="20"/>
                <w:szCs w:val="20"/>
                <w:color w:val="auto"/>
              </w:rPr>
            </w:pPr>
            <w:r>
              <w:rPr>
                <w:rFonts w:ascii="Arial" w:cs="Arial" w:eastAsia="Arial" w:hAnsi="Arial"/>
                <w:sz w:val="13"/>
                <w:szCs w:val="13"/>
                <w:color w:val="auto"/>
              </w:rPr>
              <w:t xml:space="preserve">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00" w:type="dxa"/>
            <w:vAlign w:val="bottom"/>
          </w:tcPr>
          <w:p>
            <w:pPr>
              <w:ind w:left="60"/>
              <w:spacing w:after="0"/>
              <w:rPr>
                <w:sz w:val="20"/>
                <w:szCs w:val="20"/>
                <w:color w:val="auto"/>
              </w:rPr>
            </w:pPr>
            <w:r>
              <w:rPr>
                <w:rFonts w:ascii="Arial" w:cs="Arial" w:eastAsia="Arial" w:hAnsi="Arial"/>
                <w:sz w:val="2"/>
                <w:szCs w:val="2"/>
                <w:color w:val="auto"/>
                <w:w w:val="97"/>
              </w:rPr>
              <w:t> </w:t>
            </w:r>
          </w:p>
        </w:tc>
        <w:tc>
          <w:tcPr>
            <w:tcW w:w="220" w:type="dxa"/>
            <w:vAlign w:val="bottom"/>
            <w:gridSpan w:val="2"/>
          </w:tcPr>
          <w:p>
            <w:pPr>
              <w:jc w:val="right"/>
              <w:ind w:right="43"/>
              <w:spacing w:after="0"/>
              <w:rPr>
                <w:sz w:val="20"/>
                <w:szCs w:val="20"/>
                <w:color w:val="auto"/>
              </w:rPr>
            </w:pPr>
            <w:r>
              <w:rPr>
                <w:rFonts w:ascii="Arial" w:cs="Arial" w:eastAsia="Arial" w:hAnsi="Arial"/>
                <w:sz w:val="13"/>
                <w:szCs w:val="13"/>
                <w:color w:val="auto"/>
                <w:w w:val="76"/>
              </w:rPr>
              <w:t> </w:t>
            </w:r>
          </w:p>
        </w:tc>
        <w:tc>
          <w:tcPr>
            <w:tcW w:w="160" w:type="dxa"/>
            <w:vAlign w:val="bottom"/>
          </w:tcPr>
          <w:p>
            <w:pPr>
              <w:jc w:val="right"/>
              <w:spacing w:after="0"/>
              <w:rPr>
                <w:sz w:val="20"/>
                <w:szCs w:val="20"/>
                <w:color w:val="auto"/>
              </w:rPr>
            </w:pPr>
            <w:r>
              <w:rPr>
                <w:rFonts w:ascii="Arial" w:cs="Arial" w:eastAsia="Arial" w:hAnsi="Arial"/>
                <w:sz w:val="13"/>
                <w:szCs w:val="13"/>
                <w:color w:val="auto"/>
              </w:rPr>
              <w:t xml:space="preserve">   </w:t>
            </w:r>
          </w:p>
        </w:tc>
        <w:tc>
          <w:tcPr>
            <w:tcW w:w="140" w:type="dxa"/>
            <w:vAlign w:val="bottom"/>
          </w:tcPr>
          <w:p>
            <w:pPr>
              <w:jc w:val="right"/>
              <w:ind w:right="17"/>
              <w:spacing w:after="0"/>
              <w:rPr>
                <w:sz w:val="20"/>
                <w:szCs w:val="20"/>
                <w:color w:val="auto"/>
              </w:rPr>
            </w:pPr>
            <w:r>
              <w:rPr>
                <w:rFonts w:ascii="Arial" w:cs="Arial" w:eastAsia="Arial" w:hAnsi="Arial"/>
                <w:sz w:val="8"/>
                <w:szCs w:val="8"/>
                <w:color w:val="auto"/>
                <w:w w:val="74"/>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20"/>
              <w:spacing w:after="0"/>
              <w:rPr>
                <w:sz w:val="20"/>
                <w:szCs w:val="20"/>
                <w:color w:val="auto"/>
              </w:rPr>
            </w:pPr>
            <w:r>
              <w:rPr>
                <w:rFonts w:ascii="Arial" w:cs="Arial" w:eastAsia="Arial" w:hAnsi="Arial"/>
                <w:sz w:val="8"/>
                <w:szCs w:val="8"/>
                <w:color w:val="auto"/>
                <w:w w:val="74"/>
              </w:rPr>
              <w:t> </w:t>
            </w:r>
          </w:p>
        </w:tc>
        <w:tc>
          <w:tcPr>
            <w:tcW w:w="80" w:type="dxa"/>
            <w:vAlign w:val="bottom"/>
          </w:tcPr>
          <w:p>
            <w:pPr>
              <w:ind w:left="40"/>
              <w:spacing w:after="0"/>
              <w:rPr>
                <w:sz w:val="20"/>
                <w:szCs w:val="20"/>
                <w:color w:val="auto"/>
              </w:rPr>
            </w:pPr>
            <w:r>
              <w:rPr>
                <w:rFonts w:ascii="Arial" w:cs="Arial" w:eastAsia="Arial" w:hAnsi="Arial"/>
                <w:sz w:val="13"/>
                <w:szCs w:val="13"/>
                <w:color w:val="auto"/>
                <w:w w:val="75"/>
              </w:rPr>
              <w:t> </w:t>
            </w:r>
          </w:p>
        </w:tc>
        <w:tc>
          <w:tcPr>
            <w:tcW w:w="1300" w:type="dxa"/>
            <w:vAlign w:val="bottom"/>
            <w:gridSpan w:val="5"/>
          </w:tcPr>
          <w:p>
            <w:pPr>
              <w:ind w:left="120"/>
              <w:spacing w:after="0"/>
              <w:rPr>
                <w:sz w:val="20"/>
                <w:szCs w:val="20"/>
                <w:color w:val="auto"/>
              </w:rPr>
            </w:pPr>
            <w:r>
              <w:rPr>
                <w:rFonts w:ascii="Arial" w:cs="Arial" w:eastAsia="Arial" w:hAnsi="Arial"/>
                <w:sz w:val="13"/>
                <w:szCs w:val="13"/>
                <w:color w:val="auto"/>
              </w:rPr>
              <w:t xml:space="preserve">City: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gridSpan w:val="2"/>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Pr>
          <w:p>
            <w:pPr>
              <w:jc w:val="center"/>
              <w:spacing w:after="0"/>
              <w:rPr>
                <w:sz w:val="20"/>
                <w:szCs w:val="20"/>
                <w:color w:val="auto"/>
              </w:rPr>
            </w:pPr>
            <w:r>
              <w:rPr>
                <w:rFonts w:ascii="Arial" w:cs="Arial" w:eastAsia="Arial" w:hAnsi="Arial"/>
                <w:sz w:val="7"/>
                <w:szCs w:val="7"/>
                <w:color w:val="auto"/>
                <w:w w:val="70"/>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260" w:type="dxa"/>
            <w:vAlign w:val="bottom"/>
            <w:gridSpan w:val="3"/>
          </w:tcPr>
          <w:p>
            <w:pPr>
              <w:jc w:val="right"/>
              <w:ind w:right="41"/>
              <w:spacing w:after="0"/>
              <w:rPr>
                <w:sz w:val="20"/>
                <w:szCs w:val="20"/>
                <w:color w:val="auto"/>
              </w:rPr>
            </w:pPr>
            <w:r>
              <w:rPr>
                <w:rFonts w:ascii="Arial" w:cs="Arial" w:eastAsia="Arial" w:hAnsi="Arial"/>
                <w:sz w:val="13"/>
                <w:szCs w:val="13"/>
                <w:color w:val="auto"/>
              </w:rPr>
              <w:t xml:space="preserve">   </w:t>
            </w:r>
          </w:p>
        </w:tc>
        <w:tc>
          <w:tcPr>
            <w:tcW w:w="140" w:type="dxa"/>
            <w:vAlign w:val="bottom"/>
          </w:tcPr>
          <w:p>
            <w:pPr>
              <w:jc w:val="center"/>
              <w:ind w:right="35"/>
              <w:spacing w:after="0"/>
              <w:rPr>
                <w:sz w:val="20"/>
                <w:szCs w:val="20"/>
                <w:color w:val="auto"/>
              </w:rPr>
            </w:pPr>
            <w:r>
              <w:rPr>
                <w:rFonts w:ascii="Arial" w:cs="Arial" w:eastAsia="Arial" w:hAnsi="Arial"/>
                <w:sz w:val="2"/>
                <w:szCs w:val="2"/>
                <w:color w:val="auto"/>
                <w:w w:val="97"/>
              </w:rPr>
              <w:t> </w:t>
            </w:r>
          </w:p>
        </w:tc>
        <w:tc>
          <w:tcPr>
            <w:tcW w:w="60" w:type="dxa"/>
            <w:vAlign w:val="bottom"/>
          </w:tcPr>
          <w:p>
            <w:pPr>
              <w:spacing w:after="0"/>
              <w:rPr>
                <w:sz w:val="20"/>
                <w:szCs w:val="20"/>
                <w:color w:val="auto"/>
              </w:rPr>
            </w:pPr>
            <w:r>
              <w:rPr>
                <w:rFonts w:ascii="Arial" w:cs="Arial" w:eastAsia="Arial" w:hAnsi="Arial"/>
                <w:sz w:val="4"/>
                <w:szCs w:val="4"/>
                <w:color w:val="auto"/>
                <w:w w:val="98"/>
              </w:rPr>
              <w:t> </w:t>
            </w:r>
          </w:p>
        </w:tc>
        <w:tc>
          <w:tcPr>
            <w:tcW w:w="120" w:type="dxa"/>
            <w:vAlign w:val="bottom"/>
          </w:tcPr>
          <w:p>
            <w:pPr>
              <w:jc w:val="right"/>
              <w:spacing w:after="0"/>
              <w:rPr>
                <w:sz w:val="20"/>
                <w:szCs w:val="20"/>
                <w:color w:val="auto"/>
              </w:rPr>
            </w:pPr>
            <w:r>
              <w:rPr>
                <w:rFonts w:ascii="Arial" w:cs="Arial" w:eastAsia="Arial" w:hAnsi="Arial"/>
                <w:sz w:val="13"/>
                <w:szCs w:val="13"/>
                <w:color w:val="auto"/>
                <w:w w:val="76"/>
              </w:rPr>
              <w:t> </w:t>
            </w:r>
          </w:p>
        </w:tc>
        <w:tc>
          <w:tcPr>
            <w:tcW w:w="80" w:type="dxa"/>
            <w:vAlign w:val="bottom"/>
          </w:tcPr>
          <w:p>
            <w:pPr>
              <w:spacing w:after="0"/>
              <w:rPr>
                <w:sz w:val="18"/>
                <w:szCs w:val="18"/>
                <w:color w:val="auto"/>
              </w:rPr>
            </w:pPr>
          </w:p>
        </w:tc>
        <w:tc>
          <w:tcPr>
            <w:tcW w:w="140" w:type="dxa"/>
            <w:vAlign w:val="bottom"/>
          </w:tcPr>
          <w:p>
            <w:pPr>
              <w:jc w:val="center"/>
              <w:ind w:right="73"/>
              <w:spacing w:after="0"/>
              <w:rPr>
                <w:sz w:val="20"/>
                <w:szCs w:val="20"/>
                <w:color w:val="auto"/>
              </w:rPr>
            </w:pPr>
            <w:r>
              <w:rPr>
                <w:rFonts w:ascii="Arial" w:cs="Arial" w:eastAsia="Arial" w:hAnsi="Arial"/>
                <w:sz w:val="4"/>
                <w:szCs w:val="4"/>
                <w:color w:val="auto"/>
                <w:w w:val="98"/>
              </w:rPr>
              <w:t> </w:t>
            </w: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140" w:type="dxa"/>
            <w:vAlign w:val="bottom"/>
          </w:tcPr>
          <w:p>
            <w:pPr>
              <w:jc w:val="right"/>
              <w:spacing w:after="0"/>
              <w:rPr>
                <w:sz w:val="20"/>
                <w:szCs w:val="20"/>
                <w:color w:val="auto"/>
              </w:rPr>
            </w:pPr>
            <w:r>
              <w:rPr>
                <w:rFonts w:ascii="Arial" w:cs="Arial" w:eastAsia="Arial" w:hAnsi="Arial"/>
                <w:sz w:val="13"/>
                <w:szCs w:val="13"/>
                <w:color w:val="auto"/>
              </w:rPr>
              <w:t xml:space="preserve">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60" w:type="dxa"/>
            <w:vAlign w:val="bottom"/>
          </w:tcPr>
          <w:p>
            <w:pPr>
              <w:jc w:val="center"/>
              <w:spacing w:after="0"/>
              <w:rPr>
                <w:sz w:val="20"/>
                <w:szCs w:val="20"/>
                <w:color w:val="auto"/>
              </w:rPr>
            </w:pPr>
            <w:r>
              <w:rPr>
                <w:rFonts w:ascii="Arial" w:cs="Arial" w:eastAsia="Arial" w:hAnsi="Arial"/>
                <w:sz w:val="4"/>
                <w:szCs w:val="4"/>
                <w:color w:val="auto"/>
                <w:w w:val="98"/>
              </w:rPr>
              <w:t> </w:t>
            </w:r>
          </w:p>
        </w:tc>
        <w:tc>
          <w:tcPr>
            <w:tcW w:w="140" w:type="dxa"/>
            <w:vAlign w:val="bottom"/>
          </w:tcPr>
          <w:p>
            <w:pPr>
              <w:jc w:val="center"/>
              <w:spacing w:after="0"/>
              <w:rPr>
                <w:sz w:val="20"/>
                <w:szCs w:val="20"/>
                <w:color w:val="auto"/>
              </w:rPr>
            </w:pPr>
            <w:r>
              <w:rPr>
                <w:rFonts w:ascii="Arial" w:cs="Arial" w:eastAsia="Arial" w:hAnsi="Arial"/>
                <w:sz w:val="4"/>
                <w:szCs w:val="4"/>
                <w:color w:val="auto"/>
                <w:w w:val="98"/>
              </w:rPr>
              <w:t> </w:t>
            </w:r>
          </w:p>
        </w:tc>
        <w:tc>
          <w:tcPr>
            <w:tcW w:w="140" w:type="dxa"/>
            <w:vAlign w:val="bottom"/>
          </w:tcPr>
          <w:p>
            <w:pPr>
              <w:jc w:val="right"/>
              <w:ind w:right="40"/>
              <w:spacing w:after="0"/>
              <w:rPr>
                <w:sz w:val="20"/>
                <w:szCs w:val="20"/>
                <w:color w:val="auto"/>
              </w:rPr>
            </w:pPr>
            <w:r>
              <w:rPr>
                <w:rFonts w:ascii="Arial" w:cs="Arial" w:eastAsia="Arial" w:hAnsi="Arial"/>
                <w:sz w:val="4"/>
                <w:szCs w:val="4"/>
                <w:color w:val="auto"/>
                <w:w w:val="98"/>
              </w:rPr>
              <w:t> </w:t>
            </w:r>
          </w:p>
        </w:tc>
        <w:tc>
          <w:tcPr>
            <w:tcW w:w="120" w:type="dxa"/>
            <w:vAlign w:val="bottom"/>
          </w:tcPr>
          <w:p>
            <w:pPr>
              <w:jc w:val="right"/>
              <w:ind w:right="22"/>
              <w:spacing w:after="0"/>
              <w:rPr>
                <w:sz w:val="20"/>
                <w:szCs w:val="20"/>
                <w:color w:val="auto"/>
              </w:rPr>
            </w:pPr>
            <w:r>
              <w:rPr>
                <w:rFonts w:ascii="Arial" w:cs="Arial" w:eastAsia="Arial" w:hAnsi="Arial"/>
                <w:sz w:val="4"/>
                <w:szCs w:val="4"/>
                <w:color w:val="auto"/>
                <w:w w:val="98"/>
              </w:rPr>
              <w:t> </w:t>
            </w:r>
          </w:p>
        </w:tc>
        <w:tc>
          <w:tcPr>
            <w:tcW w:w="160" w:type="dxa"/>
            <w:vAlign w:val="bottom"/>
          </w:tcPr>
          <w:p>
            <w:pPr>
              <w:ind w:left="40"/>
              <w:spacing w:after="0"/>
              <w:rPr>
                <w:sz w:val="20"/>
                <w:szCs w:val="20"/>
                <w:color w:val="auto"/>
              </w:rPr>
            </w:pPr>
            <w:r>
              <w:rPr>
                <w:rFonts w:ascii="Arial" w:cs="Arial" w:eastAsia="Arial" w:hAnsi="Arial"/>
                <w:sz w:val="11"/>
                <w:szCs w:val="11"/>
                <w:color w:val="auto"/>
                <w:w w:val="75"/>
              </w:rPr>
              <w:t>  </w:t>
            </w:r>
          </w:p>
        </w:tc>
        <w:tc>
          <w:tcPr>
            <w:tcW w:w="240" w:type="dxa"/>
            <w:vAlign w:val="bottom"/>
            <w:gridSpan w:val="2"/>
          </w:tcPr>
          <w:p>
            <w:pPr>
              <w:ind w:left="40"/>
              <w:spacing w:after="0"/>
              <w:rPr>
                <w:sz w:val="20"/>
                <w:szCs w:val="20"/>
                <w:color w:val="auto"/>
              </w:rPr>
            </w:pPr>
            <w:r>
              <w:rPr>
                <w:rFonts w:ascii="Arial" w:cs="Arial" w:eastAsia="Arial" w:hAnsi="Arial"/>
                <w:sz w:val="13"/>
                <w:szCs w:val="13"/>
                <w:color w:val="auto"/>
              </w:rPr>
              <w:t> </w:t>
            </w:r>
          </w:p>
        </w:tc>
      </w:tr>
      <w:tr>
        <w:trPr>
          <w:trHeight w:val="20"/>
        </w:trPr>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gridSpan w:val="7"/>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8"/>
        </w:trPr>
        <w:tc>
          <w:tcPr>
            <w:tcW w:w="2240" w:type="dxa"/>
            <w:vAlign w:val="bottom"/>
            <w:gridSpan w:val="12"/>
          </w:tcPr>
          <w:p>
            <w:pPr>
              <w:spacing w:after="0"/>
              <w:rPr>
                <w:sz w:val="20"/>
                <w:szCs w:val="20"/>
                <w:color w:val="auto"/>
              </w:rPr>
            </w:pPr>
            <w:r>
              <w:rPr>
                <w:rFonts w:ascii="Arial" w:cs="Arial" w:eastAsia="Arial" w:hAnsi="Arial"/>
                <w:sz w:val="13"/>
                <w:szCs w:val="13"/>
                <w:color w:val="auto"/>
              </w:rPr>
              <w:t xml:space="preserve">Last Name: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00" w:type="dxa"/>
            <w:vAlign w:val="bottom"/>
          </w:tcPr>
          <w:p>
            <w:pPr>
              <w:ind w:left="40"/>
              <w:spacing w:after="0"/>
              <w:rPr>
                <w:sz w:val="20"/>
                <w:szCs w:val="20"/>
                <w:color w:val="auto"/>
              </w:rPr>
            </w:pPr>
            <w:r>
              <w:rPr>
                <w:rFonts w:ascii="Arial" w:cs="Arial" w:eastAsia="Arial" w:hAnsi="Arial"/>
                <w:sz w:val="4"/>
                <w:szCs w:val="4"/>
                <w:color w:val="auto"/>
                <w:w w:val="98"/>
              </w:rPr>
              <w:t> </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 xml:space="preserve">   </w:t>
            </w:r>
          </w:p>
        </w:tc>
        <w:tc>
          <w:tcPr>
            <w:tcW w:w="160" w:type="dxa"/>
            <w:vAlign w:val="bottom"/>
          </w:tcPr>
          <w:p>
            <w:pPr>
              <w:jc w:val="right"/>
              <w:spacing w:after="0"/>
              <w:rPr>
                <w:sz w:val="20"/>
                <w:szCs w:val="20"/>
                <w:color w:val="auto"/>
              </w:rPr>
            </w:pPr>
            <w:r>
              <w:rPr>
                <w:rFonts w:ascii="Arial" w:cs="Arial" w:eastAsia="Arial" w:hAnsi="Arial"/>
                <w:sz w:val="11"/>
                <w:szCs w:val="11"/>
                <w:color w:val="auto"/>
                <w:w w:val="72"/>
              </w:rPr>
              <w:t> </w:t>
            </w:r>
          </w:p>
        </w:tc>
        <w:tc>
          <w:tcPr>
            <w:tcW w:w="140" w:type="dxa"/>
            <w:vAlign w:val="bottom"/>
          </w:tcPr>
          <w:p>
            <w:pPr>
              <w:jc w:val="right"/>
              <w:ind w:right="37"/>
              <w:spacing w:after="0"/>
              <w:rPr>
                <w:sz w:val="20"/>
                <w:szCs w:val="20"/>
                <w:color w:val="auto"/>
              </w:rPr>
            </w:pPr>
            <w:r>
              <w:rPr>
                <w:rFonts w:ascii="Arial" w:cs="Arial" w:eastAsia="Arial" w:hAnsi="Arial"/>
                <w:sz w:val="4"/>
                <w:szCs w:val="4"/>
                <w:color w:val="auto"/>
                <w:w w:val="98"/>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20" w:type="dxa"/>
            <w:vAlign w:val="bottom"/>
          </w:tcPr>
          <w:p>
            <w:pPr>
              <w:ind w:left="20"/>
              <w:spacing w:after="0"/>
              <w:rPr>
                <w:sz w:val="20"/>
                <w:szCs w:val="20"/>
                <w:color w:val="auto"/>
              </w:rPr>
            </w:pPr>
            <w:r>
              <w:rPr>
                <w:rFonts w:ascii="Arial" w:cs="Arial" w:eastAsia="Arial" w:hAnsi="Arial"/>
                <w:sz w:val="8"/>
                <w:szCs w:val="8"/>
                <w:color w:val="auto"/>
                <w:w w:val="74"/>
              </w:rPr>
              <w:t> </w:t>
            </w:r>
          </w:p>
        </w:tc>
        <w:tc>
          <w:tcPr>
            <w:tcW w:w="80" w:type="dxa"/>
            <w:vAlign w:val="bottom"/>
          </w:tcPr>
          <w:p>
            <w:pPr>
              <w:ind w:left="20"/>
              <w:spacing w:after="0"/>
              <w:rPr>
                <w:sz w:val="20"/>
                <w:szCs w:val="20"/>
                <w:color w:val="auto"/>
              </w:rPr>
            </w:pPr>
            <w:r>
              <w:rPr>
                <w:rFonts w:ascii="Arial" w:cs="Arial" w:eastAsia="Arial" w:hAnsi="Arial"/>
                <w:sz w:val="13"/>
                <w:szCs w:val="13"/>
                <w:color w:val="auto"/>
              </w:rPr>
              <w:t> </w:t>
            </w:r>
          </w:p>
        </w:tc>
        <w:tc>
          <w:tcPr>
            <w:tcW w:w="1140" w:type="dxa"/>
            <w:vAlign w:val="bottom"/>
            <w:gridSpan w:val="4"/>
          </w:tcPr>
          <w:p>
            <w:pPr>
              <w:ind w:left="120"/>
              <w:spacing w:after="0"/>
              <w:rPr>
                <w:sz w:val="20"/>
                <w:szCs w:val="20"/>
                <w:color w:val="auto"/>
              </w:rPr>
            </w:pPr>
            <w:r>
              <w:rPr>
                <w:rFonts w:ascii="Arial" w:cs="Arial" w:eastAsia="Arial" w:hAnsi="Arial"/>
                <w:sz w:val="13"/>
                <w:szCs w:val="13"/>
                <w:color w:val="auto"/>
              </w:rPr>
              <w:t xml:space="preserve">State:              </w:t>
            </w:r>
          </w:p>
        </w:tc>
        <w:tc>
          <w:tcPr>
            <w:tcW w:w="160" w:type="dxa"/>
            <w:vAlign w:val="bottom"/>
          </w:tcPr>
          <w:p>
            <w:pPr>
              <w:jc w:val="right"/>
              <w:spacing w:after="0"/>
              <w:rPr>
                <w:sz w:val="20"/>
                <w:szCs w:val="20"/>
                <w:color w:val="auto"/>
              </w:rPr>
            </w:pPr>
            <w:r>
              <w:rPr>
                <w:rFonts w:ascii="Arial" w:cs="Arial" w:eastAsia="Arial" w:hAnsi="Arial"/>
                <w:sz w:val="13"/>
                <w:szCs w:val="13"/>
                <w:color w:val="auto"/>
              </w:rPr>
              <w:t xml:space="preserve">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gridSpan w:val="2"/>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jc w:val="center"/>
              <w:spacing w:after="0"/>
              <w:rPr>
                <w:sz w:val="20"/>
                <w:szCs w:val="20"/>
                <w:color w:val="auto"/>
              </w:rPr>
            </w:pPr>
            <w:r>
              <w:rPr>
                <w:rFonts w:ascii="Arial" w:cs="Arial" w:eastAsia="Arial" w:hAnsi="Arial"/>
                <w:sz w:val="4"/>
                <w:szCs w:val="4"/>
                <w:color w:val="auto"/>
                <w:w w:val="98"/>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4"/>
                <w:szCs w:val="4"/>
                <w:color w:val="auto"/>
                <w:w w:val="98"/>
              </w:rPr>
              <w:t> </w:t>
            </w:r>
          </w:p>
        </w:tc>
        <w:tc>
          <w:tcPr>
            <w:tcW w:w="380" w:type="dxa"/>
            <w:vAlign w:val="bottom"/>
            <w:gridSpan w:val="4"/>
          </w:tcPr>
          <w:p>
            <w:pPr>
              <w:ind w:left="40"/>
              <w:spacing w:after="0"/>
              <w:rPr>
                <w:sz w:val="20"/>
                <w:szCs w:val="20"/>
                <w:color w:val="auto"/>
              </w:rPr>
            </w:pPr>
            <w:r>
              <w:rPr>
                <w:rFonts w:ascii="Arial" w:cs="Arial" w:eastAsia="Arial" w:hAnsi="Arial"/>
                <w:sz w:val="13"/>
                <w:szCs w:val="13"/>
                <w:color w:val="auto"/>
                <w:w w:val="80"/>
              </w:rPr>
              <w:t> Zip:  </w:t>
            </w:r>
          </w:p>
        </w:tc>
        <w:tc>
          <w:tcPr>
            <w:tcW w:w="140" w:type="dxa"/>
            <w:vAlign w:val="bottom"/>
          </w:tcPr>
          <w:p>
            <w:pPr>
              <w:jc w:val="right"/>
              <w:spacing w:after="0"/>
              <w:rPr>
                <w:sz w:val="20"/>
                <w:szCs w:val="20"/>
                <w:color w:val="auto"/>
              </w:rPr>
            </w:pPr>
            <w:r>
              <w:rPr>
                <w:rFonts w:ascii="Arial" w:cs="Arial" w:eastAsia="Arial" w:hAnsi="Arial"/>
                <w:sz w:val="13"/>
                <w:szCs w:val="13"/>
                <w:color w:val="auto"/>
                <w:w w:val="76"/>
              </w:rPr>
              <w:t> </w:t>
            </w: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 xml:space="preserve">   </w:t>
            </w:r>
          </w:p>
        </w:tc>
        <w:tc>
          <w:tcPr>
            <w:tcW w:w="80" w:type="dxa"/>
            <w:vAlign w:val="bottom"/>
          </w:tcPr>
          <w:p>
            <w:pPr>
              <w:spacing w:after="0"/>
              <w:rPr>
                <w:sz w:val="18"/>
                <w:szCs w:val="18"/>
                <w:color w:val="auto"/>
              </w:rPr>
            </w:pPr>
          </w:p>
        </w:tc>
        <w:tc>
          <w:tcPr>
            <w:tcW w:w="140" w:type="dxa"/>
            <w:vAlign w:val="bottom"/>
          </w:tcPr>
          <w:p>
            <w:pPr>
              <w:jc w:val="center"/>
              <w:ind w:right="73"/>
              <w:spacing w:after="0"/>
              <w:rPr>
                <w:sz w:val="20"/>
                <w:szCs w:val="20"/>
                <w:color w:val="auto"/>
              </w:rPr>
            </w:pPr>
            <w:r>
              <w:rPr>
                <w:rFonts w:ascii="Arial" w:cs="Arial" w:eastAsia="Arial" w:hAnsi="Arial"/>
                <w:sz w:val="4"/>
                <w:szCs w:val="4"/>
                <w:color w:val="auto"/>
                <w:w w:val="98"/>
              </w:rPr>
              <w:t> </w:t>
            </w: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140" w:type="dxa"/>
            <w:vAlign w:val="bottom"/>
          </w:tcPr>
          <w:p>
            <w:pPr>
              <w:jc w:val="right"/>
              <w:ind w:right="49"/>
              <w:spacing w:after="0"/>
              <w:rPr>
                <w:sz w:val="20"/>
                <w:szCs w:val="20"/>
                <w:color w:val="auto"/>
              </w:rPr>
            </w:pPr>
            <w:r>
              <w:rPr>
                <w:rFonts w:ascii="Arial" w:cs="Arial" w:eastAsia="Arial" w:hAnsi="Arial"/>
                <w:sz w:val="2"/>
                <w:szCs w:val="2"/>
                <w:color w:val="auto"/>
                <w:w w:val="97"/>
              </w:rPr>
              <w:t> </w:t>
            </w:r>
          </w:p>
        </w:tc>
        <w:tc>
          <w:tcPr>
            <w:tcW w:w="140" w:type="dxa"/>
            <w:vAlign w:val="bottom"/>
          </w:tcPr>
          <w:p>
            <w:pPr>
              <w:spacing w:after="0"/>
              <w:rPr>
                <w:sz w:val="20"/>
                <w:szCs w:val="20"/>
                <w:color w:val="auto"/>
              </w:rPr>
            </w:pPr>
            <w:r>
              <w:rPr>
                <w:rFonts w:ascii="Arial" w:cs="Arial" w:eastAsia="Arial" w:hAnsi="Arial"/>
                <w:sz w:val="13"/>
                <w:szCs w:val="13"/>
                <w:color w:val="auto"/>
                <w:w w:val="91"/>
              </w:rPr>
              <w:t> </w:t>
            </w:r>
          </w:p>
        </w:tc>
        <w:tc>
          <w:tcPr>
            <w:tcW w:w="160" w:type="dxa"/>
            <w:vAlign w:val="bottom"/>
          </w:tcPr>
          <w:p>
            <w:pPr>
              <w:jc w:val="center"/>
              <w:spacing w:after="0"/>
              <w:rPr>
                <w:sz w:val="20"/>
                <w:szCs w:val="20"/>
                <w:color w:val="auto"/>
              </w:rPr>
            </w:pPr>
            <w:r>
              <w:rPr>
                <w:rFonts w:ascii="Arial" w:cs="Arial" w:eastAsia="Arial" w:hAnsi="Arial"/>
                <w:sz w:val="13"/>
                <w:szCs w:val="13"/>
                <w:color w:val="auto"/>
              </w:rPr>
              <w:t xml:space="preserve">    </w:t>
            </w:r>
          </w:p>
        </w:tc>
        <w:tc>
          <w:tcPr>
            <w:tcW w:w="280" w:type="dxa"/>
            <w:vAlign w:val="bottom"/>
            <w:gridSpan w:val="2"/>
          </w:tcPr>
          <w:p>
            <w:pPr>
              <w:jc w:val="right"/>
              <w:ind w:right="40"/>
              <w:spacing w:after="0"/>
              <w:rPr>
                <w:sz w:val="20"/>
                <w:szCs w:val="20"/>
                <w:color w:val="auto"/>
              </w:rPr>
            </w:pPr>
            <w:r>
              <w:rPr>
                <w:rFonts w:ascii="Arial" w:cs="Arial" w:eastAsia="Arial" w:hAnsi="Arial"/>
                <w:sz w:val="13"/>
                <w:szCs w:val="13"/>
                <w:color w:val="auto"/>
              </w:rPr>
              <w:t xml:space="preserve">   </w:t>
            </w:r>
          </w:p>
        </w:tc>
        <w:tc>
          <w:tcPr>
            <w:tcW w:w="120" w:type="dxa"/>
            <w:vAlign w:val="bottom"/>
          </w:tcPr>
          <w:p>
            <w:pPr>
              <w:jc w:val="right"/>
              <w:ind w:right="22"/>
              <w:spacing w:after="0"/>
              <w:rPr>
                <w:sz w:val="20"/>
                <w:szCs w:val="20"/>
                <w:color w:val="auto"/>
              </w:rPr>
            </w:pPr>
            <w:r>
              <w:rPr>
                <w:rFonts w:ascii="Arial" w:cs="Arial" w:eastAsia="Arial" w:hAnsi="Arial"/>
                <w:sz w:val="4"/>
                <w:szCs w:val="4"/>
                <w:color w:val="auto"/>
                <w:w w:val="98"/>
              </w:rPr>
              <w:t> </w:t>
            </w:r>
          </w:p>
        </w:tc>
        <w:tc>
          <w:tcPr>
            <w:tcW w:w="160" w:type="dxa"/>
            <w:vAlign w:val="bottom"/>
          </w:tcPr>
          <w:p>
            <w:pPr>
              <w:ind w:left="40"/>
              <w:spacing w:after="0"/>
              <w:rPr>
                <w:sz w:val="20"/>
                <w:szCs w:val="20"/>
                <w:color w:val="auto"/>
              </w:rPr>
            </w:pPr>
            <w:r>
              <w:rPr>
                <w:rFonts w:ascii="Arial" w:cs="Arial" w:eastAsia="Arial" w:hAnsi="Arial"/>
                <w:sz w:val="11"/>
                <w:szCs w:val="11"/>
                <w:color w:val="auto"/>
                <w:w w:val="75"/>
              </w:rPr>
              <w:t>  </w:t>
            </w:r>
          </w:p>
        </w:tc>
        <w:tc>
          <w:tcPr>
            <w:tcW w:w="240" w:type="dxa"/>
            <w:vAlign w:val="bottom"/>
            <w:gridSpan w:val="2"/>
          </w:tcPr>
          <w:p>
            <w:pPr>
              <w:ind w:left="20"/>
              <w:spacing w:after="0"/>
              <w:rPr>
                <w:sz w:val="20"/>
                <w:szCs w:val="20"/>
                <w:color w:val="auto"/>
              </w:rPr>
            </w:pPr>
            <w:r>
              <w:rPr>
                <w:rFonts w:ascii="Arial" w:cs="Arial" w:eastAsia="Arial" w:hAnsi="Arial"/>
                <w:sz w:val="13"/>
                <w:szCs w:val="13"/>
                <w:color w:val="auto"/>
              </w:rPr>
              <w:t> </w:t>
            </w:r>
          </w:p>
        </w:tc>
      </w:tr>
      <w:tr>
        <w:trPr>
          <w:trHeight w:val="20"/>
        </w:trPr>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8"/>
        </w:trPr>
        <w:tc>
          <w:tcPr>
            <w:tcW w:w="1460" w:type="dxa"/>
            <w:vAlign w:val="bottom"/>
            <w:gridSpan w:val="6"/>
          </w:tcPr>
          <w:p>
            <w:pPr>
              <w:spacing w:after="0"/>
              <w:rPr>
                <w:sz w:val="20"/>
                <w:szCs w:val="20"/>
                <w:color w:val="auto"/>
              </w:rPr>
            </w:pPr>
            <w:r>
              <w:rPr>
                <w:rFonts w:ascii="Arial" w:cs="Arial" w:eastAsia="Arial" w:hAnsi="Arial"/>
                <w:sz w:val="13"/>
                <w:szCs w:val="13"/>
                <w:color w:val="auto"/>
              </w:rPr>
              <w:t xml:space="preserve">SSN/TIN: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80" w:type="dxa"/>
            <w:vAlign w:val="bottom"/>
          </w:tcPr>
          <w:p>
            <w:pPr>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00" w:type="dxa"/>
            <w:vAlign w:val="bottom"/>
          </w:tcPr>
          <w:p>
            <w:pPr>
              <w:ind w:left="60"/>
              <w:spacing w:after="0"/>
              <w:rPr>
                <w:sz w:val="20"/>
                <w:szCs w:val="20"/>
                <w:color w:val="auto"/>
              </w:rPr>
            </w:pPr>
            <w:r>
              <w:rPr>
                <w:rFonts w:ascii="Arial" w:cs="Arial" w:eastAsia="Arial" w:hAnsi="Arial"/>
                <w:sz w:val="2"/>
                <w:szCs w:val="2"/>
                <w:color w:val="auto"/>
                <w:w w:val="97"/>
              </w:rPr>
              <w:t>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 xml:space="preserve">   </w:t>
            </w:r>
          </w:p>
        </w:tc>
        <w:tc>
          <w:tcPr>
            <w:tcW w:w="160" w:type="dxa"/>
            <w:vAlign w:val="bottom"/>
          </w:tcPr>
          <w:p>
            <w:pPr>
              <w:jc w:val="right"/>
              <w:spacing w:after="0"/>
              <w:rPr>
                <w:sz w:val="20"/>
                <w:szCs w:val="20"/>
                <w:color w:val="auto"/>
              </w:rPr>
            </w:pPr>
            <w:r>
              <w:rPr>
                <w:rFonts w:ascii="Arial" w:cs="Arial" w:eastAsia="Arial" w:hAnsi="Arial"/>
                <w:sz w:val="11"/>
                <w:szCs w:val="11"/>
                <w:color w:val="auto"/>
                <w:w w:val="72"/>
              </w:rPr>
              <w:t> </w:t>
            </w:r>
          </w:p>
        </w:tc>
        <w:tc>
          <w:tcPr>
            <w:tcW w:w="140" w:type="dxa"/>
            <w:vAlign w:val="bottom"/>
          </w:tcPr>
          <w:p>
            <w:pPr>
              <w:jc w:val="right"/>
              <w:spacing w:after="0"/>
              <w:rPr>
                <w:sz w:val="20"/>
                <w:szCs w:val="20"/>
                <w:color w:val="auto"/>
              </w:rPr>
            </w:pPr>
            <w:r>
              <w:rPr>
                <w:rFonts w:ascii="Arial" w:cs="Arial" w:eastAsia="Arial" w:hAnsi="Arial"/>
                <w:sz w:val="9"/>
                <w:szCs w:val="9"/>
                <w:color w:val="auto"/>
                <w:w w:val="73"/>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20" w:type="dxa"/>
            <w:vAlign w:val="bottom"/>
          </w:tcPr>
          <w:p>
            <w:pPr>
              <w:ind w:left="60"/>
              <w:spacing w:after="0"/>
              <w:rPr>
                <w:sz w:val="20"/>
                <w:szCs w:val="20"/>
                <w:color w:val="auto"/>
              </w:rPr>
            </w:pPr>
            <w:r>
              <w:rPr>
                <w:rFonts w:ascii="Arial" w:cs="Arial" w:eastAsia="Arial" w:hAnsi="Arial"/>
                <w:sz w:val="2"/>
                <w:szCs w:val="2"/>
                <w:color w:val="auto"/>
                <w:w w:val="97"/>
              </w:rPr>
              <w:t> </w:t>
            </w:r>
          </w:p>
        </w:tc>
        <w:tc>
          <w:tcPr>
            <w:tcW w:w="80" w:type="dxa"/>
            <w:vAlign w:val="bottom"/>
          </w:tcPr>
          <w:p>
            <w:pPr>
              <w:spacing w:after="0"/>
              <w:rPr>
                <w:sz w:val="18"/>
                <w:szCs w:val="18"/>
                <w:color w:val="auto"/>
              </w:rPr>
            </w:pPr>
          </w:p>
        </w:tc>
        <w:tc>
          <w:tcPr>
            <w:tcW w:w="1560" w:type="dxa"/>
            <w:vAlign w:val="bottom"/>
            <w:gridSpan w:val="8"/>
          </w:tcPr>
          <w:p>
            <w:pPr>
              <w:ind w:left="120"/>
              <w:spacing w:after="0"/>
              <w:rPr>
                <w:sz w:val="20"/>
                <w:szCs w:val="20"/>
                <w:color w:val="auto"/>
              </w:rPr>
            </w:pPr>
            <w:r>
              <w:rPr>
                <w:rFonts w:ascii="Arial" w:cs="Arial" w:eastAsia="Arial" w:hAnsi="Arial"/>
                <w:sz w:val="13"/>
                <w:szCs w:val="13"/>
                <w:color w:val="auto"/>
                <w:w w:val="96"/>
              </w:rPr>
              <w:t>Relationship to Owner:  </w:t>
            </w:r>
          </w:p>
        </w:tc>
        <w:tc>
          <w:tcPr>
            <w:tcW w:w="140" w:type="dxa"/>
            <w:vAlign w:val="bottom"/>
          </w:tcPr>
          <w:p>
            <w:pPr>
              <w:jc w:val="center"/>
              <w:spacing w:after="0"/>
              <w:rPr>
                <w:sz w:val="20"/>
                <w:szCs w:val="20"/>
                <w:color w:val="auto"/>
              </w:rPr>
            </w:pPr>
            <w:r>
              <w:rPr>
                <w:rFonts w:ascii="Arial" w:cs="Arial" w:eastAsia="Arial" w:hAnsi="Arial"/>
                <w:sz w:val="4"/>
                <w:szCs w:val="4"/>
                <w:color w:val="auto"/>
                <w:w w:val="98"/>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20" w:type="dxa"/>
            <w:vAlign w:val="bottom"/>
            <w:gridSpan w:val="2"/>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tcPr>
          <w:p>
            <w:pPr>
              <w:jc w:val="right"/>
              <w:spacing w:after="0"/>
              <w:rPr>
                <w:sz w:val="20"/>
                <w:szCs w:val="20"/>
                <w:color w:val="auto"/>
              </w:rPr>
            </w:pPr>
            <w:r>
              <w:rPr>
                <w:rFonts w:ascii="Arial" w:cs="Arial" w:eastAsia="Arial" w:hAnsi="Arial"/>
                <w:sz w:val="11"/>
                <w:szCs w:val="11"/>
                <w:color w:val="auto"/>
                <w:w w:val="72"/>
              </w:rPr>
              <w:t> </w:t>
            </w:r>
          </w:p>
        </w:tc>
        <w:tc>
          <w:tcPr>
            <w:tcW w:w="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1"/>
                <w:szCs w:val="11"/>
                <w:color w:val="auto"/>
                <w:w w:val="75"/>
              </w:rPr>
              <w:t>  </w:t>
            </w:r>
          </w:p>
        </w:tc>
        <w:tc>
          <w:tcPr>
            <w:tcW w:w="220" w:type="dxa"/>
            <w:vAlign w:val="bottom"/>
            <w:gridSpan w:val="2"/>
          </w:tcPr>
          <w:p>
            <w:pPr>
              <w:ind w:left="40"/>
              <w:spacing w:after="0"/>
              <w:rPr>
                <w:sz w:val="20"/>
                <w:szCs w:val="20"/>
                <w:color w:val="auto"/>
              </w:rPr>
            </w:pPr>
            <w:r>
              <w:rPr>
                <w:rFonts w:ascii="Arial" w:cs="Arial" w:eastAsia="Arial" w:hAnsi="Arial"/>
                <w:sz w:val="13"/>
                <w:szCs w:val="13"/>
                <w:color w:val="auto"/>
              </w:rPr>
              <w:t xml:space="preserve">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jc w:val="right"/>
              <w:ind w:right="29"/>
              <w:spacing w:after="0"/>
              <w:rPr>
                <w:sz w:val="20"/>
                <w:szCs w:val="20"/>
                <w:color w:val="auto"/>
              </w:rPr>
            </w:pPr>
            <w:r>
              <w:rPr>
                <w:rFonts w:ascii="Arial" w:cs="Arial" w:eastAsia="Arial" w:hAnsi="Arial"/>
                <w:sz w:val="4"/>
                <w:szCs w:val="4"/>
                <w:color w:val="auto"/>
                <w:w w:val="98"/>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60" w:type="dxa"/>
            <w:vAlign w:val="bottom"/>
          </w:tcPr>
          <w:p>
            <w:pPr>
              <w:jc w:val="right"/>
              <w:spacing w:after="0"/>
              <w:rPr>
                <w:sz w:val="20"/>
                <w:szCs w:val="20"/>
                <w:color w:val="auto"/>
              </w:rPr>
            </w:pPr>
            <w:r>
              <w:rPr>
                <w:rFonts w:ascii="Arial" w:cs="Arial" w:eastAsia="Arial" w:hAnsi="Arial"/>
                <w:sz w:val="13"/>
                <w:szCs w:val="13"/>
                <w:color w:val="auto"/>
              </w:rPr>
              <w:t xml:space="preserve">   </w:t>
            </w:r>
          </w:p>
        </w:tc>
        <w:tc>
          <w:tcPr>
            <w:tcW w:w="140" w:type="dxa"/>
            <w:vAlign w:val="bottom"/>
          </w:tcPr>
          <w:p>
            <w:pPr>
              <w:jc w:val="right"/>
              <w:ind w:right="12"/>
              <w:spacing w:after="0"/>
              <w:rPr>
                <w:sz w:val="20"/>
                <w:szCs w:val="20"/>
                <w:color w:val="auto"/>
              </w:rPr>
            </w:pPr>
            <w:r>
              <w:rPr>
                <w:rFonts w:ascii="Arial" w:cs="Arial" w:eastAsia="Arial" w:hAnsi="Arial"/>
                <w:sz w:val="8"/>
                <w:szCs w:val="8"/>
                <w:color w:val="auto"/>
                <w:w w:val="74"/>
              </w:rPr>
              <w:t> </w:t>
            </w:r>
          </w:p>
        </w:tc>
        <w:tc>
          <w:tcPr>
            <w:tcW w:w="140" w:type="dxa"/>
            <w:vAlign w:val="bottom"/>
          </w:tcPr>
          <w:p>
            <w:pPr>
              <w:jc w:val="right"/>
              <w:ind w:right="20"/>
              <w:spacing w:after="0"/>
              <w:rPr>
                <w:sz w:val="20"/>
                <w:szCs w:val="20"/>
                <w:color w:val="auto"/>
              </w:rPr>
            </w:pPr>
            <w:r>
              <w:rPr>
                <w:rFonts w:ascii="Arial" w:cs="Arial" w:eastAsia="Arial" w:hAnsi="Arial"/>
                <w:sz w:val="8"/>
                <w:szCs w:val="8"/>
                <w:color w:val="auto"/>
                <w:w w:val="74"/>
              </w:rPr>
              <w:t> </w:t>
            </w:r>
          </w:p>
        </w:tc>
        <w:tc>
          <w:tcPr>
            <w:tcW w:w="120" w:type="dxa"/>
            <w:vAlign w:val="bottom"/>
          </w:tcPr>
          <w:p>
            <w:pPr>
              <w:jc w:val="right"/>
              <w:ind w:right="2"/>
              <w:spacing w:after="0"/>
              <w:rPr>
                <w:sz w:val="20"/>
                <w:szCs w:val="20"/>
                <w:color w:val="auto"/>
              </w:rPr>
            </w:pPr>
            <w:r>
              <w:rPr>
                <w:rFonts w:ascii="Arial" w:cs="Arial" w:eastAsia="Arial" w:hAnsi="Arial"/>
                <w:sz w:val="8"/>
                <w:szCs w:val="8"/>
                <w:color w:val="auto"/>
                <w:w w:val="74"/>
              </w:rPr>
              <w:t> </w:t>
            </w:r>
          </w:p>
        </w:tc>
        <w:tc>
          <w:tcPr>
            <w:tcW w:w="160" w:type="dxa"/>
            <w:vAlign w:val="bottom"/>
          </w:tcPr>
          <w:p>
            <w:pPr>
              <w:ind w:left="40"/>
              <w:spacing w:after="0"/>
              <w:rPr>
                <w:sz w:val="20"/>
                <w:szCs w:val="20"/>
                <w:color w:val="auto"/>
              </w:rPr>
            </w:pPr>
            <w:r>
              <w:rPr>
                <w:rFonts w:ascii="Arial" w:cs="Arial" w:eastAsia="Arial" w:hAnsi="Arial"/>
                <w:sz w:val="11"/>
                <w:szCs w:val="11"/>
                <w:color w:val="auto"/>
                <w:w w:val="75"/>
              </w:rPr>
              <w:t>  </w:t>
            </w:r>
          </w:p>
        </w:tc>
        <w:tc>
          <w:tcPr>
            <w:tcW w:w="240" w:type="dxa"/>
            <w:vAlign w:val="bottom"/>
            <w:gridSpan w:val="2"/>
          </w:tcPr>
          <w:p>
            <w:pPr>
              <w:ind w:left="40"/>
              <w:spacing w:after="0"/>
              <w:rPr>
                <w:sz w:val="20"/>
                <w:szCs w:val="20"/>
                <w:color w:val="auto"/>
              </w:rPr>
            </w:pPr>
            <w:r>
              <w:rPr>
                <w:rFonts w:ascii="Arial" w:cs="Arial" w:eastAsia="Arial" w:hAnsi="Arial"/>
                <w:sz w:val="13"/>
                <w:szCs w:val="13"/>
                <w:color w:val="auto"/>
              </w:rPr>
              <w:t> </w:t>
            </w:r>
          </w:p>
        </w:tc>
      </w:tr>
      <w:tr>
        <w:trPr>
          <w:trHeight w:val="20"/>
        </w:trPr>
        <w:tc>
          <w:tcPr>
            <w:tcW w:w="580" w:type="dxa"/>
            <w:vAlign w:val="bottom"/>
            <w:gridSpan w:val="2"/>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gridSpan w:val="9"/>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8"/>
        </w:trPr>
        <w:tc>
          <w:tcPr>
            <w:tcW w:w="1460" w:type="dxa"/>
            <w:vAlign w:val="bottom"/>
            <w:gridSpan w:val="6"/>
          </w:tcPr>
          <w:p>
            <w:pPr>
              <w:spacing w:after="0"/>
              <w:rPr>
                <w:sz w:val="20"/>
                <w:szCs w:val="20"/>
                <w:color w:val="auto"/>
              </w:rPr>
            </w:pPr>
            <w:r>
              <w:rPr>
                <w:rFonts w:ascii="Arial" w:cs="Arial" w:eastAsia="Arial" w:hAnsi="Arial"/>
                <w:sz w:val="13"/>
                <w:szCs w:val="13"/>
                <w:color w:val="auto"/>
              </w:rPr>
              <w:t xml:space="preserve">Date of Birth/Trust: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80" w:type="dxa"/>
            <w:vAlign w:val="bottom"/>
          </w:tcPr>
          <w:p>
            <w:pPr>
              <w:jc w:val="center"/>
              <w:spacing w:after="0"/>
              <w:rPr>
                <w:sz w:val="20"/>
                <w:szCs w:val="20"/>
                <w:color w:val="auto"/>
              </w:rPr>
            </w:pPr>
            <w:r>
              <w:rPr>
                <w:rFonts w:ascii="Arial" w:cs="Arial" w:eastAsia="Arial" w:hAnsi="Arial"/>
                <w:sz w:val="2"/>
                <w:szCs w:val="2"/>
                <w:color w:val="auto"/>
                <w:w w:val="97"/>
              </w:rPr>
              <w:t> </w:t>
            </w:r>
          </w:p>
        </w:tc>
        <w:tc>
          <w:tcPr>
            <w:tcW w:w="80" w:type="dxa"/>
            <w:vAlign w:val="bottom"/>
          </w:tcPr>
          <w:p>
            <w:pPr>
              <w:ind w:left="2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 xml:space="preserve">   </w:t>
            </w:r>
          </w:p>
        </w:tc>
        <w:tc>
          <w:tcPr>
            <w:tcW w:w="120" w:type="dxa"/>
            <w:vAlign w:val="bottom"/>
          </w:tcPr>
          <w:p>
            <w:pPr>
              <w:jc w:val="right"/>
              <w:spacing w:after="0"/>
              <w:rPr>
                <w:sz w:val="20"/>
                <w:szCs w:val="20"/>
                <w:color w:val="auto"/>
              </w:rPr>
            </w:pPr>
            <w:r>
              <w:rPr>
                <w:rFonts w:ascii="Arial" w:cs="Arial" w:eastAsia="Arial" w:hAnsi="Arial"/>
                <w:sz w:val="13"/>
                <w:szCs w:val="13"/>
                <w:color w:val="auto"/>
                <w:w w:val="76"/>
              </w:rPr>
              <w:t> </w:t>
            </w:r>
          </w:p>
        </w:tc>
        <w:tc>
          <w:tcPr>
            <w:tcW w:w="160" w:type="dxa"/>
            <w:vAlign w:val="bottom"/>
          </w:tcPr>
          <w:p>
            <w:pPr>
              <w:jc w:val="right"/>
              <w:spacing w:after="0"/>
              <w:rPr>
                <w:sz w:val="20"/>
                <w:szCs w:val="20"/>
                <w:color w:val="auto"/>
              </w:rPr>
            </w:pPr>
            <w:r>
              <w:rPr>
                <w:rFonts w:ascii="Arial" w:cs="Arial" w:eastAsia="Arial" w:hAnsi="Arial"/>
                <w:sz w:val="13"/>
                <w:szCs w:val="13"/>
                <w:color w:val="auto"/>
                <w:w w:val="76"/>
              </w:rPr>
              <w:t> </w:t>
            </w:r>
          </w:p>
        </w:tc>
        <w:tc>
          <w:tcPr>
            <w:tcW w:w="140" w:type="dxa"/>
            <w:vAlign w:val="bottom"/>
          </w:tcPr>
          <w:p>
            <w:pPr>
              <w:jc w:val="right"/>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20" w:type="dxa"/>
            <w:vAlign w:val="bottom"/>
          </w:tcPr>
          <w:p>
            <w:pPr>
              <w:ind w:left="40"/>
              <w:spacing w:after="0"/>
              <w:rPr>
                <w:sz w:val="20"/>
                <w:szCs w:val="20"/>
                <w:color w:val="auto"/>
              </w:rPr>
            </w:pPr>
            <w:r>
              <w:rPr>
                <w:rFonts w:ascii="Arial" w:cs="Arial" w:eastAsia="Arial" w:hAnsi="Arial"/>
                <w:sz w:val="4"/>
                <w:szCs w:val="4"/>
                <w:color w:val="auto"/>
                <w:w w:val="98"/>
              </w:rPr>
              <w:t> </w:t>
            </w:r>
          </w:p>
        </w:tc>
        <w:tc>
          <w:tcPr>
            <w:tcW w:w="80" w:type="dxa"/>
            <w:vAlign w:val="bottom"/>
          </w:tcPr>
          <w:p>
            <w:pPr>
              <w:spacing w:after="0"/>
              <w:rPr>
                <w:sz w:val="18"/>
                <w:szCs w:val="18"/>
                <w:color w:val="auto"/>
              </w:rPr>
            </w:pPr>
          </w:p>
        </w:tc>
        <w:tc>
          <w:tcPr>
            <w:tcW w:w="1140" w:type="dxa"/>
            <w:vAlign w:val="bottom"/>
            <w:gridSpan w:val="4"/>
          </w:tcPr>
          <w:p>
            <w:pPr>
              <w:ind w:left="120"/>
              <w:spacing w:after="0"/>
              <w:rPr>
                <w:sz w:val="20"/>
                <w:szCs w:val="20"/>
                <w:color w:val="auto"/>
              </w:rPr>
            </w:pPr>
            <w:r>
              <w:rPr>
                <w:rFonts w:ascii="Arial" w:cs="Arial" w:eastAsia="Arial" w:hAnsi="Arial"/>
                <w:sz w:val="13"/>
                <w:szCs w:val="13"/>
                <w:color w:val="auto"/>
                <w:w w:val="91"/>
              </w:rPr>
              <w:t>Phone Number:  </w:t>
            </w:r>
          </w:p>
        </w:tc>
        <w:tc>
          <w:tcPr>
            <w:tcW w:w="160" w:type="dxa"/>
            <w:vAlign w:val="bottom"/>
          </w:tcPr>
          <w:p>
            <w:pPr>
              <w:jc w:val="right"/>
              <w:ind w:right="2"/>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gridSpan w:val="2"/>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20" w:type="dxa"/>
            <w:vAlign w:val="bottom"/>
            <w:gridSpan w:val="2"/>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jc w:val="right"/>
              <w:ind w:right="15"/>
              <w:spacing w:after="0"/>
              <w:rPr>
                <w:sz w:val="20"/>
                <w:szCs w:val="20"/>
                <w:color w:val="auto"/>
              </w:rPr>
            </w:pPr>
            <w:r>
              <w:rPr>
                <w:rFonts w:ascii="Arial" w:cs="Arial" w:eastAsia="Arial" w:hAnsi="Arial"/>
                <w:sz w:val="8"/>
                <w:szCs w:val="8"/>
                <w:color w:val="auto"/>
                <w:w w:val="74"/>
              </w:rPr>
              <w:t> </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 xml:space="preserve">    </w:t>
            </w:r>
          </w:p>
        </w:tc>
        <w:tc>
          <w:tcPr>
            <w:tcW w:w="80" w:type="dxa"/>
            <w:vAlign w:val="bottom"/>
          </w:tcPr>
          <w:p>
            <w:pPr>
              <w:spacing w:after="0"/>
              <w:rPr>
                <w:sz w:val="18"/>
                <w:szCs w:val="18"/>
                <w:color w:val="auto"/>
              </w:rPr>
            </w:pPr>
          </w:p>
        </w:tc>
        <w:tc>
          <w:tcPr>
            <w:tcW w:w="140" w:type="dxa"/>
            <w:vAlign w:val="bottom"/>
          </w:tcPr>
          <w:p>
            <w:pPr>
              <w:jc w:val="center"/>
              <w:ind w:right="73"/>
              <w:spacing w:after="0"/>
              <w:rPr>
                <w:sz w:val="20"/>
                <w:szCs w:val="20"/>
                <w:color w:val="auto"/>
              </w:rPr>
            </w:pPr>
            <w:r>
              <w:rPr>
                <w:rFonts w:ascii="Arial" w:cs="Arial" w:eastAsia="Arial" w:hAnsi="Arial"/>
                <w:sz w:val="4"/>
                <w:szCs w:val="4"/>
                <w:color w:val="auto"/>
                <w:w w:val="98"/>
              </w:rPr>
              <w:t> </w:t>
            </w:r>
          </w:p>
        </w:tc>
        <w:tc>
          <w:tcPr>
            <w:tcW w:w="1360" w:type="dxa"/>
            <w:vAlign w:val="bottom"/>
            <w:gridSpan w:val="10"/>
          </w:tcPr>
          <w:p>
            <w:pPr>
              <w:spacing w:after="0"/>
              <w:rPr>
                <w:sz w:val="20"/>
                <w:szCs w:val="20"/>
                <w:color w:val="auto"/>
              </w:rPr>
            </w:pPr>
            <w:r>
              <w:rPr>
                <w:rFonts w:ascii="Arial" w:cs="Arial" w:eastAsia="Arial" w:hAnsi="Arial"/>
                <w:sz w:val="13"/>
                <w:szCs w:val="13"/>
                <w:color w:val="auto"/>
              </w:rPr>
              <w:t xml:space="preserve">                            </w:t>
            </w:r>
          </w:p>
        </w:tc>
      </w:tr>
      <w:tr>
        <w:trPr>
          <w:trHeight w:val="20"/>
        </w:trPr>
        <w:tc>
          <w:tcPr>
            <w:tcW w:w="1140" w:type="dxa"/>
            <w:vAlign w:val="bottom"/>
            <w:gridSpan w:val="5"/>
          </w:tcPr>
          <w:p>
            <w:pPr>
              <w:spacing w:after="0" w:line="20" w:lineRule="exact"/>
              <w:rPr>
                <w:sz w:val="1"/>
                <w:szCs w:val="1"/>
                <w:color w:val="auto"/>
              </w:rPr>
            </w:pPr>
          </w:p>
        </w:tc>
        <w:tc>
          <w:tcPr>
            <w:tcW w:w="1980" w:type="dxa"/>
            <w:vAlign w:val="bottom"/>
            <w:gridSpan w:val="14"/>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80" w:type="dxa"/>
            <w:vAlign w:val="bottom"/>
            <w:gridSpan w:val="1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47"/>
        </w:trPr>
        <w:tc>
          <w:tcPr>
            <w:tcW w:w="3120" w:type="dxa"/>
            <w:vAlign w:val="bottom"/>
            <w:gridSpan w:val="19"/>
          </w:tcPr>
          <w:p>
            <w:pPr>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w:t>
            </w:r>
            <w:r>
              <w:rPr>
                <w:rFonts w:ascii="Arial" w:cs="Arial" w:eastAsia="Arial" w:hAnsi="Arial"/>
                <w:sz w:val="13"/>
                <w:szCs w:val="13"/>
                <w:b w:val="1"/>
                <w:bCs w:val="1"/>
                <w:color w:val="auto"/>
              </w:rPr>
              <w:t>Primary</w:t>
            </w:r>
            <w:r>
              <w:rPr>
                <w:rFonts w:ascii="Arial" w:cs="Arial" w:eastAsia="Arial" w:hAnsi="Arial"/>
                <w:sz w:val="13"/>
                <w:szCs w:val="13"/>
                <w:color w:val="auto"/>
              </w:rPr>
              <w:t xml:space="preserve"> </w:t>
            </w:r>
            <w:r>
              <w:rPr>
                <w:rFonts w:ascii="MS PGothic" w:cs="MS PGothic" w:eastAsia="MS PGothic" w:hAnsi="MS PGothic"/>
                <w:sz w:val="13"/>
                <w:szCs w:val="13"/>
                <w:color w:val="auto"/>
              </w:rPr>
              <w:t>☐</w:t>
            </w:r>
            <w:r>
              <w:rPr>
                <w:rFonts w:ascii="Arial" w:cs="Arial" w:eastAsia="Arial" w:hAnsi="Arial"/>
                <w:sz w:val="13"/>
                <w:szCs w:val="13"/>
                <w:color w:val="auto"/>
              </w:rPr>
              <w:t xml:space="preserve">  </w:t>
            </w:r>
            <w:r>
              <w:rPr>
                <w:rFonts w:ascii="Arial" w:cs="Arial" w:eastAsia="Arial" w:hAnsi="Arial"/>
                <w:sz w:val="13"/>
                <w:szCs w:val="13"/>
                <w:b w:val="1"/>
                <w:bCs w:val="1"/>
                <w:color w:val="auto"/>
              </w:rPr>
              <w:t>Contingent</w:t>
            </w:r>
            <w:r>
              <w:rPr>
                <w:rFonts w:ascii="Arial" w:cs="Arial" w:eastAsia="Arial" w:hAnsi="Arial"/>
                <w:sz w:val="13"/>
                <w:szCs w:val="13"/>
                <w:color w:val="auto"/>
              </w:rPr>
              <w:t xml:space="preserve"> (Please check one box.)</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14"/>
          </w:tcPr>
          <w:p>
            <w:pPr>
              <w:ind w:left="40"/>
              <w:spacing w:after="0"/>
              <w:rPr>
                <w:sz w:val="20"/>
                <w:szCs w:val="20"/>
                <w:color w:val="auto"/>
              </w:rPr>
            </w:pPr>
            <w:r>
              <w:rPr>
                <w:rFonts w:ascii="Arial" w:cs="Arial" w:eastAsia="Arial" w:hAnsi="Arial"/>
                <w:sz w:val="13"/>
                <w:szCs w:val="13"/>
                <w:b w:val="1"/>
                <w:bCs w:val="1"/>
                <w:color w:val="auto"/>
              </w:rPr>
              <w:t xml:space="preserve">Percentage: </w:t>
            </w:r>
            <w:r>
              <w:rPr>
                <w:rFonts w:ascii="Arial" w:cs="Arial" w:eastAsia="Arial" w:hAnsi="Arial"/>
                <w:sz w:val="13"/>
                <w:szCs w:val="13"/>
                <w:color w:val="auto"/>
              </w:rPr>
              <w:t>___________%</w:t>
            </w:r>
          </w:p>
        </w:tc>
      </w:tr>
      <w:tr>
        <w:trPr>
          <w:trHeight w:val="165"/>
        </w:trPr>
        <w:tc>
          <w:tcPr>
            <w:tcW w:w="1460" w:type="dxa"/>
            <w:vAlign w:val="bottom"/>
            <w:gridSpan w:val="6"/>
          </w:tcPr>
          <w:p>
            <w:pPr>
              <w:spacing w:after="0"/>
              <w:rPr>
                <w:sz w:val="20"/>
                <w:szCs w:val="20"/>
                <w:color w:val="auto"/>
              </w:rPr>
            </w:pPr>
            <w:r>
              <w:rPr>
                <w:rFonts w:ascii="Arial" w:cs="Arial" w:eastAsia="Arial" w:hAnsi="Arial"/>
                <w:sz w:val="13"/>
                <w:szCs w:val="13"/>
                <w:color w:val="auto"/>
              </w:rPr>
              <w:t>First/Entity</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1460" w:type="dxa"/>
            <w:vAlign w:val="bottom"/>
            <w:gridSpan w:val="6"/>
          </w:tcPr>
          <w:p>
            <w:pPr>
              <w:spacing w:after="0" w:line="142" w:lineRule="exact"/>
              <w:rPr>
                <w:sz w:val="20"/>
                <w:szCs w:val="20"/>
                <w:color w:val="auto"/>
              </w:rPr>
            </w:pPr>
            <w:r>
              <w:rPr>
                <w:rFonts w:ascii="Arial" w:cs="Arial" w:eastAsia="Arial" w:hAnsi="Arial"/>
                <w:sz w:val="13"/>
                <w:szCs w:val="13"/>
                <w:color w:val="auto"/>
              </w:rPr>
              <w:t xml:space="preserve">Name: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20"/>
              <w:spacing w:after="0" w:line="142" w:lineRule="exact"/>
              <w:rPr>
                <w:sz w:val="20"/>
                <w:szCs w:val="20"/>
                <w:color w:val="auto"/>
              </w:rPr>
            </w:pPr>
            <w:r>
              <w:rPr>
                <w:rFonts w:ascii="Arial" w:cs="Arial" w:eastAsia="Arial" w:hAnsi="Arial"/>
                <w:sz w:val="13"/>
                <w:szCs w:val="13"/>
                <w:color w:val="auto"/>
                <w:w w:val="76"/>
              </w:rPr>
              <w:t> </w:t>
            </w:r>
          </w:p>
        </w:tc>
        <w:tc>
          <w:tcPr>
            <w:tcW w:w="180" w:type="dxa"/>
            <w:vAlign w:val="bottom"/>
          </w:tcPr>
          <w:p>
            <w:pPr>
              <w:jc w:val="center"/>
              <w:spacing w:after="0" w:line="142" w:lineRule="exact"/>
              <w:rPr>
                <w:sz w:val="20"/>
                <w:szCs w:val="20"/>
                <w:color w:val="auto"/>
              </w:rPr>
            </w:pPr>
            <w:r>
              <w:rPr>
                <w:rFonts w:ascii="Arial" w:cs="Arial" w:eastAsia="Arial" w:hAnsi="Arial"/>
                <w:sz w:val="13"/>
                <w:szCs w:val="13"/>
                <w:color w:val="auto"/>
              </w:rPr>
              <w:t xml:space="preserve">    </w:t>
            </w:r>
          </w:p>
        </w:tc>
        <w:tc>
          <w:tcPr>
            <w:tcW w:w="80" w:type="dxa"/>
            <w:vAlign w:val="bottom"/>
          </w:tcPr>
          <w:p>
            <w:pPr>
              <w:spacing w:after="0"/>
              <w:rPr>
                <w:sz w:val="12"/>
                <w:szCs w:val="12"/>
                <w:color w:val="auto"/>
              </w:rPr>
            </w:pPr>
          </w:p>
        </w:tc>
        <w:tc>
          <w:tcPr>
            <w:tcW w:w="140" w:type="dxa"/>
            <w:vAlign w:val="bottom"/>
          </w:tcPr>
          <w:p>
            <w:pPr>
              <w:ind w:left="20"/>
              <w:spacing w:after="0" w:line="142" w:lineRule="exact"/>
              <w:rPr>
                <w:sz w:val="20"/>
                <w:szCs w:val="20"/>
                <w:color w:val="auto"/>
              </w:rPr>
            </w:pPr>
            <w:r>
              <w:rPr>
                <w:rFonts w:ascii="Arial" w:cs="Arial" w:eastAsia="Arial" w:hAnsi="Arial"/>
                <w:sz w:val="13"/>
                <w:szCs w:val="13"/>
                <w:color w:val="auto"/>
                <w:w w:val="76"/>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20"/>
              <w:spacing w:after="0" w:line="142" w:lineRule="exact"/>
              <w:rPr>
                <w:sz w:val="20"/>
                <w:szCs w:val="20"/>
                <w:color w:val="auto"/>
              </w:rPr>
            </w:pPr>
            <w:r>
              <w:rPr>
                <w:rFonts w:ascii="Arial" w:cs="Arial" w:eastAsia="Arial" w:hAnsi="Arial"/>
                <w:sz w:val="13"/>
                <w:szCs w:val="13"/>
                <w:color w:val="auto"/>
                <w:w w:val="76"/>
              </w:rPr>
              <w:t> </w:t>
            </w:r>
          </w:p>
        </w:tc>
        <w:tc>
          <w:tcPr>
            <w:tcW w:w="140" w:type="dxa"/>
            <w:vAlign w:val="bottom"/>
          </w:tcPr>
          <w:p>
            <w:pPr>
              <w:ind w:left="20"/>
              <w:spacing w:after="0" w:line="142" w:lineRule="exact"/>
              <w:rPr>
                <w:sz w:val="20"/>
                <w:szCs w:val="20"/>
                <w:color w:val="auto"/>
              </w:rPr>
            </w:pPr>
            <w:r>
              <w:rPr>
                <w:rFonts w:ascii="Arial" w:cs="Arial" w:eastAsia="Arial" w:hAnsi="Arial"/>
                <w:sz w:val="13"/>
                <w:szCs w:val="13"/>
                <w:color w:val="auto"/>
                <w:w w:val="76"/>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200" w:type="dxa"/>
            <w:vAlign w:val="bottom"/>
            <w:gridSpan w:val="2"/>
          </w:tcPr>
          <w:p>
            <w:pPr>
              <w:ind w:left="20"/>
              <w:spacing w:after="0" w:line="142" w:lineRule="exact"/>
              <w:rPr>
                <w:sz w:val="20"/>
                <w:szCs w:val="20"/>
                <w:color w:val="auto"/>
              </w:rPr>
            </w:pPr>
            <w:r>
              <w:rPr>
                <w:rFonts w:ascii="Arial" w:cs="Arial" w:eastAsia="Arial" w:hAnsi="Arial"/>
                <w:sz w:val="13"/>
                <w:szCs w:val="13"/>
                <w:color w:val="auto"/>
              </w:rPr>
              <w:t xml:space="preserve">     </w:t>
            </w:r>
          </w:p>
        </w:tc>
        <w:tc>
          <w:tcPr>
            <w:tcW w:w="28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 xml:space="preserve">    </w:t>
            </w:r>
          </w:p>
        </w:tc>
        <w:tc>
          <w:tcPr>
            <w:tcW w:w="140" w:type="dxa"/>
            <w:vAlign w:val="bottom"/>
          </w:tcPr>
          <w:p>
            <w:pPr>
              <w:jc w:val="right"/>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20" w:type="dxa"/>
            <w:vAlign w:val="bottom"/>
          </w:tcPr>
          <w:p>
            <w:pPr>
              <w:ind w:left="60"/>
              <w:spacing w:after="0"/>
              <w:rPr>
                <w:sz w:val="20"/>
                <w:szCs w:val="20"/>
                <w:color w:val="auto"/>
              </w:rPr>
            </w:pPr>
            <w:r>
              <w:rPr>
                <w:rFonts w:ascii="Arial" w:cs="Arial" w:eastAsia="Arial" w:hAnsi="Arial"/>
                <w:sz w:val="2"/>
                <w:szCs w:val="2"/>
                <w:color w:val="auto"/>
                <w:w w:val="97"/>
              </w:rPr>
              <w:t> </w:t>
            </w:r>
          </w:p>
        </w:tc>
        <w:tc>
          <w:tcPr>
            <w:tcW w:w="80" w:type="dxa"/>
            <w:vAlign w:val="bottom"/>
          </w:tcPr>
          <w:p>
            <w:pPr>
              <w:spacing w:after="0"/>
              <w:rPr>
                <w:sz w:val="12"/>
                <w:szCs w:val="12"/>
                <w:color w:val="auto"/>
              </w:rPr>
            </w:pPr>
          </w:p>
        </w:tc>
        <w:tc>
          <w:tcPr>
            <w:tcW w:w="1140" w:type="dxa"/>
            <w:vAlign w:val="bottom"/>
            <w:gridSpan w:val="4"/>
          </w:tcPr>
          <w:p>
            <w:pPr>
              <w:ind w:left="120"/>
              <w:spacing w:after="0" w:line="142" w:lineRule="exact"/>
              <w:rPr>
                <w:sz w:val="20"/>
                <w:szCs w:val="20"/>
                <w:color w:val="auto"/>
              </w:rPr>
            </w:pPr>
            <w:r>
              <w:rPr>
                <w:rFonts w:ascii="Arial" w:cs="Arial" w:eastAsia="Arial" w:hAnsi="Arial"/>
                <w:sz w:val="13"/>
                <w:szCs w:val="13"/>
                <w:color w:val="auto"/>
                <w:w w:val="93"/>
              </w:rPr>
              <w:t>Street Address:  </w:t>
            </w:r>
          </w:p>
        </w:tc>
        <w:tc>
          <w:tcPr>
            <w:tcW w:w="160" w:type="dxa"/>
            <w:vAlign w:val="bottom"/>
          </w:tcPr>
          <w:p>
            <w:pPr>
              <w:jc w:val="right"/>
              <w:ind w:right="22"/>
              <w:spacing w:after="0"/>
              <w:rPr>
                <w:sz w:val="20"/>
                <w:szCs w:val="20"/>
                <w:color w:val="auto"/>
              </w:rPr>
            </w:pPr>
            <w:r>
              <w:rPr>
                <w:rFonts w:ascii="Arial" w:cs="Arial" w:eastAsia="Arial" w:hAnsi="Arial"/>
                <w:sz w:val="8"/>
                <w:szCs w:val="8"/>
                <w:color w:val="auto"/>
                <w:w w:val="74"/>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gridSpan w:val="2"/>
          </w:tcPr>
          <w:p>
            <w:pPr>
              <w:ind w:left="20"/>
              <w:spacing w:after="0" w:line="142" w:lineRule="exact"/>
              <w:rPr>
                <w:sz w:val="20"/>
                <w:szCs w:val="20"/>
                <w:color w:val="auto"/>
              </w:rPr>
            </w:pPr>
            <w:r>
              <w:rPr>
                <w:rFonts w:ascii="Arial" w:cs="Arial" w:eastAsia="Arial" w:hAnsi="Arial"/>
                <w:sz w:val="13"/>
                <w:szCs w:val="13"/>
                <w:color w:val="auto"/>
                <w:w w:val="76"/>
              </w:rPr>
              <w:t> </w:t>
            </w:r>
          </w:p>
        </w:tc>
        <w:tc>
          <w:tcPr>
            <w:tcW w:w="140" w:type="dxa"/>
            <w:vAlign w:val="bottom"/>
          </w:tcPr>
          <w:p>
            <w:pPr>
              <w:ind w:left="20"/>
              <w:spacing w:after="0" w:line="142" w:lineRule="exact"/>
              <w:rPr>
                <w:sz w:val="20"/>
                <w:szCs w:val="20"/>
                <w:color w:val="auto"/>
              </w:rPr>
            </w:pPr>
            <w:r>
              <w:rPr>
                <w:rFonts w:ascii="Arial" w:cs="Arial" w:eastAsia="Arial" w:hAnsi="Arial"/>
                <w:sz w:val="13"/>
                <w:szCs w:val="13"/>
                <w:color w:val="auto"/>
                <w:w w:val="76"/>
              </w:rPr>
              <w:t> </w:t>
            </w:r>
          </w:p>
        </w:tc>
        <w:tc>
          <w:tcPr>
            <w:tcW w:w="120" w:type="dxa"/>
            <w:vAlign w:val="bottom"/>
          </w:tcPr>
          <w:p>
            <w:pPr>
              <w:spacing w:after="0" w:line="142" w:lineRule="exact"/>
              <w:rPr>
                <w:sz w:val="20"/>
                <w:szCs w:val="20"/>
                <w:color w:val="auto"/>
              </w:rPr>
            </w:pPr>
            <w:r>
              <w:rPr>
                <w:rFonts w:ascii="Arial" w:cs="Arial" w:eastAsia="Arial" w:hAnsi="Arial"/>
                <w:sz w:val="13"/>
                <w:szCs w:val="13"/>
                <w:color w:val="auto"/>
                <w:w w:val="76"/>
              </w:rPr>
              <w:t> </w:t>
            </w:r>
          </w:p>
        </w:tc>
        <w:tc>
          <w:tcPr>
            <w:tcW w:w="14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20"/>
              <w:spacing w:after="0" w:line="142" w:lineRule="exact"/>
              <w:rPr>
                <w:sz w:val="20"/>
                <w:szCs w:val="20"/>
                <w:color w:val="auto"/>
              </w:rPr>
            </w:pPr>
            <w:r>
              <w:rPr>
                <w:rFonts w:ascii="Arial" w:cs="Arial" w:eastAsia="Arial" w:hAnsi="Arial"/>
                <w:sz w:val="13"/>
                <w:szCs w:val="13"/>
                <w:color w:val="auto"/>
                <w:w w:val="76"/>
              </w:rPr>
              <w:t> </w:t>
            </w:r>
          </w:p>
        </w:tc>
        <w:tc>
          <w:tcPr>
            <w:tcW w:w="120" w:type="dxa"/>
            <w:vAlign w:val="bottom"/>
            <w:gridSpan w:val="2"/>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jc w:val="right"/>
              <w:ind w:right="35"/>
              <w:spacing w:after="0"/>
              <w:rPr>
                <w:sz w:val="20"/>
                <w:szCs w:val="20"/>
                <w:color w:val="auto"/>
              </w:rPr>
            </w:pPr>
            <w:r>
              <w:rPr>
                <w:rFonts w:ascii="Arial" w:cs="Arial" w:eastAsia="Arial" w:hAnsi="Arial"/>
                <w:sz w:val="4"/>
                <w:szCs w:val="4"/>
                <w:color w:val="auto"/>
                <w:w w:val="98"/>
              </w:rPr>
              <w:t> </w:t>
            </w:r>
          </w:p>
        </w:tc>
        <w:tc>
          <w:tcPr>
            <w:tcW w:w="60" w:type="dxa"/>
            <w:vAlign w:val="bottom"/>
          </w:tcPr>
          <w:p>
            <w:pPr>
              <w:ind w:left="20"/>
              <w:spacing w:after="0"/>
              <w:rPr>
                <w:sz w:val="20"/>
                <w:szCs w:val="20"/>
                <w:color w:val="auto"/>
              </w:rPr>
            </w:pPr>
            <w:r>
              <w:rPr>
                <w:rFonts w:ascii="Arial" w:cs="Arial" w:eastAsia="Arial" w:hAnsi="Arial"/>
                <w:sz w:val="2"/>
                <w:szCs w:val="2"/>
                <w:color w:val="auto"/>
                <w:w w:val="97"/>
              </w:rPr>
              <w:t> </w:t>
            </w:r>
          </w:p>
        </w:tc>
        <w:tc>
          <w:tcPr>
            <w:tcW w:w="200" w:type="dxa"/>
            <w:vAlign w:val="bottom"/>
            <w:gridSpan w:val="2"/>
          </w:tcPr>
          <w:p>
            <w:pPr>
              <w:jc w:val="center"/>
              <w:ind w:left="42"/>
              <w:spacing w:after="0" w:line="142" w:lineRule="exact"/>
              <w:rPr>
                <w:sz w:val="20"/>
                <w:szCs w:val="20"/>
                <w:color w:val="auto"/>
              </w:rPr>
            </w:pPr>
            <w:r>
              <w:rPr>
                <w:rFonts w:ascii="Arial" w:cs="Arial" w:eastAsia="Arial" w:hAnsi="Arial"/>
                <w:sz w:val="13"/>
                <w:szCs w:val="13"/>
                <w:color w:val="auto"/>
              </w:rPr>
              <w:t xml:space="preserve">   </w:t>
            </w:r>
          </w:p>
        </w:tc>
        <w:tc>
          <w:tcPr>
            <w:tcW w:w="140" w:type="dxa"/>
            <w:vAlign w:val="bottom"/>
          </w:tcPr>
          <w:p>
            <w:pPr>
              <w:ind w:left="100"/>
              <w:spacing w:after="0"/>
              <w:rPr>
                <w:sz w:val="20"/>
                <w:szCs w:val="20"/>
                <w:color w:val="auto"/>
              </w:rPr>
            </w:pPr>
            <w:r>
              <w:rPr>
                <w:rFonts w:ascii="Arial" w:cs="Arial" w:eastAsia="Arial" w:hAnsi="Arial"/>
                <w:sz w:val="2"/>
                <w:szCs w:val="2"/>
                <w:color w:val="auto"/>
                <w:w w:val="97"/>
              </w:rPr>
              <w:t> </w:t>
            </w:r>
          </w:p>
        </w:tc>
        <w:tc>
          <w:tcPr>
            <w:tcW w:w="120" w:type="dxa"/>
            <w:vAlign w:val="bottom"/>
          </w:tcPr>
          <w:p>
            <w:pPr>
              <w:ind w:left="80"/>
              <w:spacing w:after="0"/>
              <w:rPr>
                <w:sz w:val="20"/>
                <w:szCs w:val="20"/>
                <w:color w:val="auto"/>
              </w:rPr>
            </w:pPr>
            <w:r>
              <w:rPr>
                <w:rFonts w:ascii="Arial" w:cs="Arial" w:eastAsia="Arial" w:hAnsi="Arial"/>
                <w:sz w:val="2"/>
                <w:szCs w:val="2"/>
                <w:color w:val="auto"/>
                <w:w w:val="97"/>
              </w:rPr>
              <w:t> </w:t>
            </w:r>
          </w:p>
        </w:tc>
        <w:tc>
          <w:tcPr>
            <w:tcW w:w="140" w:type="dxa"/>
            <w:vAlign w:val="bottom"/>
          </w:tcPr>
          <w:p>
            <w:pPr>
              <w:jc w:val="right"/>
              <w:spacing w:after="0" w:line="142" w:lineRule="exact"/>
              <w:rPr>
                <w:sz w:val="20"/>
                <w:szCs w:val="20"/>
                <w:color w:val="auto"/>
              </w:rPr>
            </w:pPr>
            <w:r>
              <w:rPr>
                <w:rFonts w:ascii="Arial" w:cs="Arial" w:eastAsia="Arial" w:hAnsi="Arial"/>
                <w:sz w:val="13"/>
                <w:szCs w:val="13"/>
                <w:color w:val="auto"/>
                <w:w w:val="91"/>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60" w:type="dxa"/>
            <w:vAlign w:val="bottom"/>
          </w:tcPr>
          <w:p>
            <w:pPr>
              <w:jc w:val="right"/>
              <w:spacing w:after="0" w:line="142" w:lineRule="exact"/>
              <w:rPr>
                <w:sz w:val="20"/>
                <w:szCs w:val="20"/>
                <w:color w:val="auto"/>
              </w:rPr>
            </w:pPr>
            <w:r>
              <w:rPr>
                <w:rFonts w:ascii="Arial" w:cs="Arial" w:eastAsia="Arial" w:hAnsi="Arial"/>
                <w:sz w:val="13"/>
                <w:szCs w:val="13"/>
                <w:color w:val="auto"/>
                <w:w w:val="76"/>
              </w:rPr>
              <w:t> </w:t>
            </w:r>
          </w:p>
        </w:tc>
        <w:tc>
          <w:tcPr>
            <w:tcW w:w="140" w:type="dxa"/>
            <w:vAlign w:val="bottom"/>
          </w:tcPr>
          <w:p>
            <w:pPr>
              <w:jc w:val="right"/>
              <w:spacing w:after="0"/>
              <w:rPr>
                <w:sz w:val="20"/>
                <w:szCs w:val="20"/>
                <w:color w:val="auto"/>
              </w:rPr>
            </w:pPr>
            <w:r>
              <w:rPr>
                <w:rFonts w:ascii="Arial" w:cs="Arial" w:eastAsia="Arial" w:hAnsi="Arial"/>
                <w:sz w:val="11"/>
                <w:szCs w:val="11"/>
                <w:color w:val="auto"/>
                <w:w w:val="72"/>
              </w:rPr>
              <w:t> </w:t>
            </w:r>
          </w:p>
        </w:tc>
        <w:tc>
          <w:tcPr>
            <w:tcW w:w="140" w:type="dxa"/>
            <w:vAlign w:val="bottom"/>
          </w:tcPr>
          <w:p>
            <w:pPr>
              <w:jc w:val="right"/>
              <w:ind w:right="20"/>
              <w:spacing w:after="0"/>
              <w:rPr>
                <w:sz w:val="20"/>
                <w:szCs w:val="20"/>
                <w:color w:val="auto"/>
              </w:rPr>
            </w:pPr>
            <w:r>
              <w:rPr>
                <w:rFonts w:ascii="Arial" w:cs="Arial" w:eastAsia="Arial" w:hAnsi="Arial"/>
                <w:sz w:val="8"/>
                <w:szCs w:val="8"/>
                <w:color w:val="auto"/>
                <w:w w:val="74"/>
              </w:rPr>
              <w:t> </w:t>
            </w:r>
          </w:p>
        </w:tc>
        <w:tc>
          <w:tcPr>
            <w:tcW w:w="120" w:type="dxa"/>
            <w:vAlign w:val="bottom"/>
          </w:tcPr>
          <w:p>
            <w:pPr>
              <w:jc w:val="right"/>
              <w:ind w:right="2"/>
              <w:spacing w:after="0"/>
              <w:rPr>
                <w:sz w:val="20"/>
                <w:szCs w:val="20"/>
                <w:color w:val="auto"/>
              </w:rPr>
            </w:pPr>
            <w:r>
              <w:rPr>
                <w:rFonts w:ascii="Arial" w:cs="Arial" w:eastAsia="Arial" w:hAnsi="Arial"/>
                <w:sz w:val="8"/>
                <w:szCs w:val="8"/>
                <w:color w:val="auto"/>
                <w:w w:val="74"/>
              </w:rPr>
              <w:t> </w:t>
            </w:r>
          </w:p>
        </w:tc>
        <w:tc>
          <w:tcPr>
            <w:tcW w:w="160" w:type="dxa"/>
            <w:vAlign w:val="bottom"/>
          </w:tcPr>
          <w:p>
            <w:pPr>
              <w:ind w:left="60"/>
              <w:spacing w:after="0"/>
              <w:rPr>
                <w:sz w:val="20"/>
                <w:szCs w:val="20"/>
                <w:color w:val="auto"/>
              </w:rPr>
            </w:pPr>
            <w:r>
              <w:rPr>
                <w:rFonts w:ascii="Arial" w:cs="Arial" w:eastAsia="Arial" w:hAnsi="Arial"/>
                <w:sz w:val="9"/>
                <w:szCs w:val="9"/>
                <w:color w:val="auto"/>
                <w:w w:val="73"/>
              </w:rPr>
              <w:t>  </w:t>
            </w:r>
          </w:p>
        </w:tc>
        <w:tc>
          <w:tcPr>
            <w:tcW w:w="240" w:type="dxa"/>
            <w:vAlign w:val="bottom"/>
            <w:gridSpan w:val="2"/>
          </w:tcPr>
          <w:p>
            <w:pPr>
              <w:ind w:left="40"/>
              <w:spacing w:after="0" w:line="142" w:lineRule="exact"/>
              <w:rPr>
                <w:sz w:val="20"/>
                <w:szCs w:val="20"/>
                <w:color w:val="auto"/>
              </w:rPr>
            </w:pPr>
            <w:r>
              <w:rPr>
                <w:rFonts w:ascii="Arial" w:cs="Arial" w:eastAsia="Arial" w:hAnsi="Arial"/>
                <w:sz w:val="13"/>
                <w:szCs w:val="13"/>
                <w:color w:val="auto"/>
              </w:rPr>
              <w:t> </w:t>
            </w:r>
          </w:p>
        </w:tc>
      </w:tr>
      <w:tr>
        <w:trPr>
          <w:trHeight w:val="20"/>
        </w:trPr>
        <w:tc>
          <w:tcPr>
            <w:tcW w:w="420" w:type="dxa"/>
            <w:vAlign w:val="bottom"/>
          </w:tcPr>
          <w:p>
            <w:pPr>
              <w:spacing w:after="0" w:line="20" w:lineRule="exact"/>
              <w:rPr>
                <w:sz w:val="1"/>
                <w:szCs w:val="1"/>
                <w:color w:val="auto"/>
              </w:rPr>
            </w:pPr>
          </w:p>
        </w:tc>
        <w:tc>
          <w:tcPr>
            <w:tcW w:w="1040" w:type="dxa"/>
            <w:vAlign w:val="bottom"/>
            <w:gridSpan w:val="5"/>
            <w:shd w:val="clear" w:color="auto" w:fill="000000"/>
          </w:tcPr>
          <w:p>
            <w:pPr>
              <w:spacing w:after="0" w:line="20" w:lineRule="exact"/>
              <w:rPr>
                <w:sz w:val="1"/>
                <w:szCs w:val="1"/>
                <w:color w:val="auto"/>
              </w:rPr>
            </w:pPr>
          </w:p>
        </w:tc>
        <w:tc>
          <w:tcPr>
            <w:tcW w:w="660" w:type="dxa"/>
            <w:vAlign w:val="bottom"/>
            <w:gridSpan w:val="5"/>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8"/>
        </w:trPr>
        <w:tc>
          <w:tcPr>
            <w:tcW w:w="1460" w:type="dxa"/>
            <w:vAlign w:val="bottom"/>
            <w:gridSpan w:val="6"/>
          </w:tcPr>
          <w:p>
            <w:pPr>
              <w:spacing w:after="0"/>
              <w:rPr>
                <w:sz w:val="20"/>
                <w:szCs w:val="20"/>
                <w:color w:val="auto"/>
              </w:rPr>
            </w:pPr>
            <w:r>
              <w:rPr>
                <w:rFonts w:ascii="Arial" w:cs="Arial" w:eastAsia="Arial" w:hAnsi="Arial"/>
                <w:sz w:val="13"/>
                <w:szCs w:val="13"/>
                <w:color w:val="auto"/>
              </w:rPr>
              <w:t xml:space="preserve">Middle Name:              </w:t>
            </w:r>
          </w:p>
        </w:tc>
        <w:tc>
          <w:tcPr>
            <w:tcW w:w="660" w:type="dxa"/>
            <w:vAlign w:val="bottom"/>
            <w:gridSpan w:val="5"/>
          </w:tcPr>
          <w:p>
            <w:pPr>
              <w:ind w:left="40"/>
              <w:spacing w:after="0"/>
              <w:rPr>
                <w:sz w:val="20"/>
                <w:szCs w:val="20"/>
                <w:color w:val="auto"/>
              </w:rPr>
            </w:pPr>
            <w:r>
              <w:rPr>
                <w:rFonts w:ascii="Arial" w:cs="Arial" w:eastAsia="Arial" w:hAnsi="Arial"/>
                <w:sz w:val="13"/>
                <w:szCs w:val="13"/>
                <w:color w:val="auto"/>
              </w:rPr>
              <w:t xml:space="preserve">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220" w:type="dxa"/>
            <w:vAlign w:val="bottom"/>
            <w:gridSpan w:val="2"/>
          </w:tcPr>
          <w:p>
            <w:pPr>
              <w:ind w:left="40"/>
              <w:spacing w:after="0"/>
              <w:rPr>
                <w:sz w:val="20"/>
                <w:szCs w:val="20"/>
                <w:color w:val="auto"/>
              </w:rPr>
            </w:pPr>
            <w:r>
              <w:rPr>
                <w:rFonts w:ascii="Arial" w:cs="Arial" w:eastAsia="Arial" w:hAnsi="Arial"/>
                <w:sz w:val="13"/>
                <w:szCs w:val="13"/>
                <w:color w:val="auto"/>
              </w:rPr>
              <w:t xml:space="preserve">   </w:t>
            </w:r>
          </w:p>
        </w:tc>
        <w:tc>
          <w:tcPr>
            <w:tcW w:w="100" w:type="dxa"/>
            <w:vAlign w:val="bottom"/>
          </w:tcPr>
          <w:p>
            <w:pPr>
              <w:jc w:val="right"/>
              <w:spacing w:after="0"/>
              <w:rPr>
                <w:sz w:val="20"/>
                <w:szCs w:val="20"/>
                <w:color w:val="auto"/>
              </w:rPr>
            </w:pPr>
            <w:r>
              <w:rPr>
                <w:rFonts w:ascii="Arial" w:cs="Arial" w:eastAsia="Arial" w:hAnsi="Arial"/>
                <w:sz w:val="4"/>
                <w:szCs w:val="4"/>
                <w:color w:val="auto"/>
                <w:w w:val="98"/>
              </w:rPr>
              <w:t> </w:t>
            </w:r>
          </w:p>
        </w:tc>
        <w:tc>
          <w:tcPr>
            <w:tcW w:w="120" w:type="dxa"/>
            <w:vAlign w:val="bottom"/>
          </w:tcPr>
          <w:p>
            <w:pPr>
              <w:jc w:val="right"/>
              <w:spacing w:after="0"/>
              <w:rPr>
                <w:sz w:val="20"/>
                <w:szCs w:val="20"/>
                <w:color w:val="auto"/>
              </w:rPr>
            </w:pPr>
            <w:r>
              <w:rPr>
                <w:rFonts w:ascii="Arial" w:cs="Arial" w:eastAsia="Arial" w:hAnsi="Arial"/>
                <w:sz w:val="8"/>
                <w:szCs w:val="8"/>
                <w:color w:val="auto"/>
                <w:w w:val="74"/>
              </w:rPr>
              <w:t> </w:t>
            </w:r>
          </w:p>
        </w:tc>
        <w:tc>
          <w:tcPr>
            <w:tcW w:w="160" w:type="dxa"/>
            <w:vAlign w:val="bottom"/>
          </w:tcPr>
          <w:p>
            <w:pPr>
              <w:jc w:val="right"/>
              <w:spacing w:after="0"/>
              <w:rPr>
                <w:sz w:val="20"/>
                <w:szCs w:val="20"/>
                <w:color w:val="auto"/>
              </w:rPr>
            </w:pPr>
            <w:r>
              <w:rPr>
                <w:rFonts w:ascii="Arial" w:cs="Arial" w:eastAsia="Arial" w:hAnsi="Arial"/>
                <w:sz w:val="11"/>
                <w:szCs w:val="11"/>
                <w:color w:val="auto"/>
                <w:w w:val="72"/>
              </w:rPr>
              <w:t> </w:t>
            </w:r>
          </w:p>
        </w:tc>
        <w:tc>
          <w:tcPr>
            <w:tcW w:w="140" w:type="dxa"/>
            <w:vAlign w:val="bottom"/>
          </w:tcPr>
          <w:p>
            <w:pPr>
              <w:jc w:val="right"/>
              <w:ind w:right="17"/>
              <w:spacing w:after="0"/>
              <w:rPr>
                <w:sz w:val="20"/>
                <w:szCs w:val="20"/>
                <w:color w:val="auto"/>
              </w:rPr>
            </w:pPr>
            <w:r>
              <w:rPr>
                <w:rFonts w:ascii="Arial" w:cs="Arial" w:eastAsia="Arial" w:hAnsi="Arial"/>
                <w:sz w:val="8"/>
                <w:szCs w:val="8"/>
                <w:color w:val="auto"/>
                <w:w w:val="74"/>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20"/>
              <w:spacing w:after="0"/>
              <w:rPr>
                <w:sz w:val="20"/>
                <w:szCs w:val="20"/>
                <w:color w:val="auto"/>
              </w:rPr>
            </w:pPr>
            <w:r>
              <w:rPr>
                <w:rFonts w:ascii="Arial" w:cs="Arial" w:eastAsia="Arial" w:hAnsi="Arial"/>
                <w:sz w:val="8"/>
                <w:szCs w:val="8"/>
                <w:color w:val="auto"/>
                <w:w w:val="74"/>
              </w:rPr>
              <w:t> </w:t>
            </w:r>
          </w:p>
        </w:tc>
        <w:tc>
          <w:tcPr>
            <w:tcW w:w="80" w:type="dxa"/>
            <w:vAlign w:val="bottom"/>
          </w:tcPr>
          <w:p>
            <w:pPr>
              <w:ind w:left="40"/>
              <w:spacing w:after="0"/>
              <w:rPr>
                <w:sz w:val="20"/>
                <w:szCs w:val="20"/>
                <w:color w:val="auto"/>
              </w:rPr>
            </w:pPr>
            <w:r>
              <w:rPr>
                <w:rFonts w:ascii="Arial" w:cs="Arial" w:eastAsia="Arial" w:hAnsi="Arial"/>
                <w:sz w:val="13"/>
                <w:szCs w:val="13"/>
                <w:color w:val="auto"/>
                <w:w w:val="75"/>
              </w:rPr>
              <w:t> </w:t>
            </w:r>
          </w:p>
        </w:tc>
        <w:tc>
          <w:tcPr>
            <w:tcW w:w="1300" w:type="dxa"/>
            <w:vAlign w:val="bottom"/>
            <w:gridSpan w:val="5"/>
          </w:tcPr>
          <w:p>
            <w:pPr>
              <w:ind w:left="120"/>
              <w:spacing w:after="0"/>
              <w:rPr>
                <w:sz w:val="20"/>
                <w:szCs w:val="20"/>
                <w:color w:val="auto"/>
              </w:rPr>
            </w:pPr>
            <w:r>
              <w:rPr>
                <w:rFonts w:ascii="Arial" w:cs="Arial" w:eastAsia="Arial" w:hAnsi="Arial"/>
                <w:sz w:val="13"/>
                <w:szCs w:val="13"/>
                <w:color w:val="auto"/>
              </w:rPr>
              <w:t xml:space="preserve">City: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gridSpan w:val="2"/>
          </w:tcPr>
          <w:p>
            <w:pPr>
              <w:ind w:left="40"/>
              <w:spacing w:after="0"/>
              <w:rPr>
                <w:sz w:val="20"/>
                <w:szCs w:val="20"/>
                <w:color w:val="auto"/>
              </w:rPr>
            </w:pPr>
            <w:r>
              <w:rPr>
                <w:rFonts w:ascii="Arial" w:cs="Arial" w:eastAsia="Arial" w:hAnsi="Arial"/>
                <w:sz w:val="11"/>
                <w:szCs w:val="11"/>
                <w:color w:val="auto"/>
                <w:w w:val="72"/>
              </w:rPr>
              <w:t> </w:t>
            </w:r>
          </w:p>
        </w:tc>
        <w:tc>
          <w:tcPr>
            <w:tcW w:w="260" w:type="dxa"/>
            <w:vAlign w:val="bottom"/>
            <w:gridSpan w:val="2"/>
          </w:tcPr>
          <w:p>
            <w:pPr>
              <w:ind w:left="40"/>
              <w:spacing w:after="0"/>
              <w:rPr>
                <w:sz w:val="20"/>
                <w:szCs w:val="20"/>
                <w:color w:val="auto"/>
              </w:rPr>
            </w:pPr>
            <w:r>
              <w:rPr>
                <w:rFonts w:ascii="Arial" w:cs="Arial" w:eastAsia="Arial" w:hAnsi="Arial"/>
                <w:sz w:val="13"/>
                <w:szCs w:val="13"/>
                <w:color w:val="auto"/>
              </w:rPr>
              <w:t xml:space="preserve">    </w:t>
            </w:r>
          </w:p>
        </w:tc>
        <w:tc>
          <w:tcPr>
            <w:tcW w:w="140" w:type="dxa"/>
            <w:vAlign w:val="bottom"/>
          </w:tcPr>
          <w:p>
            <w:pPr>
              <w:spacing w:after="0"/>
              <w:rPr>
                <w:sz w:val="20"/>
                <w:szCs w:val="20"/>
                <w:color w:val="auto"/>
              </w:rPr>
            </w:pPr>
            <w:r>
              <w:rPr>
                <w:rFonts w:ascii="Arial" w:cs="Arial" w:eastAsia="Arial" w:hAnsi="Arial"/>
                <w:sz w:val="13"/>
                <w:szCs w:val="13"/>
                <w:color w:val="auto"/>
                <w:w w:val="76"/>
              </w:rPr>
              <w:t> </w:t>
            </w: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140" w:type="dxa"/>
            <w:vAlign w:val="bottom"/>
          </w:tcPr>
          <w:p>
            <w:pPr>
              <w:spacing w:after="0"/>
              <w:rPr>
                <w:sz w:val="20"/>
                <w:szCs w:val="20"/>
                <w:color w:val="auto"/>
              </w:rPr>
            </w:pPr>
            <w:r>
              <w:rPr>
                <w:rFonts w:ascii="Arial" w:cs="Arial" w:eastAsia="Arial" w:hAnsi="Arial"/>
                <w:sz w:val="13"/>
                <w:szCs w:val="13"/>
                <w:color w:val="auto"/>
                <w:w w:val="91"/>
              </w:rPr>
              <w:t> </w:t>
            </w:r>
          </w:p>
        </w:tc>
        <w:tc>
          <w:tcPr>
            <w:tcW w:w="120" w:type="dxa"/>
            <w:vAlign w:val="bottom"/>
            <w:gridSpan w:val="2"/>
          </w:tcPr>
          <w:p>
            <w:pPr>
              <w:jc w:val="right"/>
              <w:ind w:right="41"/>
              <w:spacing w:after="0"/>
              <w:rPr>
                <w:sz w:val="20"/>
                <w:szCs w:val="20"/>
                <w:color w:val="auto"/>
              </w:rPr>
            </w:pPr>
            <w:r>
              <w:rPr>
                <w:rFonts w:ascii="Arial" w:cs="Arial" w:eastAsia="Arial" w:hAnsi="Arial"/>
                <w:sz w:val="2"/>
                <w:szCs w:val="2"/>
                <w:color w:val="auto"/>
                <w:w w:val="97"/>
              </w:rPr>
              <w:t> </w:t>
            </w:r>
          </w:p>
        </w:tc>
        <w:tc>
          <w:tcPr>
            <w:tcW w:w="140" w:type="dxa"/>
            <w:vAlign w:val="bottom"/>
          </w:tcPr>
          <w:p>
            <w:pPr>
              <w:jc w:val="center"/>
              <w:ind w:right="35"/>
              <w:spacing w:after="0"/>
              <w:rPr>
                <w:sz w:val="20"/>
                <w:szCs w:val="20"/>
                <w:color w:val="auto"/>
              </w:rPr>
            </w:pPr>
            <w:r>
              <w:rPr>
                <w:rFonts w:ascii="Arial" w:cs="Arial" w:eastAsia="Arial" w:hAnsi="Arial"/>
                <w:sz w:val="2"/>
                <w:szCs w:val="2"/>
                <w:color w:val="auto"/>
                <w:w w:val="97"/>
              </w:rPr>
              <w:t> </w:t>
            </w:r>
          </w:p>
        </w:tc>
        <w:tc>
          <w:tcPr>
            <w:tcW w:w="60" w:type="dxa"/>
            <w:vAlign w:val="bottom"/>
          </w:tcPr>
          <w:p>
            <w:pPr>
              <w:spacing w:after="0"/>
              <w:rPr>
                <w:sz w:val="20"/>
                <w:szCs w:val="20"/>
                <w:color w:val="auto"/>
              </w:rPr>
            </w:pPr>
            <w:r>
              <w:rPr>
                <w:rFonts w:ascii="Arial" w:cs="Arial" w:eastAsia="Arial" w:hAnsi="Arial"/>
                <w:sz w:val="4"/>
                <w:szCs w:val="4"/>
                <w:color w:val="auto"/>
                <w:w w:val="98"/>
              </w:rPr>
              <w:t> </w:t>
            </w:r>
          </w:p>
        </w:tc>
        <w:tc>
          <w:tcPr>
            <w:tcW w:w="120" w:type="dxa"/>
            <w:vAlign w:val="bottom"/>
          </w:tcPr>
          <w:p>
            <w:pPr>
              <w:jc w:val="right"/>
              <w:spacing w:after="0"/>
              <w:rPr>
                <w:sz w:val="20"/>
                <w:szCs w:val="20"/>
                <w:color w:val="auto"/>
              </w:rPr>
            </w:pPr>
            <w:r>
              <w:rPr>
                <w:rFonts w:ascii="Arial" w:cs="Arial" w:eastAsia="Arial" w:hAnsi="Arial"/>
                <w:sz w:val="13"/>
                <w:szCs w:val="13"/>
                <w:color w:val="auto"/>
                <w:w w:val="76"/>
              </w:rPr>
              <w:t> </w:t>
            </w:r>
          </w:p>
        </w:tc>
        <w:tc>
          <w:tcPr>
            <w:tcW w:w="80" w:type="dxa"/>
            <w:vAlign w:val="bottom"/>
          </w:tcPr>
          <w:p>
            <w:pPr>
              <w:spacing w:after="0"/>
              <w:rPr>
                <w:sz w:val="18"/>
                <w:szCs w:val="18"/>
                <w:color w:val="auto"/>
              </w:rPr>
            </w:pPr>
          </w:p>
        </w:tc>
        <w:tc>
          <w:tcPr>
            <w:tcW w:w="140" w:type="dxa"/>
            <w:vAlign w:val="bottom"/>
          </w:tcPr>
          <w:p>
            <w:pPr>
              <w:jc w:val="center"/>
              <w:ind w:right="73"/>
              <w:spacing w:after="0"/>
              <w:rPr>
                <w:sz w:val="20"/>
                <w:szCs w:val="20"/>
                <w:color w:val="auto"/>
              </w:rPr>
            </w:pPr>
            <w:r>
              <w:rPr>
                <w:rFonts w:ascii="Arial" w:cs="Arial" w:eastAsia="Arial" w:hAnsi="Arial"/>
                <w:sz w:val="4"/>
                <w:szCs w:val="4"/>
                <w:color w:val="auto"/>
                <w:w w:val="98"/>
              </w:rPr>
              <w:t> </w:t>
            </w:r>
          </w:p>
        </w:tc>
        <w:tc>
          <w:tcPr>
            <w:tcW w:w="120" w:type="dxa"/>
            <w:vAlign w:val="bottom"/>
          </w:tcPr>
          <w:p>
            <w:pPr>
              <w:spacing w:after="0"/>
              <w:rPr>
                <w:sz w:val="20"/>
                <w:szCs w:val="20"/>
                <w:color w:val="auto"/>
              </w:rPr>
            </w:pPr>
            <w:r>
              <w:rPr>
                <w:rFonts w:ascii="Arial" w:cs="Arial" w:eastAsia="Arial" w:hAnsi="Arial"/>
                <w:sz w:val="13"/>
                <w:szCs w:val="13"/>
                <w:color w:val="auto"/>
              </w:rPr>
              <w:t xml:space="preserve">   </w:t>
            </w:r>
          </w:p>
        </w:tc>
        <w:tc>
          <w:tcPr>
            <w:tcW w:w="140" w:type="dxa"/>
            <w:vAlign w:val="bottom"/>
          </w:tcPr>
          <w:p>
            <w:pPr>
              <w:jc w:val="right"/>
              <w:spacing w:after="0"/>
              <w:rPr>
                <w:sz w:val="20"/>
                <w:szCs w:val="20"/>
                <w:color w:val="auto"/>
              </w:rPr>
            </w:pPr>
            <w:r>
              <w:rPr>
                <w:rFonts w:ascii="Arial" w:cs="Arial" w:eastAsia="Arial" w:hAnsi="Arial"/>
                <w:sz w:val="13"/>
                <w:szCs w:val="13"/>
                <w:color w:val="auto"/>
                <w:w w:val="76"/>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60" w:type="dxa"/>
            <w:vAlign w:val="bottom"/>
          </w:tcPr>
          <w:p>
            <w:pPr>
              <w:jc w:val="center"/>
              <w:spacing w:after="0"/>
              <w:rPr>
                <w:sz w:val="20"/>
                <w:szCs w:val="20"/>
                <w:color w:val="auto"/>
              </w:rPr>
            </w:pPr>
            <w:r>
              <w:rPr>
                <w:rFonts w:ascii="Arial" w:cs="Arial" w:eastAsia="Arial" w:hAnsi="Arial"/>
                <w:sz w:val="4"/>
                <w:szCs w:val="4"/>
                <w:color w:val="auto"/>
                <w:w w:val="98"/>
              </w:rPr>
              <w:t> </w:t>
            </w:r>
          </w:p>
        </w:tc>
        <w:tc>
          <w:tcPr>
            <w:tcW w:w="140" w:type="dxa"/>
            <w:vAlign w:val="bottom"/>
          </w:tcPr>
          <w:p>
            <w:pPr>
              <w:jc w:val="center"/>
              <w:spacing w:after="0"/>
              <w:rPr>
                <w:sz w:val="20"/>
                <w:szCs w:val="20"/>
                <w:color w:val="auto"/>
              </w:rPr>
            </w:pPr>
            <w:r>
              <w:rPr>
                <w:rFonts w:ascii="Arial" w:cs="Arial" w:eastAsia="Arial" w:hAnsi="Arial"/>
                <w:sz w:val="4"/>
                <w:szCs w:val="4"/>
                <w:color w:val="auto"/>
                <w:w w:val="98"/>
              </w:rPr>
              <w:t> </w:t>
            </w:r>
          </w:p>
        </w:tc>
        <w:tc>
          <w:tcPr>
            <w:tcW w:w="140" w:type="dxa"/>
            <w:vAlign w:val="bottom"/>
          </w:tcPr>
          <w:p>
            <w:pPr>
              <w:jc w:val="right"/>
              <w:ind w:right="40"/>
              <w:spacing w:after="0"/>
              <w:rPr>
                <w:sz w:val="20"/>
                <w:szCs w:val="20"/>
                <w:color w:val="auto"/>
              </w:rPr>
            </w:pPr>
            <w:r>
              <w:rPr>
                <w:rFonts w:ascii="Arial" w:cs="Arial" w:eastAsia="Arial" w:hAnsi="Arial"/>
                <w:sz w:val="4"/>
                <w:szCs w:val="4"/>
                <w:color w:val="auto"/>
                <w:w w:val="98"/>
              </w:rPr>
              <w:t> </w:t>
            </w:r>
          </w:p>
        </w:tc>
        <w:tc>
          <w:tcPr>
            <w:tcW w:w="120" w:type="dxa"/>
            <w:vAlign w:val="bottom"/>
          </w:tcPr>
          <w:p>
            <w:pPr>
              <w:jc w:val="right"/>
              <w:ind w:right="2"/>
              <w:spacing w:after="0"/>
              <w:rPr>
                <w:sz w:val="20"/>
                <w:szCs w:val="20"/>
                <w:color w:val="auto"/>
              </w:rPr>
            </w:pPr>
            <w:r>
              <w:rPr>
                <w:rFonts w:ascii="Arial" w:cs="Arial" w:eastAsia="Arial" w:hAnsi="Arial"/>
                <w:sz w:val="7"/>
                <w:szCs w:val="7"/>
                <w:color w:val="auto"/>
                <w:w w:val="70"/>
              </w:rPr>
              <w:t>  </w:t>
            </w:r>
          </w:p>
        </w:tc>
        <w:tc>
          <w:tcPr>
            <w:tcW w:w="160" w:type="dxa"/>
            <w:vAlign w:val="bottom"/>
          </w:tcPr>
          <w:p>
            <w:pPr>
              <w:ind w:left="60"/>
              <w:spacing w:after="0"/>
              <w:rPr>
                <w:sz w:val="20"/>
                <w:szCs w:val="20"/>
                <w:color w:val="auto"/>
              </w:rPr>
            </w:pPr>
            <w:r>
              <w:rPr>
                <w:rFonts w:ascii="Arial" w:cs="Arial" w:eastAsia="Arial" w:hAnsi="Arial"/>
                <w:sz w:val="9"/>
                <w:szCs w:val="9"/>
                <w:color w:val="auto"/>
                <w:w w:val="73"/>
              </w:rPr>
              <w:t>  </w:t>
            </w:r>
          </w:p>
        </w:tc>
        <w:tc>
          <w:tcPr>
            <w:tcW w:w="240" w:type="dxa"/>
            <w:vAlign w:val="bottom"/>
            <w:gridSpan w:val="2"/>
          </w:tcPr>
          <w:p>
            <w:pPr>
              <w:ind w:left="60"/>
              <w:spacing w:after="0"/>
              <w:rPr>
                <w:sz w:val="20"/>
                <w:szCs w:val="20"/>
                <w:color w:val="auto"/>
              </w:rPr>
            </w:pPr>
            <w:r>
              <w:rPr>
                <w:rFonts w:ascii="Arial" w:cs="Arial" w:eastAsia="Arial" w:hAnsi="Arial"/>
                <w:sz w:val="13"/>
                <w:szCs w:val="13"/>
                <w:color w:val="auto"/>
              </w:rPr>
              <w:t> </w:t>
            </w:r>
          </w:p>
        </w:tc>
      </w:tr>
      <w:tr>
        <w:trPr>
          <w:trHeight w:val="20"/>
        </w:trPr>
        <w:tc>
          <w:tcPr>
            <w:tcW w:w="840" w:type="dxa"/>
            <w:vAlign w:val="bottom"/>
            <w:gridSpan w:val="4"/>
          </w:tcPr>
          <w:p>
            <w:pPr>
              <w:spacing w:after="0" w:line="20" w:lineRule="exact"/>
              <w:rPr>
                <w:sz w:val="1"/>
                <w:szCs w:val="1"/>
                <w:color w:val="auto"/>
              </w:rPr>
            </w:pPr>
          </w:p>
        </w:tc>
        <w:tc>
          <w:tcPr>
            <w:tcW w:w="1400" w:type="dxa"/>
            <w:vAlign w:val="bottom"/>
            <w:gridSpan w:val="8"/>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right w:val="single" w:sz="8" w:color="auto"/>
            </w:tcBorders>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4"/>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8"/>
        </w:trPr>
        <w:tc>
          <w:tcPr>
            <w:tcW w:w="2240" w:type="dxa"/>
            <w:vAlign w:val="bottom"/>
            <w:gridSpan w:val="12"/>
          </w:tcPr>
          <w:p>
            <w:pPr>
              <w:spacing w:after="0"/>
              <w:rPr>
                <w:sz w:val="20"/>
                <w:szCs w:val="20"/>
                <w:color w:val="auto"/>
              </w:rPr>
            </w:pPr>
            <w:r>
              <w:rPr>
                <w:rFonts w:ascii="Arial" w:cs="Arial" w:eastAsia="Arial" w:hAnsi="Arial"/>
                <w:sz w:val="13"/>
                <w:szCs w:val="13"/>
                <w:color w:val="auto"/>
              </w:rPr>
              <w:t xml:space="preserve">Last Name: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220" w:type="dxa"/>
            <w:vAlign w:val="bottom"/>
            <w:gridSpan w:val="2"/>
          </w:tcPr>
          <w:p>
            <w:pPr>
              <w:ind w:left="40"/>
              <w:spacing w:after="0"/>
              <w:rPr>
                <w:sz w:val="20"/>
                <w:szCs w:val="20"/>
                <w:color w:val="auto"/>
              </w:rPr>
            </w:pPr>
            <w:r>
              <w:rPr>
                <w:rFonts w:ascii="Arial" w:cs="Arial" w:eastAsia="Arial" w:hAnsi="Arial"/>
                <w:sz w:val="13"/>
                <w:szCs w:val="13"/>
                <w:color w:val="auto"/>
              </w:rPr>
              <w:t xml:space="preserve">   </w:t>
            </w:r>
          </w:p>
        </w:tc>
        <w:tc>
          <w:tcPr>
            <w:tcW w:w="100" w:type="dxa"/>
            <w:vAlign w:val="bottom"/>
          </w:tcPr>
          <w:p>
            <w:pPr>
              <w:jc w:val="right"/>
              <w:ind w:right="18"/>
              <w:spacing w:after="0"/>
              <w:rPr>
                <w:sz w:val="20"/>
                <w:szCs w:val="20"/>
                <w:color w:val="auto"/>
              </w:rPr>
            </w:pPr>
            <w:r>
              <w:rPr>
                <w:rFonts w:ascii="Arial" w:cs="Arial" w:eastAsia="Arial" w:hAnsi="Arial"/>
                <w:sz w:val="2"/>
                <w:szCs w:val="2"/>
                <w:color w:val="auto"/>
                <w:w w:val="97"/>
              </w:rPr>
              <w:t> </w:t>
            </w:r>
          </w:p>
        </w:tc>
        <w:tc>
          <w:tcPr>
            <w:tcW w:w="120" w:type="dxa"/>
            <w:vAlign w:val="bottom"/>
          </w:tcPr>
          <w:p>
            <w:pPr>
              <w:jc w:val="right"/>
              <w:spacing w:after="0"/>
              <w:rPr>
                <w:sz w:val="20"/>
                <w:szCs w:val="20"/>
                <w:color w:val="auto"/>
              </w:rPr>
            </w:pPr>
            <w:r>
              <w:rPr>
                <w:rFonts w:ascii="Arial" w:cs="Arial" w:eastAsia="Arial" w:hAnsi="Arial"/>
                <w:sz w:val="8"/>
                <w:szCs w:val="8"/>
                <w:color w:val="auto"/>
                <w:w w:val="74"/>
              </w:rPr>
              <w:t> </w:t>
            </w:r>
          </w:p>
        </w:tc>
        <w:tc>
          <w:tcPr>
            <w:tcW w:w="160" w:type="dxa"/>
            <w:vAlign w:val="bottom"/>
          </w:tcPr>
          <w:p>
            <w:pPr>
              <w:jc w:val="right"/>
              <w:spacing w:after="0"/>
              <w:rPr>
                <w:sz w:val="20"/>
                <w:szCs w:val="20"/>
                <w:color w:val="auto"/>
              </w:rPr>
            </w:pPr>
            <w:r>
              <w:rPr>
                <w:rFonts w:ascii="Arial" w:cs="Arial" w:eastAsia="Arial" w:hAnsi="Arial"/>
                <w:sz w:val="11"/>
                <w:szCs w:val="11"/>
                <w:color w:val="auto"/>
                <w:w w:val="72"/>
              </w:rPr>
              <w:t> </w:t>
            </w:r>
          </w:p>
        </w:tc>
        <w:tc>
          <w:tcPr>
            <w:tcW w:w="140" w:type="dxa"/>
            <w:vAlign w:val="bottom"/>
          </w:tcPr>
          <w:p>
            <w:pPr>
              <w:jc w:val="right"/>
              <w:ind w:right="37"/>
              <w:spacing w:after="0"/>
              <w:rPr>
                <w:sz w:val="20"/>
                <w:szCs w:val="20"/>
                <w:color w:val="auto"/>
              </w:rPr>
            </w:pPr>
            <w:r>
              <w:rPr>
                <w:rFonts w:ascii="Arial" w:cs="Arial" w:eastAsia="Arial" w:hAnsi="Arial"/>
                <w:sz w:val="4"/>
                <w:szCs w:val="4"/>
                <w:color w:val="auto"/>
                <w:w w:val="98"/>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20" w:type="dxa"/>
            <w:vAlign w:val="bottom"/>
          </w:tcPr>
          <w:p>
            <w:pPr>
              <w:ind w:left="20"/>
              <w:spacing w:after="0"/>
              <w:rPr>
                <w:sz w:val="20"/>
                <w:szCs w:val="20"/>
                <w:color w:val="auto"/>
              </w:rPr>
            </w:pPr>
            <w:r>
              <w:rPr>
                <w:rFonts w:ascii="Arial" w:cs="Arial" w:eastAsia="Arial" w:hAnsi="Arial"/>
                <w:sz w:val="8"/>
                <w:szCs w:val="8"/>
                <w:color w:val="auto"/>
                <w:w w:val="74"/>
              </w:rPr>
              <w:t> </w:t>
            </w:r>
          </w:p>
        </w:tc>
        <w:tc>
          <w:tcPr>
            <w:tcW w:w="80" w:type="dxa"/>
            <w:vAlign w:val="bottom"/>
          </w:tcPr>
          <w:p>
            <w:pPr>
              <w:ind w:left="20"/>
              <w:spacing w:after="0"/>
              <w:rPr>
                <w:sz w:val="20"/>
                <w:szCs w:val="20"/>
                <w:color w:val="auto"/>
              </w:rPr>
            </w:pPr>
            <w:r>
              <w:rPr>
                <w:rFonts w:ascii="Arial" w:cs="Arial" w:eastAsia="Arial" w:hAnsi="Arial"/>
                <w:sz w:val="13"/>
                <w:szCs w:val="13"/>
                <w:color w:val="auto"/>
              </w:rPr>
              <w:t> </w:t>
            </w:r>
          </w:p>
        </w:tc>
        <w:tc>
          <w:tcPr>
            <w:tcW w:w="1140" w:type="dxa"/>
            <w:vAlign w:val="bottom"/>
            <w:gridSpan w:val="4"/>
          </w:tcPr>
          <w:p>
            <w:pPr>
              <w:ind w:left="120"/>
              <w:spacing w:after="0"/>
              <w:rPr>
                <w:sz w:val="20"/>
                <w:szCs w:val="20"/>
                <w:color w:val="auto"/>
              </w:rPr>
            </w:pPr>
            <w:r>
              <w:rPr>
                <w:rFonts w:ascii="Arial" w:cs="Arial" w:eastAsia="Arial" w:hAnsi="Arial"/>
                <w:sz w:val="13"/>
                <w:szCs w:val="13"/>
                <w:color w:val="auto"/>
              </w:rPr>
              <w:t xml:space="preserve">State:              </w:t>
            </w:r>
          </w:p>
        </w:tc>
        <w:tc>
          <w:tcPr>
            <w:tcW w:w="160" w:type="dxa"/>
            <w:vAlign w:val="bottom"/>
          </w:tcPr>
          <w:p>
            <w:pPr>
              <w:jc w:val="right"/>
              <w:spacing w:after="0"/>
              <w:rPr>
                <w:sz w:val="20"/>
                <w:szCs w:val="20"/>
                <w:color w:val="auto"/>
              </w:rPr>
            </w:pPr>
            <w:r>
              <w:rPr>
                <w:rFonts w:ascii="Arial" w:cs="Arial" w:eastAsia="Arial" w:hAnsi="Arial"/>
                <w:sz w:val="13"/>
                <w:szCs w:val="13"/>
                <w:color w:val="auto"/>
              </w:rPr>
              <w:t xml:space="preserve">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gridSpan w:val="2"/>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jc w:val="center"/>
              <w:spacing w:after="0"/>
              <w:rPr>
                <w:sz w:val="20"/>
                <w:szCs w:val="20"/>
                <w:color w:val="auto"/>
              </w:rPr>
            </w:pPr>
            <w:r>
              <w:rPr>
                <w:rFonts w:ascii="Arial" w:cs="Arial" w:eastAsia="Arial" w:hAnsi="Arial"/>
                <w:sz w:val="4"/>
                <w:szCs w:val="4"/>
                <w:color w:val="auto"/>
                <w:w w:val="98"/>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4"/>
                <w:szCs w:val="4"/>
                <w:color w:val="auto"/>
                <w:w w:val="98"/>
              </w:rPr>
              <w:t> </w:t>
            </w:r>
          </w:p>
        </w:tc>
        <w:tc>
          <w:tcPr>
            <w:tcW w:w="380" w:type="dxa"/>
            <w:vAlign w:val="bottom"/>
            <w:gridSpan w:val="4"/>
          </w:tcPr>
          <w:p>
            <w:pPr>
              <w:ind w:left="40"/>
              <w:spacing w:after="0"/>
              <w:rPr>
                <w:sz w:val="20"/>
                <w:szCs w:val="20"/>
                <w:color w:val="auto"/>
              </w:rPr>
            </w:pPr>
            <w:r>
              <w:rPr>
                <w:rFonts w:ascii="Arial" w:cs="Arial" w:eastAsia="Arial" w:hAnsi="Arial"/>
                <w:sz w:val="13"/>
                <w:szCs w:val="13"/>
                <w:color w:val="auto"/>
                <w:w w:val="80"/>
              </w:rPr>
              <w:t> Zip:  </w:t>
            </w:r>
          </w:p>
        </w:tc>
        <w:tc>
          <w:tcPr>
            <w:tcW w:w="140" w:type="dxa"/>
            <w:vAlign w:val="bottom"/>
          </w:tcPr>
          <w:p>
            <w:pPr>
              <w:jc w:val="right"/>
              <w:spacing w:after="0"/>
              <w:rPr>
                <w:sz w:val="20"/>
                <w:szCs w:val="20"/>
                <w:color w:val="auto"/>
              </w:rPr>
            </w:pPr>
            <w:r>
              <w:rPr>
                <w:rFonts w:ascii="Arial" w:cs="Arial" w:eastAsia="Arial" w:hAnsi="Arial"/>
                <w:sz w:val="13"/>
                <w:szCs w:val="13"/>
                <w:color w:val="auto"/>
                <w:w w:val="76"/>
              </w:rPr>
              <w:t> </w:t>
            </w:r>
          </w:p>
        </w:tc>
        <w:tc>
          <w:tcPr>
            <w:tcW w:w="60" w:type="dxa"/>
            <w:vAlign w:val="bottom"/>
          </w:tcPr>
          <w:p>
            <w:pPr>
              <w:spacing w:after="0"/>
              <w:rPr>
                <w:sz w:val="18"/>
                <w:szCs w:val="18"/>
                <w:color w:val="auto"/>
              </w:rPr>
            </w:pPr>
          </w:p>
        </w:tc>
        <w:tc>
          <w:tcPr>
            <w:tcW w:w="120" w:type="dxa"/>
            <w:vAlign w:val="bottom"/>
          </w:tcPr>
          <w:p>
            <w:pPr>
              <w:jc w:val="right"/>
              <w:ind w:right="22"/>
              <w:spacing w:after="0"/>
              <w:rPr>
                <w:sz w:val="20"/>
                <w:szCs w:val="20"/>
                <w:color w:val="auto"/>
              </w:rPr>
            </w:pPr>
            <w:r>
              <w:rPr>
                <w:rFonts w:ascii="Arial" w:cs="Arial" w:eastAsia="Arial" w:hAnsi="Arial"/>
                <w:sz w:val="2"/>
                <w:szCs w:val="2"/>
                <w:color w:val="auto"/>
                <w:w w:val="97"/>
              </w:rPr>
              <w:t> </w:t>
            </w:r>
          </w:p>
        </w:tc>
        <w:tc>
          <w:tcPr>
            <w:tcW w:w="80" w:type="dxa"/>
            <w:vAlign w:val="bottom"/>
          </w:tcPr>
          <w:p>
            <w:pPr>
              <w:ind w:left="2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tcPr>
          <w:p>
            <w:pPr>
              <w:jc w:val="right"/>
              <w:spacing w:after="0"/>
              <w:rPr>
                <w:sz w:val="20"/>
                <w:szCs w:val="20"/>
                <w:color w:val="auto"/>
              </w:rPr>
            </w:pPr>
            <w:r>
              <w:rPr>
                <w:rFonts w:ascii="Arial" w:cs="Arial" w:eastAsia="Arial" w:hAnsi="Arial"/>
                <w:sz w:val="13"/>
                <w:szCs w:val="13"/>
                <w:color w:val="auto"/>
                <w:w w:val="76"/>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60" w:type="dxa"/>
            <w:vAlign w:val="bottom"/>
          </w:tcPr>
          <w:p>
            <w:pPr>
              <w:jc w:val="center"/>
              <w:spacing w:after="0"/>
              <w:rPr>
                <w:sz w:val="20"/>
                <w:szCs w:val="20"/>
                <w:color w:val="auto"/>
              </w:rPr>
            </w:pPr>
            <w:r>
              <w:rPr>
                <w:rFonts w:ascii="Arial" w:cs="Arial" w:eastAsia="Arial" w:hAnsi="Arial"/>
                <w:sz w:val="4"/>
                <w:szCs w:val="4"/>
                <w:color w:val="auto"/>
                <w:w w:val="98"/>
              </w:rPr>
              <w:t> </w:t>
            </w:r>
          </w:p>
        </w:tc>
        <w:tc>
          <w:tcPr>
            <w:tcW w:w="140" w:type="dxa"/>
            <w:vAlign w:val="bottom"/>
          </w:tcPr>
          <w:p>
            <w:pPr>
              <w:jc w:val="right"/>
              <w:spacing w:after="0"/>
              <w:rPr>
                <w:sz w:val="20"/>
                <w:szCs w:val="20"/>
                <w:color w:val="auto"/>
              </w:rPr>
            </w:pPr>
            <w:r>
              <w:rPr>
                <w:rFonts w:ascii="Arial" w:cs="Arial" w:eastAsia="Arial" w:hAnsi="Arial"/>
                <w:sz w:val="9"/>
                <w:szCs w:val="9"/>
                <w:color w:val="auto"/>
                <w:w w:val="73"/>
              </w:rPr>
              <w:t>  </w:t>
            </w:r>
          </w:p>
        </w:tc>
        <w:tc>
          <w:tcPr>
            <w:tcW w:w="140" w:type="dxa"/>
            <w:vAlign w:val="bottom"/>
          </w:tcPr>
          <w:p>
            <w:pPr>
              <w:jc w:val="right"/>
              <w:ind w:right="20"/>
              <w:spacing w:after="0"/>
              <w:rPr>
                <w:sz w:val="20"/>
                <w:szCs w:val="20"/>
                <w:color w:val="auto"/>
              </w:rPr>
            </w:pPr>
            <w:r>
              <w:rPr>
                <w:rFonts w:ascii="Arial" w:cs="Arial" w:eastAsia="Arial" w:hAnsi="Arial"/>
                <w:sz w:val="8"/>
                <w:szCs w:val="8"/>
                <w:color w:val="auto"/>
                <w:w w:val="74"/>
              </w:rPr>
              <w:t> </w:t>
            </w:r>
          </w:p>
        </w:tc>
        <w:tc>
          <w:tcPr>
            <w:tcW w:w="120" w:type="dxa"/>
            <w:vAlign w:val="bottom"/>
          </w:tcPr>
          <w:p>
            <w:pPr>
              <w:jc w:val="right"/>
              <w:ind w:right="2"/>
              <w:spacing w:after="0"/>
              <w:rPr>
                <w:sz w:val="20"/>
                <w:szCs w:val="20"/>
                <w:color w:val="auto"/>
              </w:rPr>
            </w:pPr>
            <w:r>
              <w:rPr>
                <w:rFonts w:ascii="Arial" w:cs="Arial" w:eastAsia="Arial" w:hAnsi="Arial"/>
                <w:sz w:val="8"/>
                <w:szCs w:val="8"/>
                <w:color w:val="auto"/>
                <w:w w:val="74"/>
              </w:rPr>
              <w:t> </w:t>
            </w:r>
          </w:p>
        </w:tc>
        <w:tc>
          <w:tcPr>
            <w:tcW w:w="160" w:type="dxa"/>
            <w:vAlign w:val="bottom"/>
          </w:tcPr>
          <w:p>
            <w:pPr>
              <w:ind w:left="60"/>
              <w:spacing w:after="0"/>
              <w:rPr>
                <w:sz w:val="20"/>
                <w:szCs w:val="20"/>
                <w:color w:val="auto"/>
              </w:rPr>
            </w:pPr>
            <w:r>
              <w:rPr>
                <w:rFonts w:ascii="Arial" w:cs="Arial" w:eastAsia="Arial" w:hAnsi="Arial"/>
                <w:sz w:val="9"/>
                <w:szCs w:val="9"/>
                <w:color w:val="auto"/>
                <w:w w:val="73"/>
              </w:rPr>
              <w:t>  </w:t>
            </w:r>
          </w:p>
        </w:tc>
        <w:tc>
          <w:tcPr>
            <w:tcW w:w="240" w:type="dxa"/>
            <w:vAlign w:val="bottom"/>
            <w:gridSpan w:val="2"/>
          </w:tcPr>
          <w:p>
            <w:pPr>
              <w:ind w:left="60"/>
              <w:spacing w:after="0"/>
              <w:rPr>
                <w:sz w:val="20"/>
                <w:szCs w:val="20"/>
                <w:color w:val="auto"/>
              </w:rPr>
            </w:pPr>
            <w:r>
              <w:rPr>
                <w:rFonts w:ascii="Arial" w:cs="Arial" w:eastAsia="Arial" w:hAnsi="Arial"/>
                <w:sz w:val="13"/>
                <w:szCs w:val="13"/>
                <w:color w:val="auto"/>
              </w:rPr>
              <w:t> </w:t>
            </w:r>
          </w:p>
        </w:tc>
      </w:tr>
      <w:tr>
        <w:trPr>
          <w:trHeight w:val="20"/>
        </w:trPr>
        <w:tc>
          <w:tcPr>
            <w:tcW w:w="700" w:type="dxa"/>
            <w:vAlign w:val="bottom"/>
            <w:gridSpan w:val="3"/>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60" w:type="dxa"/>
            <w:vAlign w:val="bottom"/>
            <w:tcBorders>
              <w:right w:val="single" w:sz="8" w:color="auto"/>
            </w:tcBorders>
            <w:gridSpan w:val="2"/>
            <w:shd w:val="clear" w:color="auto" w:fill="000000"/>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8"/>
        </w:trPr>
        <w:tc>
          <w:tcPr>
            <w:tcW w:w="1460" w:type="dxa"/>
            <w:vAlign w:val="bottom"/>
            <w:gridSpan w:val="6"/>
          </w:tcPr>
          <w:p>
            <w:pPr>
              <w:spacing w:after="0"/>
              <w:rPr>
                <w:sz w:val="20"/>
                <w:szCs w:val="20"/>
                <w:color w:val="auto"/>
              </w:rPr>
            </w:pPr>
            <w:r>
              <w:rPr>
                <w:rFonts w:ascii="Arial" w:cs="Arial" w:eastAsia="Arial" w:hAnsi="Arial"/>
                <w:sz w:val="13"/>
                <w:szCs w:val="13"/>
                <w:color w:val="auto"/>
              </w:rPr>
              <w:t xml:space="preserve">SSN/TIN: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80" w:type="dxa"/>
            <w:vAlign w:val="bottom"/>
          </w:tcPr>
          <w:p>
            <w:pPr>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220" w:type="dxa"/>
            <w:vAlign w:val="bottom"/>
            <w:gridSpan w:val="2"/>
          </w:tcPr>
          <w:p>
            <w:pPr>
              <w:ind w:left="40"/>
              <w:spacing w:after="0"/>
              <w:rPr>
                <w:sz w:val="20"/>
                <w:szCs w:val="20"/>
                <w:color w:val="auto"/>
              </w:rPr>
            </w:pPr>
            <w:r>
              <w:rPr>
                <w:rFonts w:ascii="Arial" w:cs="Arial" w:eastAsia="Arial" w:hAnsi="Arial"/>
                <w:sz w:val="13"/>
                <w:szCs w:val="13"/>
                <w:color w:val="auto"/>
              </w:rPr>
              <w:t xml:space="preserve">   </w:t>
            </w:r>
          </w:p>
        </w:tc>
        <w:tc>
          <w:tcPr>
            <w:tcW w:w="100" w:type="dxa"/>
            <w:vAlign w:val="bottom"/>
          </w:tcPr>
          <w:p>
            <w:pPr>
              <w:jc w:val="right"/>
              <w:spacing w:after="0"/>
              <w:rPr>
                <w:sz w:val="20"/>
                <w:szCs w:val="20"/>
                <w:color w:val="auto"/>
              </w:rPr>
            </w:pPr>
            <w:r>
              <w:rPr>
                <w:rFonts w:ascii="Arial" w:cs="Arial" w:eastAsia="Arial" w:hAnsi="Arial"/>
                <w:sz w:val="4"/>
                <w:szCs w:val="4"/>
                <w:color w:val="auto"/>
                <w:w w:val="98"/>
              </w:rPr>
              <w:t> </w:t>
            </w:r>
          </w:p>
        </w:tc>
        <w:tc>
          <w:tcPr>
            <w:tcW w:w="120" w:type="dxa"/>
            <w:vAlign w:val="bottom"/>
          </w:tcPr>
          <w:p>
            <w:pPr>
              <w:jc w:val="right"/>
              <w:spacing w:after="0"/>
              <w:rPr>
                <w:sz w:val="20"/>
                <w:szCs w:val="20"/>
                <w:color w:val="auto"/>
              </w:rPr>
            </w:pPr>
            <w:r>
              <w:rPr>
                <w:rFonts w:ascii="Arial" w:cs="Arial" w:eastAsia="Arial" w:hAnsi="Arial"/>
                <w:sz w:val="11"/>
                <w:szCs w:val="11"/>
                <w:color w:val="auto"/>
                <w:w w:val="72"/>
              </w:rPr>
              <w:t> </w:t>
            </w:r>
          </w:p>
        </w:tc>
        <w:tc>
          <w:tcPr>
            <w:tcW w:w="160" w:type="dxa"/>
            <w:vAlign w:val="bottom"/>
          </w:tcPr>
          <w:p>
            <w:pPr>
              <w:jc w:val="right"/>
              <w:spacing w:after="0"/>
              <w:rPr>
                <w:sz w:val="20"/>
                <w:szCs w:val="20"/>
                <w:color w:val="auto"/>
              </w:rPr>
            </w:pPr>
            <w:r>
              <w:rPr>
                <w:rFonts w:ascii="Arial" w:cs="Arial" w:eastAsia="Arial" w:hAnsi="Arial"/>
                <w:sz w:val="11"/>
                <w:szCs w:val="11"/>
                <w:color w:val="auto"/>
                <w:w w:val="72"/>
              </w:rPr>
              <w:t> </w:t>
            </w:r>
          </w:p>
        </w:tc>
        <w:tc>
          <w:tcPr>
            <w:tcW w:w="140" w:type="dxa"/>
            <w:vAlign w:val="bottom"/>
          </w:tcPr>
          <w:p>
            <w:pPr>
              <w:jc w:val="right"/>
              <w:spacing w:after="0"/>
              <w:rPr>
                <w:sz w:val="20"/>
                <w:szCs w:val="20"/>
                <w:color w:val="auto"/>
              </w:rPr>
            </w:pPr>
            <w:r>
              <w:rPr>
                <w:rFonts w:ascii="Arial" w:cs="Arial" w:eastAsia="Arial" w:hAnsi="Arial"/>
                <w:sz w:val="9"/>
                <w:szCs w:val="9"/>
                <w:color w:val="auto"/>
                <w:w w:val="73"/>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20" w:type="dxa"/>
            <w:vAlign w:val="bottom"/>
          </w:tcPr>
          <w:p>
            <w:pPr>
              <w:ind w:left="60"/>
              <w:spacing w:after="0"/>
              <w:rPr>
                <w:sz w:val="20"/>
                <w:szCs w:val="20"/>
                <w:color w:val="auto"/>
              </w:rPr>
            </w:pPr>
            <w:r>
              <w:rPr>
                <w:rFonts w:ascii="Arial" w:cs="Arial" w:eastAsia="Arial" w:hAnsi="Arial"/>
                <w:sz w:val="2"/>
                <w:szCs w:val="2"/>
                <w:color w:val="auto"/>
                <w:w w:val="97"/>
              </w:rPr>
              <w:t> </w:t>
            </w:r>
          </w:p>
        </w:tc>
        <w:tc>
          <w:tcPr>
            <w:tcW w:w="80" w:type="dxa"/>
            <w:vAlign w:val="bottom"/>
          </w:tcPr>
          <w:p>
            <w:pPr>
              <w:spacing w:after="0"/>
              <w:rPr>
                <w:sz w:val="18"/>
                <w:szCs w:val="18"/>
                <w:color w:val="auto"/>
              </w:rPr>
            </w:pPr>
          </w:p>
        </w:tc>
        <w:tc>
          <w:tcPr>
            <w:tcW w:w="1560" w:type="dxa"/>
            <w:vAlign w:val="bottom"/>
            <w:gridSpan w:val="8"/>
          </w:tcPr>
          <w:p>
            <w:pPr>
              <w:ind w:left="120"/>
              <w:spacing w:after="0"/>
              <w:rPr>
                <w:sz w:val="20"/>
                <w:szCs w:val="20"/>
                <w:color w:val="auto"/>
              </w:rPr>
            </w:pPr>
            <w:r>
              <w:rPr>
                <w:rFonts w:ascii="Arial" w:cs="Arial" w:eastAsia="Arial" w:hAnsi="Arial"/>
                <w:sz w:val="13"/>
                <w:szCs w:val="13"/>
                <w:color w:val="auto"/>
                <w:w w:val="96"/>
              </w:rPr>
              <w:t>Relationship to Owner:  </w:t>
            </w:r>
          </w:p>
        </w:tc>
        <w:tc>
          <w:tcPr>
            <w:tcW w:w="140" w:type="dxa"/>
            <w:vAlign w:val="bottom"/>
          </w:tcPr>
          <w:p>
            <w:pPr>
              <w:jc w:val="center"/>
              <w:spacing w:after="0"/>
              <w:rPr>
                <w:sz w:val="20"/>
                <w:szCs w:val="20"/>
                <w:color w:val="auto"/>
              </w:rPr>
            </w:pPr>
            <w:r>
              <w:rPr>
                <w:rFonts w:ascii="Arial" w:cs="Arial" w:eastAsia="Arial" w:hAnsi="Arial"/>
                <w:sz w:val="4"/>
                <w:szCs w:val="4"/>
                <w:color w:val="auto"/>
                <w:w w:val="98"/>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20" w:type="dxa"/>
            <w:vAlign w:val="bottom"/>
            <w:gridSpan w:val="2"/>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tcPr>
          <w:p>
            <w:pPr>
              <w:jc w:val="right"/>
              <w:spacing w:after="0"/>
              <w:rPr>
                <w:sz w:val="20"/>
                <w:szCs w:val="20"/>
                <w:color w:val="auto"/>
              </w:rPr>
            </w:pPr>
            <w:r>
              <w:rPr>
                <w:rFonts w:ascii="Arial" w:cs="Arial" w:eastAsia="Arial" w:hAnsi="Arial"/>
                <w:sz w:val="13"/>
                <w:szCs w:val="13"/>
                <w:color w:val="auto"/>
                <w:w w:val="76"/>
              </w:rPr>
              <w:t>  </w:t>
            </w:r>
          </w:p>
        </w:tc>
        <w:tc>
          <w:tcPr>
            <w:tcW w:w="6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220" w:type="dxa"/>
            <w:vAlign w:val="bottom"/>
            <w:gridSpan w:val="2"/>
          </w:tcPr>
          <w:p>
            <w:pPr>
              <w:jc w:val="center"/>
              <w:spacing w:after="0"/>
              <w:rPr>
                <w:sz w:val="20"/>
                <w:szCs w:val="20"/>
                <w:color w:val="auto"/>
              </w:rPr>
            </w:pPr>
            <w:r>
              <w:rPr>
                <w:rFonts w:ascii="Arial" w:cs="Arial" w:eastAsia="Arial" w:hAnsi="Arial"/>
                <w:sz w:val="13"/>
                <w:szCs w:val="13"/>
                <w:color w:val="auto"/>
              </w:rPr>
              <w:t xml:space="preserve">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jc w:val="right"/>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60" w:type="dxa"/>
            <w:vAlign w:val="bottom"/>
          </w:tcPr>
          <w:p>
            <w:pPr>
              <w:jc w:val="right"/>
              <w:ind w:right="34"/>
              <w:spacing w:after="0"/>
              <w:rPr>
                <w:sz w:val="20"/>
                <w:szCs w:val="20"/>
                <w:color w:val="auto"/>
              </w:rPr>
            </w:pPr>
            <w:r>
              <w:rPr>
                <w:rFonts w:ascii="Arial" w:cs="Arial" w:eastAsia="Arial" w:hAnsi="Arial"/>
                <w:sz w:val="8"/>
                <w:szCs w:val="8"/>
                <w:color w:val="auto"/>
                <w:w w:val="74"/>
              </w:rPr>
              <w:t> </w:t>
            </w:r>
          </w:p>
        </w:tc>
        <w:tc>
          <w:tcPr>
            <w:tcW w:w="140" w:type="dxa"/>
            <w:vAlign w:val="bottom"/>
          </w:tcPr>
          <w:p>
            <w:pPr>
              <w:jc w:val="center"/>
              <w:spacing w:after="0"/>
              <w:rPr>
                <w:sz w:val="20"/>
                <w:szCs w:val="20"/>
                <w:color w:val="auto"/>
              </w:rPr>
            </w:pPr>
            <w:r>
              <w:rPr>
                <w:rFonts w:ascii="Arial" w:cs="Arial" w:eastAsia="Arial" w:hAnsi="Arial"/>
                <w:sz w:val="13"/>
                <w:szCs w:val="13"/>
                <w:color w:val="auto"/>
              </w:rPr>
              <w:t xml:space="preserve">   </w:t>
            </w:r>
          </w:p>
        </w:tc>
        <w:tc>
          <w:tcPr>
            <w:tcW w:w="140" w:type="dxa"/>
            <w:vAlign w:val="bottom"/>
          </w:tcPr>
          <w:p>
            <w:pPr>
              <w:jc w:val="right"/>
              <w:spacing w:after="0"/>
              <w:rPr>
                <w:sz w:val="20"/>
                <w:szCs w:val="20"/>
                <w:color w:val="auto"/>
              </w:rPr>
            </w:pPr>
            <w:r>
              <w:rPr>
                <w:rFonts w:ascii="Arial" w:cs="Arial" w:eastAsia="Arial" w:hAnsi="Arial"/>
                <w:sz w:val="11"/>
                <w:szCs w:val="11"/>
                <w:color w:val="auto"/>
                <w:w w:val="72"/>
              </w:rPr>
              <w:t> </w:t>
            </w:r>
          </w:p>
        </w:tc>
        <w:tc>
          <w:tcPr>
            <w:tcW w:w="120" w:type="dxa"/>
            <w:vAlign w:val="bottom"/>
          </w:tcPr>
          <w:p>
            <w:pPr>
              <w:jc w:val="right"/>
              <w:spacing w:after="0"/>
              <w:rPr>
                <w:sz w:val="20"/>
                <w:szCs w:val="20"/>
                <w:color w:val="auto"/>
              </w:rPr>
            </w:pPr>
            <w:r>
              <w:rPr>
                <w:rFonts w:ascii="Arial" w:cs="Arial" w:eastAsia="Arial" w:hAnsi="Arial"/>
                <w:sz w:val="11"/>
                <w:szCs w:val="11"/>
                <w:color w:val="auto"/>
                <w:w w:val="72"/>
              </w:rPr>
              <w:t> </w:t>
            </w:r>
          </w:p>
        </w:tc>
        <w:tc>
          <w:tcPr>
            <w:tcW w:w="160" w:type="dxa"/>
            <w:vAlign w:val="bottom"/>
          </w:tcPr>
          <w:p>
            <w:pPr>
              <w:ind w:left="80"/>
              <w:spacing w:after="0"/>
              <w:rPr>
                <w:sz w:val="20"/>
                <w:szCs w:val="20"/>
                <w:color w:val="auto"/>
              </w:rPr>
            </w:pPr>
            <w:r>
              <w:rPr>
                <w:rFonts w:ascii="Arial" w:cs="Arial" w:eastAsia="Arial" w:hAnsi="Arial"/>
                <w:sz w:val="7"/>
                <w:szCs w:val="7"/>
                <w:color w:val="auto"/>
                <w:w w:val="70"/>
              </w:rPr>
              <w:t>  </w:t>
            </w:r>
          </w:p>
        </w:tc>
        <w:tc>
          <w:tcPr>
            <w:tcW w:w="240" w:type="dxa"/>
            <w:vAlign w:val="bottom"/>
            <w:gridSpan w:val="2"/>
          </w:tcPr>
          <w:p>
            <w:pPr>
              <w:ind w:left="80"/>
              <w:spacing w:after="0"/>
              <w:rPr>
                <w:sz w:val="20"/>
                <w:szCs w:val="20"/>
                <w:color w:val="auto"/>
              </w:rPr>
            </w:pPr>
            <w:r>
              <w:rPr>
                <w:rFonts w:ascii="Arial" w:cs="Arial" w:eastAsia="Arial" w:hAnsi="Arial"/>
                <w:sz w:val="13"/>
                <w:szCs w:val="13"/>
                <w:color w:val="auto"/>
              </w:rPr>
              <w:t> </w:t>
            </w:r>
          </w:p>
        </w:tc>
      </w:tr>
      <w:tr>
        <w:trPr>
          <w:trHeight w:val="20"/>
        </w:trPr>
        <w:tc>
          <w:tcPr>
            <w:tcW w:w="580" w:type="dxa"/>
            <w:vAlign w:val="bottom"/>
            <w:gridSpan w:val="2"/>
          </w:tcPr>
          <w:p>
            <w:pPr>
              <w:spacing w:after="0" w:line="20" w:lineRule="exact"/>
              <w:rPr>
                <w:sz w:val="1"/>
                <w:szCs w:val="1"/>
                <w:color w:val="auto"/>
              </w:rPr>
            </w:pPr>
          </w:p>
        </w:tc>
        <w:tc>
          <w:tcPr>
            <w:tcW w:w="880" w:type="dxa"/>
            <w:vAlign w:val="bottom"/>
            <w:gridSpan w:val="4"/>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gridSpan w:val="9"/>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8"/>
        </w:trPr>
        <w:tc>
          <w:tcPr>
            <w:tcW w:w="1460" w:type="dxa"/>
            <w:vAlign w:val="bottom"/>
            <w:gridSpan w:val="6"/>
          </w:tcPr>
          <w:p>
            <w:pPr>
              <w:spacing w:after="0"/>
              <w:rPr>
                <w:sz w:val="20"/>
                <w:szCs w:val="20"/>
                <w:color w:val="auto"/>
              </w:rPr>
            </w:pPr>
            <w:r>
              <w:rPr>
                <w:rFonts w:ascii="Arial" w:cs="Arial" w:eastAsia="Arial" w:hAnsi="Arial"/>
                <w:sz w:val="13"/>
                <w:szCs w:val="13"/>
                <w:color w:val="auto"/>
              </w:rPr>
              <w:t xml:space="preserve">Date of Birth/Trust: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80" w:type="dxa"/>
            <w:vAlign w:val="bottom"/>
          </w:tcPr>
          <w:p>
            <w:pPr>
              <w:jc w:val="center"/>
              <w:spacing w:after="0"/>
              <w:rPr>
                <w:sz w:val="20"/>
                <w:szCs w:val="20"/>
                <w:color w:val="auto"/>
              </w:rPr>
            </w:pPr>
            <w:r>
              <w:rPr>
                <w:rFonts w:ascii="Arial" w:cs="Arial" w:eastAsia="Arial" w:hAnsi="Arial"/>
                <w:sz w:val="2"/>
                <w:szCs w:val="2"/>
                <w:color w:val="auto"/>
                <w:w w:val="97"/>
              </w:rPr>
              <w:t> </w:t>
            </w:r>
          </w:p>
        </w:tc>
        <w:tc>
          <w:tcPr>
            <w:tcW w:w="80" w:type="dxa"/>
            <w:vAlign w:val="bottom"/>
          </w:tcPr>
          <w:p>
            <w:pPr>
              <w:ind w:left="2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260" w:type="dxa"/>
            <w:vAlign w:val="bottom"/>
            <w:gridSpan w:val="2"/>
          </w:tcPr>
          <w:p>
            <w:pPr>
              <w:ind w:left="80"/>
              <w:spacing w:after="0"/>
              <w:rPr>
                <w:sz w:val="20"/>
                <w:szCs w:val="20"/>
                <w:color w:val="auto"/>
              </w:rPr>
            </w:pPr>
            <w:r>
              <w:rPr>
                <w:rFonts w:ascii="Arial" w:cs="Arial" w:eastAsia="Arial" w:hAnsi="Arial"/>
                <w:sz w:val="13"/>
                <w:szCs w:val="13"/>
                <w:color w:val="auto"/>
              </w:rPr>
              <w:t xml:space="preserve">   </w:t>
            </w:r>
          </w:p>
        </w:tc>
        <w:tc>
          <w:tcPr>
            <w:tcW w:w="100" w:type="dxa"/>
            <w:vAlign w:val="bottom"/>
          </w:tcPr>
          <w:p>
            <w:pPr>
              <w:ind w:left="20"/>
              <w:spacing w:after="0"/>
              <w:rPr>
                <w:sz w:val="20"/>
                <w:szCs w:val="20"/>
                <w:color w:val="auto"/>
              </w:rPr>
            </w:pPr>
            <w:r>
              <w:rPr>
                <w:rFonts w:ascii="Arial" w:cs="Arial" w:eastAsia="Arial" w:hAnsi="Arial"/>
                <w:sz w:val="8"/>
                <w:szCs w:val="8"/>
                <w:color w:val="auto"/>
                <w:w w:val="74"/>
              </w:rPr>
              <w:t> </w:t>
            </w:r>
          </w:p>
        </w:tc>
        <w:tc>
          <w:tcPr>
            <w:tcW w:w="100" w:type="dxa"/>
            <w:vAlign w:val="bottom"/>
          </w:tcPr>
          <w:p>
            <w:pPr>
              <w:jc w:val="right"/>
              <w:spacing w:after="0"/>
              <w:rPr>
                <w:sz w:val="20"/>
                <w:szCs w:val="20"/>
                <w:color w:val="auto"/>
              </w:rPr>
            </w:pPr>
            <w:r>
              <w:rPr>
                <w:rFonts w:ascii="Arial" w:cs="Arial" w:eastAsia="Arial" w:hAnsi="Arial"/>
                <w:sz w:val="8"/>
                <w:szCs w:val="8"/>
                <w:color w:val="auto"/>
                <w:w w:val="74"/>
              </w:rPr>
              <w:t> </w:t>
            </w:r>
          </w:p>
        </w:tc>
        <w:tc>
          <w:tcPr>
            <w:tcW w:w="120" w:type="dxa"/>
            <w:vAlign w:val="bottom"/>
          </w:tcPr>
          <w:p>
            <w:pPr>
              <w:jc w:val="right"/>
              <w:spacing w:after="0"/>
              <w:rPr>
                <w:sz w:val="20"/>
                <w:szCs w:val="20"/>
                <w:color w:val="auto"/>
              </w:rPr>
            </w:pPr>
            <w:r>
              <w:rPr>
                <w:rFonts w:ascii="Arial" w:cs="Arial" w:eastAsia="Arial" w:hAnsi="Arial"/>
                <w:sz w:val="13"/>
                <w:szCs w:val="13"/>
                <w:color w:val="auto"/>
                <w:w w:val="76"/>
              </w:rPr>
              <w:t> </w:t>
            </w:r>
          </w:p>
        </w:tc>
        <w:tc>
          <w:tcPr>
            <w:tcW w:w="160" w:type="dxa"/>
            <w:vAlign w:val="bottom"/>
          </w:tcPr>
          <w:p>
            <w:pPr>
              <w:jc w:val="right"/>
              <w:spacing w:after="0"/>
              <w:rPr>
                <w:sz w:val="20"/>
                <w:szCs w:val="20"/>
                <w:color w:val="auto"/>
              </w:rPr>
            </w:pPr>
            <w:r>
              <w:rPr>
                <w:rFonts w:ascii="Arial" w:cs="Arial" w:eastAsia="Arial" w:hAnsi="Arial"/>
                <w:sz w:val="13"/>
                <w:szCs w:val="13"/>
                <w:color w:val="auto"/>
                <w:w w:val="76"/>
              </w:rPr>
              <w:t> </w:t>
            </w:r>
          </w:p>
        </w:tc>
        <w:tc>
          <w:tcPr>
            <w:tcW w:w="140" w:type="dxa"/>
            <w:vAlign w:val="bottom"/>
          </w:tcPr>
          <w:p>
            <w:pPr>
              <w:jc w:val="right"/>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20" w:type="dxa"/>
            <w:vAlign w:val="bottom"/>
          </w:tcPr>
          <w:p>
            <w:pPr>
              <w:ind w:left="40"/>
              <w:spacing w:after="0"/>
              <w:rPr>
                <w:sz w:val="20"/>
                <w:szCs w:val="20"/>
                <w:color w:val="auto"/>
              </w:rPr>
            </w:pPr>
            <w:r>
              <w:rPr>
                <w:rFonts w:ascii="Arial" w:cs="Arial" w:eastAsia="Arial" w:hAnsi="Arial"/>
                <w:sz w:val="4"/>
                <w:szCs w:val="4"/>
                <w:color w:val="auto"/>
                <w:w w:val="98"/>
              </w:rPr>
              <w:t> </w:t>
            </w:r>
          </w:p>
        </w:tc>
        <w:tc>
          <w:tcPr>
            <w:tcW w:w="80" w:type="dxa"/>
            <w:vAlign w:val="bottom"/>
          </w:tcPr>
          <w:p>
            <w:pPr>
              <w:spacing w:after="0"/>
              <w:rPr>
                <w:sz w:val="18"/>
                <w:szCs w:val="18"/>
                <w:color w:val="auto"/>
              </w:rPr>
            </w:pPr>
          </w:p>
        </w:tc>
        <w:tc>
          <w:tcPr>
            <w:tcW w:w="1140" w:type="dxa"/>
            <w:vAlign w:val="bottom"/>
            <w:gridSpan w:val="4"/>
          </w:tcPr>
          <w:p>
            <w:pPr>
              <w:ind w:left="120"/>
              <w:spacing w:after="0"/>
              <w:rPr>
                <w:sz w:val="20"/>
                <w:szCs w:val="20"/>
                <w:color w:val="auto"/>
              </w:rPr>
            </w:pPr>
            <w:r>
              <w:rPr>
                <w:rFonts w:ascii="Arial" w:cs="Arial" w:eastAsia="Arial" w:hAnsi="Arial"/>
                <w:sz w:val="13"/>
                <w:szCs w:val="13"/>
                <w:color w:val="auto"/>
                <w:w w:val="91"/>
              </w:rPr>
              <w:t>Phone Number:  </w:t>
            </w:r>
          </w:p>
        </w:tc>
        <w:tc>
          <w:tcPr>
            <w:tcW w:w="160" w:type="dxa"/>
            <w:vAlign w:val="bottom"/>
          </w:tcPr>
          <w:p>
            <w:pPr>
              <w:jc w:val="right"/>
              <w:spacing w:after="0"/>
              <w:rPr>
                <w:sz w:val="20"/>
                <w:szCs w:val="20"/>
                <w:color w:val="auto"/>
              </w:rPr>
            </w:pPr>
            <w:r>
              <w:rPr>
                <w:rFonts w:ascii="Arial" w:cs="Arial" w:eastAsia="Arial" w:hAnsi="Arial"/>
                <w:sz w:val="13"/>
                <w:szCs w:val="13"/>
                <w:color w:val="auto"/>
                <w:w w:val="91"/>
              </w:rPr>
              <w:t> </w:t>
            </w:r>
          </w:p>
        </w:tc>
        <w:tc>
          <w:tcPr>
            <w:tcW w:w="120" w:type="dxa"/>
            <w:vAlign w:val="bottom"/>
          </w:tcPr>
          <w:p>
            <w:pPr>
              <w:ind w:left="80"/>
              <w:spacing w:after="0"/>
              <w:rPr>
                <w:sz w:val="20"/>
                <w:szCs w:val="20"/>
                <w:color w:val="auto"/>
              </w:rPr>
            </w:pPr>
            <w:r>
              <w:rPr>
                <w:rFonts w:ascii="Arial" w:cs="Arial" w:eastAsia="Arial" w:hAnsi="Arial"/>
                <w:sz w:val="2"/>
                <w:szCs w:val="2"/>
                <w:color w:val="auto"/>
                <w:w w:val="97"/>
              </w:rPr>
              <w:t> </w:t>
            </w:r>
          </w:p>
        </w:tc>
        <w:tc>
          <w:tcPr>
            <w:tcW w:w="60" w:type="dxa"/>
            <w:vAlign w:val="bottom"/>
          </w:tcPr>
          <w:p>
            <w:pPr>
              <w:spacing w:after="0"/>
              <w:rPr>
                <w:sz w:val="18"/>
                <w:szCs w:val="18"/>
                <w:color w:val="auto"/>
              </w:rPr>
            </w:pPr>
          </w:p>
        </w:tc>
        <w:tc>
          <w:tcPr>
            <w:tcW w:w="80" w:type="dxa"/>
            <w:vAlign w:val="bottom"/>
          </w:tcPr>
          <w:p>
            <w:pPr>
              <w:ind w:left="2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2"/>
                <w:szCs w:val="2"/>
                <w:color w:val="auto"/>
                <w:w w:val="97"/>
              </w:rPr>
              <w:t> </w:t>
            </w:r>
          </w:p>
        </w:tc>
        <w:tc>
          <w:tcPr>
            <w:tcW w:w="120" w:type="dxa"/>
            <w:vAlign w:val="bottom"/>
          </w:tcPr>
          <w:p>
            <w:pPr>
              <w:ind w:left="80"/>
              <w:spacing w:after="0"/>
              <w:rPr>
                <w:sz w:val="20"/>
                <w:szCs w:val="20"/>
                <w:color w:val="auto"/>
              </w:rPr>
            </w:pPr>
            <w:r>
              <w:rPr>
                <w:rFonts w:ascii="Arial" w:cs="Arial" w:eastAsia="Arial" w:hAnsi="Arial"/>
                <w:sz w:val="2"/>
                <w:szCs w:val="2"/>
                <w:color w:val="auto"/>
                <w:w w:val="97"/>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60" w:type="dxa"/>
            <w:vAlign w:val="bottom"/>
          </w:tcPr>
          <w:p>
            <w:pPr>
              <w:spacing w:after="0"/>
              <w:rPr>
                <w:sz w:val="18"/>
                <w:szCs w:val="18"/>
                <w:color w:val="auto"/>
              </w:rPr>
            </w:pPr>
          </w:p>
        </w:tc>
        <w:tc>
          <w:tcPr>
            <w:tcW w:w="60" w:type="dxa"/>
            <w:vAlign w:val="bottom"/>
          </w:tcPr>
          <w:p>
            <w:pPr>
              <w:ind w:left="20"/>
              <w:spacing w:after="0"/>
              <w:rPr>
                <w:sz w:val="20"/>
                <w:szCs w:val="20"/>
                <w:color w:val="auto"/>
              </w:rPr>
            </w:pPr>
            <w:r>
              <w:rPr>
                <w:rFonts w:ascii="Arial" w:cs="Arial" w:eastAsia="Arial" w:hAnsi="Arial"/>
                <w:sz w:val="2"/>
                <w:szCs w:val="2"/>
                <w:color w:val="auto"/>
                <w:w w:val="97"/>
              </w:rPr>
              <w:t> </w:t>
            </w:r>
          </w:p>
        </w:tc>
        <w:tc>
          <w:tcPr>
            <w:tcW w:w="140" w:type="dxa"/>
            <w:vAlign w:val="bottom"/>
          </w:tcPr>
          <w:p>
            <w:pPr>
              <w:jc w:val="right"/>
              <w:spacing w:after="0"/>
              <w:rPr>
                <w:sz w:val="20"/>
                <w:szCs w:val="20"/>
                <w:color w:val="auto"/>
              </w:rPr>
            </w:pPr>
            <w:r>
              <w:rPr>
                <w:rFonts w:ascii="Arial" w:cs="Arial" w:eastAsia="Arial" w:hAnsi="Arial"/>
                <w:sz w:val="13"/>
                <w:szCs w:val="13"/>
                <w:color w:val="auto"/>
                <w:w w:val="76"/>
              </w:rPr>
              <w:t> </w:t>
            </w:r>
          </w:p>
        </w:tc>
        <w:tc>
          <w:tcPr>
            <w:tcW w:w="60" w:type="dxa"/>
            <w:vAlign w:val="bottom"/>
          </w:tcPr>
          <w:p>
            <w:pPr>
              <w:spacing w:after="0"/>
              <w:rPr>
                <w:sz w:val="18"/>
                <w:szCs w:val="18"/>
                <w:color w:val="auto"/>
              </w:rPr>
            </w:pPr>
          </w:p>
        </w:tc>
        <w:tc>
          <w:tcPr>
            <w:tcW w:w="200" w:type="dxa"/>
            <w:vAlign w:val="bottom"/>
            <w:gridSpan w:val="2"/>
          </w:tcPr>
          <w:p>
            <w:pPr>
              <w:ind w:left="20"/>
              <w:spacing w:after="0"/>
              <w:rPr>
                <w:sz w:val="20"/>
                <w:szCs w:val="20"/>
                <w:color w:val="auto"/>
              </w:rPr>
            </w:pPr>
            <w:r>
              <w:rPr>
                <w:rFonts w:ascii="Arial" w:cs="Arial" w:eastAsia="Arial" w:hAnsi="Arial"/>
                <w:sz w:val="13"/>
                <w:szCs w:val="13"/>
                <w:color w:val="auto"/>
              </w:rPr>
              <w:t xml:space="preserve">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360" w:type="dxa"/>
            <w:vAlign w:val="bottom"/>
            <w:gridSpan w:val="10"/>
          </w:tcPr>
          <w:p>
            <w:pPr>
              <w:ind w:left="40"/>
              <w:spacing w:after="0"/>
              <w:rPr>
                <w:sz w:val="20"/>
                <w:szCs w:val="20"/>
                <w:color w:val="auto"/>
              </w:rPr>
            </w:pPr>
            <w:r>
              <w:rPr>
                <w:rFonts w:ascii="Arial" w:cs="Arial" w:eastAsia="Arial" w:hAnsi="Arial"/>
                <w:sz w:val="13"/>
                <w:szCs w:val="13"/>
                <w:color w:val="auto"/>
              </w:rPr>
              <w:t xml:space="preserve">                             </w:t>
            </w:r>
          </w:p>
        </w:tc>
      </w:tr>
      <w:tr>
        <w:trPr>
          <w:trHeight w:val="20"/>
        </w:trPr>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80" w:type="dxa"/>
            <w:vAlign w:val="bottom"/>
            <w:gridSpan w:val="13"/>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r>
      <w:tr>
        <w:trPr>
          <w:trHeight w:val="320"/>
        </w:trPr>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14"/>
          </w:tcPr>
          <w:p>
            <w:pPr>
              <w:spacing w:after="0"/>
              <w:rPr>
                <w:sz w:val="20"/>
                <w:szCs w:val="20"/>
                <w:color w:val="auto"/>
              </w:rPr>
            </w:pPr>
            <w:r>
              <w:rPr>
                <w:rFonts w:ascii="Arial" w:cs="Arial" w:eastAsia="Arial" w:hAnsi="Arial"/>
                <w:sz w:val="13"/>
                <w:szCs w:val="13"/>
                <w:color w:val="auto"/>
              </w:rPr>
              <w:t>(Continued on the next page.)</w:t>
            </w:r>
          </w:p>
        </w:tc>
      </w:tr>
      <w:tr>
        <w:trPr>
          <w:trHeight w:val="258"/>
        </w:trPr>
        <w:tc>
          <w:tcPr>
            <w:tcW w:w="1460" w:type="dxa"/>
            <w:vAlign w:val="bottom"/>
            <w:gridSpan w:val="6"/>
          </w:tcPr>
          <w:p>
            <w:pPr>
              <w:spacing w:after="0"/>
              <w:rPr>
                <w:sz w:val="20"/>
                <w:szCs w:val="20"/>
                <w:color w:val="auto"/>
              </w:rPr>
            </w:pPr>
            <w:r>
              <w:rPr>
                <w:rFonts w:ascii="Arial" w:cs="Arial" w:eastAsia="Arial" w:hAnsi="Arial"/>
                <w:sz w:val="13"/>
                <w:szCs w:val="13"/>
                <w:color w:val="auto"/>
              </w:rPr>
              <w:t>SLS2-APP-NY (07/24)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gridSpan w:val="4"/>
          </w:tcPr>
          <w:p>
            <w:pPr>
              <w:ind w:left="20"/>
              <w:spacing w:after="0"/>
              <w:rPr>
                <w:sz w:val="20"/>
                <w:szCs w:val="20"/>
                <w:color w:val="auto"/>
              </w:rPr>
            </w:pPr>
            <w:r>
              <w:rPr>
                <w:rFonts w:ascii="Arial" w:cs="Arial" w:eastAsia="Arial" w:hAnsi="Arial"/>
                <w:sz w:val="13"/>
                <w:szCs w:val="13"/>
                <w:color w:val="auto"/>
              </w:rPr>
              <w:t>Page 2 of 8</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gridSpan w:val="10"/>
          </w:tcPr>
          <w:p>
            <w:pPr>
              <w:ind w:left="100"/>
              <w:spacing w:after="0"/>
              <w:rPr>
                <w:sz w:val="20"/>
                <w:szCs w:val="20"/>
                <w:color w:val="auto"/>
              </w:rPr>
            </w:pPr>
            <w:r>
              <w:rPr>
                <w:rFonts w:ascii="Arial" w:cs="Arial" w:eastAsia="Arial" w:hAnsi="Arial"/>
                <w:sz w:val="13"/>
                <w:szCs w:val="13"/>
                <w:color w:val="auto"/>
              </w:rPr>
              <w:t xml:space="preserve">BSL2-6-NY (07/24) </w:t>
            </w:r>
          </w:p>
        </w:tc>
      </w:tr>
    </w:tbl>
    <w:p>
      <w:pPr>
        <w:sectPr>
          <w:pgSz w:w="11900" w:h="16838" w:orient="portrait"/>
          <w:cols w:equalWidth="0" w:num="1">
            <w:col w:w="10160"/>
          </w:cols>
          <w:pgMar w:left="299" w:top="232" w:right="1440" w:bottom="1440" w:gutter="0" w:footer="0" w:header="0"/>
        </w:sectPr>
      </w:pPr>
    </w:p>
    <w:bookmarkStart w:id="125" w:name="page126"/>
    <w:bookmarkEnd w:id="1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5">
                      <a:extLst>
                        <a:ext uri="{28A0092B-C50C-407E-A947-70E740481C1C}"/>
                      </a:extLst>
                    </a:blip>
                    <a:srcRect/>
                    <a:stretch>
                      <a:fillRect/>
                    </a:stretch>
                  </pic:blipFill>
                  <pic:spPr bwMode="auto">
                    <a:xfrm>
                      <a:off x="0" y="0"/>
                      <a:ext cx="7206615" cy="31750"/>
                    </a:xfrm>
                    <a:prstGeom prst="rect">
                      <a:avLst/>
                    </a:prstGeom>
                    <a:noFill/>
                  </pic:spPr>
                </pic:pic>
              </a:graphicData>
            </a:graphic>
          </wp:anchor>
        </w:drawing>
      </w:r>
    </w:p>
    <w:tbl>
      <w:tblPr>
        <w:tblLayout w:type="fixed"/>
        <w:tblInd w:w="61" w:type="dxa"/>
        <w:tblCellMar>
          <w:top w:w="0" w:type="dxa"/>
          <w:left w:w="0" w:type="dxa"/>
          <w:bottom w:w="0" w:type="dxa"/>
          <w:right w:w="0" w:type="dxa"/>
        </w:tblCellMar>
      </w:tblPr>
      <w:tr>
        <w:trPr>
          <w:trHeight w:val="223"/>
        </w:trPr>
        <w:tc>
          <w:tcPr>
            <w:tcW w:w="3100" w:type="dxa"/>
            <w:vAlign w:val="bottom"/>
            <w:gridSpan w:val="17"/>
          </w:tcPr>
          <w:p>
            <w:pPr>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w:t>
            </w:r>
            <w:r>
              <w:rPr>
                <w:rFonts w:ascii="Arial" w:cs="Arial" w:eastAsia="Arial" w:hAnsi="Arial"/>
                <w:sz w:val="13"/>
                <w:szCs w:val="13"/>
                <w:b w:val="1"/>
                <w:bCs w:val="1"/>
                <w:color w:val="auto"/>
              </w:rPr>
              <w:t>Primary</w:t>
            </w:r>
            <w:r>
              <w:rPr>
                <w:rFonts w:ascii="Arial" w:cs="Arial" w:eastAsia="Arial" w:hAnsi="Arial"/>
                <w:sz w:val="13"/>
                <w:szCs w:val="13"/>
                <w:color w:val="auto"/>
              </w:rPr>
              <w:t xml:space="preserve"> </w:t>
            </w:r>
            <w:r>
              <w:rPr>
                <w:rFonts w:ascii="MS PGothic" w:cs="MS PGothic" w:eastAsia="MS PGothic" w:hAnsi="MS PGothic"/>
                <w:sz w:val="13"/>
                <w:szCs w:val="13"/>
                <w:color w:val="auto"/>
              </w:rPr>
              <w:t>☐</w:t>
            </w:r>
            <w:r>
              <w:rPr>
                <w:rFonts w:ascii="Arial" w:cs="Arial" w:eastAsia="Arial" w:hAnsi="Arial"/>
                <w:sz w:val="13"/>
                <w:szCs w:val="13"/>
                <w:b w:val="1"/>
                <w:bCs w:val="1"/>
                <w:color w:val="auto"/>
              </w:rPr>
              <w:t xml:space="preserve">  Contingent</w:t>
            </w:r>
            <w:r>
              <w:rPr>
                <w:rFonts w:ascii="Arial" w:cs="Arial" w:eastAsia="Arial" w:hAnsi="Arial"/>
                <w:sz w:val="13"/>
                <w:szCs w:val="13"/>
                <w:color w:val="auto"/>
              </w:rPr>
              <w:t xml:space="preserve"> (Please check one box.)</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13"/>
          </w:tcPr>
          <w:p>
            <w:pPr>
              <w:ind w:left="120"/>
              <w:spacing w:after="0"/>
              <w:rPr>
                <w:sz w:val="20"/>
                <w:szCs w:val="20"/>
                <w:color w:val="auto"/>
              </w:rPr>
            </w:pPr>
            <w:r>
              <w:rPr>
                <w:rFonts w:ascii="Arial" w:cs="Arial" w:eastAsia="Arial" w:hAnsi="Arial"/>
                <w:sz w:val="13"/>
                <w:szCs w:val="13"/>
                <w:b w:val="1"/>
                <w:bCs w:val="1"/>
                <w:color w:val="auto"/>
              </w:rPr>
              <w:t xml:space="preserve">Percentage: </w:t>
            </w:r>
            <w:r>
              <w:rPr>
                <w:rFonts w:ascii="Arial" w:cs="Arial" w:eastAsia="Arial" w:hAnsi="Arial"/>
                <w:sz w:val="13"/>
                <w:szCs w:val="13"/>
                <w:color w:val="auto"/>
              </w:rPr>
              <w:t>__________%</w:t>
            </w:r>
          </w:p>
        </w:tc>
      </w:tr>
      <w:tr>
        <w:trPr>
          <w:trHeight w:val="165"/>
        </w:trPr>
        <w:tc>
          <w:tcPr>
            <w:tcW w:w="1520" w:type="dxa"/>
            <w:vAlign w:val="bottom"/>
            <w:gridSpan w:val="6"/>
          </w:tcPr>
          <w:p>
            <w:pPr>
              <w:spacing w:after="0"/>
              <w:rPr>
                <w:sz w:val="20"/>
                <w:szCs w:val="20"/>
                <w:color w:val="auto"/>
              </w:rPr>
            </w:pPr>
            <w:r>
              <w:rPr>
                <w:rFonts w:ascii="Arial" w:cs="Arial" w:eastAsia="Arial" w:hAnsi="Arial"/>
                <w:sz w:val="13"/>
                <w:szCs w:val="13"/>
                <w:color w:val="auto"/>
              </w:rPr>
              <w:t>First/Entity</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1520" w:type="dxa"/>
            <w:vAlign w:val="bottom"/>
            <w:gridSpan w:val="6"/>
          </w:tcPr>
          <w:p>
            <w:pPr>
              <w:spacing w:after="0" w:line="142" w:lineRule="exact"/>
              <w:rPr>
                <w:sz w:val="20"/>
                <w:szCs w:val="20"/>
                <w:color w:val="auto"/>
              </w:rPr>
            </w:pPr>
            <w:r>
              <w:rPr>
                <w:rFonts w:ascii="Arial" w:cs="Arial" w:eastAsia="Arial" w:hAnsi="Arial"/>
                <w:sz w:val="13"/>
                <w:szCs w:val="13"/>
                <w:color w:val="auto"/>
              </w:rPr>
              <w:t xml:space="preserve">Name:                          </w:t>
            </w:r>
          </w:p>
        </w:tc>
        <w:tc>
          <w:tcPr>
            <w:tcW w:w="80" w:type="dxa"/>
            <w:vAlign w:val="bottom"/>
          </w:tcPr>
          <w:p>
            <w:pPr>
              <w:spacing w:after="0"/>
              <w:rPr>
                <w:sz w:val="12"/>
                <w:szCs w:val="12"/>
                <w:color w:val="auto"/>
              </w:rPr>
            </w:pPr>
          </w:p>
        </w:tc>
        <w:tc>
          <w:tcPr>
            <w:tcW w:w="180" w:type="dxa"/>
            <w:vAlign w:val="bottom"/>
          </w:tcPr>
          <w:p>
            <w:pPr>
              <w:ind w:left="20"/>
              <w:spacing w:after="0" w:line="142" w:lineRule="exact"/>
              <w:rPr>
                <w:sz w:val="20"/>
                <w:szCs w:val="20"/>
                <w:color w:val="auto"/>
              </w:rPr>
            </w:pPr>
            <w:r>
              <w:rPr>
                <w:rFonts w:ascii="Arial" w:cs="Arial" w:eastAsia="Arial" w:hAnsi="Arial"/>
                <w:sz w:val="13"/>
                <w:szCs w:val="13"/>
                <w:color w:val="auto"/>
              </w:rPr>
              <w:t xml:space="preserve">    </w:t>
            </w:r>
          </w:p>
        </w:tc>
        <w:tc>
          <w:tcPr>
            <w:tcW w:w="140" w:type="dxa"/>
            <w:vAlign w:val="bottom"/>
          </w:tcPr>
          <w:p>
            <w:pPr>
              <w:ind w:left="100"/>
              <w:spacing w:after="0"/>
              <w:rPr>
                <w:sz w:val="20"/>
                <w:szCs w:val="20"/>
                <w:color w:val="auto"/>
              </w:rPr>
            </w:pPr>
            <w:r>
              <w:rPr>
                <w:rFonts w:ascii="Arial" w:cs="Arial" w:eastAsia="Arial" w:hAnsi="Arial"/>
                <w:sz w:val="2"/>
                <w:szCs w:val="2"/>
                <w:color w:val="auto"/>
                <w:w w:val="97"/>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40"/>
              <w:spacing w:after="0" w:line="142" w:lineRule="exact"/>
              <w:rPr>
                <w:sz w:val="20"/>
                <w:szCs w:val="20"/>
                <w:color w:val="auto"/>
              </w:rPr>
            </w:pPr>
            <w:r>
              <w:rPr>
                <w:rFonts w:ascii="Arial" w:cs="Arial" w:eastAsia="Arial" w:hAnsi="Arial"/>
                <w:sz w:val="13"/>
                <w:szCs w:val="13"/>
                <w:color w:val="auto"/>
                <w:w w:val="91"/>
              </w:rPr>
              <w:t> </w:t>
            </w:r>
          </w:p>
        </w:tc>
        <w:tc>
          <w:tcPr>
            <w:tcW w:w="120" w:type="dxa"/>
            <w:vAlign w:val="bottom"/>
          </w:tcPr>
          <w:p>
            <w:pPr>
              <w:spacing w:after="0" w:line="142" w:lineRule="exact"/>
              <w:rPr>
                <w:sz w:val="20"/>
                <w:szCs w:val="20"/>
                <w:color w:val="auto"/>
              </w:rPr>
            </w:pPr>
            <w:r>
              <w:rPr>
                <w:rFonts w:ascii="Arial" w:cs="Arial" w:eastAsia="Arial" w:hAnsi="Arial"/>
                <w:sz w:val="13"/>
                <w:szCs w:val="13"/>
                <w:color w:val="auto"/>
                <w:w w:val="76"/>
              </w:rPr>
              <w:t> </w:t>
            </w:r>
          </w:p>
        </w:tc>
        <w:tc>
          <w:tcPr>
            <w:tcW w:w="160" w:type="dxa"/>
            <w:vAlign w:val="bottom"/>
          </w:tcPr>
          <w:p>
            <w:pPr>
              <w:jc w:val="right"/>
              <w:ind w:right="4"/>
              <w:spacing w:after="0" w:line="142" w:lineRule="exact"/>
              <w:rPr>
                <w:sz w:val="20"/>
                <w:szCs w:val="20"/>
                <w:color w:val="auto"/>
              </w:rPr>
            </w:pPr>
            <w:r>
              <w:rPr>
                <w:rFonts w:ascii="Arial" w:cs="Arial" w:eastAsia="Arial" w:hAnsi="Arial"/>
                <w:sz w:val="13"/>
                <w:szCs w:val="13"/>
                <w:color w:val="auto"/>
              </w:rPr>
              <w:t xml:space="preserve">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jc w:val="right"/>
              <w:ind w:right="19"/>
              <w:spacing w:after="0"/>
              <w:rPr>
                <w:sz w:val="20"/>
                <w:szCs w:val="20"/>
                <w:color w:val="auto"/>
              </w:rPr>
            </w:pPr>
            <w:r>
              <w:rPr>
                <w:rFonts w:ascii="Arial" w:cs="Arial" w:eastAsia="Arial" w:hAnsi="Arial"/>
                <w:sz w:val="8"/>
                <w:szCs w:val="8"/>
                <w:color w:val="auto"/>
                <w:w w:val="74"/>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40"/>
              <w:spacing w:after="0" w:line="142" w:lineRule="exact"/>
              <w:rPr>
                <w:sz w:val="20"/>
                <w:szCs w:val="20"/>
                <w:color w:val="auto"/>
              </w:rPr>
            </w:pPr>
            <w:r>
              <w:rPr>
                <w:rFonts w:ascii="Arial" w:cs="Arial" w:eastAsia="Arial" w:hAnsi="Arial"/>
                <w:sz w:val="13"/>
                <w:szCs w:val="13"/>
                <w:color w:val="auto"/>
                <w:w w:val="76"/>
              </w:rPr>
              <w:t> </w:t>
            </w:r>
          </w:p>
        </w:tc>
        <w:tc>
          <w:tcPr>
            <w:tcW w:w="1140" w:type="dxa"/>
            <w:vAlign w:val="bottom"/>
            <w:gridSpan w:val="3"/>
          </w:tcPr>
          <w:p>
            <w:pPr>
              <w:ind w:left="100"/>
              <w:spacing w:after="0" w:line="142" w:lineRule="exact"/>
              <w:rPr>
                <w:sz w:val="20"/>
                <w:szCs w:val="20"/>
                <w:color w:val="auto"/>
              </w:rPr>
            </w:pPr>
            <w:r>
              <w:rPr>
                <w:rFonts w:ascii="Arial" w:cs="Arial" w:eastAsia="Arial" w:hAnsi="Arial"/>
                <w:sz w:val="13"/>
                <w:szCs w:val="13"/>
                <w:color w:val="auto"/>
                <w:w w:val="95"/>
              </w:rPr>
              <w:t>Street Address:  </w:t>
            </w:r>
          </w:p>
        </w:tc>
        <w:tc>
          <w:tcPr>
            <w:tcW w:w="140" w:type="dxa"/>
            <w:vAlign w:val="bottom"/>
          </w:tcPr>
          <w:p>
            <w:pPr>
              <w:jc w:val="right"/>
              <w:ind w:right="32"/>
              <w:spacing w:after="0"/>
              <w:rPr>
                <w:sz w:val="20"/>
                <w:szCs w:val="20"/>
                <w:color w:val="auto"/>
              </w:rPr>
            </w:pPr>
            <w:r>
              <w:rPr>
                <w:rFonts w:ascii="Arial" w:cs="Arial" w:eastAsia="Arial" w:hAnsi="Arial"/>
                <w:sz w:val="4"/>
                <w:szCs w:val="4"/>
                <w:color w:val="auto"/>
                <w:w w:val="98"/>
              </w:rPr>
              <w:t> </w:t>
            </w:r>
          </w:p>
        </w:tc>
        <w:tc>
          <w:tcPr>
            <w:tcW w:w="140" w:type="dxa"/>
            <w:vAlign w:val="bottom"/>
          </w:tcPr>
          <w:p>
            <w:pPr>
              <w:ind w:left="20"/>
              <w:spacing w:after="0" w:line="142" w:lineRule="exact"/>
              <w:rPr>
                <w:sz w:val="20"/>
                <w:szCs w:val="20"/>
                <w:color w:val="auto"/>
              </w:rPr>
            </w:pPr>
            <w:r>
              <w:rPr>
                <w:rFonts w:ascii="Arial" w:cs="Arial" w:eastAsia="Arial" w:hAnsi="Arial"/>
                <w:sz w:val="13"/>
                <w:szCs w:val="13"/>
                <w:color w:val="auto"/>
                <w:w w:val="76"/>
              </w:rPr>
              <w:t> </w:t>
            </w:r>
          </w:p>
        </w:tc>
        <w:tc>
          <w:tcPr>
            <w:tcW w:w="120" w:type="dxa"/>
            <w:vAlign w:val="bottom"/>
            <w:gridSpan w:val="2"/>
          </w:tcPr>
          <w:p>
            <w:pPr>
              <w:ind w:left="20"/>
              <w:spacing w:after="0"/>
              <w:rPr>
                <w:sz w:val="20"/>
                <w:szCs w:val="20"/>
                <w:color w:val="auto"/>
              </w:rPr>
            </w:pPr>
            <w:r>
              <w:rPr>
                <w:rFonts w:ascii="Arial" w:cs="Arial" w:eastAsia="Arial" w:hAnsi="Arial"/>
                <w:sz w:val="11"/>
                <w:szCs w:val="11"/>
                <w:color w:val="auto"/>
                <w:w w:val="72"/>
              </w:rPr>
              <w:t> </w:t>
            </w:r>
          </w:p>
        </w:tc>
        <w:tc>
          <w:tcPr>
            <w:tcW w:w="200" w:type="dxa"/>
            <w:vAlign w:val="bottom"/>
          </w:tcPr>
          <w:p>
            <w:pPr>
              <w:jc w:val="center"/>
              <w:spacing w:after="0" w:line="142" w:lineRule="exact"/>
              <w:rPr>
                <w:sz w:val="20"/>
                <w:szCs w:val="20"/>
                <w:color w:val="auto"/>
              </w:rPr>
            </w:pPr>
            <w:r>
              <w:rPr>
                <w:rFonts w:ascii="Arial" w:cs="Arial" w:eastAsia="Arial" w:hAnsi="Arial"/>
                <w:sz w:val="13"/>
                <w:szCs w:val="13"/>
                <w:color w:val="auto"/>
              </w:rPr>
              <w:t xml:space="preserve">    </w:t>
            </w:r>
          </w:p>
        </w:tc>
        <w:tc>
          <w:tcPr>
            <w:tcW w:w="120" w:type="dxa"/>
            <w:vAlign w:val="bottom"/>
          </w:tcPr>
          <w:p>
            <w:pPr>
              <w:jc w:val="right"/>
              <w:spacing w:after="0" w:line="142" w:lineRule="exact"/>
              <w:rPr>
                <w:sz w:val="20"/>
                <w:szCs w:val="20"/>
                <w:color w:val="auto"/>
              </w:rPr>
            </w:pPr>
            <w:r>
              <w:rPr>
                <w:rFonts w:ascii="Arial" w:cs="Arial" w:eastAsia="Arial" w:hAnsi="Arial"/>
                <w:sz w:val="13"/>
                <w:szCs w:val="13"/>
                <w:color w:val="auto"/>
                <w:w w:val="76"/>
              </w:rPr>
              <w:t> </w:t>
            </w:r>
          </w:p>
        </w:tc>
        <w:tc>
          <w:tcPr>
            <w:tcW w:w="140" w:type="dxa"/>
            <w:vAlign w:val="bottom"/>
          </w:tcPr>
          <w:p>
            <w:pPr>
              <w:ind w:left="100"/>
              <w:spacing w:after="0"/>
              <w:rPr>
                <w:sz w:val="20"/>
                <w:szCs w:val="20"/>
                <w:color w:val="auto"/>
              </w:rPr>
            </w:pPr>
            <w:r>
              <w:rPr>
                <w:rFonts w:ascii="Arial" w:cs="Arial" w:eastAsia="Arial" w:hAnsi="Arial"/>
                <w:sz w:val="2"/>
                <w:szCs w:val="2"/>
                <w:color w:val="auto"/>
                <w:w w:val="97"/>
              </w:rPr>
              <w:t> </w:t>
            </w:r>
          </w:p>
        </w:tc>
        <w:tc>
          <w:tcPr>
            <w:tcW w:w="140" w:type="dxa"/>
            <w:vAlign w:val="bottom"/>
          </w:tcPr>
          <w:p>
            <w:pPr>
              <w:ind w:left="100"/>
              <w:spacing w:after="0"/>
              <w:rPr>
                <w:sz w:val="20"/>
                <w:szCs w:val="20"/>
                <w:color w:val="auto"/>
              </w:rPr>
            </w:pPr>
            <w:r>
              <w:rPr>
                <w:rFonts w:ascii="Arial" w:cs="Arial" w:eastAsia="Arial" w:hAnsi="Arial"/>
                <w:sz w:val="2"/>
                <w:szCs w:val="2"/>
                <w:color w:val="auto"/>
                <w:w w:val="97"/>
              </w:rPr>
              <w:t> </w:t>
            </w:r>
          </w:p>
        </w:tc>
        <w:tc>
          <w:tcPr>
            <w:tcW w:w="60" w:type="dxa"/>
            <w:vAlign w:val="bottom"/>
          </w:tcPr>
          <w:p>
            <w:pPr>
              <w:spacing w:after="0"/>
              <w:rPr>
                <w:sz w:val="12"/>
                <w:szCs w:val="12"/>
                <w:color w:val="auto"/>
              </w:rPr>
            </w:pPr>
          </w:p>
        </w:tc>
        <w:tc>
          <w:tcPr>
            <w:tcW w:w="140" w:type="dxa"/>
            <w:vAlign w:val="bottom"/>
            <w:gridSpan w:val="2"/>
          </w:tcPr>
          <w:p>
            <w:pPr>
              <w:ind w:left="20"/>
              <w:spacing w:after="0" w:line="142" w:lineRule="exact"/>
              <w:rPr>
                <w:sz w:val="20"/>
                <w:szCs w:val="20"/>
                <w:color w:val="auto"/>
              </w:rPr>
            </w:pPr>
            <w:r>
              <w:rPr>
                <w:rFonts w:ascii="Arial" w:cs="Arial" w:eastAsia="Arial" w:hAnsi="Arial"/>
                <w:sz w:val="13"/>
                <w:szCs w:val="13"/>
                <w:color w:val="auto"/>
                <w:w w:val="76"/>
              </w:rPr>
              <w:t> </w:t>
            </w:r>
          </w:p>
        </w:tc>
        <w:tc>
          <w:tcPr>
            <w:tcW w:w="120" w:type="dxa"/>
            <w:vAlign w:val="bottom"/>
          </w:tcPr>
          <w:p>
            <w:pPr>
              <w:jc w:val="right"/>
              <w:ind w:right="18"/>
              <w:spacing w:after="0"/>
              <w:rPr>
                <w:sz w:val="20"/>
                <w:szCs w:val="20"/>
                <w:color w:val="auto"/>
              </w:rPr>
            </w:pPr>
            <w:r>
              <w:rPr>
                <w:rFonts w:ascii="Arial" w:cs="Arial" w:eastAsia="Arial" w:hAnsi="Arial"/>
                <w:sz w:val="4"/>
                <w:szCs w:val="4"/>
                <w:color w:val="auto"/>
                <w:w w:val="98"/>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Pr>
          <w:p>
            <w:pPr>
              <w:jc w:val="center"/>
              <w:spacing w:after="0" w:line="142" w:lineRule="exact"/>
              <w:rPr>
                <w:sz w:val="20"/>
                <w:szCs w:val="20"/>
                <w:color w:val="auto"/>
              </w:rPr>
            </w:pPr>
            <w:r>
              <w:rPr>
                <w:rFonts w:ascii="Arial" w:cs="Arial" w:eastAsia="Arial" w:hAnsi="Arial"/>
                <w:sz w:val="13"/>
                <w:szCs w:val="13"/>
                <w:color w:val="auto"/>
              </w:rPr>
              <w:t xml:space="preserve">   </w:t>
            </w:r>
          </w:p>
        </w:tc>
        <w:tc>
          <w:tcPr>
            <w:tcW w:w="120" w:type="dxa"/>
            <w:vAlign w:val="bottom"/>
          </w:tcPr>
          <w:p>
            <w:pPr>
              <w:jc w:val="right"/>
              <w:spacing w:after="0" w:line="142" w:lineRule="exact"/>
              <w:rPr>
                <w:sz w:val="20"/>
                <w:szCs w:val="20"/>
                <w:color w:val="auto"/>
              </w:rPr>
            </w:pPr>
            <w:r>
              <w:rPr>
                <w:rFonts w:ascii="Arial" w:cs="Arial" w:eastAsia="Arial" w:hAnsi="Arial"/>
                <w:sz w:val="13"/>
                <w:szCs w:val="13"/>
                <w:color w:val="auto"/>
                <w:w w:val="76"/>
              </w:rPr>
              <w:t> </w:t>
            </w:r>
          </w:p>
        </w:tc>
        <w:tc>
          <w:tcPr>
            <w:tcW w:w="160" w:type="dxa"/>
            <w:vAlign w:val="bottom"/>
          </w:tcPr>
          <w:p>
            <w:pPr>
              <w:jc w:val="right"/>
              <w:spacing w:after="0" w:line="142" w:lineRule="exact"/>
              <w:rPr>
                <w:sz w:val="20"/>
                <w:szCs w:val="20"/>
                <w:color w:val="auto"/>
              </w:rPr>
            </w:pPr>
            <w:r>
              <w:rPr>
                <w:rFonts w:ascii="Arial" w:cs="Arial" w:eastAsia="Arial" w:hAnsi="Arial"/>
                <w:sz w:val="13"/>
                <w:szCs w:val="13"/>
                <w:color w:val="auto"/>
                <w:w w:val="91"/>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60" w:type="dxa"/>
            <w:vAlign w:val="bottom"/>
          </w:tcPr>
          <w:p>
            <w:pPr>
              <w:jc w:val="right"/>
              <w:ind w:right="6"/>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Pr>
          <w:p>
            <w:pPr>
              <w:jc w:val="right"/>
              <w:ind w:right="40"/>
              <w:spacing w:after="0"/>
              <w:rPr>
                <w:sz w:val="20"/>
                <w:szCs w:val="20"/>
                <w:color w:val="auto"/>
              </w:rPr>
            </w:pPr>
            <w:r>
              <w:rPr>
                <w:rFonts w:ascii="Arial" w:cs="Arial" w:eastAsia="Arial" w:hAnsi="Arial"/>
                <w:sz w:val="4"/>
                <w:szCs w:val="4"/>
                <w:color w:val="auto"/>
                <w:w w:val="98"/>
              </w:rPr>
              <w:t> </w:t>
            </w:r>
          </w:p>
        </w:tc>
        <w:tc>
          <w:tcPr>
            <w:tcW w:w="160" w:type="dxa"/>
            <w:vAlign w:val="bottom"/>
          </w:tcPr>
          <w:p>
            <w:pPr>
              <w:ind w:left="20"/>
              <w:spacing w:after="0" w:line="142" w:lineRule="exact"/>
              <w:rPr>
                <w:sz w:val="20"/>
                <w:szCs w:val="20"/>
                <w:color w:val="auto"/>
              </w:rPr>
            </w:pPr>
            <w:r>
              <w:rPr>
                <w:rFonts w:ascii="Arial" w:cs="Arial" w:eastAsia="Arial" w:hAnsi="Arial"/>
                <w:sz w:val="13"/>
                <w:szCs w:val="13"/>
                <w:color w:val="auto"/>
                <w:w w:val="76"/>
              </w:rPr>
              <w:t>  </w:t>
            </w:r>
          </w:p>
        </w:tc>
        <w:tc>
          <w:tcPr>
            <w:tcW w:w="220" w:type="dxa"/>
            <w:vAlign w:val="bottom"/>
            <w:gridSpan w:val="2"/>
          </w:tcPr>
          <w:p>
            <w:pPr>
              <w:ind w:left="20"/>
              <w:spacing w:after="0" w:line="142" w:lineRule="exact"/>
              <w:rPr>
                <w:sz w:val="20"/>
                <w:szCs w:val="20"/>
                <w:color w:val="auto"/>
              </w:rPr>
            </w:pPr>
            <w:r>
              <w:rPr>
                <w:rFonts w:ascii="Arial" w:cs="Arial" w:eastAsia="Arial" w:hAnsi="Arial"/>
                <w:sz w:val="13"/>
                <w:szCs w:val="13"/>
                <w:color w:val="auto"/>
              </w:rPr>
              <w:t> </w:t>
            </w:r>
          </w:p>
        </w:tc>
      </w:tr>
      <w:tr>
        <w:trPr>
          <w:trHeight w:val="20"/>
        </w:trPr>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8"/>
        </w:trPr>
        <w:tc>
          <w:tcPr>
            <w:tcW w:w="1600" w:type="dxa"/>
            <w:vAlign w:val="bottom"/>
            <w:gridSpan w:val="7"/>
          </w:tcPr>
          <w:p>
            <w:pPr>
              <w:spacing w:after="0"/>
              <w:rPr>
                <w:sz w:val="20"/>
                <w:szCs w:val="20"/>
                <w:color w:val="auto"/>
              </w:rPr>
            </w:pPr>
            <w:r>
              <w:rPr>
                <w:rFonts w:ascii="Arial" w:cs="Arial" w:eastAsia="Arial" w:hAnsi="Arial"/>
                <w:sz w:val="13"/>
                <w:szCs w:val="13"/>
                <w:color w:val="auto"/>
              </w:rPr>
              <w:t xml:space="preserve">Middle Name:                 </w:t>
            </w:r>
          </w:p>
        </w:tc>
        <w:tc>
          <w:tcPr>
            <w:tcW w:w="680" w:type="dxa"/>
            <w:vAlign w:val="bottom"/>
            <w:gridSpan w:val="4"/>
          </w:tcPr>
          <w:p>
            <w:pPr>
              <w:ind w:left="80"/>
              <w:spacing w:after="0"/>
              <w:rPr>
                <w:sz w:val="20"/>
                <w:szCs w:val="20"/>
                <w:color w:val="auto"/>
              </w:rPr>
            </w:pPr>
            <w:r>
              <w:rPr>
                <w:rFonts w:ascii="Arial" w:cs="Arial" w:eastAsia="Arial" w:hAnsi="Arial"/>
                <w:sz w:val="13"/>
                <w:szCs w:val="13"/>
                <w:color w:val="auto"/>
              </w:rPr>
              <w:t xml:space="preserve">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60" w:type="dxa"/>
            <w:vAlign w:val="bottom"/>
          </w:tcPr>
          <w:p>
            <w:pPr>
              <w:jc w:val="right"/>
              <w:ind w:right="4"/>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jc w:val="right"/>
              <w:ind w:right="19"/>
              <w:spacing w:after="0"/>
              <w:rPr>
                <w:sz w:val="20"/>
                <w:szCs w:val="20"/>
                <w:color w:val="auto"/>
              </w:rPr>
            </w:pPr>
            <w:r>
              <w:rPr>
                <w:rFonts w:ascii="Arial" w:cs="Arial" w:eastAsia="Arial" w:hAnsi="Arial"/>
                <w:sz w:val="8"/>
                <w:szCs w:val="8"/>
                <w:color w:val="auto"/>
                <w:w w:val="74"/>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40"/>
              <w:spacing w:after="0"/>
              <w:rPr>
                <w:sz w:val="20"/>
                <w:szCs w:val="20"/>
                <w:color w:val="auto"/>
              </w:rPr>
            </w:pPr>
            <w:r>
              <w:rPr>
                <w:rFonts w:ascii="Arial" w:cs="Arial" w:eastAsia="Arial" w:hAnsi="Arial"/>
                <w:sz w:val="13"/>
                <w:szCs w:val="13"/>
                <w:color w:val="auto"/>
                <w:w w:val="76"/>
              </w:rPr>
              <w:t> </w:t>
            </w:r>
          </w:p>
        </w:tc>
        <w:tc>
          <w:tcPr>
            <w:tcW w:w="1140" w:type="dxa"/>
            <w:vAlign w:val="bottom"/>
            <w:gridSpan w:val="3"/>
          </w:tcPr>
          <w:p>
            <w:pPr>
              <w:spacing w:after="0"/>
              <w:rPr>
                <w:sz w:val="20"/>
                <w:szCs w:val="20"/>
                <w:color w:val="auto"/>
              </w:rPr>
            </w:pPr>
            <w:r>
              <w:rPr>
                <w:rFonts w:ascii="Arial" w:cs="Arial" w:eastAsia="Arial" w:hAnsi="Arial"/>
                <w:sz w:val="13"/>
                <w:szCs w:val="13"/>
                <w:color w:val="auto"/>
              </w:rPr>
              <w:t xml:space="preserve">   City:                 </w:t>
            </w:r>
          </w:p>
        </w:tc>
        <w:tc>
          <w:tcPr>
            <w:tcW w:w="140" w:type="dxa"/>
            <w:vAlign w:val="bottom"/>
          </w:tcPr>
          <w:p>
            <w:pPr>
              <w:jc w:val="right"/>
              <w:ind w:right="12"/>
              <w:spacing w:after="0"/>
              <w:rPr>
                <w:sz w:val="20"/>
                <w:szCs w:val="20"/>
                <w:color w:val="auto"/>
              </w:rPr>
            </w:pPr>
            <w:r>
              <w:rPr>
                <w:rFonts w:ascii="Arial" w:cs="Arial" w:eastAsia="Arial" w:hAnsi="Arial"/>
                <w:sz w:val="8"/>
                <w:szCs w:val="8"/>
                <w:color w:val="auto"/>
                <w:w w:val="74"/>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20" w:type="dxa"/>
            <w:vAlign w:val="bottom"/>
            <w:gridSpan w:val="2"/>
          </w:tcPr>
          <w:p>
            <w:pPr>
              <w:ind w:left="40"/>
              <w:spacing w:after="0"/>
              <w:rPr>
                <w:sz w:val="20"/>
                <w:szCs w:val="20"/>
                <w:color w:val="auto"/>
              </w:rPr>
            </w:pPr>
            <w:r>
              <w:rPr>
                <w:rFonts w:ascii="Arial" w:cs="Arial" w:eastAsia="Arial" w:hAnsi="Arial"/>
                <w:sz w:val="8"/>
                <w:szCs w:val="8"/>
                <w:color w:val="auto"/>
                <w:w w:val="74"/>
              </w:rPr>
              <w:t> </w:t>
            </w:r>
          </w:p>
        </w:tc>
        <w:tc>
          <w:tcPr>
            <w:tcW w:w="200" w:type="dxa"/>
            <w:vAlign w:val="bottom"/>
          </w:tcPr>
          <w:p>
            <w:pPr>
              <w:jc w:val="center"/>
              <w:spacing w:after="0"/>
              <w:rPr>
                <w:sz w:val="20"/>
                <w:szCs w:val="20"/>
                <w:color w:val="auto"/>
              </w:rPr>
            </w:pPr>
            <w:r>
              <w:rPr>
                <w:rFonts w:ascii="Arial" w:cs="Arial" w:eastAsia="Arial" w:hAnsi="Arial"/>
                <w:sz w:val="13"/>
                <w:szCs w:val="13"/>
                <w:color w:val="auto"/>
              </w:rPr>
              <w:t xml:space="preserve">    </w:t>
            </w:r>
          </w:p>
        </w:tc>
        <w:tc>
          <w:tcPr>
            <w:tcW w:w="120" w:type="dxa"/>
            <w:vAlign w:val="bottom"/>
          </w:tcPr>
          <w:p>
            <w:pPr>
              <w:jc w:val="right"/>
              <w:spacing w:after="0"/>
              <w:rPr>
                <w:sz w:val="20"/>
                <w:szCs w:val="20"/>
                <w:color w:val="auto"/>
              </w:rPr>
            </w:pPr>
            <w:r>
              <w:rPr>
                <w:rFonts w:ascii="Arial" w:cs="Arial" w:eastAsia="Arial" w:hAnsi="Arial"/>
                <w:sz w:val="13"/>
                <w:szCs w:val="13"/>
                <w:color w:val="auto"/>
                <w:w w:val="76"/>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60" w:type="dxa"/>
            <w:vAlign w:val="bottom"/>
          </w:tcPr>
          <w:p>
            <w:pPr>
              <w:spacing w:after="0"/>
              <w:rPr>
                <w:sz w:val="18"/>
                <w:szCs w:val="18"/>
                <w:color w:val="auto"/>
              </w:rPr>
            </w:pPr>
          </w:p>
        </w:tc>
        <w:tc>
          <w:tcPr>
            <w:tcW w:w="140" w:type="dxa"/>
            <w:vAlign w:val="bottom"/>
            <w:gridSpan w:val="2"/>
          </w:tcPr>
          <w:p>
            <w:pPr>
              <w:ind w:left="20"/>
              <w:spacing w:after="0"/>
              <w:rPr>
                <w:sz w:val="20"/>
                <w:szCs w:val="20"/>
                <w:color w:val="auto"/>
              </w:rPr>
            </w:pPr>
            <w:r>
              <w:rPr>
                <w:rFonts w:ascii="Arial" w:cs="Arial" w:eastAsia="Arial" w:hAnsi="Arial"/>
                <w:sz w:val="13"/>
                <w:szCs w:val="13"/>
                <w:color w:val="auto"/>
                <w:w w:val="76"/>
              </w:rPr>
              <w:t> </w:t>
            </w:r>
          </w:p>
        </w:tc>
        <w:tc>
          <w:tcPr>
            <w:tcW w:w="120" w:type="dxa"/>
            <w:vAlign w:val="bottom"/>
          </w:tcPr>
          <w:p>
            <w:pPr>
              <w:jc w:val="right"/>
              <w:ind w:right="38"/>
              <w:spacing w:after="0"/>
              <w:rPr>
                <w:sz w:val="20"/>
                <w:szCs w:val="20"/>
                <w:color w:val="auto"/>
              </w:rPr>
            </w:pPr>
            <w:r>
              <w:rPr>
                <w:rFonts w:ascii="Arial" w:cs="Arial" w:eastAsia="Arial" w:hAnsi="Arial"/>
                <w:sz w:val="2"/>
                <w:szCs w:val="2"/>
                <w:color w:val="auto"/>
                <w:w w:val="97"/>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40" w:type="dxa"/>
            <w:vAlign w:val="bottom"/>
          </w:tcPr>
          <w:p>
            <w:pPr>
              <w:spacing w:after="0"/>
              <w:rPr>
                <w:sz w:val="20"/>
                <w:szCs w:val="20"/>
                <w:color w:val="auto"/>
              </w:rPr>
            </w:pPr>
            <w:r>
              <w:rPr>
                <w:rFonts w:ascii="Arial" w:cs="Arial" w:eastAsia="Arial" w:hAnsi="Arial"/>
                <w:sz w:val="13"/>
                <w:szCs w:val="13"/>
                <w:color w:val="auto"/>
                <w:w w:val="91"/>
              </w:rPr>
              <w:t> </w:t>
            </w:r>
          </w:p>
        </w:tc>
        <w:tc>
          <w:tcPr>
            <w:tcW w:w="120" w:type="dxa"/>
            <w:vAlign w:val="bottom"/>
          </w:tcPr>
          <w:p>
            <w:pPr>
              <w:jc w:val="right"/>
              <w:ind w:right="37"/>
              <w:spacing w:after="0"/>
              <w:rPr>
                <w:sz w:val="20"/>
                <w:szCs w:val="20"/>
                <w:color w:val="auto"/>
              </w:rPr>
            </w:pPr>
            <w:r>
              <w:rPr>
                <w:rFonts w:ascii="Arial" w:cs="Arial" w:eastAsia="Arial" w:hAnsi="Arial"/>
                <w:sz w:val="2"/>
                <w:szCs w:val="2"/>
                <w:color w:val="auto"/>
                <w:w w:val="97"/>
              </w:rPr>
              <w:t> </w:t>
            </w:r>
          </w:p>
        </w:tc>
        <w:tc>
          <w:tcPr>
            <w:tcW w:w="160" w:type="dxa"/>
            <w:vAlign w:val="bottom"/>
          </w:tcPr>
          <w:p>
            <w:pPr>
              <w:jc w:val="right"/>
              <w:spacing w:after="0"/>
              <w:rPr>
                <w:sz w:val="20"/>
                <w:szCs w:val="20"/>
                <w:color w:val="auto"/>
              </w:rPr>
            </w:pPr>
            <w:r>
              <w:rPr>
                <w:rFonts w:ascii="Arial" w:cs="Arial" w:eastAsia="Arial" w:hAnsi="Arial"/>
                <w:sz w:val="13"/>
                <w:szCs w:val="13"/>
                <w:color w:val="auto"/>
              </w:rPr>
              <w:t xml:space="preserve">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60" w:type="dxa"/>
            <w:vAlign w:val="bottom"/>
          </w:tcPr>
          <w:p>
            <w:pPr>
              <w:ind w:left="40"/>
              <w:spacing w:after="0"/>
              <w:rPr>
                <w:sz w:val="20"/>
                <w:szCs w:val="20"/>
                <w:color w:val="auto"/>
              </w:rPr>
            </w:pPr>
            <w:r>
              <w:rPr>
                <w:rFonts w:ascii="Arial" w:cs="Arial" w:eastAsia="Arial" w:hAnsi="Arial"/>
                <w:sz w:val="13"/>
                <w:szCs w:val="13"/>
                <w:color w:val="auto"/>
                <w:w w:val="76"/>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40" w:type="dxa"/>
            <w:vAlign w:val="bottom"/>
          </w:tcPr>
          <w:p>
            <w:pPr>
              <w:jc w:val="right"/>
              <w:ind w:right="20"/>
              <w:spacing w:after="0"/>
              <w:rPr>
                <w:sz w:val="20"/>
                <w:szCs w:val="20"/>
                <w:color w:val="auto"/>
              </w:rPr>
            </w:pPr>
            <w:r>
              <w:rPr>
                <w:rFonts w:ascii="Arial" w:cs="Arial" w:eastAsia="Arial" w:hAnsi="Arial"/>
                <w:sz w:val="7"/>
                <w:szCs w:val="7"/>
                <w:color w:val="auto"/>
                <w:w w:val="70"/>
              </w:rPr>
              <w:t>  </w:t>
            </w:r>
          </w:p>
        </w:tc>
        <w:tc>
          <w:tcPr>
            <w:tcW w:w="16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220" w:type="dxa"/>
            <w:vAlign w:val="bottom"/>
            <w:gridSpan w:val="2"/>
          </w:tcPr>
          <w:p>
            <w:pPr>
              <w:ind w:left="20"/>
              <w:spacing w:after="0"/>
              <w:rPr>
                <w:sz w:val="20"/>
                <w:szCs w:val="20"/>
                <w:color w:val="auto"/>
              </w:rPr>
            </w:pPr>
            <w:r>
              <w:rPr>
                <w:rFonts w:ascii="Arial" w:cs="Arial" w:eastAsia="Arial" w:hAnsi="Arial"/>
                <w:sz w:val="13"/>
                <w:szCs w:val="13"/>
                <w:color w:val="auto"/>
              </w:rPr>
              <w:t> </w:t>
            </w:r>
          </w:p>
        </w:tc>
      </w:tr>
      <w:tr>
        <w:trPr>
          <w:trHeight w:val="20"/>
        </w:trPr>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gridSpan w:val="6"/>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8"/>
        </w:trPr>
        <w:tc>
          <w:tcPr>
            <w:tcW w:w="2280" w:type="dxa"/>
            <w:vAlign w:val="bottom"/>
            <w:gridSpan w:val="11"/>
          </w:tcPr>
          <w:p>
            <w:pPr>
              <w:spacing w:after="0"/>
              <w:rPr>
                <w:sz w:val="20"/>
                <w:szCs w:val="20"/>
                <w:color w:val="auto"/>
              </w:rPr>
            </w:pPr>
            <w:r>
              <w:rPr>
                <w:rFonts w:ascii="Arial" w:cs="Arial" w:eastAsia="Arial" w:hAnsi="Arial"/>
                <w:sz w:val="13"/>
                <w:szCs w:val="13"/>
                <w:color w:val="auto"/>
              </w:rPr>
              <w:t xml:space="preserve">Last Name: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60" w:type="dxa"/>
            <w:vAlign w:val="bottom"/>
          </w:tcPr>
          <w:p>
            <w:pPr>
              <w:jc w:val="right"/>
              <w:ind w:right="4"/>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Pr>
          <w:p>
            <w:pPr>
              <w:jc w:val="right"/>
              <w:ind w:right="19"/>
              <w:spacing w:after="0"/>
              <w:rPr>
                <w:sz w:val="20"/>
                <w:szCs w:val="20"/>
                <w:color w:val="auto"/>
              </w:rPr>
            </w:pPr>
            <w:r>
              <w:rPr>
                <w:rFonts w:ascii="Arial" w:cs="Arial" w:eastAsia="Arial" w:hAnsi="Arial"/>
                <w:sz w:val="8"/>
                <w:szCs w:val="8"/>
                <w:color w:val="auto"/>
                <w:w w:val="74"/>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40"/>
              <w:spacing w:after="0"/>
              <w:rPr>
                <w:sz w:val="20"/>
                <w:szCs w:val="20"/>
                <w:color w:val="auto"/>
              </w:rPr>
            </w:pPr>
            <w:r>
              <w:rPr>
                <w:rFonts w:ascii="Arial" w:cs="Arial" w:eastAsia="Arial" w:hAnsi="Arial"/>
                <w:sz w:val="13"/>
                <w:szCs w:val="13"/>
                <w:color w:val="auto"/>
                <w:w w:val="76"/>
              </w:rPr>
              <w:t> </w:t>
            </w:r>
          </w:p>
        </w:tc>
        <w:tc>
          <w:tcPr>
            <w:tcW w:w="1140" w:type="dxa"/>
            <w:vAlign w:val="bottom"/>
            <w:gridSpan w:val="3"/>
          </w:tcPr>
          <w:p>
            <w:pPr>
              <w:spacing w:after="0"/>
              <w:rPr>
                <w:sz w:val="20"/>
                <w:szCs w:val="20"/>
                <w:color w:val="auto"/>
              </w:rPr>
            </w:pPr>
            <w:r>
              <w:rPr>
                <w:rFonts w:ascii="Arial" w:cs="Arial" w:eastAsia="Arial" w:hAnsi="Arial"/>
                <w:sz w:val="13"/>
                <w:szCs w:val="13"/>
                <w:color w:val="auto"/>
              </w:rPr>
              <w:t xml:space="preserve">   State:              </w:t>
            </w:r>
          </w:p>
        </w:tc>
        <w:tc>
          <w:tcPr>
            <w:tcW w:w="140" w:type="dxa"/>
            <w:vAlign w:val="bottom"/>
          </w:tcPr>
          <w:p>
            <w:pPr>
              <w:jc w:val="right"/>
              <w:spacing w:after="0"/>
              <w:rPr>
                <w:sz w:val="20"/>
                <w:szCs w:val="20"/>
                <w:color w:val="auto"/>
              </w:rPr>
            </w:pPr>
            <w:r>
              <w:rPr>
                <w:rFonts w:ascii="Arial" w:cs="Arial" w:eastAsia="Arial" w:hAnsi="Arial"/>
                <w:sz w:val="13"/>
                <w:szCs w:val="13"/>
                <w:color w:val="auto"/>
              </w:rPr>
              <w:t xml:space="preserve">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20" w:type="dxa"/>
            <w:vAlign w:val="bottom"/>
            <w:gridSpan w:val="2"/>
          </w:tcPr>
          <w:p>
            <w:pPr>
              <w:ind w:left="60"/>
              <w:spacing w:after="0"/>
              <w:rPr>
                <w:sz w:val="20"/>
                <w:szCs w:val="20"/>
                <w:color w:val="auto"/>
              </w:rPr>
            </w:pPr>
            <w:r>
              <w:rPr>
                <w:rFonts w:ascii="Arial" w:cs="Arial" w:eastAsia="Arial" w:hAnsi="Arial"/>
                <w:sz w:val="4"/>
                <w:szCs w:val="4"/>
                <w:color w:val="auto"/>
                <w:w w:val="98"/>
              </w:rPr>
              <w:t> </w:t>
            </w:r>
          </w:p>
        </w:tc>
        <w:tc>
          <w:tcPr>
            <w:tcW w:w="200" w:type="dxa"/>
            <w:vAlign w:val="bottom"/>
          </w:tcPr>
          <w:p>
            <w:pPr>
              <w:ind w:left="60"/>
              <w:spacing w:after="0"/>
              <w:rPr>
                <w:sz w:val="20"/>
                <w:szCs w:val="20"/>
                <w:color w:val="auto"/>
              </w:rPr>
            </w:pPr>
            <w:r>
              <w:rPr>
                <w:rFonts w:ascii="Arial" w:cs="Arial" w:eastAsia="Arial" w:hAnsi="Arial"/>
                <w:sz w:val="13"/>
                <w:szCs w:val="13"/>
                <w:color w:val="auto"/>
                <w:w w:val="91"/>
              </w:rPr>
              <w:t> </w:t>
            </w: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140" w:type="dxa"/>
            <w:vAlign w:val="bottom"/>
          </w:tcPr>
          <w:p>
            <w:pPr>
              <w:spacing w:after="0"/>
              <w:rPr>
                <w:sz w:val="20"/>
                <w:szCs w:val="20"/>
                <w:color w:val="auto"/>
              </w:rPr>
            </w:pPr>
            <w:r>
              <w:rPr>
                <w:rFonts w:ascii="Arial" w:cs="Arial" w:eastAsia="Arial" w:hAnsi="Arial"/>
                <w:sz w:val="13"/>
                <w:szCs w:val="13"/>
                <w:color w:val="auto"/>
                <w:w w:val="91"/>
              </w:rPr>
              <w:t> </w:t>
            </w:r>
          </w:p>
        </w:tc>
        <w:tc>
          <w:tcPr>
            <w:tcW w:w="340" w:type="dxa"/>
            <w:vAlign w:val="bottom"/>
            <w:gridSpan w:val="4"/>
          </w:tcPr>
          <w:p>
            <w:pPr>
              <w:spacing w:after="0"/>
              <w:rPr>
                <w:sz w:val="20"/>
                <w:szCs w:val="20"/>
                <w:color w:val="auto"/>
              </w:rPr>
            </w:pPr>
            <w:r>
              <w:rPr>
                <w:rFonts w:ascii="Arial" w:cs="Arial" w:eastAsia="Arial" w:hAnsi="Arial"/>
                <w:sz w:val="13"/>
                <w:szCs w:val="13"/>
                <w:color w:val="auto"/>
                <w:w w:val="80"/>
              </w:rPr>
              <w:t> Zip:  </w:t>
            </w:r>
          </w:p>
        </w:tc>
        <w:tc>
          <w:tcPr>
            <w:tcW w:w="120" w:type="dxa"/>
            <w:vAlign w:val="bottom"/>
          </w:tcPr>
          <w:p>
            <w:pPr>
              <w:jc w:val="right"/>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40" w:type="dxa"/>
            <w:vAlign w:val="bottom"/>
          </w:tcPr>
          <w:p>
            <w:pPr>
              <w:jc w:val="center"/>
              <w:spacing w:after="0"/>
              <w:rPr>
                <w:sz w:val="20"/>
                <w:szCs w:val="20"/>
                <w:color w:val="auto"/>
              </w:rPr>
            </w:pPr>
            <w:r>
              <w:rPr>
                <w:rFonts w:ascii="Arial" w:cs="Arial" w:eastAsia="Arial" w:hAnsi="Arial"/>
                <w:sz w:val="2"/>
                <w:szCs w:val="2"/>
                <w:color w:val="auto"/>
                <w:w w:val="97"/>
              </w:rPr>
              <w:t> </w:t>
            </w:r>
          </w:p>
        </w:tc>
        <w:tc>
          <w:tcPr>
            <w:tcW w:w="120" w:type="dxa"/>
            <w:vAlign w:val="bottom"/>
          </w:tcPr>
          <w:p>
            <w:pPr>
              <w:jc w:val="right"/>
              <w:spacing w:after="0"/>
              <w:rPr>
                <w:sz w:val="20"/>
                <w:szCs w:val="20"/>
                <w:color w:val="auto"/>
              </w:rPr>
            </w:pPr>
            <w:r>
              <w:rPr>
                <w:rFonts w:ascii="Arial" w:cs="Arial" w:eastAsia="Arial" w:hAnsi="Arial"/>
                <w:sz w:val="11"/>
                <w:szCs w:val="11"/>
                <w:color w:val="auto"/>
                <w:w w:val="72"/>
              </w:rPr>
              <w:t> </w:t>
            </w:r>
          </w:p>
        </w:tc>
        <w:tc>
          <w:tcPr>
            <w:tcW w:w="160" w:type="dxa"/>
            <w:vAlign w:val="bottom"/>
          </w:tcPr>
          <w:p>
            <w:pPr>
              <w:jc w:val="right"/>
              <w:spacing w:after="0"/>
              <w:rPr>
                <w:sz w:val="20"/>
                <w:szCs w:val="20"/>
                <w:color w:val="auto"/>
              </w:rPr>
            </w:pPr>
            <w:r>
              <w:rPr>
                <w:rFonts w:ascii="Arial" w:cs="Arial" w:eastAsia="Arial" w:hAnsi="Arial"/>
                <w:sz w:val="13"/>
                <w:szCs w:val="13"/>
                <w:color w:val="auto"/>
                <w:w w:val="76"/>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60" w:type="dxa"/>
            <w:vAlign w:val="bottom"/>
          </w:tcPr>
          <w:p>
            <w:pPr>
              <w:jc w:val="right"/>
              <w:ind w:right="6"/>
              <w:spacing w:after="0"/>
              <w:rPr>
                <w:sz w:val="20"/>
                <w:szCs w:val="20"/>
                <w:color w:val="auto"/>
              </w:rPr>
            </w:pPr>
            <w:r>
              <w:rPr>
                <w:rFonts w:ascii="Arial" w:cs="Arial" w:eastAsia="Arial" w:hAnsi="Arial"/>
                <w:sz w:val="9"/>
                <w:szCs w:val="9"/>
                <w:color w:val="auto"/>
                <w:w w:val="73"/>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Pr>
          <w:p>
            <w:pPr>
              <w:jc w:val="right"/>
              <w:ind w:right="20"/>
              <w:spacing w:after="0"/>
              <w:rPr>
                <w:sz w:val="20"/>
                <w:szCs w:val="20"/>
                <w:color w:val="auto"/>
              </w:rPr>
            </w:pPr>
            <w:r>
              <w:rPr>
                <w:rFonts w:ascii="Arial" w:cs="Arial" w:eastAsia="Arial" w:hAnsi="Arial"/>
                <w:sz w:val="8"/>
                <w:szCs w:val="8"/>
                <w:color w:val="auto"/>
                <w:w w:val="74"/>
              </w:rPr>
              <w:t> </w:t>
            </w:r>
          </w:p>
        </w:tc>
        <w:tc>
          <w:tcPr>
            <w:tcW w:w="16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220" w:type="dxa"/>
            <w:vAlign w:val="bottom"/>
            <w:gridSpan w:val="2"/>
          </w:tcPr>
          <w:p>
            <w:pPr>
              <w:ind w:left="20"/>
              <w:spacing w:after="0"/>
              <w:rPr>
                <w:sz w:val="20"/>
                <w:szCs w:val="20"/>
                <w:color w:val="auto"/>
              </w:rPr>
            </w:pPr>
            <w:r>
              <w:rPr>
                <w:rFonts w:ascii="Arial" w:cs="Arial" w:eastAsia="Arial" w:hAnsi="Arial"/>
                <w:sz w:val="13"/>
                <w:szCs w:val="13"/>
                <w:color w:val="auto"/>
              </w:rPr>
              <w:t> </w:t>
            </w:r>
          </w:p>
        </w:tc>
      </w:tr>
      <w:tr>
        <w:trPr>
          <w:trHeight w:val="20"/>
        </w:trPr>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Borders>
              <w:left w:val="single" w:sz="8" w:color="auto"/>
            </w:tcBorders>
            <w:gridSpan w:val="2"/>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8"/>
        </w:trPr>
        <w:tc>
          <w:tcPr>
            <w:tcW w:w="1520" w:type="dxa"/>
            <w:vAlign w:val="bottom"/>
            <w:gridSpan w:val="6"/>
          </w:tcPr>
          <w:p>
            <w:pPr>
              <w:spacing w:after="0"/>
              <w:rPr>
                <w:sz w:val="20"/>
                <w:szCs w:val="20"/>
                <w:color w:val="auto"/>
              </w:rPr>
            </w:pPr>
            <w:r>
              <w:rPr>
                <w:rFonts w:ascii="Arial" w:cs="Arial" w:eastAsia="Arial" w:hAnsi="Arial"/>
                <w:sz w:val="13"/>
                <w:szCs w:val="13"/>
                <w:color w:val="auto"/>
              </w:rPr>
              <w:t xml:space="preserve">SSN/TIN:                    </w:t>
            </w:r>
          </w:p>
        </w:tc>
        <w:tc>
          <w:tcPr>
            <w:tcW w:w="80" w:type="dxa"/>
            <w:vAlign w:val="bottom"/>
          </w:tcPr>
          <w:p>
            <w:pPr>
              <w:spacing w:after="0"/>
              <w:rPr>
                <w:sz w:val="20"/>
                <w:szCs w:val="20"/>
                <w:color w:val="auto"/>
              </w:rPr>
            </w:pPr>
            <w:r>
              <w:rPr>
                <w:rFonts w:ascii="Arial" w:cs="Arial" w:eastAsia="Arial" w:hAnsi="Arial"/>
                <w:sz w:val="8"/>
                <w:szCs w:val="8"/>
                <w:color w:val="auto"/>
                <w:w w:val="74"/>
              </w:rPr>
              <w:t> </w:t>
            </w:r>
          </w:p>
        </w:tc>
        <w:tc>
          <w:tcPr>
            <w:tcW w:w="180" w:type="dxa"/>
            <w:vAlign w:val="bottom"/>
          </w:tcPr>
          <w:p>
            <w:pPr>
              <w:ind w:left="40"/>
              <w:spacing w:after="0"/>
              <w:rPr>
                <w:sz w:val="20"/>
                <w:szCs w:val="20"/>
                <w:color w:val="auto"/>
              </w:rPr>
            </w:pPr>
            <w:r>
              <w:rPr>
                <w:rFonts w:ascii="Arial" w:cs="Arial" w:eastAsia="Arial" w:hAnsi="Arial"/>
                <w:sz w:val="13"/>
                <w:szCs w:val="13"/>
                <w:color w:val="auto"/>
                <w:w w:val="91"/>
              </w:rPr>
              <w:t> </w:t>
            </w:r>
          </w:p>
        </w:tc>
        <w:tc>
          <w:tcPr>
            <w:tcW w:w="140" w:type="dxa"/>
            <w:vAlign w:val="bottom"/>
          </w:tcPr>
          <w:p>
            <w:pPr>
              <w:spacing w:after="0"/>
              <w:rPr>
                <w:sz w:val="20"/>
                <w:szCs w:val="20"/>
                <w:color w:val="auto"/>
              </w:rPr>
            </w:pPr>
            <w:r>
              <w:rPr>
                <w:rFonts w:ascii="Arial" w:cs="Arial" w:eastAsia="Arial" w:hAnsi="Arial"/>
                <w:sz w:val="13"/>
                <w:szCs w:val="13"/>
                <w:color w:val="auto"/>
                <w:w w:val="91"/>
              </w:rPr>
              <w:t> </w:t>
            </w:r>
          </w:p>
        </w:tc>
        <w:tc>
          <w:tcPr>
            <w:tcW w:w="180" w:type="dxa"/>
            <w:vAlign w:val="bottom"/>
          </w:tcPr>
          <w:p>
            <w:pPr>
              <w:jc w:val="center"/>
              <w:spacing w:after="0"/>
              <w:rPr>
                <w:sz w:val="20"/>
                <w:szCs w:val="20"/>
                <w:color w:val="auto"/>
              </w:rPr>
            </w:pPr>
            <w:r>
              <w:rPr>
                <w:rFonts w:ascii="Arial" w:cs="Arial" w:eastAsia="Arial" w:hAnsi="Arial"/>
                <w:sz w:val="13"/>
                <w:szCs w:val="13"/>
                <w:color w:val="auto"/>
              </w:rPr>
              <w:t xml:space="preserve">    </w:t>
            </w:r>
          </w:p>
        </w:tc>
        <w:tc>
          <w:tcPr>
            <w:tcW w:w="180" w:type="dxa"/>
            <w:vAlign w:val="bottom"/>
          </w:tcPr>
          <w:p>
            <w:pPr>
              <w:jc w:val="center"/>
              <w:spacing w:after="0"/>
              <w:rPr>
                <w:sz w:val="20"/>
                <w:szCs w:val="20"/>
                <w:color w:val="auto"/>
              </w:rPr>
            </w:pPr>
            <w:r>
              <w:rPr>
                <w:rFonts w:ascii="Arial" w:cs="Arial" w:eastAsia="Arial" w:hAnsi="Arial"/>
                <w:sz w:val="4"/>
                <w:szCs w:val="4"/>
                <w:color w:val="auto"/>
                <w:w w:val="98"/>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60" w:type="dxa"/>
            <w:vAlign w:val="bottom"/>
          </w:tcPr>
          <w:p>
            <w:pPr>
              <w:jc w:val="right"/>
              <w:ind w:right="24"/>
              <w:spacing w:after="0"/>
              <w:rPr>
                <w:sz w:val="20"/>
                <w:szCs w:val="20"/>
                <w:color w:val="auto"/>
              </w:rPr>
            </w:pPr>
            <w:r>
              <w:rPr>
                <w:rFonts w:ascii="Arial" w:cs="Arial" w:eastAsia="Arial" w:hAnsi="Arial"/>
                <w:sz w:val="8"/>
                <w:szCs w:val="8"/>
                <w:color w:val="auto"/>
                <w:w w:val="74"/>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40" w:type="dxa"/>
            <w:vAlign w:val="bottom"/>
          </w:tcPr>
          <w:p>
            <w:pPr>
              <w:jc w:val="right"/>
              <w:ind w:right="19"/>
              <w:spacing w:after="0"/>
              <w:rPr>
                <w:sz w:val="20"/>
                <w:szCs w:val="20"/>
                <w:color w:val="auto"/>
              </w:rPr>
            </w:pPr>
            <w:r>
              <w:rPr>
                <w:rFonts w:ascii="Arial" w:cs="Arial" w:eastAsia="Arial" w:hAnsi="Arial"/>
                <w:sz w:val="7"/>
                <w:szCs w:val="7"/>
                <w:color w:val="auto"/>
                <w:w w:val="70"/>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40"/>
              <w:spacing w:after="0"/>
              <w:rPr>
                <w:sz w:val="20"/>
                <w:szCs w:val="20"/>
                <w:color w:val="auto"/>
              </w:rPr>
            </w:pPr>
            <w:r>
              <w:rPr>
                <w:rFonts w:ascii="Arial" w:cs="Arial" w:eastAsia="Arial" w:hAnsi="Arial"/>
                <w:sz w:val="13"/>
                <w:szCs w:val="13"/>
                <w:color w:val="auto"/>
                <w:w w:val="76"/>
              </w:rPr>
              <w:t> </w:t>
            </w:r>
          </w:p>
        </w:tc>
        <w:tc>
          <w:tcPr>
            <w:tcW w:w="1540" w:type="dxa"/>
            <w:vAlign w:val="bottom"/>
            <w:gridSpan w:val="7"/>
          </w:tcPr>
          <w:p>
            <w:pPr>
              <w:ind w:left="100"/>
              <w:spacing w:after="0"/>
              <w:rPr>
                <w:sz w:val="20"/>
                <w:szCs w:val="20"/>
                <w:color w:val="auto"/>
              </w:rPr>
            </w:pPr>
            <w:r>
              <w:rPr>
                <w:rFonts w:ascii="Arial" w:cs="Arial" w:eastAsia="Arial" w:hAnsi="Arial"/>
                <w:sz w:val="13"/>
                <w:szCs w:val="13"/>
                <w:color w:val="auto"/>
                <w:w w:val="96"/>
              </w:rPr>
              <w:t>Relationship to Owner:  </w:t>
            </w:r>
          </w:p>
        </w:tc>
        <w:tc>
          <w:tcPr>
            <w:tcW w:w="200" w:type="dxa"/>
            <w:vAlign w:val="bottom"/>
          </w:tcPr>
          <w:p>
            <w:pPr>
              <w:ind w:left="60"/>
              <w:spacing w:after="0"/>
              <w:rPr>
                <w:sz w:val="20"/>
                <w:szCs w:val="20"/>
                <w:color w:val="auto"/>
              </w:rPr>
            </w:pPr>
            <w:r>
              <w:rPr>
                <w:rFonts w:ascii="Arial" w:cs="Arial" w:eastAsia="Arial" w:hAnsi="Arial"/>
                <w:sz w:val="13"/>
                <w:szCs w:val="13"/>
                <w:color w:val="auto"/>
                <w:w w:val="91"/>
              </w:rPr>
              <w:t> </w:t>
            </w: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140" w:type="dxa"/>
            <w:vAlign w:val="bottom"/>
          </w:tcPr>
          <w:p>
            <w:pPr>
              <w:spacing w:after="0"/>
              <w:rPr>
                <w:sz w:val="20"/>
                <w:szCs w:val="20"/>
                <w:color w:val="auto"/>
              </w:rPr>
            </w:pPr>
            <w:r>
              <w:rPr>
                <w:rFonts w:ascii="Arial" w:cs="Arial" w:eastAsia="Arial" w:hAnsi="Arial"/>
                <w:sz w:val="13"/>
                <w:szCs w:val="13"/>
                <w:color w:val="auto"/>
                <w:w w:val="91"/>
              </w:rPr>
              <w:t> </w:t>
            </w:r>
          </w:p>
        </w:tc>
        <w:tc>
          <w:tcPr>
            <w:tcW w:w="140" w:type="dxa"/>
            <w:vAlign w:val="bottom"/>
          </w:tcPr>
          <w:p>
            <w:pPr>
              <w:spacing w:after="0"/>
              <w:rPr>
                <w:sz w:val="20"/>
                <w:szCs w:val="20"/>
                <w:color w:val="auto"/>
              </w:rPr>
            </w:pPr>
            <w:r>
              <w:rPr>
                <w:rFonts w:ascii="Arial" w:cs="Arial" w:eastAsia="Arial" w:hAnsi="Arial"/>
                <w:sz w:val="13"/>
                <w:szCs w:val="13"/>
                <w:color w:val="auto"/>
                <w:w w:val="91"/>
              </w:rPr>
              <w:t> </w:t>
            </w:r>
          </w:p>
        </w:tc>
        <w:tc>
          <w:tcPr>
            <w:tcW w:w="60" w:type="dxa"/>
            <w:vAlign w:val="bottom"/>
          </w:tcPr>
          <w:p>
            <w:pPr>
              <w:spacing w:after="0"/>
              <w:rPr>
                <w:sz w:val="20"/>
                <w:szCs w:val="20"/>
                <w:color w:val="auto"/>
              </w:rPr>
            </w:pPr>
            <w:r>
              <w:rPr>
                <w:rFonts w:ascii="Arial" w:cs="Arial" w:eastAsia="Arial" w:hAnsi="Arial"/>
                <w:sz w:val="4"/>
                <w:szCs w:val="4"/>
                <w:color w:val="auto"/>
                <w:w w:val="98"/>
              </w:rPr>
              <w:t> </w:t>
            </w:r>
          </w:p>
        </w:tc>
        <w:tc>
          <w:tcPr>
            <w:tcW w:w="140" w:type="dxa"/>
            <w:vAlign w:val="bottom"/>
            <w:gridSpan w:val="2"/>
          </w:tcPr>
          <w:p>
            <w:pPr>
              <w:ind w:left="60"/>
              <w:spacing w:after="0"/>
              <w:rPr>
                <w:sz w:val="20"/>
                <w:szCs w:val="20"/>
                <w:color w:val="auto"/>
              </w:rPr>
            </w:pPr>
            <w:r>
              <w:rPr>
                <w:rFonts w:ascii="Arial" w:cs="Arial" w:eastAsia="Arial" w:hAnsi="Arial"/>
                <w:sz w:val="8"/>
                <w:szCs w:val="8"/>
                <w:color w:val="auto"/>
                <w:w w:val="74"/>
              </w:rPr>
              <w:t> </w:t>
            </w:r>
          </w:p>
        </w:tc>
        <w:tc>
          <w:tcPr>
            <w:tcW w:w="120" w:type="dxa"/>
            <w:vAlign w:val="bottom"/>
          </w:tcPr>
          <w:p>
            <w:pPr>
              <w:jc w:val="right"/>
              <w:spacing w:after="0"/>
              <w:rPr>
                <w:sz w:val="20"/>
                <w:szCs w:val="20"/>
                <w:color w:val="auto"/>
              </w:rPr>
            </w:pPr>
            <w:r>
              <w:rPr>
                <w:rFonts w:ascii="Arial" w:cs="Arial" w:eastAsia="Arial" w:hAnsi="Arial"/>
                <w:sz w:val="11"/>
                <w:szCs w:val="11"/>
                <w:color w:val="auto"/>
                <w:w w:val="75"/>
              </w:rPr>
              <w:t>  </w:t>
            </w:r>
          </w:p>
        </w:tc>
        <w:tc>
          <w:tcPr>
            <w:tcW w:w="140" w:type="dxa"/>
            <w:vAlign w:val="bottom"/>
          </w:tcPr>
          <w:p>
            <w:pPr>
              <w:ind w:left="100"/>
              <w:spacing w:after="0"/>
              <w:rPr>
                <w:sz w:val="20"/>
                <w:szCs w:val="20"/>
                <w:color w:val="auto"/>
              </w:rPr>
            </w:pPr>
            <w:r>
              <w:rPr>
                <w:rFonts w:ascii="Arial" w:cs="Arial" w:eastAsia="Arial" w:hAnsi="Arial"/>
                <w:sz w:val="2"/>
                <w:szCs w:val="2"/>
                <w:color w:val="auto"/>
                <w:w w:val="97"/>
              </w:rPr>
              <w:t> </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 xml:space="preserve">    </w:t>
            </w:r>
          </w:p>
        </w:tc>
        <w:tc>
          <w:tcPr>
            <w:tcW w:w="160" w:type="dxa"/>
            <w:vAlign w:val="bottom"/>
          </w:tcPr>
          <w:p>
            <w:pPr>
              <w:jc w:val="right"/>
              <w:ind w:right="25"/>
              <w:spacing w:after="0"/>
              <w:rPr>
                <w:sz w:val="20"/>
                <w:szCs w:val="20"/>
                <w:color w:val="auto"/>
              </w:rPr>
            </w:pPr>
            <w:r>
              <w:rPr>
                <w:rFonts w:ascii="Arial" w:cs="Arial" w:eastAsia="Arial" w:hAnsi="Arial"/>
                <w:sz w:val="8"/>
                <w:szCs w:val="8"/>
                <w:color w:val="auto"/>
                <w:w w:val="74"/>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60" w:type="dxa"/>
            <w:vAlign w:val="bottom"/>
          </w:tcPr>
          <w:p>
            <w:pPr>
              <w:ind w:left="20"/>
              <w:spacing w:after="0"/>
              <w:rPr>
                <w:sz w:val="20"/>
                <w:szCs w:val="20"/>
                <w:color w:val="auto"/>
              </w:rPr>
            </w:pPr>
            <w:r>
              <w:rPr>
                <w:rFonts w:ascii="Arial" w:cs="Arial" w:eastAsia="Arial" w:hAnsi="Arial"/>
                <w:sz w:val="13"/>
                <w:szCs w:val="13"/>
                <w:color w:val="auto"/>
              </w:rPr>
              <w:t xml:space="preserve">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jc w:val="right"/>
              <w:ind w:right="20"/>
              <w:spacing w:after="0"/>
              <w:rPr>
                <w:sz w:val="20"/>
                <w:szCs w:val="20"/>
                <w:color w:val="auto"/>
              </w:rPr>
            </w:pPr>
            <w:r>
              <w:rPr>
                <w:rFonts w:ascii="Arial" w:cs="Arial" w:eastAsia="Arial" w:hAnsi="Arial"/>
                <w:sz w:val="8"/>
                <w:szCs w:val="8"/>
                <w:color w:val="auto"/>
                <w:w w:val="74"/>
              </w:rPr>
              <w:t> </w:t>
            </w:r>
          </w:p>
        </w:tc>
        <w:tc>
          <w:tcPr>
            <w:tcW w:w="160" w:type="dxa"/>
            <w:vAlign w:val="bottom"/>
          </w:tcPr>
          <w:p>
            <w:pPr>
              <w:ind w:left="40"/>
              <w:spacing w:after="0"/>
              <w:rPr>
                <w:sz w:val="20"/>
                <w:szCs w:val="20"/>
                <w:color w:val="auto"/>
              </w:rPr>
            </w:pPr>
            <w:r>
              <w:rPr>
                <w:rFonts w:ascii="Arial" w:cs="Arial" w:eastAsia="Arial" w:hAnsi="Arial"/>
                <w:sz w:val="11"/>
                <w:szCs w:val="11"/>
                <w:color w:val="auto"/>
                <w:w w:val="75"/>
              </w:rPr>
              <w:t>  </w:t>
            </w:r>
          </w:p>
        </w:tc>
        <w:tc>
          <w:tcPr>
            <w:tcW w:w="220" w:type="dxa"/>
            <w:vAlign w:val="bottom"/>
            <w:gridSpan w:val="2"/>
          </w:tcPr>
          <w:p>
            <w:pPr>
              <w:ind w:left="40"/>
              <w:spacing w:after="0"/>
              <w:rPr>
                <w:sz w:val="20"/>
                <w:szCs w:val="20"/>
                <w:color w:val="auto"/>
              </w:rPr>
            </w:pPr>
            <w:r>
              <w:rPr>
                <w:rFonts w:ascii="Arial" w:cs="Arial" w:eastAsia="Arial" w:hAnsi="Arial"/>
                <w:sz w:val="13"/>
                <w:szCs w:val="13"/>
                <w:color w:val="auto"/>
              </w:rPr>
              <w:t> </w:t>
            </w:r>
          </w:p>
        </w:tc>
      </w:tr>
      <w:tr>
        <w:trPr>
          <w:trHeight w:val="20"/>
        </w:trPr>
        <w:tc>
          <w:tcPr>
            <w:tcW w:w="600" w:type="dxa"/>
            <w:vAlign w:val="bottom"/>
            <w:gridSpan w:val="2"/>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8"/>
        </w:trPr>
        <w:tc>
          <w:tcPr>
            <w:tcW w:w="1520" w:type="dxa"/>
            <w:vAlign w:val="bottom"/>
            <w:gridSpan w:val="6"/>
          </w:tcPr>
          <w:p>
            <w:pPr>
              <w:spacing w:after="0"/>
              <w:rPr>
                <w:sz w:val="20"/>
                <w:szCs w:val="20"/>
                <w:color w:val="auto"/>
              </w:rPr>
            </w:pPr>
            <w:r>
              <w:rPr>
                <w:rFonts w:ascii="Arial" w:cs="Arial" w:eastAsia="Arial" w:hAnsi="Arial"/>
                <w:sz w:val="13"/>
                <w:szCs w:val="13"/>
                <w:color w:val="auto"/>
              </w:rPr>
              <w:t xml:space="preserve">Date of Birth/Trust:        </w:t>
            </w:r>
          </w:p>
        </w:tc>
        <w:tc>
          <w:tcPr>
            <w:tcW w:w="80" w:type="dxa"/>
            <w:vAlign w:val="bottom"/>
          </w:tcPr>
          <w:p>
            <w:pPr>
              <w:ind w:left="60"/>
              <w:spacing w:after="0"/>
              <w:rPr>
                <w:sz w:val="20"/>
                <w:szCs w:val="20"/>
                <w:color w:val="auto"/>
              </w:rPr>
            </w:pPr>
            <w:r>
              <w:rPr>
                <w:rFonts w:ascii="Arial" w:cs="Arial" w:eastAsia="Arial" w:hAnsi="Arial"/>
                <w:sz w:val="1"/>
                <w:szCs w:val="1"/>
                <w:color w:val="auto"/>
                <w:w w:val="4294967291"/>
              </w:rPr>
              <w:t> </w:t>
            </w:r>
          </w:p>
        </w:tc>
        <w:tc>
          <w:tcPr>
            <w:tcW w:w="180" w:type="dxa"/>
            <w:vAlign w:val="bottom"/>
          </w:tcPr>
          <w:p>
            <w:pPr>
              <w:ind w:left="10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80" w:type="dxa"/>
            <w:vAlign w:val="bottom"/>
          </w:tcPr>
          <w:p>
            <w:pPr>
              <w:jc w:val="center"/>
              <w:ind w:right="12"/>
              <w:spacing w:after="0"/>
              <w:rPr>
                <w:sz w:val="20"/>
                <w:szCs w:val="20"/>
                <w:color w:val="auto"/>
              </w:rPr>
            </w:pPr>
            <w:r>
              <w:rPr>
                <w:rFonts w:ascii="Arial" w:cs="Arial" w:eastAsia="Arial" w:hAnsi="Arial"/>
                <w:sz w:val="4"/>
                <w:szCs w:val="4"/>
                <w:color w:val="auto"/>
                <w:w w:val="98"/>
              </w:rPr>
              <w:t> </w:t>
            </w:r>
          </w:p>
        </w:tc>
        <w:tc>
          <w:tcPr>
            <w:tcW w:w="180" w:type="dxa"/>
            <w:vAlign w:val="bottom"/>
          </w:tcPr>
          <w:p>
            <w:pPr>
              <w:jc w:val="center"/>
              <w:spacing w:after="0"/>
              <w:rPr>
                <w:sz w:val="20"/>
                <w:szCs w:val="20"/>
                <w:color w:val="auto"/>
              </w:rPr>
            </w:pPr>
            <w:r>
              <w:rPr>
                <w:rFonts w:ascii="Arial" w:cs="Arial" w:eastAsia="Arial" w:hAnsi="Arial"/>
                <w:sz w:val="13"/>
                <w:szCs w:val="13"/>
                <w:color w:val="auto"/>
              </w:rPr>
              <w:t xml:space="preserve">    </w:t>
            </w:r>
          </w:p>
        </w:tc>
        <w:tc>
          <w:tcPr>
            <w:tcW w:w="120" w:type="dxa"/>
            <w:vAlign w:val="bottom"/>
          </w:tcPr>
          <w:p>
            <w:pPr>
              <w:ind w:left="80"/>
              <w:spacing w:after="0"/>
              <w:rPr>
                <w:sz w:val="20"/>
                <w:szCs w:val="20"/>
                <w:color w:val="auto"/>
              </w:rPr>
            </w:pPr>
            <w:r>
              <w:rPr>
                <w:rFonts w:ascii="Arial" w:cs="Arial" w:eastAsia="Arial" w:hAnsi="Arial"/>
                <w:sz w:val="2"/>
                <w:szCs w:val="2"/>
                <w:color w:val="auto"/>
                <w:w w:val="97"/>
              </w:rPr>
              <w:t> </w:t>
            </w:r>
          </w:p>
        </w:tc>
        <w:tc>
          <w:tcPr>
            <w:tcW w:w="160" w:type="dxa"/>
            <w:vAlign w:val="bottom"/>
          </w:tcPr>
          <w:p>
            <w:pPr>
              <w:jc w:val="right"/>
              <w:spacing w:after="0"/>
              <w:rPr>
                <w:sz w:val="20"/>
                <w:szCs w:val="20"/>
                <w:color w:val="auto"/>
              </w:rPr>
            </w:pPr>
            <w:r>
              <w:rPr>
                <w:rFonts w:ascii="Arial" w:cs="Arial" w:eastAsia="Arial" w:hAnsi="Arial"/>
                <w:sz w:val="13"/>
                <w:szCs w:val="13"/>
                <w:color w:val="auto"/>
                <w:w w:val="91"/>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40" w:type="dxa"/>
            <w:vAlign w:val="bottom"/>
          </w:tcPr>
          <w:p>
            <w:pPr>
              <w:jc w:val="right"/>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8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1140" w:type="dxa"/>
            <w:vAlign w:val="bottom"/>
            <w:gridSpan w:val="3"/>
          </w:tcPr>
          <w:p>
            <w:pPr>
              <w:ind w:left="100"/>
              <w:spacing w:after="0"/>
              <w:rPr>
                <w:sz w:val="20"/>
                <w:szCs w:val="20"/>
                <w:color w:val="auto"/>
              </w:rPr>
            </w:pPr>
            <w:r>
              <w:rPr>
                <w:rFonts w:ascii="Arial" w:cs="Arial" w:eastAsia="Arial" w:hAnsi="Arial"/>
                <w:sz w:val="13"/>
                <w:szCs w:val="13"/>
                <w:color w:val="auto"/>
                <w:w w:val="93"/>
              </w:rPr>
              <w:t>Phone Number:  </w:t>
            </w:r>
          </w:p>
        </w:tc>
        <w:tc>
          <w:tcPr>
            <w:tcW w:w="140" w:type="dxa"/>
            <w:vAlign w:val="bottom"/>
          </w:tcPr>
          <w:p>
            <w:pPr>
              <w:jc w:val="right"/>
              <w:spacing w:after="0"/>
              <w:rPr>
                <w:sz w:val="20"/>
                <w:szCs w:val="20"/>
                <w:color w:val="auto"/>
              </w:rPr>
            </w:pPr>
            <w:r>
              <w:rPr>
                <w:rFonts w:ascii="Arial" w:cs="Arial" w:eastAsia="Arial" w:hAnsi="Arial"/>
                <w:sz w:val="13"/>
                <w:szCs w:val="13"/>
                <w:color w:val="auto"/>
                <w:w w:val="76"/>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60" w:type="dxa"/>
            <w:vAlign w:val="bottom"/>
          </w:tcPr>
          <w:p>
            <w:pPr>
              <w:spacing w:after="0"/>
              <w:rPr>
                <w:sz w:val="18"/>
                <w:szCs w:val="18"/>
                <w:color w:val="auto"/>
              </w:rPr>
            </w:pPr>
          </w:p>
        </w:tc>
        <w:tc>
          <w:tcPr>
            <w:tcW w:w="60" w:type="dxa"/>
            <w:vAlign w:val="bottom"/>
          </w:tcPr>
          <w:p>
            <w:pPr>
              <w:ind w:left="20"/>
              <w:spacing w:after="0"/>
              <w:rPr>
                <w:sz w:val="20"/>
                <w:szCs w:val="20"/>
                <w:color w:val="auto"/>
              </w:rPr>
            </w:pPr>
            <w:r>
              <w:rPr>
                <w:rFonts w:ascii="Arial" w:cs="Arial" w:eastAsia="Arial" w:hAnsi="Arial"/>
                <w:sz w:val="2"/>
                <w:szCs w:val="2"/>
                <w:color w:val="auto"/>
                <w:w w:val="97"/>
              </w:rPr>
              <w:t> </w:t>
            </w:r>
          </w:p>
        </w:tc>
        <w:tc>
          <w:tcPr>
            <w:tcW w:w="200" w:type="dxa"/>
            <w:vAlign w:val="bottom"/>
          </w:tcPr>
          <w:p>
            <w:pPr>
              <w:ind w:left="80"/>
              <w:spacing w:after="0"/>
              <w:rPr>
                <w:sz w:val="20"/>
                <w:szCs w:val="20"/>
                <w:color w:val="auto"/>
              </w:rPr>
            </w:pPr>
            <w:r>
              <w:rPr>
                <w:rFonts w:ascii="Arial" w:cs="Arial" w:eastAsia="Arial" w:hAnsi="Arial"/>
                <w:sz w:val="13"/>
                <w:szCs w:val="13"/>
                <w:color w:val="auto"/>
                <w:w w:val="76"/>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60" w:type="dxa"/>
            <w:vAlign w:val="bottom"/>
          </w:tcPr>
          <w:p>
            <w:pPr>
              <w:ind w:left="20"/>
              <w:spacing w:after="0"/>
              <w:rPr>
                <w:sz w:val="20"/>
                <w:szCs w:val="20"/>
                <w:color w:val="auto"/>
              </w:rPr>
            </w:pPr>
            <w:r>
              <w:rPr>
                <w:rFonts w:ascii="Arial" w:cs="Arial" w:eastAsia="Arial" w:hAnsi="Arial"/>
                <w:sz w:val="2"/>
                <w:szCs w:val="2"/>
                <w:color w:val="auto"/>
                <w:w w:val="97"/>
              </w:rPr>
              <w:t> </w:t>
            </w:r>
          </w:p>
        </w:tc>
        <w:tc>
          <w:tcPr>
            <w:tcW w:w="80" w:type="dxa"/>
            <w:vAlign w:val="bottom"/>
          </w:tcPr>
          <w:p>
            <w:pPr>
              <w:spacing w:after="0"/>
              <w:rPr>
                <w:sz w:val="18"/>
                <w:szCs w:val="18"/>
                <w:color w:val="auto"/>
              </w:rPr>
            </w:pPr>
          </w:p>
        </w:tc>
        <w:tc>
          <w:tcPr>
            <w:tcW w:w="60" w:type="dxa"/>
            <w:vAlign w:val="bottom"/>
          </w:tcPr>
          <w:p>
            <w:pPr>
              <w:spacing w:after="0"/>
              <w:rPr>
                <w:sz w:val="20"/>
                <w:szCs w:val="20"/>
                <w:color w:val="auto"/>
              </w:rPr>
            </w:pPr>
            <w:r>
              <w:rPr>
                <w:rFonts w:ascii="Arial" w:cs="Arial" w:eastAsia="Arial" w:hAnsi="Arial"/>
                <w:sz w:val="4"/>
                <w:szCs w:val="4"/>
                <w:color w:val="auto"/>
                <w:w w:val="98"/>
              </w:rPr>
              <w:t> </w:t>
            </w:r>
          </w:p>
        </w:tc>
        <w:tc>
          <w:tcPr>
            <w:tcW w:w="120" w:type="dxa"/>
            <w:vAlign w:val="bottom"/>
          </w:tcPr>
          <w:p>
            <w:pPr>
              <w:jc w:val="right"/>
              <w:spacing w:after="0"/>
              <w:rPr>
                <w:sz w:val="20"/>
                <w:szCs w:val="20"/>
                <w:color w:val="auto"/>
              </w:rPr>
            </w:pPr>
            <w:r>
              <w:rPr>
                <w:rFonts w:ascii="Arial" w:cs="Arial" w:eastAsia="Arial" w:hAnsi="Arial"/>
                <w:sz w:val="13"/>
                <w:szCs w:val="13"/>
                <w:color w:val="auto"/>
                <w:w w:val="76"/>
              </w:rPr>
              <w:t> </w:t>
            </w:r>
          </w:p>
        </w:tc>
        <w:tc>
          <w:tcPr>
            <w:tcW w:w="280" w:type="dxa"/>
            <w:vAlign w:val="bottom"/>
            <w:gridSpan w:val="2"/>
          </w:tcPr>
          <w:p>
            <w:pPr>
              <w:ind w:left="100"/>
              <w:spacing w:after="0"/>
              <w:rPr>
                <w:sz w:val="20"/>
                <w:szCs w:val="20"/>
                <w:color w:val="auto"/>
              </w:rPr>
            </w:pPr>
            <w:r>
              <w:rPr>
                <w:rFonts w:ascii="Arial" w:cs="Arial" w:eastAsia="Arial" w:hAnsi="Arial"/>
                <w:sz w:val="13"/>
                <w:szCs w:val="13"/>
                <w:color w:val="auto"/>
              </w:rPr>
              <w:t xml:space="preserve">    </w:t>
            </w:r>
          </w:p>
        </w:tc>
        <w:tc>
          <w:tcPr>
            <w:tcW w:w="120" w:type="dxa"/>
            <w:vAlign w:val="bottom"/>
          </w:tcPr>
          <w:p>
            <w:pPr>
              <w:jc w:val="right"/>
              <w:spacing w:after="0"/>
              <w:rPr>
                <w:sz w:val="20"/>
                <w:szCs w:val="20"/>
                <w:color w:val="auto"/>
              </w:rPr>
            </w:pPr>
            <w:r>
              <w:rPr>
                <w:rFonts w:ascii="Arial" w:cs="Arial" w:eastAsia="Arial" w:hAnsi="Arial"/>
                <w:sz w:val="8"/>
                <w:szCs w:val="8"/>
                <w:color w:val="auto"/>
                <w:w w:val="74"/>
              </w:rPr>
              <w:t> </w:t>
            </w:r>
          </w:p>
        </w:tc>
        <w:tc>
          <w:tcPr>
            <w:tcW w:w="160" w:type="dxa"/>
            <w:vAlign w:val="bottom"/>
          </w:tcPr>
          <w:p>
            <w:pPr>
              <w:jc w:val="right"/>
              <w:ind w:right="25"/>
              <w:spacing w:after="0"/>
              <w:rPr>
                <w:sz w:val="20"/>
                <w:szCs w:val="20"/>
                <w:color w:val="auto"/>
              </w:rPr>
            </w:pPr>
            <w:r>
              <w:rPr>
                <w:rFonts w:ascii="Arial" w:cs="Arial" w:eastAsia="Arial" w:hAnsi="Arial"/>
                <w:sz w:val="8"/>
                <w:szCs w:val="8"/>
                <w:color w:val="auto"/>
                <w:w w:val="74"/>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60" w:type="dxa"/>
            <w:vAlign w:val="bottom"/>
          </w:tcPr>
          <w:p>
            <w:pPr>
              <w:ind w:left="20"/>
              <w:spacing w:after="0"/>
              <w:rPr>
                <w:sz w:val="20"/>
                <w:szCs w:val="20"/>
                <w:color w:val="auto"/>
              </w:rPr>
            </w:pPr>
            <w:r>
              <w:rPr>
                <w:rFonts w:ascii="Arial" w:cs="Arial" w:eastAsia="Arial" w:hAnsi="Arial"/>
                <w:sz w:val="8"/>
                <w:szCs w:val="8"/>
                <w:color w:val="auto"/>
                <w:w w:val="75"/>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40" w:type="dxa"/>
            <w:vAlign w:val="bottom"/>
          </w:tcPr>
          <w:p>
            <w:pPr>
              <w:jc w:val="right"/>
              <w:spacing w:after="0"/>
              <w:rPr>
                <w:sz w:val="20"/>
                <w:szCs w:val="20"/>
                <w:color w:val="auto"/>
              </w:rPr>
            </w:pPr>
            <w:r>
              <w:rPr>
                <w:rFonts w:ascii="Arial" w:cs="Arial" w:eastAsia="Arial" w:hAnsi="Arial"/>
                <w:sz w:val="13"/>
                <w:szCs w:val="13"/>
                <w:color w:val="auto"/>
                <w:w w:val="76"/>
              </w:rPr>
              <w:t> </w:t>
            </w:r>
          </w:p>
        </w:tc>
        <w:tc>
          <w:tcPr>
            <w:tcW w:w="160" w:type="dxa"/>
            <w:vAlign w:val="bottom"/>
          </w:tcPr>
          <w:p>
            <w:pPr>
              <w:ind w:left="60"/>
              <w:spacing w:after="0"/>
              <w:rPr>
                <w:sz w:val="20"/>
                <w:szCs w:val="20"/>
                <w:color w:val="auto"/>
              </w:rPr>
            </w:pPr>
            <w:r>
              <w:rPr>
                <w:rFonts w:ascii="Arial" w:cs="Arial" w:eastAsia="Arial" w:hAnsi="Arial"/>
                <w:sz w:val="9"/>
                <w:szCs w:val="9"/>
                <w:color w:val="auto"/>
                <w:w w:val="73"/>
              </w:rPr>
              <w:t>  </w:t>
            </w:r>
          </w:p>
        </w:tc>
        <w:tc>
          <w:tcPr>
            <w:tcW w:w="220" w:type="dxa"/>
            <w:vAlign w:val="bottom"/>
            <w:gridSpan w:val="2"/>
          </w:tcPr>
          <w:p>
            <w:pPr>
              <w:ind w:left="60"/>
              <w:spacing w:after="0"/>
              <w:rPr>
                <w:sz w:val="20"/>
                <w:szCs w:val="20"/>
                <w:color w:val="auto"/>
              </w:rPr>
            </w:pPr>
            <w:r>
              <w:rPr>
                <w:rFonts w:ascii="Arial" w:cs="Arial" w:eastAsia="Arial" w:hAnsi="Arial"/>
                <w:sz w:val="13"/>
                <w:szCs w:val="13"/>
                <w:color w:val="auto"/>
              </w:rPr>
              <w:t> </w:t>
            </w:r>
          </w:p>
        </w:tc>
      </w:tr>
      <w:tr>
        <w:trPr>
          <w:trHeight w:val="20"/>
        </w:trPr>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ind w:left="241" w:hanging="160"/>
        <w:spacing w:after="0"/>
        <w:tabs>
          <w:tab w:leader="none" w:pos="241" w:val="left"/>
        </w:tabs>
        <w:numPr>
          <w:ilvl w:val="0"/>
          <w:numId w:val="9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Plan Type </w:t>
      </w:r>
      <w:r>
        <w:rPr>
          <w:rFonts w:ascii="Arial" w:cs="Arial" w:eastAsia="Arial" w:hAnsi="Arial"/>
          <w:sz w:val="13"/>
          <w:szCs w:val="13"/>
          <w:color w:val="auto"/>
        </w:rPr>
        <w:t>Choose one of the following plan 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140325" cy="127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6">
                      <a:extLst>
                        <a:ext uri="{28A0092B-C50C-407E-A947-70E740481C1C}"/>
                      </a:extLst>
                    </a:blip>
                    <a:srcRect/>
                    <a:stretch>
                      <a:fillRect/>
                    </a:stretch>
                  </pic:blipFill>
                  <pic:spPr bwMode="auto">
                    <a:xfrm>
                      <a:off x="0" y="0"/>
                      <a:ext cx="5140325" cy="12700"/>
                    </a:xfrm>
                    <a:prstGeom prst="rect">
                      <a:avLst/>
                    </a:prstGeom>
                    <a:noFill/>
                  </pic:spPr>
                </pic:pic>
              </a:graphicData>
            </a:graphic>
          </wp:anchor>
        </w:drawing>
      </w:r>
    </w:p>
    <w:p>
      <w:pPr>
        <w:sectPr>
          <w:pgSz w:w="11900" w:h="16838" w:orient="portrait"/>
          <w:cols w:equalWidth="0" w:num="1">
            <w:col w:w="10160"/>
          </w:cols>
          <w:pgMar w:left="299" w:top="205" w:right="1440" w:bottom="1440" w:gutter="0" w:footer="0" w:header="0"/>
        </w:sectPr>
      </w:pPr>
    </w:p>
    <w:p>
      <w:pPr>
        <w:spacing w:after="0" w:line="88" w:lineRule="exact"/>
        <w:rPr>
          <w:sz w:val="20"/>
          <w:szCs w:val="20"/>
          <w:color w:val="auto"/>
        </w:rPr>
      </w:pPr>
    </w:p>
    <w:p>
      <w:pPr>
        <w:ind w:left="61"/>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Non-Qualified</w:t>
      </w:r>
    </w:p>
    <w:p>
      <w:pPr>
        <w:spacing w:after="0" w:line="72" w:lineRule="exact"/>
        <w:rPr>
          <w:sz w:val="20"/>
          <w:szCs w:val="20"/>
          <w:color w:val="auto"/>
        </w:rPr>
      </w:pPr>
    </w:p>
    <w:p>
      <w:pPr>
        <w:ind w:left="61"/>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Non-Qualified Decedent</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Traditional IRA</w:t>
      </w:r>
    </w:p>
    <w:p>
      <w:pPr>
        <w:spacing w:after="0" w:line="72" w:lineRule="exact"/>
        <w:rPr>
          <w:sz w:val="20"/>
          <w:szCs w:val="20"/>
          <w:color w:val="auto"/>
        </w:rPr>
      </w:pPr>
    </w:p>
    <w:p>
      <w:pPr>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Decedent IRA</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Roth IRA</w:t>
      </w:r>
    </w:p>
    <w:p>
      <w:pPr>
        <w:spacing w:after="0" w:line="433" w:lineRule="exact"/>
        <w:rPr>
          <w:sz w:val="20"/>
          <w:szCs w:val="20"/>
          <w:color w:val="auto"/>
        </w:rPr>
      </w:pPr>
    </w:p>
    <w:p>
      <w:pPr>
        <w:sectPr>
          <w:pgSz w:w="11900" w:h="16838" w:orient="portrait"/>
          <w:cols w:equalWidth="0" w:num="3">
            <w:col w:w="2201" w:space="720"/>
            <w:col w:w="1960" w:space="720"/>
            <w:col w:w="4559"/>
          </w:cols>
          <w:pgMar w:left="299" w:top="205" w:right="1440" w:bottom="1440" w:gutter="0" w:footer="0" w:header="0"/>
          <w:type w:val="continuous"/>
        </w:sectPr>
      </w:pPr>
    </w:p>
    <w:p>
      <w:pPr>
        <w:spacing w:after="0" w:line="269" w:lineRule="exact"/>
        <w:rPr>
          <w:sz w:val="20"/>
          <w:szCs w:val="20"/>
          <w:color w:val="auto"/>
        </w:rPr>
      </w:pPr>
    </w:p>
    <w:p>
      <w:pPr>
        <w:ind w:left="81"/>
        <w:spacing w:after="0"/>
        <w:rPr>
          <w:sz w:val="20"/>
          <w:szCs w:val="20"/>
          <w:color w:val="auto"/>
        </w:rPr>
      </w:pPr>
      <w:r>
        <w:rPr>
          <w:rFonts w:ascii="Arial" w:cs="Arial" w:eastAsia="Arial" w:hAnsi="Arial"/>
          <w:sz w:val="14"/>
          <w:szCs w:val="14"/>
          <w:b w:val="1"/>
          <w:bCs w:val="1"/>
          <w:color w:val="auto"/>
        </w:rPr>
        <w:t>6. Replacements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5140325" cy="127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7">
                      <a:extLst>
                        <a:ext uri="{28A0092B-C50C-407E-A947-70E740481C1C}"/>
                      </a:extLst>
                    </a:blip>
                    <a:srcRect/>
                    <a:stretch>
                      <a:fillRect/>
                    </a:stretch>
                  </pic:blipFill>
                  <pic:spPr bwMode="auto">
                    <a:xfrm>
                      <a:off x="0" y="0"/>
                      <a:ext cx="5140325" cy="12700"/>
                    </a:xfrm>
                    <a:prstGeom prst="rect">
                      <a:avLst/>
                    </a:prstGeom>
                    <a:noFill/>
                  </pic:spPr>
                </pic:pic>
              </a:graphicData>
            </a:graphic>
          </wp:anchor>
        </w:drawing>
      </w:r>
    </w:p>
    <w:p>
      <w:pPr>
        <w:sectPr>
          <w:pgSz w:w="11900" w:h="16838" w:orient="portrait"/>
          <w:cols w:equalWidth="0" w:num="1">
            <w:col w:w="10160"/>
          </w:cols>
          <w:pgMar w:left="299" w:top="205" w:right="1440" w:bottom="1440" w:gutter="0" w:footer="0" w:header="0"/>
          <w:type w:val="continuous"/>
        </w:sectPr>
      </w:pPr>
    </w:p>
    <w:p>
      <w:pPr>
        <w:spacing w:after="0" w:line="121" w:lineRule="exact"/>
        <w:rPr>
          <w:sz w:val="20"/>
          <w:szCs w:val="20"/>
          <w:color w:val="auto"/>
        </w:rPr>
      </w:pPr>
    </w:p>
    <w:p>
      <w:pPr>
        <w:ind w:left="61"/>
        <w:spacing w:after="0"/>
        <w:rPr>
          <w:sz w:val="20"/>
          <w:szCs w:val="20"/>
          <w:color w:val="auto"/>
        </w:rPr>
      </w:pPr>
      <w:r>
        <w:rPr>
          <w:rFonts w:ascii="Arial" w:cs="Arial" w:eastAsia="Arial" w:hAnsi="Arial"/>
          <w:sz w:val="13"/>
          <w:szCs w:val="13"/>
          <w:color w:val="auto"/>
        </w:rPr>
        <w:t>Does the applicant have any existing life insurance policies or annuity contracts?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Yes  </w:t>
      </w:r>
      <w:r>
        <w:rPr>
          <w:rFonts w:ascii="MS PGothic" w:cs="MS PGothic" w:eastAsia="MS PGothic" w:hAnsi="MS PGothic"/>
          <w:sz w:val="12"/>
          <w:szCs w:val="12"/>
          <w:color w:val="auto"/>
        </w:rPr>
        <w:t>☐</w:t>
      </w:r>
      <w:r>
        <w:rPr>
          <w:rFonts w:ascii="Arial" w:cs="Arial" w:eastAsia="Arial" w:hAnsi="Arial"/>
          <w:sz w:val="12"/>
          <w:szCs w:val="12"/>
          <w:color w:val="auto"/>
        </w:rPr>
        <w:t xml:space="preserve"> No</w:t>
      </w:r>
    </w:p>
    <w:p>
      <w:pPr>
        <w:spacing w:after="0" w:line="149" w:lineRule="exact"/>
        <w:rPr>
          <w:sz w:val="20"/>
          <w:szCs w:val="20"/>
          <w:color w:val="auto"/>
        </w:rPr>
      </w:pPr>
    </w:p>
    <w:p>
      <w:pPr>
        <w:sectPr>
          <w:pgSz w:w="11900" w:h="16838" w:orient="portrait"/>
          <w:cols w:equalWidth="0" w:num="2">
            <w:col w:w="6081" w:space="720"/>
            <w:col w:w="3359"/>
          </w:cols>
          <w:pgMar w:left="299" w:top="205" w:right="1440" w:bottom="1440" w:gutter="0" w:footer="0" w:header="0"/>
          <w:type w:val="continuous"/>
        </w:sectPr>
      </w:pPr>
    </w:p>
    <w:p>
      <w:pPr>
        <w:spacing w:after="0" w:line="31" w:lineRule="exact"/>
        <w:rPr>
          <w:sz w:val="20"/>
          <w:szCs w:val="20"/>
          <w:color w:val="auto"/>
        </w:rPr>
      </w:pPr>
    </w:p>
    <w:p>
      <w:pPr>
        <w:ind w:left="61"/>
        <w:spacing w:after="0"/>
        <w:rPr>
          <w:sz w:val="20"/>
          <w:szCs w:val="20"/>
          <w:color w:val="auto"/>
        </w:rPr>
      </w:pPr>
      <w:r>
        <w:rPr>
          <w:rFonts w:ascii="Arial" w:cs="Arial" w:eastAsia="Arial" w:hAnsi="Arial"/>
          <w:sz w:val="13"/>
          <w:szCs w:val="13"/>
          <w:color w:val="auto"/>
        </w:rPr>
        <w:t>Is it your intent to replace, discontinue, or change any existing policy or contract?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Yes  </w:t>
      </w:r>
      <w:r>
        <w:rPr>
          <w:rFonts w:ascii="MS PGothic" w:cs="MS PGothic" w:eastAsia="MS PGothic" w:hAnsi="MS PGothic"/>
          <w:sz w:val="12"/>
          <w:szCs w:val="12"/>
          <w:color w:val="auto"/>
        </w:rPr>
        <w:t>☐</w:t>
      </w:r>
      <w:r>
        <w:rPr>
          <w:rFonts w:ascii="Arial" w:cs="Arial" w:eastAsia="Arial" w:hAnsi="Arial"/>
          <w:sz w:val="12"/>
          <w:szCs w:val="12"/>
          <w:color w:val="auto"/>
        </w:rPr>
        <w:t xml:space="preserve"> No</w:t>
      </w:r>
    </w:p>
    <w:p>
      <w:pPr>
        <w:spacing w:after="0" w:line="190" w:lineRule="exact"/>
        <w:rPr>
          <w:sz w:val="20"/>
          <w:szCs w:val="20"/>
          <w:color w:val="auto"/>
        </w:rPr>
      </w:pPr>
    </w:p>
    <w:p>
      <w:pPr>
        <w:sectPr>
          <w:pgSz w:w="11900" w:h="16838" w:orient="portrait"/>
          <w:cols w:equalWidth="0" w:num="2">
            <w:col w:w="6081" w:space="720"/>
            <w:col w:w="3359"/>
          </w:cols>
          <w:pgMar w:left="299" w:top="205" w:right="1440" w:bottom="1440" w:gutter="0" w:footer="0" w:header="0"/>
          <w:type w:val="continuous"/>
        </w:sectPr>
      </w:pPr>
    </w:p>
    <w:p>
      <w:pPr>
        <w:ind w:left="81"/>
        <w:spacing w:after="0"/>
        <w:rPr>
          <w:sz w:val="20"/>
          <w:szCs w:val="20"/>
          <w:color w:val="auto"/>
        </w:rPr>
      </w:pPr>
      <w:r>
        <w:rPr>
          <w:rFonts w:ascii="Arial" w:cs="Arial" w:eastAsia="Arial" w:hAnsi="Arial"/>
          <w:sz w:val="13"/>
          <w:szCs w:val="13"/>
          <w:color w:val="auto"/>
        </w:rPr>
        <w:t>If “Yes” to either, ensure that any applicable disclosure and replacement forms are attached.</w:t>
      </w:r>
    </w:p>
    <w:p>
      <w:pPr>
        <w:spacing w:after="0" w:line="128" w:lineRule="exact"/>
        <w:rPr>
          <w:sz w:val="20"/>
          <w:szCs w:val="20"/>
          <w:color w:val="auto"/>
        </w:rPr>
      </w:pPr>
    </w:p>
    <w:p>
      <w:pPr>
        <w:ind w:left="81" w:right="2439"/>
        <w:spacing w:after="0" w:line="287" w:lineRule="auto"/>
        <w:rPr>
          <w:sz w:val="20"/>
          <w:szCs w:val="20"/>
          <w:color w:val="auto"/>
        </w:rPr>
      </w:pPr>
      <w:r>
        <w:rPr>
          <w:rFonts w:ascii="Arial" w:cs="Arial" w:eastAsia="Arial" w:hAnsi="Arial"/>
          <w:sz w:val="13"/>
          <w:szCs w:val="13"/>
          <w:b w:val="1"/>
          <w:bCs w:val="1"/>
          <w:color w:val="auto"/>
        </w:rPr>
        <w:t>Replacement includes any surrender, loan, withdrawal, lapse, reduction in or redirection of payments on an annuity or life insurance contract relating to this application.</w:t>
      </w:r>
    </w:p>
    <w:p>
      <w:pPr>
        <w:spacing w:after="0" w:line="204" w:lineRule="exact"/>
        <w:rPr>
          <w:sz w:val="20"/>
          <w:szCs w:val="20"/>
          <w:color w:val="auto"/>
        </w:rPr>
      </w:pPr>
    </w:p>
    <w:p>
      <w:pPr>
        <w:ind w:left="241" w:hanging="160"/>
        <w:spacing w:after="0"/>
        <w:tabs>
          <w:tab w:leader="none" w:pos="241" w:val="left"/>
        </w:tabs>
        <w:numPr>
          <w:ilvl w:val="1"/>
          <w:numId w:val="93"/>
        </w:numPr>
        <w:rPr>
          <w:rFonts w:ascii="Arial" w:cs="Arial" w:eastAsia="Arial" w:hAnsi="Arial"/>
          <w:sz w:val="15"/>
          <w:szCs w:val="15"/>
          <w:b w:val="1"/>
          <w:bCs w:val="1"/>
          <w:color w:val="auto"/>
        </w:rPr>
      </w:pPr>
      <w:r>
        <w:rPr>
          <w:rFonts w:ascii="Arial" w:cs="Arial" w:eastAsia="Arial" w:hAnsi="Arial"/>
          <w:sz w:val="15"/>
          <w:szCs w:val="15"/>
          <w:b w:val="1"/>
          <w:bCs w:val="1"/>
          <w:color w:val="auto"/>
        </w:rPr>
        <w:t>Single Purchase Payment</w:t>
      </w:r>
    </w:p>
    <w:p>
      <w:pPr>
        <w:spacing w:after="0" w:line="109" w:lineRule="exact"/>
        <w:rPr>
          <w:rFonts w:ascii="Arial" w:cs="Arial" w:eastAsia="Arial" w:hAnsi="Arial"/>
          <w:sz w:val="15"/>
          <w:szCs w:val="15"/>
          <w:b w:val="1"/>
          <w:bCs w:val="1"/>
          <w:color w:val="auto"/>
        </w:rPr>
      </w:pPr>
    </w:p>
    <w:p>
      <w:pPr>
        <w:ind w:left="241" w:hanging="161"/>
        <w:spacing w:after="0"/>
        <w:tabs>
          <w:tab w:leader="none" w:pos="241" w:val="left"/>
        </w:tabs>
        <w:numPr>
          <w:ilvl w:val="0"/>
          <w:numId w:val="93"/>
        </w:numPr>
        <w:rPr>
          <w:rFonts w:ascii="Arial" w:cs="Arial" w:eastAsia="Arial" w:hAnsi="Arial"/>
          <w:sz w:val="13"/>
          <w:szCs w:val="13"/>
          <w:color w:val="auto"/>
        </w:rPr>
      </w:pPr>
      <w:r>
        <w:rPr>
          <w:rFonts w:ascii="Arial" w:cs="Arial" w:eastAsia="Arial" w:hAnsi="Arial"/>
          <w:sz w:val="13"/>
          <w:szCs w:val="13"/>
          <w:color w:val="auto"/>
        </w:rPr>
        <w:t>Please provide the payment type for each incoming fund amount below and total them below.</w:t>
      </w:r>
    </w:p>
    <w:p>
      <w:pPr>
        <w:spacing w:after="0" w:line="48" w:lineRule="exact"/>
        <w:rPr>
          <w:rFonts w:ascii="Arial" w:cs="Arial" w:eastAsia="Arial" w:hAnsi="Arial"/>
          <w:sz w:val="13"/>
          <w:szCs w:val="13"/>
          <w:color w:val="auto"/>
        </w:rPr>
      </w:pPr>
    </w:p>
    <w:p>
      <w:pPr>
        <w:ind w:left="241" w:hanging="161"/>
        <w:spacing w:after="0"/>
        <w:tabs>
          <w:tab w:leader="none" w:pos="241" w:val="left"/>
        </w:tabs>
        <w:numPr>
          <w:ilvl w:val="0"/>
          <w:numId w:val="93"/>
        </w:numPr>
        <w:rPr>
          <w:rFonts w:ascii="Arial" w:cs="Arial" w:eastAsia="Arial" w:hAnsi="Arial"/>
          <w:sz w:val="13"/>
          <w:szCs w:val="13"/>
          <w:color w:val="auto"/>
        </w:rPr>
      </w:pPr>
      <w:r>
        <w:rPr>
          <w:rFonts w:ascii="Arial" w:cs="Arial" w:eastAsia="Arial" w:hAnsi="Arial"/>
          <w:sz w:val="13"/>
          <w:szCs w:val="13"/>
          <w:color w:val="auto"/>
        </w:rPr>
        <w:t>Please make any checks payable to Brighthouse Life Insurance Company of NY.</w:t>
      </w:r>
    </w:p>
    <w:p>
      <w:pPr>
        <w:spacing w:after="0" w:line="48" w:lineRule="exact"/>
        <w:rPr>
          <w:rFonts w:ascii="Arial" w:cs="Arial" w:eastAsia="Arial" w:hAnsi="Arial"/>
          <w:sz w:val="13"/>
          <w:szCs w:val="13"/>
          <w:color w:val="auto"/>
        </w:rPr>
      </w:pPr>
    </w:p>
    <w:p>
      <w:pPr>
        <w:ind w:left="241" w:hanging="161"/>
        <w:spacing w:after="0"/>
        <w:tabs>
          <w:tab w:leader="none" w:pos="241" w:val="left"/>
        </w:tabs>
        <w:numPr>
          <w:ilvl w:val="0"/>
          <w:numId w:val="93"/>
        </w:numPr>
        <w:rPr>
          <w:rFonts w:ascii="Arial" w:cs="Arial" w:eastAsia="Arial" w:hAnsi="Arial"/>
          <w:sz w:val="13"/>
          <w:szCs w:val="13"/>
          <w:color w:val="auto"/>
        </w:rPr>
      </w:pPr>
      <w:r>
        <w:rPr>
          <w:rFonts w:ascii="Arial" w:cs="Arial" w:eastAsia="Arial" w:hAnsi="Arial"/>
          <w:sz w:val="13"/>
          <w:szCs w:val="13"/>
          <w:color w:val="auto"/>
        </w:rPr>
        <w:t>Tax year must be provided for IRA contributions.</w:t>
      </w:r>
    </w:p>
    <w:p>
      <w:pPr>
        <w:spacing w:after="0" w:line="48" w:lineRule="exact"/>
        <w:rPr>
          <w:rFonts w:ascii="Arial" w:cs="Arial" w:eastAsia="Arial" w:hAnsi="Arial"/>
          <w:sz w:val="13"/>
          <w:szCs w:val="13"/>
          <w:color w:val="auto"/>
        </w:rPr>
      </w:pPr>
    </w:p>
    <w:p>
      <w:pPr>
        <w:ind w:left="241" w:hanging="161"/>
        <w:spacing w:after="0"/>
        <w:tabs>
          <w:tab w:leader="none" w:pos="241" w:val="left"/>
        </w:tabs>
        <w:numPr>
          <w:ilvl w:val="0"/>
          <w:numId w:val="93"/>
        </w:numPr>
        <w:rPr>
          <w:rFonts w:ascii="Arial" w:cs="Arial" w:eastAsia="Arial" w:hAnsi="Arial"/>
          <w:sz w:val="13"/>
          <w:szCs w:val="13"/>
          <w:color w:val="auto"/>
        </w:rPr>
      </w:pPr>
      <w:r>
        <w:rPr>
          <w:rFonts w:ascii="Arial" w:cs="Arial" w:eastAsia="Arial" w:hAnsi="Arial"/>
          <w:sz w:val="13"/>
          <w:szCs w:val="13"/>
          <w:color w:val="auto"/>
        </w:rPr>
        <w:t>Estimate total amount for 1035 exchanges, transfers, and rollovers.</w:t>
      </w:r>
    </w:p>
    <w:p>
      <w:pPr>
        <w:spacing w:after="0" w:line="48" w:lineRule="exact"/>
        <w:rPr>
          <w:rFonts w:ascii="Arial" w:cs="Arial" w:eastAsia="Arial" w:hAnsi="Arial"/>
          <w:sz w:val="13"/>
          <w:szCs w:val="13"/>
          <w:color w:val="auto"/>
        </w:rPr>
      </w:pPr>
    </w:p>
    <w:p>
      <w:pPr>
        <w:ind w:left="241" w:hanging="161"/>
        <w:spacing w:after="0"/>
        <w:tabs>
          <w:tab w:leader="none" w:pos="241" w:val="left"/>
        </w:tabs>
        <w:numPr>
          <w:ilvl w:val="0"/>
          <w:numId w:val="93"/>
        </w:numPr>
        <w:rPr>
          <w:rFonts w:ascii="Arial" w:cs="Arial" w:eastAsia="Arial" w:hAnsi="Arial"/>
          <w:sz w:val="13"/>
          <w:szCs w:val="13"/>
          <w:color w:val="auto"/>
        </w:rPr>
      </w:pPr>
      <w:r>
        <w:rPr>
          <w:rFonts w:ascii="Arial" w:cs="Arial" w:eastAsia="Arial" w:hAnsi="Arial"/>
          <w:sz w:val="13"/>
          <w:szCs w:val="13"/>
          <w:color w:val="auto"/>
        </w:rPr>
        <w:t>Minimum total single purchase payment amount: $25,000.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-653415</wp:posOffset>
            </wp:positionV>
            <wp:extent cx="5140325" cy="127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8">
                      <a:extLst>
                        <a:ext uri="{28A0092B-C50C-407E-A947-70E740481C1C}"/>
                      </a:extLst>
                    </a:blip>
                    <a:srcRect/>
                    <a:stretch>
                      <a:fillRect/>
                    </a:stretch>
                  </pic:blipFill>
                  <pic:spPr bwMode="auto">
                    <a:xfrm>
                      <a:off x="0" y="0"/>
                      <a:ext cx="5140325" cy="12700"/>
                    </a:xfrm>
                    <a:prstGeom prst="rect">
                      <a:avLst/>
                    </a:prstGeom>
                    <a:noFill/>
                  </pic:spPr>
                </pic:pic>
              </a:graphicData>
            </a:graphic>
          </wp:anchor>
        </w:drawing>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66"/>
        </w:trPr>
        <w:tc>
          <w:tcPr>
            <w:tcW w:w="220" w:type="dxa"/>
            <w:vAlign w:val="bottom"/>
          </w:tcPr>
          <w:p>
            <w:pPr>
              <w:spacing w:after="0"/>
              <w:rPr>
                <w:sz w:val="20"/>
                <w:szCs w:val="20"/>
                <w:color w:val="auto"/>
              </w:rPr>
            </w:pPr>
            <w:r>
              <w:rPr>
                <w:rFonts w:ascii="Arial" w:cs="Arial" w:eastAsia="Arial" w:hAnsi="Arial"/>
                <w:sz w:val="13"/>
                <w:szCs w:val="13"/>
                <w:color w:val="auto"/>
                <w:w w:val="89"/>
              </w:rPr>
              <w:t>  1)</w:t>
            </w:r>
          </w:p>
        </w:tc>
        <w:tc>
          <w:tcPr>
            <w:tcW w:w="200" w:type="dxa"/>
            <w:vAlign w:val="bottom"/>
            <w:gridSpan w:val="2"/>
          </w:tcPr>
          <w:p>
            <w:pPr>
              <w:ind w:left="40"/>
              <w:spacing w:after="0"/>
              <w:rPr>
                <w:sz w:val="20"/>
                <w:szCs w:val="20"/>
                <w:color w:val="auto"/>
              </w:rPr>
            </w:pPr>
            <w:r>
              <w:rPr>
                <w:rFonts w:ascii="Arial" w:cs="Arial" w:eastAsia="Arial" w:hAnsi="Arial"/>
                <w:sz w:val="13"/>
                <w:szCs w:val="13"/>
                <w:color w:val="auto"/>
              </w:rPr>
              <w:t xml:space="preserve">$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80" w:type="dxa"/>
            <w:vAlign w:val="bottom"/>
          </w:tcPr>
          <w:p>
            <w:pPr>
              <w:ind w:left="40"/>
              <w:spacing w:after="0"/>
              <w:rPr>
                <w:sz w:val="20"/>
                <w:szCs w:val="20"/>
                <w:color w:val="auto"/>
              </w:rPr>
            </w:pPr>
            <w:r>
              <w:rPr>
                <w:rFonts w:ascii="Arial" w:cs="Arial" w:eastAsia="Arial" w:hAnsi="Arial"/>
                <w:sz w:val="13"/>
                <w:szCs w:val="13"/>
                <w:color w:val="auto"/>
                <w:w w:val="91"/>
              </w:rPr>
              <w:t> </w:t>
            </w:r>
          </w:p>
        </w:tc>
        <w:tc>
          <w:tcPr>
            <w:tcW w:w="220" w:type="dxa"/>
            <w:vAlign w:val="bottom"/>
          </w:tcPr>
          <w:p>
            <w:pPr>
              <w:ind w:left="1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760" w:type="dxa"/>
            <w:vAlign w:val="bottom"/>
          </w:tcPr>
          <w:p>
            <w:pPr>
              <w:ind w:left="4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Payment/Contribution</w:t>
            </w:r>
          </w:p>
        </w:tc>
        <w:tc>
          <w:tcPr>
            <w:tcW w:w="960" w:type="dxa"/>
            <w:vAlign w:val="bottom"/>
          </w:tcPr>
          <w:p>
            <w:pPr>
              <w:ind w:left="300"/>
              <w:spacing w:after="0"/>
              <w:rPr>
                <w:sz w:val="20"/>
                <w:szCs w:val="20"/>
                <w:color w:val="auto"/>
              </w:rPr>
            </w:pPr>
            <w:r>
              <w:rPr>
                <w:rFonts w:ascii="Arial" w:cs="Arial" w:eastAsia="Arial" w:hAnsi="Arial"/>
                <w:sz w:val="13"/>
                <w:szCs w:val="13"/>
                <w:color w:val="auto"/>
                <w:w w:val="84"/>
              </w:rPr>
              <w:t>Tax Year: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60" w:type="dxa"/>
            <w:vAlign w:val="bottom"/>
          </w:tcPr>
          <w:p>
            <w:pPr>
              <w:ind w:left="40"/>
              <w:spacing w:after="0"/>
              <w:rPr>
                <w:sz w:val="20"/>
                <w:szCs w:val="20"/>
                <w:color w:val="auto"/>
              </w:rPr>
            </w:pPr>
            <w:r>
              <w:rPr>
                <w:rFonts w:ascii="Arial" w:cs="Arial" w:eastAsia="Arial" w:hAnsi="Arial"/>
                <w:sz w:val="13"/>
                <w:szCs w:val="13"/>
                <w:color w:val="auto"/>
                <w:w w:val="76"/>
              </w:rPr>
              <w:t> </w:t>
            </w:r>
          </w:p>
        </w:tc>
        <w:tc>
          <w:tcPr>
            <w:tcW w:w="20" w:type="dxa"/>
            <w:vAlign w:val="bottom"/>
          </w:tcPr>
          <w:p>
            <w:pPr>
              <w:spacing w:after="0"/>
              <w:rPr>
                <w:sz w:val="14"/>
                <w:szCs w:val="14"/>
                <w:color w:val="auto"/>
              </w:rPr>
            </w:pPr>
          </w:p>
        </w:tc>
        <w:tc>
          <w:tcPr>
            <w:tcW w:w="1220" w:type="dxa"/>
            <w:vAlign w:val="bottom"/>
          </w:tcPr>
          <w:p>
            <w:pPr>
              <w:ind w:left="44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Transfer</w:t>
            </w:r>
          </w:p>
        </w:tc>
        <w:tc>
          <w:tcPr>
            <w:tcW w:w="960" w:type="dxa"/>
            <w:vAlign w:val="bottom"/>
          </w:tcPr>
          <w:p>
            <w:pPr>
              <w:ind w:left="16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Rollover</w:t>
            </w:r>
          </w:p>
        </w:tc>
        <w:tc>
          <w:tcPr>
            <w:tcW w:w="1520" w:type="dxa"/>
            <w:vAlign w:val="bottom"/>
          </w:tcPr>
          <w:p>
            <w:pPr>
              <w:ind w:left="16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1035 Exchange</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vMerge w:val="restart"/>
          </w:tcPr>
          <w:p>
            <w:pPr>
              <w:ind w:left="4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Payment/Contribution</w:t>
            </w:r>
          </w:p>
        </w:tc>
        <w:tc>
          <w:tcPr>
            <w:tcW w:w="9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vMerge w:val="restart"/>
          </w:tcPr>
          <w:p>
            <w:pPr>
              <w:ind w:left="44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Transfer</w:t>
            </w:r>
          </w:p>
        </w:tc>
        <w:tc>
          <w:tcPr>
            <w:tcW w:w="960" w:type="dxa"/>
            <w:vAlign w:val="bottom"/>
            <w:vMerge w:val="restart"/>
          </w:tcPr>
          <w:p>
            <w:pPr>
              <w:ind w:left="16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Rollover</w:t>
            </w:r>
          </w:p>
        </w:tc>
        <w:tc>
          <w:tcPr>
            <w:tcW w:w="1520" w:type="dxa"/>
            <w:vAlign w:val="bottom"/>
            <w:vMerge w:val="restart"/>
          </w:tcPr>
          <w:p>
            <w:pPr>
              <w:ind w:left="16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1035 Exchange</w:t>
            </w:r>
          </w:p>
        </w:tc>
        <w:tc>
          <w:tcPr>
            <w:tcW w:w="0" w:type="dxa"/>
            <w:vAlign w:val="bottom"/>
          </w:tcPr>
          <w:p>
            <w:pPr>
              <w:spacing w:after="0" w:line="20" w:lineRule="exact"/>
              <w:rPr>
                <w:sz w:val="1"/>
                <w:szCs w:val="1"/>
                <w:color w:val="auto"/>
              </w:rPr>
            </w:pPr>
          </w:p>
        </w:tc>
      </w:tr>
      <w:tr>
        <w:trPr>
          <w:trHeight w:val="268"/>
        </w:trPr>
        <w:tc>
          <w:tcPr>
            <w:tcW w:w="220" w:type="dxa"/>
            <w:vAlign w:val="bottom"/>
          </w:tcPr>
          <w:p>
            <w:pPr>
              <w:spacing w:after="0"/>
              <w:rPr>
                <w:sz w:val="20"/>
                <w:szCs w:val="20"/>
                <w:color w:val="auto"/>
              </w:rPr>
            </w:pPr>
            <w:r>
              <w:rPr>
                <w:rFonts w:ascii="Arial" w:cs="Arial" w:eastAsia="Arial" w:hAnsi="Arial"/>
                <w:sz w:val="13"/>
                <w:szCs w:val="13"/>
                <w:color w:val="auto"/>
                <w:w w:val="89"/>
              </w:rPr>
              <w:t>  2)</w:t>
            </w:r>
          </w:p>
        </w:tc>
        <w:tc>
          <w:tcPr>
            <w:tcW w:w="200" w:type="dxa"/>
            <w:vAlign w:val="bottom"/>
            <w:gridSpan w:val="2"/>
          </w:tcPr>
          <w:p>
            <w:pPr>
              <w:ind w:left="40"/>
              <w:spacing w:after="0"/>
              <w:rPr>
                <w:sz w:val="20"/>
                <w:szCs w:val="20"/>
                <w:color w:val="auto"/>
              </w:rPr>
            </w:pPr>
            <w:r>
              <w:rPr>
                <w:rFonts w:ascii="Arial" w:cs="Arial" w:eastAsia="Arial" w:hAnsi="Arial"/>
                <w:sz w:val="13"/>
                <w:szCs w:val="13"/>
                <w:color w:val="auto"/>
              </w:rPr>
              <w:t xml:space="preserve">$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80" w:type="dxa"/>
            <w:vAlign w:val="bottom"/>
          </w:tcPr>
          <w:p>
            <w:pPr>
              <w:ind w:left="40"/>
              <w:spacing w:after="0"/>
              <w:rPr>
                <w:sz w:val="20"/>
                <w:szCs w:val="20"/>
                <w:color w:val="auto"/>
              </w:rPr>
            </w:pPr>
            <w:r>
              <w:rPr>
                <w:rFonts w:ascii="Arial" w:cs="Arial" w:eastAsia="Arial" w:hAnsi="Arial"/>
                <w:sz w:val="13"/>
                <w:szCs w:val="13"/>
                <w:color w:val="auto"/>
                <w:w w:val="91"/>
              </w:rPr>
              <w:t> </w:t>
            </w:r>
          </w:p>
        </w:tc>
        <w:tc>
          <w:tcPr>
            <w:tcW w:w="220" w:type="dxa"/>
            <w:vAlign w:val="bottom"/>
          </w:tcPr>
          <w:p>
            <w:pPr>
              <w:ind w:left="1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760" w:type="dxa"/>
            <w:vAlign w:val="bottom"/>
            <w:vMerge w:val="continue"/>
          </w:tcPr>
          <w:p>
            <w:pPr>
              <w:spacing w:after="0"/>
              <w:rPr>
                <w:sz w:val="23"/>
                <w:szCs w:val="23"/>
                <w:color w:val="auto"/>
              </w:rPr>
            </w:pPr>
          </w:p>
        </w:tc>
        <w:tc>
          <w:tcPr>
            <w:tcW w:w="960" w:type="dxa"/>
            <w:vAlign w:val="bottom"/>
          </w:tcPr>
          <w:p>
            <w:pPr>
              <w:ind w:left="300"/>
              <w:spacing w:after="0"/>
              <w:rPr>
                <w:sz w:val="20"/>
                <w:szCs w:val="20"/>
                <w:color w:val="auto"/>
              </w:rPr>
            </w:pPr>
            <w:r>
              <w:rPr>
                <w:rFonts w:ascii="Arial" w:cs="Arial" w:eastAsia="Arial" w:hAnsi="Arial"/>
                <w:sz w:val="13"/>
                <w:szCs w:val="13"/>
                <w:color w:val="auto"/>
                <w:w w:val="84"/>
              </w:rPr>
              <w:t>Tax Year: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60" w:type="dxa"/>
            <w:vAlign w:val="bottom"/>
          </w:tcPr>
          <w:p>
            <w:pPr>
              <w:ind w:left="40"/>
              <w:spacing w:after="0"/>
              <w:rPr>
                <w:sz w:val="20"/>
                <w:szCs w:val="20"/>
                <w:color w:val="auto"/>
              </w:rPr>
            </w:pPr>
            <w:r>
              <w:rPr>
                <w:rFonts w:ascii="Arial" w:cs="Arial" w:eastAsia="Arial" w:hAnsi="Arial"/>
                <w:sz w:val="13"/>
                <w:szCs w:val="13"/>
                <w:color w:val="auto"/>
                <w:w w:val="76"/>
              </w:rPr>
              <w:t> </w:t>
            </w:r>
          </w:p>
        </w:tc>
        <w:tc>
          <w:tcPr>
            <w:tcW w:w="20" w:type="dxa"/>
            <w:vAlign w:val="bottom"/>
          </w:tcPr>
          <w:p>
            <w:pPr>
              <w:spacing w:after="0"/>
              <w:rPr>
                <w:sz w:val="23"/>
                <w:szCs w:val="23"/>
                <w:color w:val="auto"/>
              </w:rPr>
            </w:pPr>
          </w:p>
        </w:tc>
        <w:tc>
          <w:tcPr>
            <w:tcW w:w="1220" w:type="dxa"/>
            <w:vAlign w:val="bottom"/>
            <w:vMerge w:val="continue"/>
          </w:tcPr>
          <w:p>
            <w:pPr>
              <w:spacing w:after="0"/>
              <w:rPr>
                <w:sz w:val="23"/>
                <w:szCs w:val="23"/>
                <w:color w:val="auto"/>
              </w:rPr>
            </w:pPr>
          </w:p>
        </w:tc>
        <w:tc>
          <w:tcPr>
            <w:tcW w:w="960" w:type="dxa"/>
            <w:vAlign w:val="bottom"/>
            <w:vMerge w:val="continue"/>
          </w:tcPr>
          <w:p>
            <w:pPr>
              <w:spacing w:after="0"/>
              <w:rPr>
                <w:sz w:val="23"/>
                <w:szCs w:val="23"/>
                <w:color w:val="auto"/>
              </w:rPr>
            </w:pPr>
          </w:p>
        </w:tc>
        <w:tc>
          <w:tcPr>
            <w:tcW w:w="15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vMerge w:val="restart"/>
          </w:tcPr>
          <w:p>
            <w:pPr>
              <w:ind w:left="4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Payment/Contribution</w:t>
            </w:r>
          </w:p>
        </w:tc>
        <w:tc>
          <w:tcPr>
            <w:tcW w:w="9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20" w:type="dxa"/>
            <w:vAlign w:val="bottom"/>
            <w:vMerge w:val="restart"/>
          </w:tcPr>
          <w:p>
            <w:pPr>
              <w:ind w:left="44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Transfer</w:t>
            </w:r>
          </w:p>
        </w:tc>
        <w:tc>
          <w:tcPr>
            <w:tcW w:w="960" w:type="dxa"/>
            <w:vAlign w:val="bottom"/>
            <w:vMerge w:val="restart"/>
          </w:tcPr>
          <w:p>
            <w:pPr>
              <w:ind w:left="16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Rollover</w:t>
            </w:r>
          </w:p>
        </w:tc>
        <w:tc>
          <w:tcPr>
            <w:tcW w:w="1520" w:type="dxa"/>
            <w:vAlign w:val="bottom"/>
            <w:vMerge w:val="restart"/>
          </w:tcPr>
          <w:p>
            <w:pPr>
              <w:ind w:left="16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1035 Exchange</w:t>
            </w:r>
          </w:p>
        </w:tc>
        <w:tc>
          <w:tcPr>
            <w:tcW w:w="0" w:type="dxa"/>
            <w:vAlign w:val="bottom"/>
          </w:tcPr>
          <w:p>
            <w:pPr>
              <w:spacing w:after="0" w:line="20" w:lineRule="exact"/>
              <w:rPr>
                <w:sz w:val="1"/>
                <w:szCs w:val="1"/>
                <w:color w:val="auto"/>
              </w:rPr>
            </w:pPr>
          </w:p>
        </w:tc>
      </w:tr>
      <w:tr>
        <w:trPr>
          <w:trHeight w:val="268"/>
        </w:trPr>
        <w:tc>
          <w:tcPr>
            <w:tcW w:w="220" w:type="dxa"/>
            <w:vAlign w:val="bottom"/>
          </w:tcPr>
          <w:p>
            <w:pPr>
              <w:spacing w:after="0"/>
              <w:rPr>
                <w:sz w:val="20"/>
                <w:szCs w:val="20"/>
                <w:color w:val="auto"/>
              </w:rPr>
            </w:pPr>
            <w:r>
              <w:rPr>
                <w:rFonts w:ascii="Arial" w:cs="Arial" w:eastAsia="Arial" w:hAnsi="Arial"/>
                <w:sz w:val="13"/>
                <w:szCs w:val="13"/>
                <w:color w:val="auto"/>
                <w:w w:val="89"/>
              </w:rPr>
              <w:t>  3)</w:t>
            </w:r>
          </w:p>
        </w:tc>
        <w:tc>
          <w:tcPr>
            <w:tcW w:w="200" w:type="dxa"/>
            <w:vAlign w:val="bottom"/>
            <w:gridSpan w:val="2"/>
          </w:tcPr>
          <w:p>
            <w:pPr>
              <w:ind w:left="40"/>
              <w:spacing w:after="0"/>
              <w:rPr>
                <w:sz w:val="20"/>
                <w:szCs w:val="20"/>
                <w:color w:val="auto"/>
              </w:rPr>
            </w:pPr>
            <w:r>
              <w:rPr>
                <w:rFonts w:ascii="Arial" w:cs="Arial" w:eastAsia="Arial" w:hAnsi="Arial"/>
                <w:sz w:val="13"/>
                <w:szCs w:val="13"/>
                <w:color w:val="auto"/>
              </w:rPr>
              <w:t xml:space="preserve">$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80" w:type="dxa"/>
            <w:vAlign w:val="bottom"/>
          </w:tcPr>
          <w:p>
            <w:pPr>
              <w:ind w:left="40"/>
              <w:spacing w:after="0"/>
              <w:rPr>
                <w:sz w:val="20"/>
                <w:szCs w:val="20"/>
                <w:color w:val="auto"/>
              </w:rPr>
            </w:pPr>
            <w:r>
              <w:rPr>
                <w:rFonts w:ascii="Arial" w:cs="Arial" w:eastAsia="Arial" w:hAnsi="Arial"/>
                <w:sz w:val="13"/>
                <w:szCs w:val="13"/>
                <w:color w:val="auto"/>
                <w:w w:val="91"/>
              </w:rPr>
              <w:t> </w:t>
            </w:r>
          </w:p>
        </w:tc>
        <w:tc>
          <w:tcPr>
            <w:tcW w:w="220" w:type="dxa"/>
            <w:vAlign w:val="bottom"/>
          </w:tcPr>
          <w:p>
            <w:pPr>
              <w:ind w:left="1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760" w:type="dxa"/>
            <w:vAlign w:val="bottom"/>
            <w:vMerge w:val="continue"/>
          </w:tcPr>
          <w:p>
            <w:pPr>
              <w:spacing w:after="0"/>
              <w:rPr>
                <w:sz w:val="23"/>
                <w:szCs w:val="23"/>
                <w:color w:val="auto"/>
              </w:rPr>
            </w:pPr>
          </w:p>
        </w:tc>
        <w:tc>
          <w:tcPr>
            <w:tcW w:w="960" w:type="dxa"/>
            <w:vAlign w:val="bottom"/>
          </w:tcPr>
          <w:p>
            <w:pPr>
              <w:ind w:left="300"/>
              <w:spacing w:after="0"/>
              <w:rPr>
                <w:sz w:val="20"/>
                <w:szCs w:val="20"/>
                <w:color w:val="auto"/>
              </w:rPr>
            </w:pPr>
            <w:r>
              <w:rPr>
                <w:rFonts w:ascii="Arial" w:cs="Arial" w:eastAsia="Arial" w:hAnsi="Arial"/>
                <w:sz w:val="13"/>
                <w:szCs w:val="13"/>
                <w:color w:val="auto"/>
                <w:w w:val="84"/>
              </w:rPr>
              <w:t>Tax Year: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60" w:type="dxa"/>
            <w:vAlign w:val="bottom"/>
          </w:tcPr>
          <w:p>
            <w:pPr>
              <w:ind w:left="40"/>
              <w:spacing w:after="0"/>
              <w:rPr>
                <w:sz w:val="20"/>
                <w:szCs w:val="20"/>
                <w:color w:val="auto"/>
              </w:rPr>
            </w:pPr>
            <w:r>
              <w:rPr>
                <w:rFonts w:ascii="Arial" w:cs="Arial" w:eastAsia="Arial" w:hAnsi="Arial"/>
                <w:sz w:val="13"/>
                <w:szCs w:val="13"/>
                <w:color w:val="auto"/>
                <w:w w:val="76"/>
              </w:rPr>
              <w:t> </w:t>
            </w:r>
          </w:p>
        </w:tc>
        <w:tc>
          <w:tcPr>
            <w:tcW w:w="20" w:type="dxa"/>
            <w:vAlign w:val="bottom"/>
          </w:tcPr>
          <w:p>
            <w:pPr>
              <w:spacing w:after="0"/>
              <w:rPr>
                <w:sz w:val="23"/>
                <w:szCs w:val="23"/>
                <w:color w:val="auto"/>
              </w:rPr>
            </w:pPr>
          </w:p>
        </w:tc>
        <w:tc>
          <w:tcPr>
            <w:tcW w:w="1220" w:type="dxa"/>
            <w:vAlign w:val="bottom"/>
            <w:vMerge w:val="continue"/>
          </w:tcPr>
          <w:p>
            <w:pPr>
              <w:spacing w:after="0"/>
              <w:rPr>
                <w:sz w:val="23"/>
                <w:szCs w:val="23"/>
                <w:color w:val="auto"/>
              </w:rPr>
            </w:pPr>
          </w:p>
        </w:tc>
        <w:tc>
          <w:tcPr>
            <w:tcW w:w="960" w:type="dxa"/>
            <w:vAlign w:val="bottom"/>
            <w:vMerge w:val="continue"/>
          </w:tcPr>
          <w:p>
            <w:pPr>
              <w:spacing w:after="0"/>
              <w:rPr>
                <w:sz w:val="23"/>
                <w:szCs w:val="23"/>
                <w:color w:val="auto"/>
              </w:rPr>
            </w:pPr>
          </w:p>
        </w:tc>
        <w:tc>
          <w:tcPr>
            <w:tcW w:w="15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vMerge w:val="restart"/>
          </w:tcPr>
          <w:p>
            <w:pPr>
              <w:ind w:left="4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Payment/Contribution</w:t>
            </w:r>
          </w:p>
        </w:tc>
        <w:tc>
          <w:tcPr>
            <w:tcW w:w="9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20" w:type="dxa"/>
            <w:vAlign w:val="bottom"/>
            <w:vMerge w:val="restart"/>
          </w:tcPr>
          <w:p>
            <w:pPr>
              <w:ind w:left="44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Transfer</w:t>
            </w:r>
          </w:p>
        </w:tc>
        <w:tc>
          <w:tcPr>
            <w:tcW w:w="960" w:type="dxa"/>
            <w:vAlign w:val="bottom"/>
            <w:vMerge w:val="restart"/>
          </w:tcPr>
          <w:p>
            <w:pPr>
              <w:ind w:left="16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Rollover</w:t>
            </w:r>
          </w:p>
        </w:tc>
        <w:tc>
          <w:tcPr>
            <w:tcW w:w="1520" w:type="dxa"/>
            <w:vAlign w:val="bottom"/>
            <w:vMerge w:val="restart"/>
          </w:tcPr>
          <w:p>
            <w:pPr>
              <w:ind w:left="16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1035 Exchange</w:t>
            </w:r>
          </w:p>
        </w:tc>
        <w:tc>
          <w:tcPr>
            <w:tcW w:w="0" w:type="dxa"/>
            <w:vAlign w:val="bottom"/>
          </w:tcPr>
          <w:p>
            <w:pPr>
              <w:spacing w:after="0" w:line="20" w:lineRule="exact"/>
              <w:rPr>
                <w:sz w:val="1"/>
                <w:szCs w:val="1"/>
                <w:color w:val="auto"/>
              </w:rPr>
            </w:pPr>
          </w:p>
        </w:tc>
      </w:tr>
      <w:tr>
        <w:trPr>
          <w:trHeight w:val="268"/>
        </w:trPr>
        <w:tc>
          <w:tcPr>
            <w:tcW w:w="220" w:type="dxa"/>
            <w:vAlign w:val="bottom"/>
          </w:tcPr>
          <w:p>
            <w:pPr>
              <w:spacing w:after="0"/>
              <w:rPr>
                <w:sz w:val="20"/>
                <w:szCs w:val="20"/>
                <w:color w:val="auto"/>
              </w:rPr>
            </w:pPr>
            <w:r>
              <w:rPr>
                <w:rFonts w:ascii="Arial" w:cs="Arial" w:eastAsia="Arial" w:hAnsi="Arial"/>
                <w:sz w:val="13"/>
                <w:szCs w:val="13"/>
                <w:color w:val="auto"/>
                <w:w w:val="89"/>
              </w:rPr>
              <w:t>  4)</w:t>
            </w:r>
          </w:p>
        </w:tc>
        <w:tc>
          <w:tcPr>
            <w:tcW w:w="200" w:type="dxa"/>
            <w:vAlign w:val="bottom"/>
            <w:gridSpan w:val="2"/>
          </w:tcPr>
          <w:p>
            <w:pPr>
              <w:ind w:left="40"/>
              <w:spacing w:after="0"/>
              <w:rPr>
                <w:sz w:val="20"/>
                <w:szCs w:val="20"/>
                <w:color w:val="auto"/>
              </w:rPr>
            </w:pPr>
            <w:r>
              <w:rPr>
                <w:rFonts w:ascii="Arial" w:cs="Arial" w:eastAsia="Arial" w:hAnsi="Arial"/>
                <w:sz w:val="13"/>
                <w:szCs w:val="13"/>
                <w:color w:val="auto"/>
              </w:rPr>
              <w:t xml:space="preserve">$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80" w:type="dxa"/>
            <w:vAlign w:val="bottom"/>
          </w:tcPr>
          <w:p>
            <w:pPr>
              <w:ind w:left="40"/>
              <w:spacing w:after="0"/>
              <w:rPr>
                <w:sz w:val="20"/>
                <w:szCs w:val="20"/>
                <w:color w:val="auto"/>
              </w:rPr>
            </w:pPr>
            <w:r>
              <w:rPr>
                <w:rFonts w:ascii="Arial" w:cs="Arial" w:eastAsia="Arial" w:hAnsi="Arial"/>
                <w:sz w:val="13"/>
                <w:szCs w:val="13"/>
                <w:color w:val="auto"/>
                <w:w w:val="91"/>
              </w:rPr>
              <w:t> </w:t>
            </w:r>
          </w:p>
        </w:tc>
        <w:tc>
          <w:tcPr>
            <w:tcW w:w="220" w:type="dxa"/>
            <w:vAlign w:val="bottom"/>
          </w:tcPr>
          <w:p>
            <w:pPr>
              <w:ind w:left="1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760" w:type="dxa"/>
            <w:vAlign w:val="bottom"/>
            <w:vMerge w:val="continue"/>
          </w:tcPr>
          <w:p>
            <w:pPr>
              <w:spacing w:after="0"/>
              <w:rPr>
                <w:sz w:val="23"/>
                <w:szCs w:val="23"/>
                <w:color w:val="auto"/>
              </w:rPr>
            </w:pPr>
          </w:p>
        </w:tc>
        <w:tc>
          <w:tcPr>
            <w:tcW w:w="960" w:type="dxa"/>
            <w:vAlign w:val="bottom"/>
          </w:tcPr>
          <w:p>
            <w:pPr>
              <w:ind w:left="300"/>
              <w:spacing w:after="0"/>
              <w:rPr>
                <w:sz w:val="20"/>
                <w:szCs w:val="20"/>
                <w:color w:val="auto"/>
              </w:rPr>
            </w:pPr>
            <w:r>
              <w:rPr>
                <w:rFonts w:ascii="Arial" w:cs="Arial" w:eastAsia="Arial" w:hAnsi="Arial"/>
                <w:sz w:val="13"/>
                <w:szCs w:val="13"/>
                <w:color w:val="auto"/>
                <w:w w:val="84"/>
              </w:rPr>
              <w:t>Tax Year: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60" w:type="dxa"/>
            <w:vAlign w:val="bottom"/>
          </w:tcPr>
          <w:p>
            <w:pPr>
              <w:ind w:left="40"/>
              <w:spacing w:after="0"/>
              <w:rPr>
                <w:sz w:val="20"/>
                <w:szCs w:val="20"/>
                <w:color w:val="auto"/>
              </w:rPr>
            </w:pPr>
            <w:r>
              <w:rPr>
                <w:rFonts w:ascii="Arial" w:cs="Arial" w:eastAsia="Arial" w:hAnsi="Arial"/>
                <w:sz w:val="13"/>
                <w:szCs w:val="13"/>
                <w:color w:val="auto"/>
                <w:w w:val="76"/>
              </w:rPr>
              <w:t> </w:t>
            </w:r>
          </w:p>
        </w:tc>
        <w:tc>
          <w:tcPr>
            <w:tcW w:w="20" w:type="dxa"/>
            <w:vAlign w:val="bottom"/>
          </w:tcPr>
          <w:p>
            <w:pPr>
              <w:spacing w:after="0"/>
              <w:rPr>
                <w:sz w:val="23"/>
                <w:szCs w:val="23"/>
                <w:color w:val="auto"/>
              </w:rPr>
            </w:pPr>
          </w:p>
        </w:tc>
        <w:tc>
          <w:tcPr>
            <w:tcW w:w="1220" w:type="dxa"/>
            <w:vAlign w:val="bottom"/>
            <w:vMerge w:val="continue"/>
          </w:tcPr>
          <w:p>
            <w:pPr>
              <w:spacing w:after="0"/>
              <w:rPr>
                <w:sz w:val="23"/>
                <w:szCs w:val="23"/>
                <w:color w:val="auto"/>
              </w:rPr>
            </w:pPr>
          </w:p>
        </w:tc>
        <w:tc>
          <w:tcPr>
            <w:tcW w:w="960" w:type="dxa"/>
            <w:vAlign w:val="bottom"/>
            <w:vMerge w:val="continue"/>
          </w:tcPr>
          <w:p>
            <w:pPr>
              <w:spacing w:after="0"/>
              <w:rPr>
                <w:sz w:val="23"/>
                <w:szCs w:val="23"/>
                <w:color w:val="auto"/>
              </w:rPr>
            </w:pPr>
          </w:p>
        </w:tc>
        <w:tc>
          <w:tcPr>
            <w:tcW w:w="15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69"/>
        </w:trPr>
        <w:tc>
          <w:tcPr>
            <w:tcW w:w="220" w:type="dxa"/>
            <w:vAlign w:val="bottom"/>
            <w:tcBorders>
              <w:bottom w:val="single" w:sz="8" w:color="7F7F7F"/>
            </w:tcBorders>
          </w:tcPr>
          <w:p>
            <w:pPr>
              <w:spacing w:after="0"/>
              <w:rPr>
                <w:sz w:val="6"/>
                <w:szCs w:val="6"/>
                <w:color w:val="auto"/>
              </w:rPr>
            </w:pPr>
          </w:p>
        </w:tc>
        <w:tc>
          <w:tcPr>
            <w:tcW w:w="120" w:type="dxa"/>
            <w:vAlign w:val="bottom"/>
            <w:tcBorders>
              <w:bottom w:val="single" w:sz="8" w:color="7F7F7F"/>
            </w:tcBorders>
          </w:tcPr>
          <w:p>
            <w:pPr>
              <w:spacing w:after="0"/>
              <w:rPr>
                <w:sz w:val="6"/>
                <w:szCs w:val="6"/>
                <w:color w:val="auto"/>
              </w:rPr>
            </w:pPr>
          </w:p>
        </w:tc>
        <w:tc>
          <w:tcPr>
            <w:tcW w:w="80" w:type="dxa"/>
            <w:vAlign w:val="bottom"/>
            <w:tcBorders>
              <w:top w:val="single" w:sz="8" w:color="auto"/>
              <w:bottom w:val="single" w:sz="8" w:color="7F7F7F"/>
            </w:tcBorders>
          </w:tcPr>
          <w:p>
            <w:pPr>
              <w:spacing w:after="0"/>
              <w:rPr>
                <w:sz w:val="6"/>
                <w:szCs w:val="6"/>
                <w:color w:val="auto"/>
              </w:rPr>
            </w:pPr>
          </w:p>
        </w:tc>
        <w:tc>
          <w:tcPr>
            <w:tcW w:w="140" w:type="dxa"/>
            <w:vAlign w:val="bottom"/>
            <w:tcBorders>
              <w:top w:val="single" w:sz="8" w:color="auto"/>
              <w:bottom w:val="single" w:sz="8" w:color="7F7F7F"/>
            </w:tcBorders>
          </w:tcPr>
          <w:p>
            <w:pPr>
              <w:spacing w:after="0"/>
              <w:rPr>
                <w:sz w:val="6"/>
                <w:szCs w:val="6"/>
                <w:color w:val="auto"/>
              </w:rPr>
            </w:pPr>
          </w:p>
        </w:tc>
        <w:tc>
          <w:tcPr>
            <w:tcW w:w="120" w:type="dxa"/>
            <w:vAlign w:val="bottom"/>
            <w:tcBorders>
              <w:top w:val="single" w:sz="8" w:color="auto"/>
              <w:bottom w:val="single" w:sz="8" w:color="7F7F7F"/>
            </w:tcBorders>
          </w:tcPr>
          <w:p>
            <w:pPr>
              <w:spacing w:after="0"/>
              <w:rPr>
                <w:sz w:val="6"/>
                <w:szCs w:val="6"/>
                <w:color w:val="auto"/>
              </w:rPr>
            </w:pPr>
          </w:p>
        </w:tc>
        <w:tc>
          <w:tcPr>
            <w:tcW w:w="140" w:type="dxa"/>
            <w:vAlign w:val="bottom"/>
            <w:tcBorders>
              <w:top w:val="single" w:sz="8" w:color="auto"/>
              <w:bottom w:val="single" w:sz="8" w:color="7F7F7F"/>
            </w:tcBorders>
          </w:tcPr>
          <w:p>
            <w:pPr>
              <w:spacing w:after="0"/>
              <w:rPr>
                <w:sz w:val="6"/>
                <w:szCs w:val="6"/>
                <w:color w:val="auto"/>
              </w:rPr>
            </w:pPr>
          </w:p>
        </w:tc>
        <w:tc>
          <w:tcPr>
            <w:tcW w:w="180" w:type="dxa"/>
            <w:vAlign w:val="bottom"/>
            <w:tcBorders>
              <w:top w:val="single" w:sz="8" w:color="auto"/>
              <w:bottom w:val="single" w:sz="8" w:color="7F7F7F"/>
            </w:tcBorders>
          </w:tcPr>
          <w:p>
            <w:pPr>
              <w:spacing w:after="0"/>
              <w:rPr>
                <w:sz w:val="6"/>
                <w:szCs w:val="6"/>
                <w:color w:val="auto"/>
              </w:rPr>
            </w:pPr>
          </w:p>
        </w:tc>
        <w:tc>
          <w:tcPr>
            <w:tcW w:w="220" w:type="dxa"/>
            <w:vAlign w:val="bottom"/>
            <w:tcBorders>
              <w:bottom w:val="single" w:sz="8" w:color="7F7F7F"/>
            </w:tcBorders>
          </w:tcPr>
          <w:p>
            <w:pPr>
              <w:spacing w:after="0"/>
              <w:rPr>
                <w:sz w:val="6"/>
                <w:szCs w:val="6"/>
                <w:color w:val="auto"/>
              </w:rPr>
            </w:pPr>
          </w:p>
        </w:tc>
        <w:tc>
          <w:tcPr>
            <w:tcW w:w="140" w:type="dxa"/>
            <w:vAlign w:val="bottom"/>
            <w:tcBorders>
              <w:bottom w:val="single" w:sz="8" w:color="7F7F7F"/>
            </w:tcBorders>
          </w:tcPr>
          <w:p>
            <w:pPr>
              <w:spacing w:after="0"/>
              <w:rPr>
                <w:sz w:val="6"/>
                <w:szCs w:val="6"/>
                <w:color w:val="auto"/>
              </w:rPr>
            </w:pPr>
          </w:p>
        </w:tc>
        <w:tc>
          <w:tcPr>
            <w:tcW w:w="1760" w:type="dxa"/>
            <w:vAlign w:val="bottom"/>
            <w:tcBorders>
              <w:bottom w:val="single" w:sz="8" w:color="7F7F7F"/>
            </w:tcBorders>
          </w:tcPr>
          <w:p>
            <w:pPr>
              <w:spacing w:after="0"/>
              <w:rPr>
                <w:sz w:val="6"/>
                <w:szCs w:val="6"/>
                <w:color w:val="auto"/>
              </w:rPr>
            </w:pPr>
          </w:p>
        </w:tc>
        <w:tc>
          <w:tcPr>
            <w:tcW w:w="960" w:type="dxa"/>
            <w:vAlign w:val="bottom"/>
            <w:tcBorders>
              <w:bottom w:val="single" w:sz="8" w:color="7F7F7F"/>
            </w:tcBorders>
          </w:tcPr>
          <w:p>
            <w:pPr>
              <w:spacing w:after="0"/>
              <w:rPr>
                <w:sz w:val="6"/>
                <w:szCs w:val="6"/>
                <w:color w:val="auto"/>
              </w:rPr>
            </w:pPr>
          </w:p>
        </w:tc>
        <w:tc>
          <w:tcPr>
            <w:tcW w:w="140" w:type="dxa"/>
            <w:vAlign w:val="bottom"/>
            <w:tcBorders>
              <w:top w:val="single" w:sz="8" w:color="auto"/>
              <w:bottom w:val="single" w:sz="8" w:color="7F7F7F"/>
            </w:tcBorders>
          </w:tcPr>
          <w:p>
            <w:pPr>
              <w:spacing w:after="0"/>
              <w:rPr>
                <w:sz w:val="6"/>
                <w:szCs w:val="6"/>
                <w:color w:val="auto"/>
              </w:rPr>
            </w:pPr>
          </w:p>
        </w:tc>
        <w:tc>
          <w:tcPr>
            <w:tcW w:w="160" w:type="dxa"/>
            <w:vAlign w:val="bottom"/>
            <w:tcBorders>
              <w:top w:val="single" w:sz="8" w:color="auto"/>
              <w:bottom w:val="single" w:sz="8" w:color="7F7F7F"/>
            </w:tcBorders>
          </w:tcPr>
          <w:p>
            <w:pPr>
              <w:spacing w:after="0"/>
              <w:rPr>
                <w:sz w:val="6"/>
                <w:szCs w:val="6"/>
                <w:color w:val="auto"/>
              </w:rPr>
            </w:pPr>
          </w:p>
        </w:tc>
        <w:tc>
          <w:tcPr>
            <w:tcW w:w="20" w:type="dxa"/>
            <w:vAlign w:val="bottom"/>
            <w:tcBorders>
              <w:top w:val="single" w:sz="8" w:color="auto"/>
              <w:bottom w:val="single" w:sz="8" w:color="7F7F7F"/>
            </w:tcBorders>
          </w:tcPr>
          <w:p>
            <w:pPr>
              <w:spacing w:after="0"/>
              <w:rPr>
                <w:sz w:val="6"/>
                <w:szCs w:val="6"/>
                <w:color w:val="auto"/>
              </w:rPr>
            </w:pPr>
          </w:p>
        </w:tc>
        <w:tc>
          <w:tcPr>
            <w:tcW w:w="1220" w:type="dxa"/>
            <w:vAlign w:val="bottom"/>
            <w:tcBorders>
              <w:bottom w:val="single" w:sz="8" w:color="7F7F7F"/>
            </w:tcBorders>
          </w:tcPr>
          <w:p>
            <w:pPr>
              <w:spacing w:after="0"/>
              <w:rPr>
                <w:sz w:val="6"/>
                <w:szCs w:val="6"/>
                <w:color w:val="auto"/>
              </w:rPr>
            </w:pPr>
          </w:p>
        </w:tc>
        <w:tc>
          <w:tcPr>
            <w:tcW w:w="960" w:type="dxa"/>
            <w:vAlign w:val="bottom"/>
            <w:tcBorders>
              <w:bottom w:val="single" w:sz="8" w:color="7F7F7F"/>
            </w:tcBorders>
          </w:tcPr>
          <w:p>
            <w:pPr>
              <w:spacing w:after="0"/>
              <w:rPr>
                <w:sz w:val="6"/>
                <w:szCs w:val="6"/>
                <w:color w:val="auto"/>
              </w:rPr>
            </w:pPr>
          </w:p>
        </w:tc>
        <w:tc>
          <w:tcPr>
            <w:tcW w:w="1520" w:type="dxa"/>
            <w:vAlign w:val="bottom"/>
            <w:tcBorders>
              <w:bottom w:val="single" w:sz="8" w:color="7F7F7F"/>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81" w:hanging="81"/>
        <w:spacing w:after="0"/>
        <w:tabs>
          <w:tab w:leader="none" w:pos="81" w:val="left"/>
        </w:tabs>
        <w:numPr>
          <w:ilvl w:val="0"/>
          <w:numId w:val="94"/>
        </w:numPr>
        <w:rPr>
          <w:rFonts w:ascii="Arial" w:cs="Arial" w:eastAsia="Arial" w:hAnsi="Arial"/>
          <w:sz w:val="13"/>
          <w:szCs w:val="13"/>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  Total Single Purchase Payment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-4445</wp:posOffset>
            </wp:positionV>
            <wp:extent cx="629920" cy="63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9">
                      <a:extLst>
                        <a:ext uri="{28A0092B-C50C-407E-A947-70E740481C1C}"/>
                      </a:extLst>
                    </a:blip>
                    <a:srcRect/>
                    <a:stretch>
                      <a:fillRect/>
                    </a:stretch>
                  </pic:blipFill>
                  <pic:spPr bwMode="auto">
                    <a:xfrm>
                      <a:off x="0" y="0"/>
                      <a:ext cx="629920" cy="6350"/>
                    </a:xfrm>
                    <a:prstGeom prst="rect">
                      <a:avLst/>
                    </a:prstGeom>
                    <a:noFill/>
                  </pic:spPr>
                </pic:pic>
              </a:graphicData>
            </a:graphic>
          </wp:anchor>
        </w:drawing>
      </w:r>
    </w:p>
    <w:p>
      <w:pPr>
        <w:spacing w:after="0" w:line="88" w:lineRule="exact"/>
        <w:rPr>
          <w:sz w:val="20"/>
          <w:szCs w:val="20"/>
          <w:color w:val="auto"/>
        </w:rPr>
      </w:pPr>
    </w:p>
    <w:p>
      <w:pPr>
        <w:ind w:left="1"/>
        <w:spacing w:after="0"/>
        <w:tabs>
          <w:tab w:leader="none" w:pos="3860" w:val="left"/>
          <w:tab w:leader="none" w:pos="6820" w:val="left"/>
        </w:tabs>
        <w:rPr>
          <w:sz w:val="20"/>
          <w:szCs w:val="20"/>
          <w:color w:val="auto"/>
        </w:rPr>
      </w:pPr>
      <w:r>
        <w:rPr>
          <w:rFonts w:ascii="Arial" w:cs="Arial" w:eastAsia="Arial" w:hAnsi="Arial"/>
          <w:sz w:val="13"/>
          <w:szCs w:val="13"/>
          <w:color w:val="auto"/>
        </w:rPr>
        <w:t>SLS2-APP-NY (07/24)</w:t>
      </w:r>
      <w:r>
        <w:rPr>
          <w:sz w:val="20"/>
          <w:szCs w:val="20"/>
          <w:color w:val="auto"/>
        </w:rPr>
        <w:tab/>
      </w:r>
      <w:r>
        <w:rPr>
          <w:rFonts w:ascii="Arial" w:cs="Arial" w:eastAsia="Arial" w:hAnsi="Arial"/>
          <w:sz w:val="13"/>
          <w:szCs w:val="13"/>
          <w:color w:val="auto"/>
        </w:rPr>
        <w:t>Page 3 of 8</w:t>
      </w:r>
      <w:r>
        <w:rPr>
          <w:sz w:val="20"/>
          <w:szCs w:val="20"/>
          <w:color w:val="auto"/>
        </w:rPr>
        <w:tab/>
      </w:r>
      <w:r>
        <w:rPr>
          <w:rFonts w:ascii="Arial" w:cs="Arial" w:eastAsia="Arial" w:hAnsi="Arial"/>
          <w:sz w:val="13"/>
          <w:szCs w:val="13"/>
          <w:color w:val="auto"/>
        </w:rPr>
        <w:t xml:space="preserve">BSL2-6-NY (07/24) </w:t>
      </w:r>
    </w:p>
    <w:p>
      <w:pPr>
        <w:sectPr>
          <w:pgSz w:w="11900" w:h="16838" w:orient="portrait"/>
          <w:cols w:equalWidth="0" w:num="1">
            <w:col w:w="10160"/>
          </w:cols>
          <w:pgMar w:left="299" w:top="205" w:right="1440" w:bottom="1440" w:gutter="0" w:footer="0" w:header="0"/>
          <w:type w:val="continuous"/>
        </w:sectPr>
      </w:pPr>
    </w:p>
    <w:bookmarkStart w:id="126" w:name="page127"/>
    <w:bookmarkEnd w:id="126"/>
    <w:p>
      <w:pPr>
        <w:ind w:left="240" w:hanging="160"/>
        <w:spacing w:after="0"/>
        <w:tabs>
          <w:tab w:leader="none" w:pos="240" w:val="left"/>
        </w:tabs>
        <w:numPr>
          <w:ilvl w:val="1"/>
          <w:numId w:val="95"/>
        </w:numPr>
        <w:rPr>
          <w:rFonts w:ascii="Arial" w:cs="Arial" w:eastAsia="Arial" w:hAnsi="Arial"/>
          <w:sz w:val="15"/>
          <w:szCs w:val="15"/>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0">
                      <a:extLst>
                        <a:ext uri="{28A0092B-C50C-407E-A947-70E740481C1C}"/>
                      </a:extLst>
                    </a:blip>
                    <a:srcRect/>
                    <a:stretch>
                      <a:fillRect/>
                    </a:stretch>
                  </pic:blipFill>
                  <pic:spPr bwMode="auto">
                    <a:xfrm>
                      <a:off x="0" y="0"/>
                      <a:ext cx="7206615" cy="31750"/>
                    </a:xfrm>
                    <a:prstGeom prst="rect">
                      <a:avLst/>
                    </a:prstGeom>
                    <a:noFill/>
                  </pic:spPr>
                </pic:pic>
              </a:graphicData>
            </a:graphic>
          </wp:anchor>
        </w:drawing>
        <w:t>Purchase Payment Allocation</w:t>
      </w:r>
    </w:p>
    <w:p>
      <w:pPr>
        <w:spacing w:after="0" w:line="119" w:lineRule="exact"/>
        <w:rPr>
          <w:rFonts w:ascii="Arial" w:cs="Arial" w:eastAsia="Arial" w:hAnsi="Arial"/>
          <w:sz w:val="15"/>
          <w:szCs w:val="15"/>
          <w:b w:val="1"/>
          <w:bCs w:val="1"/>
          <w:color w:val="auto"/>
        </w:rPr>
      </w:pPr>
    </w:p>
    <w:p>
      <w:pPr>
        <w:ind w:left="240" w:hanging="161"/>
        <w:spacing w:after="0"/>
        <w:tabs>
          <w:tab w:leader="none" w:pos="240" w:val="left"/>
        </w:tabs>
        <w:numPr>
          <w:ilvl w:val="0"/>
          <w:numId w:val="95"/>
        </w:numPr>
        <w:rPr>
          <w:rFonts w:ascii="Arial" w:cs="Arial" w:eastAsia="Arial" w:hAnsi="Arial"/>
          <w:sz w:val="13"/>
          <w:szCs w:val="13"/>
          <w:color w:val="auto"/>
        </w:rPr>
      </w:pPr>
      <w:r>
        <w:rPr>
          <w:rFonts w:ascii="Arial" w:cs="Arial" w:eastAsia="Arial" w:hAnsi="Arial"/>
          <w:sz w:val="13"/>
          <w:szCs w:val="13"/>
          <w:b w:val="1"/>
          <w:bCs w:val="1"/>
          <w:color w:val="auto"/>
        </w:rPr>
        <w:t>This contract does not directly participate in any stock or equity investments.</w:t>
      </w:r>
    </w:p>
    <w:p>
      <w:pPr>
        <w:spacing w:after="0" w:line="11" w:lineRule="exact"/>
        <w:rPr>
          <w:rFonts w:ascii="Arial" w:cs="Arial" w:eastAsia="Arial" w:hAnsi="Arial"/>
          <w:sz w:val="13"/>
          <w:szCs w:val="13"/>
          <w:color w:val="auto"/>
        </w:rPr>
      </w:pPr>
    </w:p>
    <w:p>
      <w:pPr>
        <w:ind w:left="240" w:hanging="161"/>
        <w:spacing w:after="0"/>
        <w:tabs>
          <w:tab w:leader="none" w:pos="240" w:val="left"/>
        </w:tabs>
        <w:numPr>
          <w:ilvl w:val="0"/>
          <w:numId w:val="95"/>
        </w:numPr>
        <w:rPr>
          <w:rFonts w:ascii="Arial" w:cs="Arial" w:eastAsia="Arial" w:hAnsi="Arial"/>
          <w:sz w:val="13"/>
          <w:szCs w:val="13"/>
          <w:color w:val="auto"/>
        </w:rPr>
      </w:pPr>
      <w:r>
        <w:rPr>
          <w:rFonts w:ascii="Arial" w:cs="Arial" w:eastAsia="Arial" w:hAnsi="Arial"/>
          <w:sz w:val="13"/>
          <w:szCs w:val="13"/>
          <w:color w:val="auto"/>
        </w:rPr>
        <w:t>Allocate your Purchase Payment among the Shield Options and Fixed Account below.</w:t>
      </w:r>
    </w:p>
    <w:p>
      <w:pPr>
        <w:ind w:left="240" w:right="2679" w:hanging="161"/>
        <w:spacing w:after="0" w:line="238" w:lineRule="auto"/>
        <w:tabs>
          <w:tab w:leader="none" w:pos="240" w:val="left"/>
        </w:tabs>
        <w:numPr>
          <w:ilvl w:val="0"/>
          <w:numId w:val="95"/>
        </w:numPr>
        <w:rPr>
          <w:rFonts w:ascii="Arial" w:cs="Arial" w:eastAsia="Arial" w:hAnsi="Arial"/>
          <w:sz w:val="13"/>
          <w:szCs w:val="13"/>
          <w:color w:val="auto"/>
        </w:rPr>
      </w:pPr>
      <w:r>
        <w:rPr>
          <w:rFonts w:ascii="Arial" w:cs="Arial" w:eastAsia="Arial" w:hAnsi="Arial"/>
          <w:sz w:val="13"/>
          <w:szCs w:val="13"/>
          <w:color w:val="auto"/>
        </w:rPr>
        <w:t>Indicate the percentage each Shield Option and the Fixed Account (if selected) should receive. Allocations must be in whole percentages and total 100%. You must allocate at least $500 into each selected option.</w:t>
      </w:r>
    </w:p>
    <w:p>
      <w:pPr>
        <w:spacing w:after="0" w:line="1" w:lineRule="exact"/>
        <w:rPr>
          <w:rFonts w:ascii="Arial" w:cs="Arial" w:eastAsia="Arial" w:hAnsi="Arial"/>
          <w:sz w:val="13"/>
          <w:szCs w:val="13"/>
          <w:color w:val="auto"/>
        </w:rPr>
      </w:pPr>
    </w:p>
    <w:p>
      <w:pPr>
        <w:ind w:left="240" w:right="2199" w:hanging="161"/>
        <w:spacing w:after="0" w:line="248" w:lineRule="auto"/>
        <w:tabs>
          <w:tab w:leader="none" w:pos="240" w:val="left"/>
        </w:tabs>
        <w:numPr>
          <w:ilvl w:val="0"/>
          <w:numId w:val="95"/>
        </w:numPr>
        <w:rPr>
          <w:rFonts w:ascii="Arial" w:cs="Arial" w:eastAsia="Arial" w:hAnsi="Arial"/>
          <w:sz w:val="13"/>
          <w:szCs w:val="13"/>
          <w:color w:val="auto"/>
        </w:rPr>
      </w:pPr>
      <w:r>
        <w:rPr>
          <w:rFonts w:ascii="Arial" w:cs="Arial" w:eastAsia="Arial" w:hAnsi="Arial"/>
          <w:sz w:val="13"/>
          <w:szCs w:val="13"/>
          <w:color w:val="auto"/>
        </w:rPr>
        <w:t>The Shield Options have an associated Cap, Step or Edge Rate(s) for each term. Shield Options with a Step Rate are indicated with “Step Rate” in the Shield Option name. Shield Options with an Edge Rate are indicated with “Step Rate Edge” in the Shield Option name. All other Shield Options have a Cap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-740410</wp:posOffset>
            </wp:positionV>
            <wp:extent cx="5140325" cy="127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1">
                      <a:extLst>
                        <a:ext uri="{28A0092B-C50C-407E-A947-70E740481C1C}"/>
                      </a:extLst>
                    </a:blip>
                    <a:srcRect/>
                    <a:stretch>
                      <a:fillRect/>
                    </a:stretch>
                  </pic:blipFill>
                  <pic:spPr bwMode="auto">
                    <a:xfrm>
                      <a:off x="0" y="0"/>
                      <a:ext cx="5140325" cy="12700"/>
                    </a:xfrm>
                    <a:prstGeom prst="rect">
                      <a:avLst/>
                    </a:prstGeom>
                    <a:noFill/>
                  </pic:spPr>
                </pic:pic>
              </a:graphicData>
            </a:graphic>
          </wp:anchor>
        </w:drawing>
      </w:r>
    </w:p>
    <w:p>
      <w:pPr>
        <w:spacing w:after="0" w:line="30"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Cap Rate Shield Options</w:t>
      </w:r>
    </w:p>
    <w:p>
      <w:pPr>
        <w:spacing w:after="0" w:line="12"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1240" w:type="dxa"/>
            <w:vAlign w:val="bottom"/>
            <w:tcBorders>
              <w:top w:val="single" w:sz="8" w:color="7F7F7F"/>
              <w:left w:val="single" w:sz="8" w:color="7F7F7F"/>
              <w:bottom w:val="single" w:sz="8" w:color="7F7F7F"/>
              <w:right w:val="single" w:sz="8" w:color="7F7F7F"/>
            </w:tcBorders>
            <w:shd w:val="clear" w:color="auto" w:fill="D9D9D9"/>
          </w:tcPr>
          <w:p>
            <w:pPr>
              <w:ind w:left="440"/>
              <w:spacing w:after="0" w:line="139" w:lineRule="exact"/>
              <w:rPr>
                <w:sz w:val="20"/>
                <w:szCs w:val="20"/>
                <w:color w:val="auto"/>
              </w:rPr>
            </w:pPr>
            <w:r>
              <w:rPr>
                <w:rFonts w:ascii="Arial" w:cs="Arial" w:eastAsia="Arial" w:hAnsi="Arial"/>
                <w:sz w:val="13"/>
                <w:szCs w:val="13"/>
                <w:b w:val="1"/>
                <w:bCs w:val="1"/>
                <w:color w:val="auto"/>
              </w:rPr>
              <w:t>Term </w:t>
            </w:r>
          </w:p>
        </w:tc>
        <w:tc>
          <w:tcPr>
            <w:tcW w:w="1940" w:type="dxa"/>
            <w:vAlign w:val="bottom"/>
            <w:tcBorders>
              <w:top w:val="single" w:sz="8" w:color="7F7F7F"/>
              <w:bottom w:val="single" w:sz="8" w:color="7F7F7F"/>
              <w:right w:val="single" w:sz="8" w:color="7F7F7F"/>
            </w:tcBorders>
            <w:shd w:val="clear" w:color="auto" w:fill="D9D9D9"/>
          </w:tcPr>
          <w:p>
            <w:pPr>
              <w:ind w:left="300"/>
              <w:spacing w:after="0" w:line="139" w:lineRule="exact"/>
              <w:rPr>
                <w:sz w:val="20"/>
                <w:szCs w:val="20"/>
                <w:color w:val="auto"/>
              </w:rPr>
            </w:pPr>
            <w:r>
              <w:rPr>
                <w:rFonts w:ascii="Arial" w:cs="Arial" w:eastAsia="Arial" w:hAnsi="Arial"/>
                <w:sz w:val="13"/>
                <w:szCs w:val="13"/>
                <w:b w:val="1"/>
                <w:bCs w:val="1"/>
                <w:color w:val="auto"/>
              </w:rPr>
              <w:t>Shield Rate</w:t>
            </w:r>
          </w:p>
        </w:tc>
        <w:tc>
          <w:tcPr>
            <w:tcW w:w="3560" w:type="dxa"/>
            <w:vAlign w:val="bottom"/>
            <w:tcBorders>
              <w:top w:val="single" w:sz="8" w:color="7F7F7F"/>
              <w:bottom w:val="single" w:sz="8" w:color="7F7F7F"/>
              <w:right w:val="single" w:sz="8" w:color="7F7F7F"/>
            </w:tcBorders>
            <w:shd w:val="clear" w:color="auto" w:fill="D9D9D9"/>
          </w:tcPr>
          <w:p>
            <w:pPr>
              <w:ind w:left="140"/>
              <w:spacing w:after="0" w:line="139" w:lineRule="exact"/>
              <w:rPr>
                <w:sz w:val="20"/>
                <w:szCs w:val="20"/>
                <w:color w:val="auto"/>
              </w:rPr>
            </w:pPr>
            <w:r>
              <w:rPr>
                <w:rFonts w:ascii="Arial" w:cs="Arial" w:eastAsia="Arial" w:hAnsi="Arial"/>
                <w:sz w:val="13"/>
                <w:szCs w:val="13"/>
                <w:b w:val="1"/>
                <w:bCs w:val="1"/>
                <w:color w:val="auto"/>
              </w:rPr>
              <w:t>Index/Crediting Strategy</w:t>
            </w:r>
          </w:p>
        </w:tc>
        <w:tc>
          <w:tcPr>
            <w:tcW w:w="1380" w:type="dxa"/>
            <w:vAlign w:val="bottom"/>
            <w:tcBorders>
              <w:top w:val="single" w:sz="8" w:color="7F7F7F"/>
              <w:bottom w:val="single" w:sz="8" w:color="7F7F7F"/>
              <w:right w:val="single" w:sz="8" w:color="7F7F7F"/>
            </w:tcBorders>
            <w:shd w:val="clear" w:color="auto" w:fill="D9D9D9"/>
          </w:tcPr>
          <w:p>
            <w:pPr>
              <w:jc w:val="right"/>
              <w:ind w:right="534"/>
              <w:spacing w:after="0" w:line="139" w:lineRule="exact"/>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39"/>
        </w:trPr>
        <w:tc>
          <w:tcPr>
            <w:tcW w:w="1240" w:type="dxa"/>
            <w:vAlign w:val="bottom"/>
            <w:tcBorders>
              <w:left w:val="single" w:sz="8" w:color="7F7F7F"/>
              <w:right w:val="single" w:sz="8" w:color="7F7F7F"/>
            </w:tcBorders>
          </w:tcPr>
          <w:p>
            <w:pPr>
              <w:spacing w:after="0"/>
              <w:rPr>
                <w:sz w:val="12"/>
                <w:szCs w:val="12"/>
                <w:color w:val="auto"/>
              </w:rPr>
            </w:pPr>
          </w:p>
        </w:tc>
        <w:tc>
          <w:tcPr>
            <w:tcW w:w="1940" w:type="dxa"/>
            <w:vAlign w:val="bottom"/>
            <w:tcBorders>
              <w:right w:val="single" w:sz="8" w:color="7F7F7F"/>
            </w:tcBorders>
            <w:vMerge w:val="restart"/>
          </w:tcPr>
          <w:p>
            <w:pPr>
              <w:ind w:left="300"/>
              <w:spacing w:after="0"/>
              <w:rPr>
                <w:sz w:val="20"/>
                <w:szCs w:val="20"/>
                <w:color w:val="auto"/>
              </w:rPr>
            </w:pPr>
            <w:r>
              <w:rPr>
                <w:rFonts w:ascii="Arial" w:cs="Arial" w:eastAsia="Arial" w:hAnsi="Arial"/>
                <w:sz w:val="13"/>
                <w:szCs w:val="13"/>
                <w:color w:val="auto"/>
              </w:rPr>
              <w:t>Shield 25</w:t>
            </w:r>
          </w:p>
        </w:tc>
        <w:tc>
          <w:tcPr>
            <w:tcW w:w="3560" w:type="dxa"/>
            <w:vAlign w:val="bottom"/>
            <w:tcBorders>
              <w:bottom w:val="single" w:sz="8" w:color="7F7F7F"/>
              <w:right w:val="single" w:sz="8" w:color="7F7F7F"/>
            </w:tcBorders>
          </w:tcPr>
          <w:p>
            <w:pPr>
              <w:ind w:left="140"/>
              <w:spacing w:after="0" w:line="138" w:lineRule="exact"/>
              <w:rPr>
                <w:sz w:val="20"/>
                <w:szCs w:val="20"/>
                <w:color w:val="auto"/>
              </w:rPr>
            </w:pPr>
            <w:r>
              <w:rPr>
                <w:rFonts w:ascii="Arial" w:cs="Arial" w:eastAsia="Arial" w:hAnsi="Arial"/>
                <w:sz w:val="11"/>
                <w:szCs w:val="11"/>
                <w:color w:val="auto"/>
              </w:rPr>
              <w:t>S&amp;P 500</w:t>
            </w:r>
            <w:r>
              <w:rPr>
                <w:rFonts w:ascii="Arial" w:cs="Arial" w:eastAsia="Arial" w:hAnsi="Arial"/>
                <w:sz w:val="16"/>
                <w:szCs w:val="16"/>
                <w:color w:val="auto"/>
                <w:vertAlign w:val="superscript"/>
              </w:rPr>
              <w:t>®</w:t>
            </w:r>
            <w:r>
              <w:rPr>
                <w:rFonts w:ascii="Arial" w:cs="Arial" w:eastAsia="Arial" w:hAnsi="Arial"/>
                <w:sz w:val="11"/>
                <w:szCs w:val="11"/>
                <w:color w:val="auto"/>
              </w:rPr>
              <w:t xml:space="preserve"> Index</w:t>
            </w:r>
          </w:p>
        </w:tc>
        <w:tc>
          <w:tcPr>
            <w:tcW w:w="1380" w:type="dxa"/>
            <w:vAlign w:val="bottom"/>
            <w:tcBorders>
              <w:bottom w:val="single" w:sz="8" w:color="7F7F7F"/>
              <w:right w:val="single" w:sz="8" w:color="7F7F7F"/>
            </w:tcBorders>
          </w:tcPr>
          <w:p>
            <w:pPr>
              <w:jc w:val="right"/>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1240" w:type="dxa"/>
            <w:vAlign w:val="bottom"/>
            <w:tcBorders>
              <w:left w:val="single" w:sz="8" w:color="7F7F7F"/>
              <w:right w:val="single" w:sz="8" w:color="7F7F7F"/>
            </w:tcBorders>
          </w:tcPr>
          <w:p>
            <w:pPr>
              <w:spacing w:after="0"/>
              <w:rPr>
                <w:sz w:val="11"/>
                <w:szCs w:val="11"/>
                <w:color w:val="auto"/>
              </w:rPr>
            </w:pPr>
          </w:p>
        </w:tc>
        <w:tc>
          <w:tcPr>
            <w:tcW w:w="1940" w:type="dxa"/>
            <w:vAlign w:val="bottom"/>
            <w:tcBorders>
              <w:right w:val="single" w:sz="8" w:color="7F7F7F"/>
            </w:tcBorders>
            <w:vMerge w:val="continue"/>
          </w:tcPr>
          <w:p>
            <w:pPr>
              <w:spacing w:after="0"/>
              <w:rPr>
                <w:sz w:val="11"/>
                <w:szCs w:val="11"/>
                <w:color w:val="auto"/>
              </w:rPr>
            </w:pPr>
          </w:p>
        </w:tc>
        <w:tc>
          <w:tcPr>
            <w:tcW w:w="3560" w:type="dxa"/>
            <w:vAlign w:val="bottom"/>
            <w:tcBorders>
              <w:bottom w:val="single" w:sz="8" w:color="7F7F7F"/>
              <w:right w:val="single" w:sz="8" w:color="7F7F7F"/>
            </w:tcBorders>
          </w:tcPr>
          <w:p>
            <w:pPr>
              <w:ind w:left="140"/>
              <w:spacing w:after="0" w:line="126" w:lineRule="exact"/>
              <w:rPr>
                <w:sz w:val="20"/>
                <w:szCs w:val="20"/>
                <w:color w:val="auto"/>
              </w:rPr>
            </w:pPr>
            <w:r>
              <w:rPr>
                <w:rFonts w:ascii="Arial" w:cs="Arial" w:eastAsia="Arial" w:hAnsi="Arial"/>
                <w:sz w:val="10"/>
                <w:szCs w:val="10"/>
                <w:color w:val="auto"/>
              </w:rPr>
              <w:t>Russell 2000</w:t>
            </w:r>
            <w:r>
              <w:rPr>
                <w:rFonts w:ascii="Arial" w:cs="Arial" w:eastAsia="Arial" w:hAnsi="Arial"/>
                <w:sz w:val="14"/>
                <w:szCs w:val="14"/>
                <w:color w:val="auto"/>
                <w:vertAlign w:val="superscript"/>
              </w:rPr>
              <w:t>®</w:t>
            </w:r>
            <w:r>
              <w:rPr>
                <w:rFonts w:ascii="Arial" w:cs="Arial" w:eastAsia="Arial" w:hAnsi="Arial"/>
                <w:sz w:val="10"/>
                <w:szCs w:val="10"/>
                <w:color w:val="auto"/>
              </w:rPr>
              <w:t xml:space="preserve"> Index</w:t>
            </w:r>
          </w:p>
        </w:tc>
        <w:tc>
          <w:tcPr>
            <w:tcW w:w="1380" w:type="dxa"/>
            <w:vAlign w:val="bottom"/>
            <w:tcBorders>
              <w:bottom w:val="single" w:sz="8" w:color="7F7F7F"/>
              <w:right w:val="single" w:sz="8" w:color="7F7F7F"/>
            </w:tcBorders>
          </w:tcPr>
          <w:p>
            <w:pPr>
              <w:jc w:val="right"/>
              <w:spacing w:after="0" w:line="12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1240" w:type="dxa"/>
            <w:vAlign w:val="bottom"/>
            <w:tcBorders>
              <w:left w:val="single" w:sz="8" w:color="7F7F7F"/>
              <w:right w:val="single" w:sz="8" w:color="7F7F7F"/>
            </w:tcBorders>
          </w:tcPr>
          <w:p>
            <w:pPr>
              <w:spacing w:after="0"/>
              <w:rPr>
                <w:sz w:val="12"/>
                <w:szCs w:val="12"/>
                <w:color w:val="auto"/>
              </w:rPr>
            </w:pPr>
          </w:p>
        </w:tc>
        <w:tc>
          <w:tcPr>
            <w:tcW w:w="1940" w:type="dxa"/>
            <w:vAlign w:val="bottom"/>
            <w:tcBorders>
              <w:right w:val="single" w:sz="8" w:color="7F7F7F"/>
            </w:tcBorders>
          </w:tcPr>
          <w:p>
            <w:pPr>
              <w:ind w:left="300"/>
              <w:spacing w:after="0"/>
              <w:rPr>
                <w:sz w:val="20"/>
                <w:szCs w:val="20"/>
                <w:color w:val="auto"/>
              </w:rPr>
            </w:pPr>
            <w:r>
              <w:rPr>
                <w:rFonts w:ascii="Arial" w:cs="Arial" w:eastAsia="Arial" w:hAnsi="Arial"/>
                <w:sz w:val="13"/>
                <w:szCs w:val="13"/>
                <w:color w:val="auto"/>
              </w:rPr>
              <w:t>(Shield Rate: 25%)</w:t>
            </w:r>
          </w:p>
        </w:tc>
        <w:tc>
          <w:tcPr>
            <w:tcW w:w="3560" w:type="dxa"/>
            <w:vAlign w:val="bottom"/>
            <w:tcBorders>
              <w:bottom w:val="single" w:sz="8" w:color="7F7F7F"/>
              <w:right w:val="single" w:sz="8" w:color="7F7F7F"/>
            </w:tcBorders>
          </w:tcPr>
          <w:p>
            <w:pPr>
              <w:ind w:left="140"/>
              <w:spacing w:after="0"/>
              <w:rPr>
                <w:sz w:val="20"/>
                <w:szCs w:val="20"/>
                <w:color w:val="auto"/>
              </w:rPr>
            </w:pPr>
            <w:r>
              <w:rPr>
                <w:rFonts w:ascii="Arial" w:cs="Arial" w:eastAsia="Arial" w:hAnsi="Arial"/>
                <w:sz w:val="13"/>
                <w:szCs w:val="13"/>
                <w:color w:val="auto"/>
              </w:rPr>
              <w:t>MSCI EAFE Index</w:t>
            </w:r>
          </w:p>
        </w:tc>
        <w:tc>
          <w:tcPr>
            <w:tcW w:w="1380" w:type="dxa"/>
            <w:vAlign w:val="bottom"/>
            <w:tcBorders>
              <w:bottom w:val="single" w:sz="8" w:color="7F7F7F"/>
              <w:right w:val="single" w:sz="8" w:color="7F7F7F"/>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1240" w:type="dxa"/>
            <w:vAlign w:val="bottom"/>
            <w:tcBorders>
              <w:left w:val="single" w:sz="8" w:color="7F7F7F"/>
              <w:right w:val="single" w:sz="8" w:color="7F7F7F"/>
            </w:tcBorders>
          </w:tcPr>
          <w:p>
            <w:pPr>
              <w:spacing w:after="0"/>
              <w:rPr>
                <w:sz w:val="12"/>
                <w:szCs w:val="12"/>
                <w:color w:val="auto"/>
              </w:rPr>
            </w:pPr>
          </w:p>
        </w:tc>
        <w:tc>
          <w:tcPr>
            <w:tcW w:w="1940" w:type="dxa"/>
            <w:vAlign w:val="bottom"/>
            <w:tcBorders>
              <w:bottom w:val="single" w:sz="8" w:color="7F7F7F"/>
              <w:right w:val="single" w:sz="8" w:color="7F7F7F"/>
            </w:tcBorders>
          </w:tcPr>
          <w:p>
            <w:pPr>
              <w:spacing w:after="0"/>
              <w:rPr>
                <w:sz w:val="12"/>
                <w:szCs w:val="12"/>
                <w:color w:val="auto"/>
              </w:rPr>
            </w:pPr>
          </w:p>
        </w:tc>
        <w:tc>
          <w:tcPr>
            <w:tcW w:w="3560" w:type="dxa"/>
            <w:vAlign w:val="bottom"/>
            <w:tcBorders>
              <w:bottom w:val="single" w:sz="8" w:color="7F7F7F"/>
              <w:right w:val="single" w:sz="8" w:color="7F7F7F"/>
            </w:tcBorders>
          </w:tcPr>
          <w:p>
            <w:pPr>
              <w:ind w:left="140"/>
              <w:spacing w:after="0" w:line="138" w:lineRule="exact"/>
              <w:rPr>
                <w:sz w:val="20"/>
                <w:szCs w:val="20"/>
                <w:color w:val="auto"/>
              </w:rPr>
            </w:pPr>
            <w:r>
              <w:rPr>
                <w:rFonts w:ascii="Arial" w:cs="Arial" w:eastAsia="Arial" w:hAnsi="Arial"/>
                <w:sz w:val="11"/>
                <w:szCs w:val="11"/>
                <w:color w:val="auto"/>
              </w:rPr>
              <w:t>Nasdaq-100 Index</w:t>
            </w:r>
            <w:r>
              <w:rPr>
                <w:rFonts w:ascii="Arial" w:cs="Arial" w:eastAsia="Arial" w:hAnsi="Arial"/>
                <w:sz w:val="16"/>
                <w:szCs w:val="16"/>
                <w:color w:val="auto"/>
                <w:vertAlign w:val="superscript"/>
              </w:rPr>
              <w:t>®</w:t>
            </w:r>
          </w:p>
        </w:tc>
        <w:tc>
          <w:tcPr>
            <w:tcW w:w="1380" w:type="dxa"/>
            <w:vAlign w:val="bottom"/>
            <w:tcBorders>
              <w:bottom w:val="single" w:sz="8" w:color="7F7F7F"/>
              <w:right w:val="single" w:sz="8" w:color="7F7F7F"/>
            </w:tcBorders>
          </w:tcPr>
          <w:p>
            <w:pPr>
              <w:jc w:val="right"/>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1240" w:type="dxa"/>
            <w:vAlign w:val="bottom"/>
            <w:tcBorders>
              <w:left w:val="single" w:sz="8" w:color="7F7F7F"/>
              <w:right w:val="single" w:sz="8" w:color="7F7F7F"/>
            </w:tcBorders>
            <w:vMerge w:val="restart"/>
          </w:tcPr>
          <w:p>
            <w:pPr>
              <w:jc w:val="center"/>
              <w:ind w:left="34"/>
              <w:spacing w:after="0"/>
              <w:rPr>
                <w:sz w:val="20"/>
                <w:szCs w:val="20"/>
                <w:color w:val="auto"/>
              </w:rPr>
            </w:pPr>
            <w:r>
              <w:rPr>
                <w:rFonts w:ascii="Arial" w:cs="Arial" w:eastAsia="Arial" w:hAnsi="Arial"/>
                <w:sz w:val="13"/>
                <w:szCs w:val="13"/>
                <w:color w:val="auto"/>
                <w:w w:val="99"/>
              </w:rPr>
              <w:t>6 Year</w:t>
            </w:r>
          </w:p>
        </w:tc>
        <w:tc>
          <w:tcPr>
            <w:tcW w:w="1940" w:type="dxa"/>
            <w:vAlign w:val="bottom"/>
            <w:tcBorders>
              <w:right w:val="single" w:sz="8" w:color="7F7F7F"/>
            </w:tcBorders>
          </w:tcPr>
          <w:p>
            <w:pPr>
              <w:spacing w:after="0"/>
              <w:rPr>
                <w:sz w:val="12"/>
                <w:szCs w:val="12"/>
                <w:color w:val="auto"/>
              </w:rPr>
            </w:pPr>
          </w:p>
        </w:tc>
        <w:tc>
          <w:tcPr>
            <w:tcW w:w="3560" w:type="dxa"/>
            <w:vAlign w:val="bottom"/>
            <w:tcBorders>
              <w:bottom w:val="single" w:sz="8" w:color="7F7F7F"/>
              <w:right w:val="single" w:sz="8" w:color="7F7F7F"/>
            </w:tcBorders>
          </w:tcPr>
          <w:p>
            <w:pPr>
              <w:ind w:left="140"/>
              <w:spacing w:after="0" w:line="138" w:lineRule="exact"/>
              <w:rPr>
                <w:sz w:val="20"/>
                <w:szCs w:val="20"/>
                <w:color w:val="auto"/>
              </w:rPr>
            </w:pPr>
            <w:r>
              <w:rPr>
                <w:rFonts w:ascii="Arial" w:cs="Arial" w:eastAsia="Arial" w:hAnsi="Arial"/>
                <w:sz w:val="11"/>
                <w:szCs w:val="11"/>
                <w:color w:val="auto"/>
              </w:rPr>
              <w:t>S&amp;P 500</w:t>
            </w:r>
            <w:r>
              <w:rPr>
                <w:rFonts w:ascii="Arial" w:cs="Arial" w:eastAsia="Arial" w:hAnsi="Arial"/>
                <w:sz w:val="16"/>
                <w:szCs w:val="16"/>
                <w:color w:val="auto"/>
                <w:vertAlign w:val="superscript"/>
              </w:rPr>
              <w:t>®</w:t>
            </w:r>
            <w:r>
              <w:rPr>
                <w:rFonts w:ascii="Arial" w:cs="Arial" w:eastAsia="Arial" w:hAnsi="Arial"/>
                <w:sz w:val="11"/>
                <w:szCs w:val="11"/>
                <w:color w:val="auto"/>
              </w:rPr>
              <w:t xml:space="preserve"> Index</w:t>
            </w:r>
          </w:p>
        </w:tc>
        <w:tc>
          <w:tcPr>
            <w:tcW w:w="1380" w:type="dxa"/>
            <w:vAlign w:val="bottom"/>
            <w:tcBorders>
              <w:bottom w:val="single" w:sz="8" w:color="7F7F7F"/>
              <w:right w:val="single" w:sz="8" w:color="7F7F7F"/>
            </w:tcBorders>
          </w:tcPr>
          <w:p>
            <w:pPr>
              <w:jc w:val="right"/>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7"/>
        </w:trPr>
        <w:tc>
          <w:tcPr>
            <w:tcW w:w="1240" w:type="dxa"/>
            <w:vAlign w:val="bottom"/>
            <w:tcBorders>
              <w:left w:val="single" w:sz="8" w:color="7F7F7F"/>
              <w:right w:val="single" w:sz="8" w:color="7F7F7F"/>
            </w:tcBorders>
            <w:vMerge w:val="continue"/>
          </w:tcPr>
          <w:p>
            <w:pPr>
              <w:spacing w:after="0"/>
              <w:rPr>
                <w:sz w:val="4"/>
                <w:szCs w:val="4"/>
                <w:color w:val="auto"/>
              </w:rPr>
            </w:pPr>
          </w:p>
        </w:tc>
        <w:tc>
          <w:tcPr>
            <w:tcW w:w="1940" w:type="dxa"/>
            <w:vAlign w:val="bottom"/>
            <w:tcBorders>
              <w:right w:val="single" w:sz="8" w:color="7F7F7F"/>
            </w:tcBorders>
            <w:vMerge w:val="restart"/>
          </w:tcPr>
          <w:p>
            <w:pPr>
              <w:ind w:left="300"/>
              <w:spacing w:after="0" w:line="126" w:lineRule="exact"/>
              <w:rPr>
                <w:sz w:val="20"/>
                <w:szCs w:val="20"/>
                <w:color w:val="auto"/>
              </w:rPr>
            </w:pPr>
            <w:r>
              <w:rPr>
                <w:rFonts w:ascii="Arial" w:cs="Arial" w:eastAsia="Arial" w:hAnsi="Arial"/>
                <w:sz w:val="13"/>
                <w:szCs w:val="13"/>
                <w:color w:val="auto"/>
              </w:rPr>
              <w:t>Shield 15</w:t>
            </w:r>
          </w:p>
        </w:tc>
        <w:tc>
          <w:tcPr>
            <w:tcW w:w="3560" w:type="dxa"/>
            <w:vAlign w:val="bottom"/>
            <w:tcBorders>
              <w:right w:val="single" w:sz="8" w:color="7F7F7F"/>
            </w:tcBorders>
            <w:vMerge w:val="restart"/>
          </w:tcPr>
          <w:p>
            <w:pPr>
              <w:ind w:left="140"/>
              <w:spacing w:after="0" w:line="126" w:lineRule="exact"/>
              <w:rPr>
                <w:sz w:val="20"/>
                <w:szCs w:val="20"/>
                <w:color w:val="auto"/>
              </w:rPr>
            </w:pPr>
            <w:r>
              <w:rPr>
                <w:rFonts w:ascii="Arial" w:cs="Arial" w:eastAsia="Arial" w:hAnsi="Arial"/>
                <w:sz w:val="10"/>
                <w:szCs w:val="10"/>
                <w:color w:val="auto"/>
              </w:rPr>
              <w:t>Russell 2000</w:t>
            </w:r>
            <w:r>
              <w:rPr>
                <w:rFonts w:ascii="Arial" w:cs="Arial" w:eastAsia="Arial" w:hAnsi="Arial"/>
                <w:sz w:val="14"/>
                <w:szCs w:val="14"/>
                <w:color w:val="auto"/>
                <w:vertAlign w:val="superscript"/>
              </w:rPr>
              <w:t>®</w:t>
            </w:r>
            <w:r>
              <w:rPr>
                <w:rFonts w:ascii="Arial" w:cs="Arial" w:eastAsia="Arial" w:hAnsi="Arial"/>
                <w:sz w:val="10"/>
                <w:szCs w:val="10"/>
                <w:color w:val="auto"/>
              </w:rPr>
              <w:t xml:space="preserve"> Index</w:t>
            </w:r>
          </w:p>
        </w:tc>
        <w:tc>
          <w:tcPr>
            <w:tcW w:w="1380" w:type="dxa"/>
            <w:vAlign w:val="bottom"/>
            <w:tcBorders>
              <w:right w:val="single" w:sz="8" w:color="7F7F7F"/>
            </w:tcBorders>
            <w:vMerge w:val="restart"/>
          </w:tcPr>
          <w:p>
            <w:pPr>
              <w:jc w:val="right"/>
              <w:spacing w:after="0" w:line="12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7"/>
        </w:trPr>
        <w:tc>
          <w:tcPr>
            <w:tcW w:w="1240" w:type="dxa"/>
            <w:vAlign w:val="bottom"/>
            <w:tcBorders>
              <w:left w:val="single" w:sz="8" w:color="7F7F7F"/>
              <w:right w:val="single" w:sz="8" w:color="7F7F7F"/>
            </w:tcBorders>
            <w:vMerge w:val="restart"/>
          </w:tcPr>
          <w:p>
            <w:pPr>
              <w:jc w:val="center"/>
              <w:ind w:left="34"/>
              <w:spacing w:after="0"/>
              <w:rPr>
                <w:sz w:val="20"/>
                <w:szCs w:val="20"/>
                <w:color w:val="auto"/>
              </w:rPr>
            </w:pPr>
            <w:r>
              <w:rPr>
                <w:rFonts w:ascii="Arial" w:cs="Arial" w:eastAsia="Arial" w:hAnsi="Arial"/>
                <w:sz w:val="13"/>
                <w:szCs w:val="13"/>
                <w:color w:val="auto"/>
              </w:rPr>
              <w:t>Shield</w:t>
            </w:r>
          </w:p>
        </w:tc>
        <w:tc>
          <w:tcPr>
            <w:tcW w:w="1940" w:type="dxa"/>
            <w:vAlign w:val="bottom"/>
            <w:tcBorders>
              <w:right w:val="single" w:sz="8" w:color="7F7F7F"/>
            </w:tcBorders>
            <w:vMerge w:val="continue"/>
          </w:tcPr>
          <w:p>
            <w:pPr>
              <w:spacing w:after="0"/>
              <w:rPr>
                <w:sz w:val="7"/>
                <w:szCs w:val="7"/>
                <w:color w:val="auto"/>
              </w:rPr>
            </w:pPr>
          </w:p>
        </w:tc>
        <w:tc>
          <w:tcPr>
            <w:tcW w:w="3560" w:type="dxa"/>
            <w:vAlign w:val="bottom"/>
            <w:tcBorders>
              <w:bottom w:val="single" w:sz="8" w:color="7F7F7F"/>
              <w:right w:val="single" w:sz="8" w:color="7F7F7F"/>
            </w:tcBorders>
            <w:vMerge w:val="continue"/>
          </w:tcPr>
          <w:p>
            <w:pPr>
              <w:spacing w:after="0"/>
              <w:rPr>
                <w:sz w:val="7"/>
                <w:szCs w:val="7"/>
                <w:color w:val="auto"/>
              </w:rPr>
            </w:pPr>
          </w:p>
        </w:tc>
        <w:tc>
          <w:tcPr>
            <w:tcW w:w="1380" w:type="dxa"/>
            <w:vAlign w:val="bottom"/>
            <w:tcBorders>
              <w:bottom w:val="single" w:sz="8" w:color="7F7F7F"/>
              <w:right w:val="single" w:sz="8" w:color="7F7F7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1240" w:type="dxa"/>
            <w:vAlign w:val="bottom"/>
            <w:tcBorders>
              <w:left w:val="single" w:sz="8" w:color="7F7F7F"/>
              <w:right w:val="single" w:sz="8" w:color="7F7F7F"/>
            </w:tcBorders>
            <w:vMerge w:val="continue"/>
          </w:tcPr>
          <w:p>
            <w:pPr>
              <w:spacing w:after="0"/>
              <w:rPr>
                <w:sz w:val="4"/>
                <w:szCs w:val="4"/>
                <w:color w:val="auto"/>
              </w:rPr>
            </w:pPr>
          </w:p>
        </w:tc>
        <w:tc>
          <w:tcPr>
            <w:tcW w:w="1940" w:type="dxa"/>
            <w:vAlign w:val="bottom"/>
            <w:tcBorders>
              <w:right w:val="single" w:sz="8" w:color="7F7F7F"/>
            </w:tcBorders>
            <w:vMerge w:val="restart"/>
          </w:tcPr>
          <w:p>
            <w:pPr>
              <w:ind w:left="300"/>
              <w:spacing w:after="0"/>
              <w:rPr>
                <w:sz w:val="20"/>
                <w:szCs w:val="20"/>
                <w:color w:val="auto"/>
              </w:rPr>
            </w:pPr>
            <w:r>
              <w:rPr>
                <w:rFonts w:ascii="Arial" w:cs="Arial" w:eastAsia="Arial" w:hAnsi="Arial"/>
                <w:sz w:val="13"/>
                <w:szCs w:val="13"/>
                <w:color w:val="auto"/>
              </w:rPr>
              <w:t>(Shield Rate: 15%)</w:t>
            </w:r>
          </w:p>
        </w:tc>
        <w:tc>
          <w:tcPr>
            <w:tcW w:w="3560" w:type="dxa"/>
            <w:vAlign w:val="bottom"/>
            <w:tcBorders>
              <w:right w:val="single" w:sz="8" w:color="7F7F7F"/>
            </w:tcBorders>
            <w:vMerge w:val="restart"/>
          </w:tcPr>
          <w:p>
            <w:pPr>
              <w:ind w:left="140"/>
              <w:spacing w:after="0"/>
              <w:rPr>
                <w:sz w:val="20"/>
                <w:szCs w:val="20"/>
                <w:color w:val="auto"/>
              </w:rPr>
            </w:pPr>
            <w:r>
              <w:rPr>
                <w:rFonts w:ascii="Arial" w:cs="Arial" w:eastAsia="Arial" w:hAnsi="Arial"/>
                <w:sz w:val="13"/>
                <w:szCs w:val="13"/>
                <w:color w:val="auto"/>
              </w:rPr>
              <w:t>MSCI EAFE Index</w:t>
            </w:r>
          </w:p>
        </w:tc>
        <w:tc>
          <w:tcPr>
            <w:tcW w:w="1380" w:type="dxa"/>
            <w:vAlign w:val="bottom"/>
            <w:tcBorders>
              <w:right w:val="single" w:sz="8" w:color="7F7F7F"/>
            </w:tcBorders>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7"/>
        </w:trPr>
        <w:tc>
          <w:tcPr>
            <w:tcW w:w="1240" w:type="dxa"/>
            <w:vAlign w:val="bottom"/>
            <w:tcBorders>
              <w:left w:val="single" w:sz="8" w:color="7F7F7F"/>
              <w:right w:val="single" w:sz="8" w:color="7F7F7F"/>
            </w:tcBorders>
            <w:vMerge w:val="restart"/>
          </w:tcPr>
          <w:p>
            <w:pPr>
              <w:jc w:val="center"/>
              <w:ind w:left="34"/>
              <w:spacing w:after="0"/>
              <w:rPr>
                <w:sz w:val="20"/>
                <w:szCs w:val="20"/>
                <w:color w:val="auto"/>
              </w:rPr>
            </w:pPr>
            <w:r>
              <w:rPr>
                <w:rFonts w:ascii="Arial" w:cs="Arial" w:eastAsia="Arial" w:hAnsi="Arial"/>
                <w:sz w:val="13"/>
                <w:szCs w:val="13"/>
                <w:color w:val="auto"/>
                <w:w w:val="98"/>
              </w:rPr>
              <w:t>Term</w:t>
            </w:r>
          </w:p>
        </w:tc>
        <w:tc>
          <w:tcPr>
            <w:tcW w:w="1940" w:type="dxa"/>
            <w:vAlign w:val="bottom"/>
            <w:tcBorders>
              <w:right w:val="single" w:sz="8" w:color="7F7F7F"/>
            </w:tcBorders>
            <w:vMerge w:val="continue"/>
          </w:tcPr>
          <w:p>
            <w:pPr>
              <w:spacing w:after="0"/>
              <w:rPr>
                <w:sz w:val="8"/>
                <w:szCs w:val="8"/>
                <w:color w:val="auto"/>
              </w:rPr>
            </w:pPr>
          </w:p>
        </w:tc>
        <w:tc>
          <w:tcPr>
            <w:tcW w:w="3560" w:type="dxa"/>
            <w:vAlign w:val="bottom"/>
            <w:tcBorders>
              <w:bottom w:val="single" w:sz="8" w:color="7F7F7F"/>
              <w:right w:val="single" w:sz="8" w:color="7F7F7F"/>
            </w:tcBorders>
            <w:vMerge w:val="continue"/>
          </w:tcPr>
          <w:p>
            <w:pPr>
              <w:spacing w:after="0"/>
              <w:rPr>
                <w:sz w:val="8"/>
                <w:szCs w:val="8"/>
                <w:color w:val="auto"/>
              </w:rPr>
            </w:pPr>
          </w:p>
        </w:tc>
        <w:tc>
          <w:tcPr>
            <w:tcW w:w="1380" w:type="dxa"/>
            <w:vAlign w:val="bottom"/>
            <w:tcBorders>
              <w:bottom w:val="single" w:sz="8" w:color="7F7F7F"/>
              <w:right w:val="single" w:sz="8" w:color="7F7F7F"/>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1240" w:type="dxa"/>
            <w:vAlign w:val="bottom"/>
            <w:tcBorders>
              <w:left w:val="single" w:sz="8" w:color="7F7F7F"/>
              <w:right w:val="single" w:sz="8" w:color="7F7F7F"/>
            </w:tcBorders>
            <w:vMerge w:val="continue"/>
          </w:tcPr>
          <w:p>
            <w:pPr>
              <w:spacing w:after="0"/>
              <w:rPr>
                <w:sz w:val="4"/>
                <w:szCs w:val="4"/>
                <w:color w:val="auto"/>
              </w:rPr>
            </w:pPr>
          </w:p>
        </w:tc>
        <w:tc>
          <w:tcPr>
            <w:tcW w:w="1940" w:type="dxa"/>
            <w:vAlign w:val="bottom"/>
            <w:tcBorders>
              <w:right w:val="single" w:sz="8" w:color="7F7F7F"/>
            </w:tcBorders>
          </w:tcPr>
          <w:p>
            <w:pPr>
              <w:spacing w:after="0"/>
              <w:rPr>
                <w:sz w:val="4"/>
                <w:szCs w:val="4"/>
                <w:color w:val="auto"/>
              </w:rPr>
            </w:pPr>
          </w:p>
        </w:tc>
        <w:tc>
          <w:tcPr>
            <w:tcW w:w="3560" w:type="dxa"/>
            <w:vAlign w:val="bottom"/>
            <w:tcBorders>
              <w:right w:val="single" w:sz="8" w:color="7F7F7F"/>
            </w:tcBorders>
            <w:vMerge w:val="restart"/>
          </w:tcPr>
          <w:p>
            <w:pPr>
              <w:ind w:left="140"/>
              <w:spacing w:after="0" w:line="138" w:lineRule="exact"/>
              <w:rPr>
                <w:sz w:val="20"/>
                <w:szCs w:val="20"/>
                <w:color w:val="auto"/>
              </w:rPr>
            </w:pPr>
            <w:r>
              <w:rPr>
                <w:rFonts w:ascii="Arial" w:cs="Arial" w:eastAsia="Arial" w:hAnsi="Arial"/>
                <w:sz w:val="11"/>
                <w:szCs w:val="11"/>
                <w:color w:val="auto"/>
              </w:rPr>
              <w:t>Nasdaq-100 Index</w:t>
            </w:r>
            <w:r>
              <w:rPr>
                <w:rFonts w:ascii="Arial" w:cs="Arial" w:eastAsia="Arial" w:hAnsi="Arial"/>
                <w:sz w:val="16"/>
                <w:szCs w:val="16"/>
                <w:color w:val="auto"/>
                <w:vertAlign w:val="superscript"/>
              </w:rPr>
              <w:t>®</w:t>
            </w:r>
          </w:p>
        </w:tc>
        <w:tc>
          <w:tcPr>
            <w:tcW w:w="1380" w:type="dxa"/>
            <w:vAlign w:val="bottom"/>
            <w:tcBorders>
              <w:right w:val="single" w:sz="8" w:color="7F7F7F"/>
            </w:tcBorders>
            <w:vMerge w:val="restart"/>
          </w:tcPr>
          <w:p>
            <w:pPr>
              <w:jc w:val="right"/>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7"/>
        </w:trPr>
        <w:tc>
          <w:tcPr>
            <w:tcW w:w="1240" w:type="dxa"/>
            <w:vAlign w:val="bottom"/>
            <w:tcBorders>
              <w:left w:val="single" w:sz="8" w:color="7F7F7F"/>
              <w:right w:val="single" w:sz="8" w:color="7F7F7F"/>
            </w:tcBorders>
          </w:tcPr>
          <w:p>
            <w:pPr>
              <w:spacing w:after="0"/>
              <w:rPr>
                <w:sz w:val="7"/>
                <w:szCs w:val="7"/>
                <w:color w:val="auto"/>
              </w:rPr>
            </w:pPr>
          </w:p>
        </w:tc>
        <w:tc>
          <w:tcPr>
            <w:tcW w:w="1940" w:type="dxa"/>
            <w:vAlign w:val="bottom"/>
            <w:tcBorders>
              <w:bottom w:val="single" w:sz="8" w:color="7F7F7F"/>
              <w:right w:val="single" w:sz="8" w:color="7F7F7F"/>
            </w:tcBorders>
          </w:tcPr>
          <w:p>
            <w:pPr>
              <w:spacing w:after="0"/>
              <w:rPr>
                <w:sz w:val="7"/>
                <w:szCs w:val="7"/>
                <w:color w:val="auto"/>
              </w:rPr>
            </w:pPr>
          </w:p>
        </w:tc>
        <w:tc>
          <w:tcPr>
            <w:tcW w:w="3560" w:type="dxa"/>
            <w:vAlign w:val="bottom"/>
            <w:tcBorders>
              <w:bottom w:val="single" w:sz="8" w:color="7F7F7F"/>
              <w:right w:val="single" w:sz="8" w:color="7F7F7F"/>
            </w:tcBorders>
            <w:vMerge w:val="continue"/>
          </w:tcPr>
          <w:p>
            <w:pPr>
              <w:spacing w:after="0"/>
              <w:rPr>
                <w:sz w:val="7"/>
                <w:szCs w:val="7"/>
                <w:color w:val="auto"/>
              </w:rPr>
            </w:pPr>
          </w:p>
        </w:tc>
        <w:tc>
          <w:tcPr>
            <w:tcW w:w="1380" w:type="dxa"/>
            <w:vAlign w:val="bottom"/>
            <w:tcBorders>
              <w:bottom w:val="single" w:sz="8" w:color="7F7F7F"/>
              <w:right w:val="single" w:sz="8" w:color="7F7F7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240" w:type="dxa"/>
            <w:vAlign w:val="bottom"/>
            <w:tcBorders>
              <w:left w:val="single" w:sz="8" w:color="7F7F7F"/>
              <w:right w:val="single" w:sz="8" w:color="7F7F7F"/>
            </w:tcBorders>
          </w:tcPr>
          <w:p>
            <w:pPr>
              <w:spacing w:after="0"/>
              <w:rPr>
                <w:sz w:val="12"/>
                <w:szCs w:val="12"/>
                <w:color w:val="auto"/>
              </w:rPr>
            </w:pPr>
          </w:p>
        </w:tc>
        <w:tc>
          <w:tcPr>
            <w:tcW w:w="1940" w:type="dxa"/>
            <w:vAlign w:val="bottom"/>
            <w:tcBorders>
              <w:right w:val="single" w:sz="8" w:color="7F7F7F"/>
            </w:tcBorders>
            <w:vMerge w:val="restart"/>
          </w:tcPr>
          <w:p>
            <w:pPr>
              <w:ind w:left="300"/>
              <w:spacing w:after="0"/>
              <w:rPr>
                <w:sz w:val="20"/>
                <w:szCs w:val="20"/>
                <w:color w:val="auto"/>
              </w:rPr>
            </w:pPr>
            <w:r>
              <w:rPr>
                <w:rFonts w:ascii="Arial" w:cs="Arial" w:eastAsia="Arial" w:hAnsi="Arial"/>
                <w:sz w:val="13"/>
                <w:szCs w:val="13"/>
                <w:color w:val="auto"/>
              </w:rPr>
              <w:t>Shield 10</w:t>
            </w:r>
          </w:p>
        </w:tc>
        <w:tc>
          <w:tcPr>
            <w:tcW w:w="3560" w:type="dxa"/>
            <w:vAlign w:val="bottom"/>
            <w:tcBorders>
              <w:bottom w:val="single" w:sz="8" w:color="7F7F7F"/>
              <w:right w:val="single" w:sz="8" w:color="7F7F7F"/>
            </w:tcBorders>
          </w:tcPr>
          <w:p>
            <w:pPr>
              <w:ind w:left="140"/>
              <w:spacing w:after="0" w:line="138" w:lineRule="exact"/>
              <w:rPr>
                <w:sz w:val="20"/>
                <w:szCs w:val="20"/>
                <w:color w:val="auto"/>
              </w:rPr>
            </w:pPr>
            <w:r>
              <w:rPr>
                <w:rFonts w:ascii="Arial" w:cs="Arial" w:eastAsia="Arial" w:hAnsi="Arial"/>
                <w:sz w:val="11"/>
                <w:szCs w:val="11"/>
                <w:color w:val="auto"/>
              </w:rPr>
              <w:t>S&amp;P 500</w:t>
            </w:r>
            <w:r>
              <w:rPr>
                <w:rFonts w:ascii="Arial" w:cs="Arial" w:eastAsia="Arial" w:hAnsi="Arial"/>
                <w:sz w:val="16"/>
                <w:szCs w:val="16"/>
                <w:color w:val="auto"/>
                <w:vertAlign w:val="superscript"/>
              </w:rPr>
              <w:t>®</w:t>
            </w:r>
            <w:r>
              <w:rPr>
                <w:rFonts w:ascii="Arial" w:cs="Arial" w:eastAsia="Arial" w:hAnsi="Arial"/>
                <w:sz w:val="11"/>
                <w:szCs w:val="11"/>
                <w:color w:val="auto"/>
              </w:rPr>
              <w:t xml:space="preserve"> Index</w:t>
            </w:r>
          </w:p>
        </w:tc>
        <w:tc>
          <w:tcPr>
            <w:tcW w:w="1380" w:type="dxa"/>
            <w:vAlign w:val="bottom"/>
            <w:tcBorders>
              <w:bottom w:val="single" w:sz="8" w:color="7F7F7F"/>
              <w:right w:val="single" w:sz="8" w:color="7F7F7F"/>
            </w:tcBorders>
          </w:tcPr>
          <w:p>
            <w:pPr>
              <w:jc w:val="right"/>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1240" w:type="dxa"/>
            <w:vAlign w:val="bottom"/>
            <w:tcBorders>
              <w:left w:val="single" w:sz="8" w:color="7F7F7F"/>
              <w:right w:val="single" w:sz="8" w:color="7F7F7F"/>
            </w:tcBorders>
          </w:tcPr>
          <w:p>
            <w:pPr>
              <w:spacing w:after="0"/>
              <w:rPr>
                <w:sz w:val="11"/>
                <w:szCs w:val="11"/>
                <w:color w:val="auto"/>
              </w:rPr>
            </w:pPr>
          </w:p>
        </w:tc>
        <w:tc>
          <w:tcPr>
            <w:tcW w:w="1940" w:type="dxa"/>
            <w:vAlign w:val="bottom"/>
            <w:tcBorders>
              <w:right w:val="single" w:sz="8" w:color="7F7F7F"/>
            </w:tcBorders>
            <w:vMerge w:val="continue"/>
          </w:tcPr>
          <w:p>
            <w:pPr>
              <w:spacing w:after="0"/>
              <w:rPr>
                <w:sz w:val="11"/>
                <w:szCs w:val="11"/>
                <w:color w:val="auto"/>
              </w:rPr>
            </w:pPr>
          </w:p>
        </w:tc>
        <w:tc>
          <w:tcPr>
            <w:tcW w:w="3560" w:type="dxa"/>
            <w:vAlign w:val="bottom"/>
            <w:tcBorders>
              <w:bottom w:val="single" w:sz="8" w:color="7F7F7F"/>
              <w:right w:val="single" w:sz="8" w:color="7F7F7F"/>
            </w:tcBorders>
          </w:tcPr>
          <w:p>
            <w:pPr>
              <w:ind w:left="140"/>
              <w:spacing w:after="0" w:line="126" w:lineRule="exact"/>
              <w:rPr>
                <w:sz w:val="20"/>
                <w:szCs w:val="20"/>
                <w:color w:val="auto"/>
              </w:rPr>
            </w:pPr>
            <w:r>
              <w:rPr>
                <w:rFonts w:ascii="Arial" w:cs="Arial" w:eastAsia="Arial" w:hAnsi="Arial"/>
                <w:sz w:val="10"/>
                <w:szCs w:val="10"/>
                <w:color w:val="auto"/>
              </w:rPr>
              <w:t>Russell 2000</w:t>
            </w:r>
            <w:r>
              <w:rPr>
                <w:rFonts w:ascii="Arial" w:cs="Arial" w:eastAsia="Arial" w:hAnsi="Arial"/>
                <w:sz w:val="14"/>
                <w:szCs w:val="14"/>
                <w:color w:val="auto"/>
                <w:vertAlign w:val="superscript"/>
              </w:rPr>
              <w:t>®</w:t>
            </w:r>
            <w:r>
              <w:rPr>
                <w:rFonts w:ascii="Arial" w:cs="Arial" w:eastAsia="Arial" w:hAnsi="Arial"/>
                <w:sz w:val="10"/>
                <w:szCs w:val="10"/>
                <w:color w:val="auto"/>
              </w:rPr>
              <w:t xml:space="preserve"> Index</w:t>
            </w:r>
          </w:p>
        </w:tc>
        <w:tc>
          <w:tcPr>
            <w:tcW w:w="1380" w:type="dxa"/>
            <w:vAlign w:val="bottom"/>
            <w:tcBorders>
              <w:bottom w:val="single" w:sz="8" w:color="7F7F7F"/>
              <w:right w:val="single" w:sz="8" w:color="7F7F7F"/>
            </w:tcBorders>
          </w:tcPr>
          <w:p>
            <w:pPr>
              <w:jc w:val="right"/>
              <w:spacing w:after="0" w:line="12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1240" w:type="dxa"/>
            <w:vAlign w:val="bottom"/>
            <w:tcBorders>
              <w:left w:val="single" w:sz="8" w:color="7F7F7F"/>
              <w:right w:val="single" w:sz="8" w:color="7F7F7F"/>
            </w:tcBorders>
          </w:tcPr>
          <w:p>
            <w:pPr>
              <w:spacing w:after="0"/>
              <w:rPr>
                <w:sz w:val="12"/>
                <w:szCs w:val="12"/>
                <w:color w:val="auto"/>
              </w:rPr>
            </w:pPr>
          </w:p>
        </w:tc>
        <w:tc>
          <w:tcPr>
            <w:tcW w:w="1940" w:type="dxa"/>
            <w:vAlign w:val="bottom"/>
            <w:tcBorders>
              <w:right w:val="single" w:sz="8" w:color="7F7F7F"/>
            </w:tcBorders>
          </w:tcPr>
          <w:p>
            <w:pPr>
              <w:ind w:left="300"/>
              <w:spacing w:after="0"/>
              <w:rPr>
                <w:sz w:val="20"/>
                <w:szCs w:val="20"/>
                <w:color w:val="auto"/>
              </w:rPr>
            </w:pPr>
            <w:r>
              <w:rPr>
                <w:rFonts w:ascii="Arial" w:cs="Arial" w:eastAsia="Arial" w:hAnsi="Arial"/>
                <w:sz w:val="13"/>
                <w:szCs w:val="13"/>
                <w:color w:val="auto"/>
              </w:rPr>
              <w:t>(Shield Rate: 10%)</w:t>
            </w:r>
          </w:p>
        </w:tc>
        <w:tc>
          <w:tcPr>
            <w:tcW w:w="3560" w:type="dxa"/>
            <w:vAlign w:val="bottom"/>
            <w:tcBorders>
              <w:bottom w:val="single" w:sz="8" w:color="7F7F7F"/>
              <w:right w:val="single" w:sz="8" w:color="7F7F7F"/>
            </w:tcBorders>
          </w:tcPr>
          <w:p>
            <w:pPr>
              <w:ind w:left="140"/>
              <w:spacing w:after="0"/>
              <w:rPr>
                <w:sz w:val="20"/>
                <w:szCs w:val="20"/>
                <w:color w:val="auto"/>
              </w:rPr>
            </w:pPr>
            <w:r>
              <w:rPr>
                <w:rFonts w:ascii="Arial" w:cs="Arial" w:eastAsia="Arial" w:hAnsi="Arial"/>
                <w:sz w:val="13"/>
                <w:szCs w:val="13"/>
                <w:color w:val="auto"/>
              </w:rPr>
              <w:t>MSCI EAFE Index</w:t>
            </w:r>
          </w:p>
        </w:tc>
        <w:tc>
          <w:tcPr>
            <w:tcW w:w="1380" w:type="dxa"/>
            <w:vAlign w:val="bottom"/>
            <w:tcBorders>
              <w:bottom w:val="single" w:sz="8" w:color="7F7F7F"/>
              <w:right w:val="single" w:sz="8" w:color="7F7F7F"/>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1240" w:type="dxa"/>
            <w:vAlign w:val="bottom"/>
            <w:tcBorders>
              <w:left w:val="single" w:sz="8" w:color="7F7F7F"/>
              <w:bottom w:val="single" w:sz="8" w:color="7F7F7F"/>
              <w:right w:val="single" w:sz="8" w:color="7F7F7F"/>
            </w:tcBorders>
          </w:tcPr>
          <w:p>
            <w:pPr>
              <w:spacing w:after="0"/>
              <w:rPr>
                <w:sz w:val="12"/>
                <w:szCs w:val="12"/>
                <w:color w:val="auto"/>
              </w:rPr>
            </w:pPr>
          </w:p>
        </w:tc>
        <w:tc>
          <w:tcPr>
            <w:tcW w:w="1940" w:type="dxa"/>
            <w:vAlign w:val="bottom"/>
            <w:tcBorders>
              <w:bottom w:val="single" w:sz="8" w:color="7F7F7F"/>
              <w:right w:val="single" w:sz="8" w:color="7F7F7F"/>
            </w:tcBorders>
          </w:tcPr>
          <w:p>
            <w:pPr>
              <w:spacing w:after="0"/>
              <w:rPr>
                <w:sz w:val="12"/>
                <w:szCs w:val="12"/>
                <w:color w:val="auto"/>
              </w:rPr>
            </w:pPr>
          </w:p>
        </w:tc>
        <w:tc>
          <w:tcPr>
            <w:tcW w:w="3560" w:type="dxa"/>
            <w:vAlign w:val="bottom"/>
            <w:tcBorders>
              <w:bottom w:val="single" w:sz="8" w:color="7F7F7F"/>
              <w:right w:val="single" w:sz="8" w:color="7F7F7F"/>
            </w:tcBorders>
          </w:tcPr>
          <w:p>
            <w:pPr>
              <w:ind w:left="140"/>
              <w:spacing w:after="0" w:line="138" w:lineRule="exact"/>
              <w:rPr>
                <w:sz w:val="20"/>
                <w:szCs w:val="20"/>
                <w:color w:val="auto"/>
              </w:rPr>
            </w:pPr>
            <w:r>
              <w:rPr>
                <w:rFonts w:ascii="Arial" w:cs="Arial" w:eastAsia="Arial" w:hAnsi="Arial"/>
                <w:sz w:val="11"/>
                <w:szCs w:val="11"/>
                <w:color w:val="auto"/>
              </w:rPr>
              <w:t>Nasdaq-100 Index</w:t>
            </w:r>
            <w:r>
              <w:rPr>
                <w:rFonts w:ascii="Arial" w:cs="Arial" w:eastAsia="Arial" w:hAnsi="Arial"/>
                <w:sz w:val="16"/>
                <w:szCs w:val="16"/>
                <w:color w:val="auto"/>
                <w:vertAlign w:val="superscript"/>
              </w:rPr>
              <w:t>®</w:t>
            </w:r>
          </w:p>
        </w:tc>
        <w:tc>
          <w:tcPr>
            <w:tcW w:w="1380" w:type="dxa"/>
            <w:vAlign w:val="bottom"/>
            <w:tcBorders>
              <w:bottom w:val="single" w:sz="8" w:color="7F7F7F"/>
              <w:right w:val="single" w:sz="8" w:color="7F7F7F"/>
            </w:tcBorders>
          </w:tcPr>
          <w:p>
            <w:pPr>
              <w:jc w:val="right"/>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1240" w:type="dxa"/>
            <w:vAlign w:val="bottom"/>
            <w:tcBorders>
              <w:left w:val="single" w:sz="8" w:color="7F7F7F"/>
              <w:right w:val="single" w:sz="8" w:color="7F7F7F"/>
            </w:tcBorders>
          </w:tcPr>
          <w:p>
            <w:pPr>
              <w:spacing w:after="0"/>
              <w:rPr>
                <w:sz w:val="12"/>
                <w:szCs w:val="12"/>
                <w:color w:val="auto"/>
              </w:rPr>
            </w:pPr>
          </w:p>
        </w:tc>
        <w:tc>
          <w:tcPr>
            <w:tcW w:w="1940" w:type="dxa"/>
            <w:vAlign w:val="bottom"/>
            <w:tcBorders>
              <w:right w:val="single" w:sz="8" w:color="7F7F7F"/>
            </w:tcBorders>
            <w:vMerge w:val="restart"/>
          </w:tcPr>
          <w:p>
            <w:pPr>
              <w:ind w:left="300"/>
              <w:spacing w:after="0"/>
              <w:rPr>
                <w:sz w:val="20"/>
                <w:szCs w:val="20"/>
                <w:color w:val="auto"/>
              </w:rPr>
            </w:pPr>
            <w:r>
              <w:rPr>
                <w:rFonts w:ascii="Arial" w:cs="Arial" w:eastAsia="Arial" w:hAnsi="Arial"/>
                <w:sz w:val="13"/>
                <w:szCs w:val="13"/>
                <w:color w:val="auto"/>
              </w:rPr>
              <w:t>Shield 15</w:t>
            </w:r>
          </w:p>
        </w:tc>
        <w:tc>
          <w:tcPr>
            <w:tcW w:w="3560" w:type="dxa"/>
            <w:vAlign w:val="bottom"/>
            <w:tcBorders>
              <w:bottom w:val="single" w:sz="8" w:color="7F7F7F"/>
              <w:right w:val="single" w:sz="8" w:color="7F7F7F"/>
            </w:tcBorders>
          </w:tcPr>
          <w:p>
            <w:pPr>
              <w:ind w:left="140"/>
              <w:spacing w:after="0" w:line="138" w:lineRule="exact"/>
              <w:rPr>
                <w:sz w:val="20"/>
                <w:szCs w:val="20"/>
                <w:color w:val="auto"/>
              </w:rPr>
            </w:pPr>
            <w:r>
              <w:rPr>
                <w:rFonts w:ascii="Arial" w:cs="Arial" w:eastAsia="Arial" w:hAnsi="Arial"/>
                <w:sz w:val="11"/>
                <w:szCs w:val="11"/>
                <w:color w:val="auto"/>
              </w:rPr>
              <w:t>S&amp;P 500</w:t>
            </w:r>
            <w:r>
              <w:rPr>
                <w:rFonts w:ascii="Arial" w:cs="Arial" w:eastAsia="Arial" w:hAnsi="Arial"/>
                <w:sz w:val="16"/>
                <w:szCs w:val="16"/>
                <w:color w:val="auto"/>
                <w:vertAlign w:val="superscript"/>
              </w:rPr>
              <w:t>®</w:t>
            </w:r>
            <w:r>
              <w:rPr>
                <w:rFonts w:ascii="Arial" w:cs="Arial" w:eastAsia="Arial" w:hAnsi="Arial"/>
                <w:sz w:val="11"/>
                <w:szCs w:val="11"/>
                <w:color w:val="auto"/>
              </w:rPr>
              <w:t xml:space="preserve"> Index</w:t>
            </w:r>
          </w:p>
        </w:tc>
        <w:tc>
          <w:tcPr>
            <w:tcW w:w="1380" w:type="dxa"/>
            <w:vAlign w:val="bottom"/>
            <w:tcBorders>
              <w:bottom w:val="single" w:sz="8" w:color="7F7F7F"/>
              <w:right w:val="single" w:sz="8" w:color="7F7F7F"/>
            </w:tcBorders>
          </w:tcPr>
          <w:p>
            <w:pPr>
              <w:jc w:val="right"/>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1240" w:type="dxa"/>
            <w:vAlign w:val="bottom"/>
            <w:tcBorders>
              <w:left w:val="single" w:sz="8" w:color="7F7F7F"/>
              <w:right w:val="single" w:sz="8" w:color="7F7F7F"/>
            </w:tcBorders>
          </w:tcPr>
          <w:p>
            <w:pPr>
              <w:spacing w:after="0"/>
              <w:rPr>
                <w:sz w:val="11"/>
                <w:szCs w:val="11"/>
                <w:color w:val="auto"/>
              </w:rPr>
            </w:pPr>
          </w:p>
        </w:tc>
        <w:tc>
          <w:tcPr>
            <w:tcW w:w="1940" w:type="dxa"/>
            <w:vAlign w:val="bottom"/>
            <w:tcBorders>
              <w:right w:val="single" w:sz="8" w:color="7F7F7F"/>
            </w:tcBorders>
            <w:vMerge w:val="continue"/>
          </w:tcPr>
          <w:p>
            <w:pPr>
              <w:spacing w:after="0"/>
              <w:rPr>
                <w:sz w:val="11"/>
                <w:szCs w:val="11"/>
                <w:color w:val="auto"/>
              </w:rPr>
            </w:pPr>
          </w:p>
        </w:tc>
        <w:tc>
          <w:tcPr>
            <w:tcW w:w="3560" w:type="dxa"/>
            <w:vAlign w:val="bottom"/>
            <w:tcBorders>
              <w:bottom w:val="single" w:sz="8" w:color="7F7F7F"/>
              <w:right w:val="single" w:sz="8" w:color="7F7F7F"/>
            </w:tcBorders>
          </w:tcPr>
          <w:p>
            <w:pPr>
              <w:ind w:left="140"/>
              <w:spacing w:after="0" w:line="126" w:lineRule="exact"/>
              <w:rPr>
                <w:sz w:val="20"/>
                <w:szCs w:val="20"/>
                <w:color w:val="auto"/>
              </w:rPr>
            </w:pPr>
            <w:r>
              <w:rPr>
                <w:rFonts w:ascii="Arial" w:cs="Arial" w:eastAsia="Arial" w:hAnsi="Arial"/>
                <w:sz w:val="10"/>
                <w:szCs w:val="10"/>
                <w:color w:val="auto"/>
              </w:rPr>
              <w:t>Russell 2000</w:t>
            </w:r>
            <w:r>
              <w:rPr>
                <w:rFonts w:ascii="Arial" w:cs="Arial" w:eastAsia="Arial" w:hAnsi="Arial"/>
                <w:sz w:val="14"/>
                <w:szCs w:val="14"/>
                <w:color w:val="auto"/>
                <w:vertAlign w:val="superscript"/>
              </w:rPr>
              <w:t>®</w:t>
            </w:r>
            <w:r>
              <w:rPr>
                <w:rFonts w:ascii="Arial" w:cs="Arial" w:eastAsia="Arial" w:hAnsi="Arial"/>
                <w:sz w:val="10"/>
                <w:szCs w:val="10"/>
                <w:color w:val="auto"/>
              </w:rPr>
              <w:t xml:space="preserve"> Index</w:t>
            </w:r>
          </w:p>
        </w:tc>
        <w:tc>
          <w:tcPr>
            <w:tcW w:w="1380" w:type="dxa"/>
            <w:vAlign w:val="bottom"/>
            <w:tcBorders>
              <w:bottom w:val="single" w:sz="8" w:color="7F7F7F"/>
              <w:right w:val="single" w:sz="8" w:color="7F7F7F"/>
            </w:tcBorders>
          </w:tcPr>
          <w:p>
            <w:pPr>
              <w:jc w:val="right"/>
              <w:spacing w:after="0" w:line="12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1240" w:type="dxa"/>
            <w:vAlign w:val="bottom"/>
            <w:tcBorders>
              <w:left w:val="single" w:sz="8" w:color="7F7F7F"/>
              <w:right w:val="single" w:sz="8" w:color="7F7F7F"/>
            </w:tcBorders>
            <w:vMerge w:val="restart"/>
          </w:tcPr>
          <w:p>
            <w:pPr>
              <w:jc w:val="center"/>
              <w:ind w:left="34"/>
              <w:spacing w:after="0"/>
              <w:rPr>
                <w:sz w:val="20"/>
                <w:szCs w:val="20"/>
                <w:color w:val="auto"/>
              </w:rPr>
            </w:pPr>
            <w:r>
              <w:rPr>
                <w:rFonts w:ascii="Arial" w:cs="Arial" w:eastAsia="Arial" w:hAnsi="Arial"/>
                <w:sz w:val="13"/>
                <w:szCs w:val="13"/>
                <w:color w:val="auto"/>
                <w:w w:val="99"/>
              </w:rPr>
              <w:t>3 Year</w:t>
            </w:r>
          </w:p>
        </w:tc>
        <w:tc>
          <w:tcPr>
            <w:tcW w:w="1940" w:type="dxa"/>
            <w:vAlign w:val="bottom"/>
            <w:tcBorders>
              <w:right w:val="single" w:sz="8" w:color="7F7F7F"/>
            </w:tcBorders>
          </w:tcPr>
          <w:p>
            <w:pPr>
              <w:ind w:left="300"/>
              <w:spacing w:after="0"/>
              <w:rPr>
                <w:sz w:val="20"/>
                <w:szCs w:val="20"/>
                <w:color w:val="auto"/>
              </w:rPr>
            </w:pPr>
            <w:r>
              <w:rPr>
                <w:rFonts w:ascii="Arial" w:cs="Arial" w:eastAsia="Arial" w:hAnsi="Arial"/>
                <w:sz w:val="13"/>
                <w:szCs w:val="13"/>
                <w:color w:val="auto"/>
              </w:rPr>
              <w:t>(Shield Rate: 15%)</w:t>
            </w:r>
          </w:p>
        </w:tc>
        <w:tc>
          <w:tcPr>
            <w:tcW w:w="3560" w:type="dxa"/>
            <w:vAlign w:val="bottom"/>
            <w:tcBorders>
              <w:bottom w:val="single" w:sz="8" w:color="7F7F7F"/>
              <w:right w:val="single" w:sz="8" w:color="7F7F7F"/>
            </w:tcBorders>
          </w:tcPr>
          <w:p>
            <w:pPr>
              <w:ind w:left="140"/>
              <w:spacing w:after="0"/>
              <w:rPr>
                <w:sz w:val="20"/>
                <w:szCs w:val="20"/>
                <w:color w:val="auto"/>
              </w:rPr>
            </w:pPr>
            <w:r>
              <w:rPr>
                <w:rFonts w:ascii="Arial" w:cs="Arial" w:eastAsia="Arial" w:hAnsi="Arial"/>
                <w:sz w:val="13"/>
                <w:szCs w:val="13"/>
                <w:color w:val="auto"/>
              </w:rPr>
              <w:t>MSCI EAFE Index</w:t>
            </w:r>
          </w:p>
        </w:tc>
        <w:tc>
          <w:tcPr>
            <w:tcW w:w="1380" w:type="dxa"/>
            <w:vAlign w:val="bottom"/>
            <w:tcBorders>
              <w:bottom w:val="single" w:sz="8" w:color="7F7F7F"/>
              <w:right w:val="single" w:sz="8" w:color="7F7F7F"/>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7"/>
        </w:trPr>
        <w:tc>
          <w:tcPr>
            <w:tcW w:w="1240" w:type="dxa"/>
            <w:vAlign w:val="bottom"/>
            <w:tcBorders>
              <w:left w:val="single" w:sz="8" w:color="7F7F7F"/>
              <w:right w:val="single" w:sz="8" w:color="7F7F7F"/>
            </w:tcBorders>
            <w:vMerge w:val="continue"/>
          </w:tcPr>
          <w:p>
            <w:pPr>
              <w:spacing w:after="0"/>
              <w:rPr>
                <w:sz w:val="4"/>
                <w:szCs w:val="4"/>
                <w:color w:val="auto"/>
              </w:rPr>
            </w:pPr>
          </w:p>
        </w:tc>
        <w:tc>
          <w:tcPr>
            <w:tcW w:w="1940" w:type="dxa"/>
            <w:vAlign w:val="bottom"/>
            <w:tcBorders>
              <w:right w:val="single" w:sz="8" w:color="7F7F7F"/>
            </w:tcBorders>
          </w:tcPr>
          <w:p>
            <w:pPr>
              <w:spacing w:after="0"/>
              <w:rPr>
                <w:sz w:val="4"/>
                <w:szCs w:val="4"/>
                <w:color w:val="auto"/>
              </w:rPr>
            </w:pPr>
          </w:p>
        </w:tc>
        <w:tc>
          <w:tcPr>
            <w:tcW w:w="3560" w:type="dxa"/>
            <w:vAlign w:val="bottom"/>
            <w:tcBorders>
              <w:right w:val="single" w:sz="8" w:color="7F7F7F"/>
            </w:tcBorders>
            <w:vMerge w:val="restart"/>
          </w:tcPr>
          <w:p>
            <w:pPr>
              <w:ind w:left="140"/>
              <w:spacing w:after="0" w:line="138" w:lineRule="exact"/>
              <w:rPr>
                <w:sz w:val="20"/>
                <w:szCs w:val="20"/>
                <w:color w:val="auto"/>
              </w:rPr>
            </w:pPr>
            <w:r>
              <w:rPr>
                <w:rFonts w:ascii="Arial" w:cs="Arial" w:eastAsia="Arial" w:hAnsi="Arial"/>
                <w:sz w:val="11"/>
                <w:szCs w:val="11"/>
                <w:color w:val="auto"/>
              </w:rPr>
              <w:t>Nasdaq-100 Index</w:t>
            </w:r>
            <w:r>
              <w:rPr>
                <w:rFonts w:ascii="Arial" w:cs="Arial" w:eastAsia="Arial" w:hAnsi="Arial"/>
                <w:sz w:val="16"/>
                <w:szCs w:val="16"/>
                <w:color w:val="auto"/>
                <w:vertAlign w:val="superscript"/>
              </w:rPr>
              <w:t>®</w:t>
            </w:r>
          </w:p>
        </w:tc>
        <w:tc>
          <w:tcPr>
            <w:tcW w:w="1380" w:type="dxa"/>
            <w:vAlign w:val="bottom"/>
            <w:tcBorders>
              <w:right w:val="single" w:sz="8" w:color="7F7F7F"/>
            </w:tcBorders>
            <w:vMerge w:val="restart"/>
          </w:tcPr>
          <w:p>
            <w:pPr>
              <w:jc w:val="right"/>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2"/>
        </w:trPr>
        <w:tc>
          <w:tcPr>
            <w:tcW w:w="1240" w:type="dxa"/>
            <w:vAlign w:val="bottom"/>
            <w:tcBorders>
              <w:left w:val="single" w:sz="8" w:color="7F7F7F"/>
              <w:right w:val="single" w:sz="8" w:color="7F7F7F"/>
            </w:tcBorders>
            <w:vMerge w:val="restart"/>
          </w:tcPr>
          <w:p>
            <w:pPr>
              <w:jc w:val="center"/>
              <w:ind w:left="34"/>
              <w:spacing w:after="0"/>
              <w:rPr>
                <w:sz w:val="20"/>
                <w:szCs w:val="20"/>
                <w:color w:val="auto"/>
              </w:rPr>
            </w:pPr>
            <w:r>
              <w:rPr>
                <w:rFonts w:ascii="Arial" w:cs="Arial" w:eastAsia="Arial" w:hAnsi="Arial"/>
                <w:sz w:val="13"/>
                <w:szCs w:val="13"/>
                <w:color w:val="auto"/>
              </w:rPr>
              <w:t>Shield</w:t>
            </w:r>
          </w:p>
        </w:tc>
        <w:tc>
          <w:tcPr>
            <w:tcW w:w="1940" w:type="dxa"/>
            <w:vAlign w:val="bottom"/>
            <w:tcBorders>
              <w:bottom w:val="single" w:sz="8" w:color="7F7F7F"/>
              <w:right w:val="single" w:sz="8" w:color="7F7F7F"/>
            </w:tcBorders>
          </w:tcPr>
          <w:p>
            <w:pPr>
              <w:spacing w:after="0"/>
              <w:rPr>
                <w:sz w:val="7"/>
                <w:szCs w:val="7"/>
                <w:color w:val="auto"/>
              </w:rPr>
            </w:pPr>
          </w:p>
        </w:tc>
        <w:tc>
          <w:tcPr>
            <w:tcW w:w="3560" w:type="dxa"/>
            <w:vAlign w:val="bottom"/>
            <w:tcBorders>
              <w:bottom w:val="single" w:sz="8" w:color="7F7F7F"/>
              <w:right w:val="single" w:sz="8" w:color="7F7F7F"/>
            </w:tcBorders>
            <w:vMerge w:val="continue"/>
          </w:tcPr>
          <w:p>
            <w:pPr>
              <w:spacing w:after="0"/>
              <w:rPr>
                <w:sz w:val="7"/>
                <w:szCs w:val="7"/>
                <w:color w:val="auto"/>
              </w:rPr>
            </w:pPr>
          </w:p>
        </w:tc>
        <w:tc>
          <w:tcPr>
            <w:tcW w:w="1380" w:type="dxa"/>
            <w:vAlign w:val="bottom"/>
            <w:tcBorders>
              <w:bottom w:val="single" w:sz="8" w:color="7F7F7F"/>
              <w:right w:val="single" w:sz="8" w:color="7F7F7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7"/>
        </w:trPr>
        <w:tc>
          <w:tcPr>
            <w:tcW w:w="1240" w:type="dxa"/>
            <w:vAlign w:val="bottom"/>
            <w:tcBorders>
              <w:left w:val="single" w:sz="8" w:color="7F7F7F"/>
              <w:right w:val="single" w:sz="8" w:color="7F7F7F"/>
            </w:tcBorders>
            <w:vMerge w:val="continue"/>
          </w:tcPr>
          <w:p>
            <w:pPr>
              <w:spacing w:after="0"/>
              <w:rPr>
                <w:sz w:val="3"/>
                <w:szCs w:val="3"/>
                <w:color w:val="auto"/>
              </w:rPr>
            </w:pPr>
          </w:p>
        </w:tc>
        <w:tc>
          <w:tcPr>
            <w:tcW w:w="1940" w:type="dxa"/>
            <w:vAlign w:val="bottom"/>
            <w:tcBorders>
              <w:right w:val="single" w:sz="8" w:color="7F7F7F"/>
            </w:tcBorders>
          </w:tcPr>
          <w:p>
            <w:pPr>
              <w:spacing w:after="0"/>
              <w:rPr>
                <w:sz w:val="3"/>
                <w:szCs w:val="3"/>
                <w:color w:val="auto"/>
              </w:rPr>
            </w:pPr>
          </w:p>
        </w:tc>
        <w:tc>
          <w:tcPr>
            <w:tcW w:w="3560" w:type="dxa"/>
            <w:vAlign w:val="bottom"/>
            <w:tcBorders>
              <w:right w:val="single" w:sz="8" w:color="7F7F7F"/>
            </w:tcBorders>
            <w:vMerge w:val="restart"/>
          </w:tcPr>
          <w:p>
            <w:pPr>
              <w:ind w:left="140"/>
              <w:spacing w:after="0" w:line="138" w:lineRule="exact"/>
              <w:rPr>
                <w:sz w:val="20"/>
                <w:szCs w:val="20"/>
                <w:color w:val="auto"/>
              </w:rPr>
            </w:pPr>
            <w:r>
              <w:rPr>
                <w:rFonts w:ascii="Arial" w:cs="Arial" w:eastAsia="Arial" w:hAnsi="Arial"/>
                <w:sz w:val="11"/>
                <w:szCs w:val="11"/>
                <w:color w:val="auto"/>
              </w:rPr>
              <w:t>S&amp;P 500</w:t>
            </w:r>
            <w:r>
              <w:rPr>
                <w:rFonts w:ascii="Arial" w:cs="Arial" w:eastAsia="Arial" w:hAnsi="Arial"/>
                <w:sz w:val="16"/>
                <w:szCs w:val="16"/>
                <w:color w:val="auto"/>
                <w:vertAlign w:val="superscript"/>
              </w:rPr>
              <w:t>®</w:t>
            </w:r>
            <w:r>
              <w:rPr>
                <w:rFonts w:ascii="Arial" w:cs="Arial" w:eastAsia="Arial" w:hAnsi="Arial"/>
                <w:sz w:val="11"/>
                <w:szCs w:val="11"/>
                <w:color w:val="auto"/>
              </w:rPr>
              <w:t xml:space="preserve"> Index</w:t>
            </w:r>
          </w:p>
        </w:tc>
        <w:tc>
          <w:tcPr>
            <w:tcW w:w="1380" w:type="dxa"/>
            <w:vAlign w:val="bottom"/>
            <w:tcBorders>
              <w:right w:val="single" w:sz="8" w:color="7F7F7F"/>
            </w:tcBorders>
            <w:vMerge w:val="restart"/>
          </w:tcPr>
          <w:p>
            <w:pPr>
              <w:jc w:val="right"/>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line="20" w:lineRule="exact"/>
              <w:rPr>
                <w:sz w:val="1"/>
                <w:szCs w:val="1"/>
                <w:color w:val="auto"/>
              </w:rPr>
            </w:pPr>
          </w:p>
        </w:tc>
      </w:tr>
      <w:tr>
        <w:trPr>
          <w:trHeight w:val="107"/>
        </w:trPr>
        <w:tc>
          <w:tcPr>
            <w:tcW w:w="1240" w:type="dxa"/>
            <w:vAlign w:val="bottom"/>
            <w:tcBorders>
              <w:left w:val="single" w:sz="8" w:color="7F7F7F"/>
              <w:right w:val="single" w:sz="8" w:color="7F7F7F"/>
            </w:tcBorders>
            <w:vMerge w:val="restart"/>
          </w:tcPr>
          <w:p>
            <w:pPr>
              <w:jc w:val="center"/>
              <w:ind w:left="34"/>
              <w:spacing w:after="0"/>
              <w:rPr>
                <w:sz w:val="20"/>
                <w:szCs w:val="20"/>
                <w:color w:val="auto"/>
              </w:rPr>
            </w:pPr>
            <w:r>
              <w:rPr>
                <w:rFonts w:ascii="Arial" w:cs="Arial" w:eastAsia="Arial" w:hAnsi="Arial"/>
                <w:sz w:val="13"/>
                <w:szCs w:val="13"/>
                <w:color w:val="auto"/>
                <w:w w:val="98"/>
              </w:rPr>
              <w:t>Term</w:t>
            </w:r>
          </w:p>
        </w:tc>
        <w:tc>
          <w:tcPr>
            <w:tcW w:w="1940" w:type="dxa"/>
            <w:vAlign w:val="bottom"/>
            <w:tcBorders>
              <w:right w:val="single" w:sz="8" w:color="7F7F7F"/>
            </w:tcBorders>
          </w:tcPr>
          <w:p>
            <w:pPr>
              <w:spacing w:after="0"/>
              <w:rPr>
                <w:sz w:val="8"/>
                <w:szCs w:val="8"/>
                <w:color w:val="auto"/>
              </w:rPr>
            </w:pPr>
          </w:p>
        </w:tc>
        <w:tc>
          <w:tcPr>
            <w:tcW w:w="3560" w:type="dxa"/>
            <w:vAlign w:val="bottom"/>
            <w:tcBorders>
              <w:bottom w:val="single" w:sz="8" w:color="7F7F7F"/>
              <w:right w:val="single" w:sz="8" w:color="7F7F7F"/>
            </w:tcBorders>
            <w:vMerge w:val="continue"/>
          </w:tcPr>
          <w:p>
            <w:pPr>
              <w:spacing w:after="0"/>
              <w:rPr>
                <w:sz w:val="8"/>
                <w:szCs w:val="8"/>
                <w:color w:val="auto"/>
              </w:rPr>
            </w:pPr>
          </w:p>
        </w:tc>
        <w:tc>
          <w:tcPr>
            <w:tcW w:w="1380" w:type="dxa"/>
            <w:vAlign w:val="bottom"/>
            <w:tcBorders>
              <w:bottom w:val="single" w:sz="8" w:color="7F7F7F"/>
              <w:right w:val="single" w:sz="8" w:color="7F7F7F"/>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1240" w:type="dxa"/>
            <w:vAlign w:val="bottom"/>
            <w:tcBorders>
              <w:left w:val="single" w:sz="8" w:color="7F7F7F"/>
              <w:right w:val="single" w:sz="8" w:color="7F7F7F"/>
            </w:tcBorders>
            <w:vMerge w:val="continue"/>
          </w:tcPr>
          <w:p>
            <w:pPr>
              <w:spacing w:after="0"/>
              <w:rPr>
                <w:sz w:val="4"/>
                <w:szCs w:val="4"/>
                <w:color w:val="auto"/>
              </w:rPr>
            </w:pPr>
          </w:p>
        </w:tc>
        <w:tc>
          <w:tcPr>
            <w:tcW w:w="1940" w:type="dxa"/>
            <w:vAlign w:val="bottom"/>
            <w:tcBorders>
              <w:right w:val="single" w:sz="8" w:color="7F7F7F"/>
            </w:tcBorders>
            <w:vMerge w:val="restart"/>
          </w:tcPr>
          <w:p>
            <w:pPr>
              <w:ind w:left="300"/>
              <w:spacing w:after="0" w:line="126" w:lineRule="exact"/>
              <w:rPr>
                <w:sz w:val="20"/>
                <w:szCs w:val="20"/>
                <w:color w:val="auto"/>
              </w:rPr>
            </w:pPr>
            <w:r>
              <w:rPr>
                <w:rFonts w:ascii="Arial" w:cs="Arial" w:eastAsia="Arial" w:hAnsi="Arial"/>
                <w:sz w:val="13"/>
                <w:szCs w:val="13"/>
                <w:color w:val="auto"/>
              </w:rPr>
              <w:t>Shield 10</w:t>
            </w:r>
          </w:p>
        </w:tc>
        <w:tc>
          <w:tcPr>
            <w:tcW w:w="3560" w:type="dxa"/>
            <w:vAlign w:val="bottom"/>
            <w:tcBorders>
              <w:right w:val="single" w:sz="8" w:color="7F7F7F"/>
            </w:tcBorders>
            <w:vMerge w:val="restart"/>
          </w:tcPr>
          <w:p>
            <w:pPr>
              <w:ind w:left="140"/>
              <w:spacing w:after="0" w:line="126" w:lineRule="exact"/>
              <w:rPr>
                <w:sz w:val="20"/>
                <w:szCs w:val="20"/>
                <w:color w:val="auto"/>
              </w:rPr>
            </w:pPr>
            <w:r>
              <w:rPr>
                <w:rFonts w:ascii="Arial" w:cs="Arial" w:eastAsia="Arial" w:hAnsi="Arial"/>
                <w:sz w:val="10"/>
                <w:szCs w:val="10"/>
                <w:color w:val="auto"/>
              </w:rPr>
              <w:t>Russell 2000</w:t>
            </w:r>
            <w:r>
              <w:rPr>
                <w:rFonts w:ascii="Arial" w:cs="Arial" w:eastAsia="Arial" w:hAnsi="Arial"/>
                <w:sz w:val="14"/>
                <w:szCs w:val="14"/>
                <w:color w:val="auto"/>
                <w:vertAlign w:val="superscript"/>
              </w:rPr>
              <w:t>®</w:t>
            </w:r>
            <w:r>
              <w:rPr>
                <w:rFonts w:ascii="Arial" w:cs="Arial" w:eastAsia="Arial" w:hAnsi="Arial"/>
                <w:sz w:val="10"/>
                <w:szCs w:val="10"/>
                <w:color w:val="auto"/>
              </w:rPr>
              <w:t xml:space="preserve"> Index</w:t>
            </w:r>
          </w:p>
        </w:tc>
        <w:tc>
          <w:tcPr>
            <w:tcW w:w="1380" w:type="dxa"/>
            <w:vAlign w:val="bottom"/>
            <w:tcBorders>
              <w:right w:val="single" w:sz="8" w:color="7F7F7F"/>
            </w:tcBorders>
            <w:vMerge w:val="restart"/>
          </w:tcPr>
          <w:p>
            <w:pPr>
              <w:jc w:val="right"/>
              <w:spacing w:after="0" w:line="12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2"/>
        </w:trPr>
        <w:tc>
          <w:tcPr>
            <w:tcW w:w="1240" w:type="dxa"/>
            <w:vAlign w:val="bottom"/>
            <w:tcBorders>
              <w:left w:val="single" w:sz="8" w:color="7F7F7F"/>
              <w:right w:val="single" w:sz="8" w:color="7F7F7F"/>
            </w:tcBorders>
          </w:tcPr>
          <w:p>
            <w:pPr>
              <w:spacing w:after="0"/>
              <w:rPr>
                <w:sz w:val="6"/>
                <w:szCs w:val="6"/>
                <w:color w:val="auto"/>
              </w:rPr>
            </w:pPr>
          </w:p>
        </w:tc>
        <w:tc>
          <w:tcPr>
            <w:tcW w:w="1940" w:type="dxa"/>
            <w:vAlign w:val="bottom"/>
            <w:tcBorders>
              <w:right w:val="single" w:sz="8" w:color="7F7F7F"/>
            </w:tcBorders>
            <w:vMerge w:val="continue"/>
          </w:tcPr>
          <w:p>
            <w:pPr>
              <w:spacing w:after="0"/>
              <w:rPr>
                <w:sz w:val="6"/>
                <w:szCs w:val="6"/>
                <w:color w:val="auto"/>
              </w:rPr>
            </w:pPr>
          </w:p>
        </w:tc>
        <w:tc>
          <w:tcPr>
            <w:tcW w:w="3560" w:type="dxa"/>
            <w:vAlign w:val="bottom"/>
            <w:tcBorders>
              <w:bottom w:val="single" w:sz="8" w:color="7F7F7F"/>
              <w:right w:val="single" w:sz="8" w:color="7F7F7F"/>
            </w:tcBorders>
            <w:vMerge w:val="continue"/>
          </w:tcPr>
          <w:p>
            <w:pPr>
              <w:spacing w:after="0"/>
              <w:rPr>
                <w:sz w:val="6"/>
                <w:szCs w:val="6"/>
                <w:color w:val="auto"/>
              </w:rPr>
            </w:pPr>
          </w:p>
        </w:tc>
        <w:tc>
          <w:tcPr>
            <w:tcW w:w="1380" w:type="dxa"/>
            <w:vAlign w:val="bottom"/>
            <w:tcBorders>
              <w:bottom w:val="single" w:sz="8" w:color="7F7F7F"/>
              <w:right w:val="single" w:sz="8" w:color="7F7F7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1240" w:type="dxa"/>
            <w:vAlign w:val="bottom"/>
            <w:tcBorders>
              <w:left w:val="single" w:sz="8" w:color="7F7F7F"/>
              <w:right w:val="single" w:sz="8" w:color="7F7F7F"/>
            </w:tcBorders>
          </w:tcPr>
          <w:p>
            <w:pPr>
              <w:spacing w:after="0"/>
              <w:rPr>
                <w:sz w:val="12"/>
                <w:szCs w:val="12"/>
                <w:color w:val="auto"/>
              </w:rPr>
            </w:pPr>
          </w:p>
        </w:tc>
        <w:tc>
          <w:tcPr>
            <w:tcW w:w="1940" w:type="dxa"/>
            <w:vAlign w:val="bottom"/>
            <w:tcBorders>
              <w:right w:val="single" w:sz="8" w:color="7F7F7F"/>
            </w:tcBorders>
          </w:tcPr>
          <w:p>
            <w:pPr>
              <w:ind w:left="300"/>
              <w:spacing w:after="0"/>
              <w:rPr>
                <w:sz w:val="20"/>
                <w:szCs w:val="20"/>
                <w:color w:val="auto"/>
              </w:rPr>
            </w:pPr>
            <w:r>
              <w:rPr>
                <w:rFonts w:ascii="Arial" w:cs="Arial" w:eastAsia="Arial" w:hAnsi="Arial"/>
                <w:sz w:val="13"/>
                <w:szCs w:val="13"/>
                <w:color w:val="auto"/>
              </w:rPr>
              <w:t>(Shield Rate: 10%)</w:t>
            </w:r>
          </w:p>
        </w:tc>
        <w:tc>
          <w:tcPr>
            <w:tcW w:w="3560" w:type="dxa"/>
            <w:vAlign w:val="bottom"/>
            <w:tcBorders>
              <w:bottom w:val="single" w:sz="8" w:color="7F7F7F"/>
              <w:right w:val="single" w:sz="8" w:color="7F7F7F"/>
            </w:tcBorders>
          </w:tcPr>
          <w:p>
            <w:pPr>
              <w:ind w:left="140"/>
              <w:spacing w:after="0"/>
              <w:rPr>
                <w:sz w:val="20"/>
                <w:szCs w:val="20"/>
                <w:color w:val="auto"/>
              </w:rPr>
            </w:pPr>
            <w:r>
              <w:rPr>
                <w:rFonts w:ascii="Arial" w:cs="Arial" w:eastAsia="Arial" w:hAnsi="Arial"/>
                <w:sz w:val="13"/>
                <w:szCs w:val="13"/>
                <w:color w:val="auto"/>
              </w:rPr>
              <w:t>MSCI EAFE Index</w:t>
            </w:r>
          </w:p>
        </w:tc>
        <w:tc>
          <w:tcPr>
            <w:tcW w:w="1380" w:type="dxa"/>
            <w:vAlign w:val="bottom"/>
            <w:tcBorders>
              <w:bottom w:val="single" w:sz="8" w:color="7F7F7F"/>
              <w:right w:val="single" w:sz="8" w:color="7F7F7F"/>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1240" w:type="dxa"/>
            <w:vAlign w:val="bottom"/>
            <w:tcBorders>
              <w:left w:val="single" w:sz="8" w:color="7F7F7F"/>
              <w:bottom w:val="single" w:sz="8" w:color="7F7F7F"/>
              <w:right w:val="single" w:sz="8" w:color="7F7F7F"/>
            </w:tcBorders>
          </w:tcPr>
          <w:p>
            <w:pPr>
              <w:spacing w:after="0"/>
              <w:rPr>
                <w:sz w:val="12"/>
                <w:szCs w:val="12"/>
                <w:color w:val="auto"/>
              </w:rPr>
            </w:pPr>
          </w:p>
        </w:tc>
        <w:tc>
          <w:tcPr>
            <w:tcW w:w="1940" w:type="dxa"/>
            <w:vAlign w:val="bottom"/>
            <w:tcBorders>
              <w:bottom w:val="single" w:sz="8" w:color="7F7F7F"/>
              <w:right w:val="single" w:sz="8" w:color="7F7F7F"/>
            </w:tcBorders>
          </w:tcPr>
          <w:p>
            <w:pPr>
              <w:spacing w:after="0"/>
              <w:rPr>
                <w:sz w:val="12"/>
                <w:szCs w:val="12"/>
                <w:color w:val="auto"/>
              </w:rPr>
            </w:pPr>
          </w:p>
        </w:tc>
        <w:tc>
          <w:tcPr>
            <w:tcW w:w="3560" w:type="dxa"/>
            <w:vAlign w:val="bottom"/>
            <w:tcBorders>
              <w:bottom w:val="single" w:sz="8" w:color="7F7F7F"/>
              <w:right w:val="single" w:sz="8" w:color="7F7F7F"/>
            </w:tcBorders>
          </w:tcPr>
          <w:p>
            <w:pPr>
              <w:ind w:left="140"/>
              <w:spacing w:after="0" w:line="138" w:lineRule="exact"/>
              <w:rPr>
                <w:sz w:val="20"/>
                <w:szCs w:val="20"/>
                <w:color w:val="auto"/>
              </w:rPr>
            </w:pPr>
            <w:r>
              <w:rPr>
                <w:rFonts w:ascii="Arial" w:cs="Arial" w:eastAsia="Arial" w:hAnsi="Arial"/>
                <w:sz w:val="11"/>
                <w:szCs w:val="11"/>
                <w:color w:val="auto"/>
              </w:rPr>
              <w:t>Nasdaq-100 Index</w:t>
            </w:r>
            <w:r>
              <w:rPr>
                <w:rFonts w:ascii="Arial" w:cs="Arial" w:eastAsia="Arial" w:hAnsi="Arial"/>
                <w:sz w:val="16"/>
                <w:szCs w:val="16"/>
                <w:color w:val="auto"/>
                <w:vertAlign w:val="superscript"/>
              </w:rPr>
              <w:t>®</w:t>
            </w:r>
          </w:p>
        </w:tc>
        <w:tc>
          <w:tcPr>
            <w:tcW w:w="1380" w:type="dxa"/>
            <w:vAlign w:val="bottom"/>
            <w:tcBorders>
              <w:bottom w:val="single" w:sz="8" w:color="7F7F7F"/>
              <w:right w:val="single" w:sz="8" w:color="7F7F7F"/>
            </w:tcBorders>
          </w:tcPr>
          <w:p>
            <w:pPr>
              <w:jc w:val="right"/>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1240" w:type="dxa"/>
            <w:vAlign w:val="bottom"/>
            <w:tcBorders>
              <w:left w:val="single" w:sz="8" w:color="7F7F7F"/>
              <w:right w:val="single" w:sz="8" w:color="7F7F7F"/>
            </w:tcBorders>
          </w:tcPr>
          <w:p>
            <w:pPr>
              <w:spacing w:after="0"/>
              <w:rPr>
                <w:sz w:val="12"/>
                <w:szCs w:val="12"/>
                <w:color w:val="auto"/>
              </w:rPr>
            </w:pPr>
          </w:p>
        </w:tc>
        <w:tc>
          <w:tcPr>
            <w:tcW w:w="1940" w:type="dxa"/>
            <w:vAlign w:val="bottom"/>
            <w:tcBorders>
              <w:right w:val="single" w:sz="8" w:color="7F7F7F"/>
            </w:tcBorders>
            <w:vMerge w:val="restart"/>
          </w:tcPr>
          <w:p>
            <w:pPr>
              <w:ind w:left="300"/>
              <w:spacing w:after="0"/>
              <w:rPr>
                <w:sz w:val="20"/>
                <w:szCs w:val="20"/>
                <w:color w:val="auto"/>
              </w:rPr>
            </w:pPr>
            <w:r>
              <w:rPr>
                <w:rFonts w:ascii="Arial" w:cs="Arial" w:eastAsia="Arial" w:hAnsi="Arial"/>
                <w:sz w:val="13"/>
                <w:szCs w:val="13"/>
                <w:color w:val="auto"/>
              </w:rPr>
              <w:t>Shield 25</w:t>
            </w:r>
          </w:p>
        </w:tc>
        <w:tc>
          <w:tcPr>
            <w:tcW w:w="3560" w:type="dxa"/>
            <w:vAlign w:val="bottom"/>
            <w:tcBorders>
              <w:bottom w:val="single" w:sz="8" w:color="7F7F7F"/>
              <w:right w:val="single" w:sz="8" w:color="7F7F7F"/>
            </w:tcBorders>
          </w:tcPr>
          <w:p>
            <w:pPr>
              <w:ind w:left="140"/>
              <w:spacing w:after="0" w:line="138" w:lineRule="exact"/>
              <w:rPr>
                <w:sz w:val="20"/>
                <w:szCs w:val="20"/>
                <w:color w:val="auto"/>
              </w:rPr>
            </w:pPr>
            <w:r>
              <w:rPr>
                <w:rFonts w:ascii="Arial" w:cs="Arial" w:eastAsia="Arial" w:hAnsi="Arial"/>
                <w:sz w:val="11"/>
                <w:szCs w:val="11"/>
                <w:color w:val="auto"/>
              </w:rPr>
              <w:t>S&amp;P 500</w:t>
            </w:r>
            <w:r>
              <w:rPr>
                <w:rFonts w:ascii="Arial" w:cs="Arial" w:eastAsia="Arial" w:hAnsi="Arial"/>
                <w:sz w:val="16"/>
                <w:szCs w:val="16"/>
                <w:color w:val="auto"/>
                <w:vertAlign w:val="superscript"/>
              </w:rPr>
              <w:t>®</w:t>
            </w:r>
            <w:r>
              <w:rPr>
                <w:rFonts w:ascii="Arial" w:cs="Arial" w:eastAsia="Arial" w:hAnsi="Arial"/>
                <w:sz w:val="11"/>
                <w:szCs w:val="11"/>
                <w:color w:val="auto"/>
              </w:rPr>
              <w:t xml:space="preserve"> Index</w:t>
            </w:r>
          </w:p>
        </w:tc>
        <w:tc>
          <w:tcPr>
            <w:tcW w:w="1380" w:type="dxa"/>
            <w:vAlign w:val="bottom"/>
            <w:tcBorders>
              <w:bottom w:val="single" w:sz="8" w:color="7F7F7F"/>
              <w:right w:val="single" w:sz="8" w:color="7F7F7F"/>
            </w:tcBorders>
          </w:tcPr>
          <w:p>
            <w:pPr>
              <w:jc w:val="right"/>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1240" w:type="dxa"/>
            <w:vAlign w:val="bottom"/>
            <w:tcBorders>
              <w:left w:val="single" w:sz="8" w:color="7F7F7F"/>
              <w:right w:val="single" w:sz="8" w:color="7F7F7F"/>
            </w:tcBorders>
          </w:tcPr>
          <w:p>
            <w:pPr>
              <w:spacing w:after="0"/>
              <w:rPr>
                <w:sz w:val="11"/>
                <w:szCs w:val="11"/>
                <w:color w:val="auto"/>
              </w:rPr>
            </w:pPr>
          </w:p>
        </w:tc>
        <w:tc>
          <w:tcPr>
            <w:tcW w:w="1940" w:type="dxa"/>
            <w:vAlign w:val="bottom"/>
            <w:tcBorders>
              <w:right w:val="single" w:sz="8" w:color="7F7F7F"/>
            </w:tcBorders>
            <w:vMerge w:val="continue"/>
          </w:tcPr>
          <w:p>
            <w:pPr>
              <w:spacing w:after="0"/>
              <w:rPr>
                <w:sz w:val="11"/>
                <w:szCs w:val="11"/>
                <w:color w:val="auto"/>
              </w:rPr>
            </w:pPr>
          </w:p>
        </w:tc>
        <w:tc>
          <w:tcPr>
            <w:tcW w:w="3560" w:type="dxa"/>
            <w:vAlign w:val="bottom"/>
            <w:tcBorders>
              <w:bottom w:val="single" w:sz="8" w:color="7F7F7F"/>
              <w:right w:val="single" w:sz="8" w:color="7F7F7F"/>
            </w:tcBorders>
          </w:tcPr>
          <w:p>
            <w:pPr>
              <w:ind w:left="140"/>
              <w:spacing w:after="0" w:line="126" w:lineRule="exact"/>
              <w:rPr>
                <w:sz w:val="20"/>
                <w:szCs w:val="20"/>
                <w:color w:val="auto"/>
              </w:rPr>
            </w:pPr>
            <w:r>
              <w:rPr>
                <w:rFonts w:ascii="Arial" w:cs="Arial" w:eastAsia="Arial" w:hAnsi="Arial"/>
                <w:sz w:val="10"/>
                <w:szCs w:val="10"/>
                <w:color w:val="auto"/>
              </w:rPr>
              <w:t>Russell 2000</w:t>
            </w:r>
            <w:r>
              <w:rPr>
                <w:rFonts w:ascii="Arial" w:cs="Arial" w:eastAsia="Arial" w:hAnsi="Arial"/>
                <w:sz w:val="14"/>
                <w:szCs w:val="14"/>
                <w:color w:val="auto"/>
                <w:vertAlign w:val="superscript"/>
              </w:rPr>
              <w:t>®</w:t>
            </w:r>
            <w:r>
              <w:rPr>
                <w:rFonts w:ascii="Arial" w:cs="Arial" w:eastAsia="Arial" w:hAnsi="Arial"/>
                <w:sz w:val="10"/>
                <w:szCs w:val="10"/>
                <w:color w:val="auto"/>
              </w:rPr>
              <w:t xml:space="preserve"> Index</w:t>
            </w:r>
          </w:p>
        </w:tc>
        <w:tc>
          <w:tcPr>
            <w:tcW w:w="1380" w:type="dxa"/>
            <w:vAlign w:val="bottom"/>
            <w:tcBorders>
              <w:bottom w:val="single" w:sz="8" w:color="7F7F7F"/>
              <w:right w:val="single" w:sz="8" w:color="7F7F7F"/>
            </w:tcBorders>
          </w:tcPr>
          <w:p>
            <w:pPr>
              <w:jc w:val="right"/>
              <w:spacing w:after="0" w:line="12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1240" w:type="dxa"/>
            <w:vAlign w:val="bottom"/>
            <w:tcBorders>
              <w:left w:val="single" w:sz="8" w:color="7F7F7F"/>
              <w:right w:val="single" w:sz="8" w:color="7F7F7F"/>
            </w:tcBorders>
          </w:tcPr>
          <w:p>
            <w:pPr>
              <w:spacing w:after="0"/>
              <w:rPr>
                <w:sz w:val="12"/>
                <w:szCs w:val="12"/>
                <w:color w:val="auto"/>
              </w:rPr>
            </w:pPr>
          </w:p>
        </w:tc>
        <w:tc>
          <w:tcPr>
            <w:tcW w:w="1940" w:type="dxa"/>
            <w:vAlign w:val="bottom"/>
            <w:tcBorders>
              <w:right w:val="single" w:sz="8" w:color="7F7F7F"/>
            </w:tcBorders>
          </w:tcPr>
          <w:p>
            <w:pPr>
              <w:ind w:left="300"/>
              <w:spacing w:after="0"/>
              <w:rPr>
                <w:sz w:val="20"/>
                <w:szCs w:val="20"/>
                <w:color w:val="auto"/>
              </w:rPr>
            </w:pPr>
            <w:r>
              <w:rPr>
                <w:rFonts w:ascii="Arial" w:cs="Arial" w:eastAsia="Arial" w:hAnsi="Arial"/>
                <w:sz w:val="13"/>
                <w:szCs w:val="13"/>
                <w:color w:val="auto"/>
              </w:rPr>
              <w:t>(Shield Rate: 25%)</w:t>
            </w:r>
          </w:p>
        </w:tc>
        <w:tc>
          <w:tcPr>
            <w:tcW w:w="3560" w:type="dxa"/>
            <w:vAlign w:val="bottom"/>
            <w:tcBorders>
              <w:bottom w:val="single" w:sz="8" w:color="7F7F7F"/>
              <w:right w:val="single" w:sz="8" w:color="7F7F7F"/>
            </w:tcBorders>
          </w:tcPr>
          <w:p>
            <w:pPr>
              <w:ind w:left="140"/>
              <w:spacing w:after="0"/>
              <w:rPr>
                <w:sz w:val="20"/>
                <w:szCs w:val="20"/>
                <w:color w:val="auto"/>
              </w:rPr>
            </w:pPr>
            <w:r>
              <w:rPr>
                <w:rFonts w:ascii="Arial" w:cs="Arial" w:eastAsia="Arial" w:hAnsi="Arial"/>
                <w:sz w:val="13"/>
                <w:szCs w:val="13"/>
                <w:color w:val="auto"/>
              </w:rPr>
              <w:t>MSCI EAFE Index</w:t>
            </w:r>
          </w:p>
        </w:tc>
        <w:tc>
          <w:tcPr>
            <w:tcW w:w="1380" w:type="dxa"/>
            <w:vAlign w:val="bottom"/>
            <w:tcBorders>
              <w:bottom w:val="single" w:sz="8" w:color="7F7F7F"/>
              <w:right w:val="single" w:sz="8" w:color="7F7F7F"/>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1240" w:type="dxa"/>
            <w:vAlign w:val="bottom"/>
            <w:tcBorders>
              <w:left w:val="single" w:sz="8" w:color="7F7F7F"/>
              <w:right w:val="single" w:sz="8" w:color="7F7F7F"/>
            </w:tcBorders>
          </w:tcPr>
          <w:p>
            <w:pPr>
              <w:spacing w:after="0"/>
              <w:rPr>
                <w:sz w:val="12"/>
                <w:szCs w:val="12"/>
                <w:color w:val="auto"/>
              </w:rPr>
            </w:pPr>
          </w:p>
        </w:tc>
        <w:tc>
          <w:tcPr>
            <w:tcW w:w="1940" w:type="dxa"/>
            <w:vAlign w:val="bottom"/>
            <w:tcBorders>
              <w:bottom w:val="single" w:sz="8" w:color="7F7F7F"/>
              <w:right w:val="single" w:sz="8" w:color="7F7F7F"/>
            </w:tcBorders>
          </w:tcPr>
          <w:p>
            <w:pPr>
              <w:spacing w:after="0"/>
              <w:rPr>
                <w:sz w:val="12"/>
                <w:szCs w:val="12"/>
                <w:color w:val="auto"/>
              </w:rPr>
            </w:pPr>
          </w:p>
        </w:tc>
        <w:tc>
          <w:tcPr>
            <w:tcW w:w="3560" w:type="dxa"/>
            <w:vAlign w:val="bottom"/>
            <w:tcBorders>
              <w:bottom w:val="single" w:sz="8" w:color="7F7F7F"/>
              <w:right w:val="single" w:sz="8" w:color="7F7F7F"/>
            </w:tcBorders>
          </w:tcPr>
          <w:p>
            <w:pPr>
              <w:ind w:left="140"/>
              <w:spacing w:after="0" w:line="138" w:lineRule="exact"/>
              <w:rPr>
                <w:sz w:val="20"/>
                <w:szCs w:val="20"/>
                <w:color w:val="auto"/>
              </w:rPr>
            </w:pPr>
            <w:r>
              <w:rPr>
                <w:rFonts w:ascii="Arial" w:cs="Arial" w:eastAsia="Arial" w:hAnsi="Arial"/>
                <w:sz w:val="11"/>
                <w:szCs w:val="11"/>
                <w:color w:val="auto"/>
              </w:rPr>
              <w:t>Nasdaq-100 Index</w:t>
            </w:r>
            <w:r>
              <w:rPr>
                <w:rFonts w:ascii="Arial" w:cs="Arial" w:eastAsia="Arial" w:hAnsi="Arial"/>
                <w:sz w:val="16"/>
                <w:szCs w:val="16"/>
                <w:color w:val="auto"/>
                <w:vertAlign w:val="superscript"/>
              </w:rPr>
              <w:t>®</w:t>
            </w:r>
          </w:p>
        </w:tc>
        <w:tc>
          <w:tcPr>
            <w:tcW w:w="1380" w:type="dxa"/>
            <w:vAlign w:val="bottom"/>
            <w:tcBorders>
              <w:bottom w:val="single" w:sz="8" w:color="7F7F7F"/>
              <w:right w:val="single" w:sz="8" w:color="7F7F7F"/>
            </w:tcBorders>
          </w:tcPr>
          <w:p>
            <w:pPr>
              <w:jc w:val="right"/>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1240" w:type="dxa"/>
            <w:vAlign w:val="bottom"/>
            <w:tcBorders>
              <w:left w:val="single" w:sz="8" w:color="7F7F7F"/>
              <w:right w:val="single" w:sz="8" w:color="7F7F7F"/>
            </w:tcBorders>
            <w:vMerge w:val="restart"/>
          </w:tcPr>
          <w:p>
            <w:pPr>
              <w:jc w:val="center"/>
              <w:ind w:left="34"/>
              <w:spacing w:after="0"/>
              <w:rPr>
                <w:sz w:val="20"/>
                <w:szCs w:val="20"/>
                <w:color w:val="auto"/>
              </w:rPr>
            </w:pPr>
            <w:r>
              <w:rPr>
                <w:rFonts w:ascii="Arial" w:cs="Arial" w:eastAsia="Arial" w:hAnsi="Arial"/>
                <w:sz w:val="13"/>
                <w:szCs w:val="13"/>
                <w:color w:val="auto"/>
                <w:w w:val="99"/>
              </w:rPr>
              <w:t>1 Year</w:t>
            </w:r>
          </w:p>
        </w:tc>
        <w:tc>
          <w:tcPr>
            <w:tcW w:w="1940" w:type="dxa"/>
            <w:vAlign w:val="bottom"/>
            <w:tcBorders>
              <w:right w:val="single" w:sz="8" w:color="7F7F7F"/>
            </w:tcBorders>
          </w:tcPr>
          <w:p>
            <w:pPr>
              <w:spacing w:after="0"/>
              <w:rPr>
                <w:sz w:val="12"/>
                <w:szCs w:val="12"/>
                <w:color w:val="auto"/>
              </w:rPr>
            </w:pPr>
          </w:p>
        </w:tc>
        <w:tc>
          <w:tcPr>
            <w:tcW w:w="3560" w:type="dxa"/>
            <w:vAlign w:val="bottom"/>
            <w:tcBorders>
              <w:bottom w:val="single" w:sz="8" w:color="7F7F7F"/>
              <w:right w:val="single" w:sz="8" w:color="7F7F7F"/>
            </w:tcBorders>
          </w:tcPr>
          <w:p>
            <w:pPr>
              <w:ind w:left="140"/>
              <w:spacing w:after="0" w:line="138" w:lineRule="exact"/>
              <w:rPr>
                <w:sz w:val="20"/>
                <w:szCs w:val="20"/>
                <w:color w:val="auto"/>
              </w:rPr>
            </w:pPr>
            <w:r>
              <w:rPr>
                <w:rFonts w:ascii="Arial" w:cs="Arial" w:eastAsia="Arial" w:hAnsi="Arial"/>
                <w:sz w:val="11"/>
                <w:szCs w:val="11"/>
                <w:color w:val="auto"/>
              </w:rPr>
              <w:t>S&amp;P 500</w:t>
            </w:r>
            <w:r>
              <w:rPr>
                <w:rFonts w:ascii="Arial" w:cs="Arial" w:eastAsia="Arial" w:hAnsi="Arial"/>
                <w:sz w:val="16"/>
                <w:szCs w:val="16"/>
                <w:color w:val="auto"/>
                <w:vertAlign w:val="superscript"/>
              </w:rPr>
              <w:t>®</w:t>
            </w:r>
            <w:r>
              <w:rPr>
                <w:rFonts w:ascii="Arial" w:cs="Arial" w:eastAsia="Arial" w:hAnsi="Arial"/>
                <w:sz w:val="11"/>
                <w:szCs w:val="11"/>
                <w:color w:val="auto"/>
              </w:rPr>
              <w:t xml:space="preserve"> Index</w:t>
            </w:r>
          </w:p>
        </w:tc>
        <w:tc>
          <w:tcPr>
            <w:tcW w:w="1380" w:type="dxa"/>
            <w:vAlign w:val="bottom"/>
            <w:tcBorders>
              <w:bottom w:val="single" w:sz="8" w:color="7F7F7F"/>
              <w:right w:val="single" w:sz="8" w:color="7F7F7F"/>
            </w:tcBorders>
          </w:tcPr>
          <w:p>
            <w:pPr>
              <w:jc w:val="right"/>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7"/>
        </w:trPr>
        <w:tc>
          <w:tcPr>
            <w:tcW w:w="1240" w:type="dxa"/>
            <w:vAlign w:val="bottom"/>
            <w:tcBorders>
              <w:left w:val="single" w:sz="8" w:color="7F7F7F"/>
              <w:right w:val="single" w:sz="8" w:color="7F7F7F"/>
            </w:tcBorders>
            <w:vMerge w:val="continue"/>
          </w:tcPr>
          <w:p>
            <w:pPr>
              <w:spacing w:after="0"/>
              <w:rPr>
                <w:sz w:val="4"/>
                <w:szCs w:val="4"/>
                <w:color w:val="auto"/>
              </w:rPr>
            </w:pPr>
          </w:p>
        </w:tc>
        <w:tc>
          <w:tcPr>
            <w:tcW w:w="1940" w:type="dxa"/>
            <w:vAlign w:val="bottom"/>
            <w:tcBorders>
              <w:right w:val="single" w:sz="8" w:color="7F7F7F"/>
            </w:tcBorders>
            <w:vMerge w:val="restart"/>
          </w:tcPr>
          <w:p>
            <w:pPr>
              <w:ind w:left="300"/>
              <w:spacing w:after="0" w:line="126" w:lineRule="exact"/>
              <w:rPr>
                <w:sz w:val="20"/>
                <w:szCs w:val="20"/>
                <w:color w:val="auto"/>
              </w:rPr>
            </w:pPr>
            <w:r>
              <w:rPr>
                <w:rFonts w:ascii="Arial" w:cs="Arial" w:eastAsia="Arial" w:hAnsi="Arial"/>
                <w:sz w:val="13"/>
                <w:szCs w:val="13"/>
                <w:color w:val="auto"/>
              </w:rPr>
              <w:t>Shield 15</w:t>
            </w:r>
          </w:p>
        </w:tc>
        <w:tc>
          <w:tcPr>
            <w:tcW w:w="3560" w:type="dxa"/>
            <w:vAlign w:val="bottom"/>
            <w:tcBorders>
              <w:right w:val="single" w:sz="8" w:color="7F7F7F"/>
            </w:tcBorders>
            <w:vMerge w:val="restart"/>
          </w:tcPr>
          <w:p>
            <w:pPr>
              <w:ind w:left="140"/>
              <w:spacing w:after="0" w:line="126" w:lineRule="exact"/>
              <w:rPr>
                <w:sz w:val="20"/>
                <w:szCs w:val="20"/>
                <w:color w:val="auto"/>
              </w:rPr>
            </w:pPr>
            <w:r>
              <w:rPr>
                <w:rFonts w:ascii="Arial" w:cs="Arial" w:eastAsia="Arial" w:hAnsi="Arial"/>
                <w:sz w:val="10"/>
                <w:szCs w:val="10"/>
                <w:color w:val="auto"/>
              </w:rPr>
              <w:t>Russell 2000</w:t>
            </w:r>
            <w:r>
              <w:rPr>
                <w:rFonts w:ascii="Arial" w:cs="Arial" w:eastAsia="Arial" w:hAnsi="Arial"/>
                <w:sz w:val="14"/>
                <w:szCs w:val="14"/>
                <w:color w:val="auto"/>
                <w:vertAlign w:val="superscript"/>
              </w:rPr>
              <w:t>®</w:t>
            </w:r>
            <w:r>
              <w:rPr>
                <w:rFonts w:ascii="Arial" w:cs="Arial" w:eastAsia="Arial" w:hAnsi="Arial"/>
                <w:sz w:val="10"/>
                <w:szCs w:val="10"/>
                <w:color w:val="auto"/>
              </w:rPr>
              <w:t xml:space="preserve"> Index</w:t>
            </w:r>
          </w:p>
        </w:tc>
        <w:tc>
          <w:tcPr>
            <w:tcW w:w="1380" w:type="dxa"/>
            <w:vAlign w:val="bottom"/>
            <w:tcBorders>
              <w:right w:val="single" w:sz="8" w:color="7F7F7F"/>
            </w:tcBorders>
            <w:vMerge w:val="restart"/>
          </w:tcPr>
          <w:p>
            <w:pPr>
              <w:jc w:val="right"/>
              <w:spacing w:after="0" w:line="12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7"/>
        </w:trPr>
        <w:tc>
          <w:tcPr>
            <w:tcW w:w="1240" w:type="dxa"/>
            <w:vAlign w:val="bottom"/>
            <w:tcBorders>
              <w:left w:val="single" w:sz="8" w:color="7F7F7F"/>
              <w:right w:val="single" w:sz="8" w:color="7F7F7F"/>
            </w:tcBorders>
            <w:vMerge w:val="restart"/>
          </w:tcPr>
          <w:p>
            <w:pPr>
              <w:jc w:val="center"/>
              <w:ind w:left="34"/>
              <w:spacing w:after="0"/>
              <w:rPr>
                <w:sz w:val="20"/>
                <w:szCs w:val="20"/>
                <w:color w:val="auto"/>
              </w:rPr>
            </w:pPr>
            <w:r>
              <w:rPr>
                <w:rFonts w:ascii="Arial" w:cs="Arial" w:eastAsia="Arial" w:hAnsi="Arial"/>
                <w:sz w:val="13"/>
                <w:szCs w:val="13"/>
                <w:color w:val="auto"/>
              </w:rPr>
              <w:t>Shield</w:t>
            </w:r>
          </w:p>
        </w:tc>
        <w:tc>
          <w:tcPr>
            <w:tcW w:w="1940" w:type="dxa"/>
            <w:vAlign w:val="bottom"/>
            <w:tcBorders>
              <w:right w:val="single" w:sz="8" w:color="7F7F7F"/>
            </w:tcBorders>
            <w:vMerge w:val="continue"/>
          </w:tcPr>
          <w:p>
            <w:pPr>
              <w:spacing w:after="0"/>
              <w:rPr>
                <w:sz w:val="7"/>
                <w:szCs w:val="7"/>
                <w:color w:val="auto"/>
              </w:rPr>
            </w:pPr>
          </w:p>
        </w:tc>
        <w:tc>
          <w:tcPr>
            <w:tcW w:w="3560" w:type="dxa"/>
            <w:vAlign w:val="bottom"/>
            <w:tcBorders>
              <w:bottom w:val="single" w:sz="8" w:color="7F7F7F"/>
              <w:right w:val="single" w:sz="8" w:color="7F7F7F"/>
            </w:tcBorders>
            <w:vMerge w:val="continue"/>
          </w:tcPr>
          <w:p>
            <w:pPr>
              <w:spacing w:after="0"/>
              <w:rPr>
                <w:sz w:val="7"/>
                <w:szCs w:val="7"/>
                <w:color w:val="auto"/>
              </w:rPr>
            </w:pPr>
          </w:p>
        </w:tc>
        <w:tc>
          <w:tcPr>
            <w:tcW w:w="1380" w:type="dxa"/>
            <w:vAlign w:val="bottom"/>
            <w:tcBorders>
              <w:bottom w:val="single" w:sz="8" w:color="7F7F7F"/>
              <w:right w:val="single" w:sz="8" w:color="7F7F7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1240" w:type="dxa"/>
            <w:vAlign w:val="bottom"/>
            <w:tcBorders>
              <w:left w:val="single" w:sz="8" w:color="7F7F7F"/>
              <w:right w:val="single" w:sz="8" w:color="7F7F7F"/>
            </w:tcBorders>
            <w:vMerge w:val="continue"/>
          </w:tcPr>
          <w:p>
            <w:pPr>
              <w:spacing w:after="0"/>
              <w:rPr>
                <w:sz w:val="4"/>
                <w:szCs w:val="4"/>
                <w:color w:val="auto"/>
              </w:rPr>
            </w:pPr>
          </w:p>
        </w:tc>
        <w:tc>
          <w:tcPr>
            <w:tcW w:w="1940" w:type="dxa"/>
            <w:vAlign w:val="bottom"/>
            <w:tcBorders>
              <w:right w:val="single" w:sz="8" w:color="7F7F7F"/>
            </w:tcBorders>
            <w:vMerge w:val="restart"/>
          </w:tcPr>
          <w:p>
            <w:pPr>
              <w:ind w:left="300"/>
              <w:spacing w:after="0"/>
              <w:rPr>
                <w:sz w:val="20"/>
                <w:szCs w:val="20"/>
                <w:color w:val="auto"/>
              </w:rPr>
            </w:pPr>
            <w:r>
              <w:rPr>
                <w:rFonts w:ascii="Arial" w:cs="Arial" w:eastAsia="Arial" w:hAnsi="Arial"/>
                <w:sz w:val="13"/>
                <w:szCs w:val="13"/>
                <w:color w:val="auto"/>
              </w:rPr>
              <w:t>(Shield Rate: 15%)</w:t>
            </w:r>
          </w:p>
        </w:tc>
        <w:tc>
          <w:tcPr>
            <w:tcW w:w="3560" w:type="dxa"/>
            <w:vAlign w:val="bottom"/>
            <w:tcBorders>
              <w:right w:val="single" w:sz="8" w:color="7F7F7F"/>
            </w:tcBorders>
            <w:vMerge w:val="restart"/>
          </w:tcPr>
          <w:p>
            <w:pPr>
              <w:ind w:left="140"/>
              <w:spacing w:after="0"/>
              <w:rPr>
                <w:sz w:val="20"/>
                <w:szCs w:val="20"/>
                <w:color w:val="auto"/>
              </w:rPr>
            </w:pPr>
            <w:r>
              <w:rPr>
                <w:rFonts w:ascii="Arial" w:cs="Arial" w:eastAsia="Arial" w:hAnsi="Arial"/>
                <w:sz w:val="13"/>
                <w:szCs w:val="13"/>
                <w:color w:val="auto"/>
              </w:rPr>
              <w:t>MSCI EAFE Index</w:t>
            </w:r>
          </w:p>
        </w:tc>
        <w:tc>
          <w:tcPr>
            <w:tcW w:w="1380" w:type="dxa"/>
            <w:vAlign w:val="bottom"/>
            <w:tcBorders>
              <w:right w:val="single" w:sz="8" w:color="7F7F7F"/>
            </w:tcBorders>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7"/>
        </w:trPr>
        <w:tc>
          <w:tcPr>
            <w:tcW w:w="1240" w:type="dxa"/>
            <w:vAlign w:val="bottom"/>
            <w:tcBorders>
              <w:left w:val="single" w:sz="8" w:color="7F7F7F"/>
              <w:right w:val="single" w:sz="8" w:color="7F7F7F"/>
            </w:tcBorders>
            <w:vMerge w:val="restart"/>
          </w:tcPr>
          <w:p>
            <w:pPr>
              <w:jc w:val="center"/>
              <w:ind w:left="34"/>
              <w:spacing w:after="0"/>
              <w:rPr>
                <w:sz w:val="20"/>
                <w:szCs w:val="20"/>
                <w:color w:val="auto"/>
              </w:rPr>
            </w:pPr>
            <w:r>
              <w:rPr>
                <w:rFonts w:ascii="Arial" w:cs="Arial" w:eastAsia="Arial" w:hAnsi="Arial"/>
                <w:sz w:val="13"/>
                <w:szCs w:val="13"/>
                <w:color w:val="auto"/>
                <w:w w:val="98"/>
              </w:rPr>
              <w:t>Term</w:t>
            </w:r>
          </w:p>
        </w:tc>
        <w:tc>
          <w:tcPr>
            <w:tcW w:w="1940" w:type="dxa"/>
            <w:vAlign w:val="bottom"/>
            <w:tcBorders>
              <w:right w:val="single" w:sz="8" w:color="7F7F7F"/>
            </w:tcBorders>
            <w:vMerge w:val="continue"/>
          </w:tcPr>
          <w:p>
            <w:pPr>
              <w:spacing w:after="0"/>
              <w:rPr>
                <w:sz w:val="8"/>
                <w:szCs w:val="8"/>
                <w:color w:val="auto"/>
              </w:rPr>
            </w:pPr>
          </w:p>
        </w:tc>
        <w:tc>
          <w:tcPr>
            <w:tcW w:w="3560" w:type="dxa"/>
            <w:vAlign w:val="bottom"/>
            <w:tcBorders>
              <w:bottom w:val="single" w:sz="8" w:color="7F7F7F"/>
              <w:right w:val="single" w:sz="8" w:color="7F7F7F"/>
            </w:tcBorders>
            <w:vMerge w:val="continue"/>
          </w:tcPr>
          <w:p>
            <w:pPr>
              <w:spacing w:after="0"/>
              <w:rPr>
                <w:sz w:val="8"/>
                <w:szCs w:val="8"/>
                <w:color w:val="auto"/>
              </w:rPr>
            </w:pPr>
          </w:p>
        </w:tc>
        <w:tc>
          <w:tcPr>
            <w:tcW w:w="1380" w:type="dxa"/>
            <w:vAlign w:val="bottom"/>
            <w:tcBorders>
              <w:bottom w:val="single" w:sz="8" w:color="7F7F7F"/>
              <w:right w:val="single" w:sz="8" w:color="7F7F7F"/>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1240" w:type="dxa"/>
            <w:vAlign w:val="bottom"/>
            <w:tcBorders>
              <w:left w:val="single" w:sz="8" w:color="7F7F7F"/>
              <w:right w:val="single" w:sz="8" w:color="7F7F7F"/>
            </w:tcBorders>
            <w:vMerge w:val="continue"/>
          </w:tcPr>
          <w:p>
            <w:pPr>
              <w:spacing w:after="0"/>
              <w:rPr>
                <w:sz w:val="4"/>
                <w:szCs w:val="4"/>
                <w:color w:val="auto"/>
              </w:rPr>
            </w:pPr>
          </w:p>
        </w:tc>
        <w:tc>
          <w:tcPr>
            <w:tcW w:w="1940" w:type="dxa"/>
            <w:vAlign w:val="bottom"/>
            <w:tcBorders>
              <w:right w:val="single" w:sz="8" w:color="7F7F7F"/>
            </w:tcBorders>
          </w:tcPr>
          <w:p>
            <w:pPr>
              <w:spacing w:after="0"/>
              <w:rPr>
                <w:sz w:val="4"/>
                <w:szCs w:val="4"/>
                <w:color w:val="auto"/>
              </w:rPr>
            </w:pPr>
          </w:p>
        </w:tc>
        <w:tc>
          <w:tcPr>
            <w:tcW w:w="3560" w:type="dxa"/>
            <w:vAlign w:val="bottom"/>
            <w:tcBorders>
              <w:right w:val="single" w:sz="8" w:color="7F7F7F"/>
            </w:tcBorders>
            <w:vMerge w:val="restart"/>
          </w:tcPr>
          <w:p>
            <w:pPr>
              <w:ind w:left="140"/>
              <w:spacing w:after="0" w:line="138" w:lineRule="exact"/>
              <w:rPr>
                <w:sz w:val="20"/>
                <w:szCs w:val="20"/>
                <w:color w:val="auto"/>
              </w:rPr>
            </w:pPr>
            <w:r>
              <w:rPr>
                <w:rFonts w:ascii="Arial" w:cs="Arial" w:eastAsia="Arial" w:hAnsi="Arial"/>
                <w:sz w:val="11"/>
                <w:szCs w:val="11"/>
                <w:color w:val="auto"/>
              </w:rPr>
              <w:t>Nasdaq-100 Index</w:t>
            </w:r>
            <w:r>
              <w:rPr>
                <w:rFonts w:ascii="Arial" w:cs="Arial" w:eastAsia="Arial" w:hAnsi="Arial"/>
                <w:sz w:val="16"/>
                <w:szCs w:val="16"/>
                <w:color w:val="auto"/>
                <w:vertAlign w:val="superscript"/>
              </w:rPr>
              <w:t>®</w:t>
            </w:r>
          </w:p>
        </w:tc>
        <w:tc>
          <w:tcPr>
            <w:tcW w:w="1380" w:type="dxa"/>
            <w:vAlign w:val="bottom"/>
            <w:tcBorders>
              <w:right w:val="single" w:sz="8" w:color="7F7F7F"/>
            </w:tcBorders>
            <w:vMerge w:val="restart"/>
          </w:tcPr>
          <w:p>
            <w:pPr>
              <w:jc w:val="right"/>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7"/>
        </w:trPr>
        <w:tc>
          <w:tcPr>
            <w:tcW w:w="1240" w:type="dxa"/>
            <w:vAlign w:val="bottom"/>
            <w:tcBorders>
              <w:left w:val="single" w:sz="8" w:color="7F7F7F"/>
              <w:right w:val="single" w:sz="8" w:color="7F7F7F"/>
            </w:tcBorders>
          </w:tcPr>
          <w:p>
            <w:pPr>
              <w:spacing w:after="0"/>
              <w:rPr>
                <w:sz w:val="7"/>
                <w:szCs w:val="7"/>
                <w:color w:val="auto"/>
              </w:rPr>
            </w:pPr>
          </w:p>
        </w:tc>
        <w:tc>
          <w:tcPr>
            <w:tcW w:w="1940" w:type="dxa"/>
            <w:vAlign w:val="bottom"/>
            <w:tcBorders>
              <w:bottom w:val="single" w:sz="8" w:color="7F7F7F"/>
              <w:right w:val="single" w:sz="8" w:color="7F7F7F"/>
            </w:tcBorders>
          </w:tcPr>
          <w:p>
            <w:pPr>
              <w:spacing w:after="0"/>
              <w:rPr>
                <w:sz w:val="7"/>
                <w:szCs w:val="7"/>
                <w:color w:val="auto"/>
              </w:rPr>
            </w:pPr>
          </w:p>
        </w:tc>
        <w:tc>
          <w:tcPr>
            <w:tcW w:w="3560" w:type="dxa"/>
            <w:vAlign w:val="bottom"/>
            <w:tcBorders>
              <w:bottom w:val="single" w:sz="8" w:color="7F7F7F"/>
              <w:right w:val="single" w:sz="8" w:color="7F7F7F"/>
            </w:tcBorders>
            <w:vMerge w:val="continue"/>
          </w:tcPr>
          <w:p>
            <w:pPr>
              <w:spacing w:after="0"/>
              <w:rPr>
                <w:sz w:val="7"/>
                <w:szCs w:val="7"/>
                <w:color w:val="auto"/>
              </w:rPr>
            </w:pPr>
          </w:p>
        </w:tc>
        <w:tc>
          <w:tcPr>
            <w:tcW w:w="1380" w:type="dxa"/>
            <w:vAlign w:val="bottom"/>
            <w:tcBorders>
              <w:bottom w:val="single" w:sz="8" w:color="7F7F7F"/>
              <w:right w:val="single" w:sz="8" w:color="7F7F7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240" w:type="dxa"/>
            <w:vAlign w:val="bottom"/>
            <w:tcBorders>
              <w:left w:val="single" w:sz="8" w:color="7F7F7F"/>
              <w:right w:val="single" w:sz="8" w:color="7F7F7F"/>
            </w:tcBorders>
          </w:tcPr>
          <w:p>
            <w:pPr>
              <w:spacing w:after="0"/>
              <w:rPr>
                <w:sz w:val="12"/>
                <w:szCs w:val="12"/>
                <w:color w:val="auto"/>
              </w:rPr>
            </w:pPr>
          </w:p>
        </w:tc>
        <w:tc>
          <w:tcPr>
            <w:tcW w:w="1940" w:type="dxa"/>
            <w:vAlign w:val="bottom"/>
            <w:tcBorders>
              <w:right w:val="single" w:sz="8" w:color="7F7F7F"/>
            </w:tcBorders>
            <w:vMerge w:val="restart"/>
          </w:tcPr>
          <w:p>
            <w:pPr>
              <w:ind w:left="300"/>
              <w:spacing w:after="0"/>
              <w:rPr>
                <w:sz w:val="20"/>
                <w:szCs w:val="20"/>
                <w:color w:val="auto"/>
              </w:rPr>
            </w:pPr>
            <w:r>
              <w:rPr>
                <w:rFonts w:ascii="Arial" w:cs="Arial" w:eastAsia="Arial" w:hAnsi="Arial"/>
                <w:sz w:val="13"/>
                <w:szCs w:val="13"/>
                <w:color w:val="auto"/>
              </w:rPr>
              <w:t>Shield 10</w:t>
            </w:r>
          </w:p>
        </w:tc>
        <w:tc>
          <w:tcPr>
            <w:tcW w:w="3560" w:type="dxa"/>
            <w:vAlign w:val="bottom"/>
            <w:tcBorders>
              <w:bottom w:val="single" w:sz="8" w:color="7F7F7F"/>
              <w:right w:val="single" w:sz="8" w:color="7F7F7F"/>
            </w:tcBorders>
          </w:tcPr>
          <w:p>
            <w:pPr>
              <w:ind w:left="140"/>
              <w:spacing w:after="0" w:line="138" w:lineRule="exact"/>
              <w:rPr>
                <w:sz w:val="20"/>
                <w:szCs w:val="20"/>
                <w:color w:val="auto"/>
              </w:rPr>
            </w:pPr>
            <w:r>
              <w:rPr>
                <w:rFonts w:ascii="Arial" w:cs="Arial" w:eastAsia="Arial" w:hAnsi="Arial"/>
                <w:sz w:val="11"/>
                <w:szCs w:val="11"/>
                <w:color w:val="auto"/>
              </w:rPr>
              <w:t>S&amp;P 500</w:t>
            </w:r>
            <w:r>
              <w:rPr>
                <w:rFonts w:ascii="Arial" w:cs="Arial" w:eastAsia="Arial" w:hAnsi="Arial"/>
                <w:sz w:val="16"/>
                <w:szCs w:val="16"/>
                <w:color w:val="auto"/>
                <w:vertAlign w:val="superscript"/>
              </w:rPr>
              <w:t>®</w:t>
            </w:r>
            <w:r>
              <w:rPr>
                <w:rFonts w:ascii="Arial" w:cs="Arial" w:eastAsia="Arial" w:hAnsi="Arial"/>
                <w:sz w:val="11"/>
                <w:szCs w:val="11"/>
                <w:color w:val="auto"/>
              </w:rPr>
              <w:t xml:space="preserve"> Index</w:t>
            </w:r>
          </w:p>
        </w:tc>
        <w:tc>
          <w:tcPr>
            <w:tcW w:w="1380" w:type="dxa"/>
            <w:vAlign w:val="bottom"/>
            <w:tcBorders>
              <w:bottom w:val="single" w:sz="8" w:color="7F7F7F"/>
              <w:right w:val="single" w:sz="8" w:color="7F7F7F"/>
            </w:tcBorders>
          </w:tcPr>
          <w:p>
            <w:pPr>
              <w:jc w:val="right"/>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1240" w:type="dxa"/>
            <w:vAlign w:val="bottom"/>
            <w:tcBorders>
              <w:left w:val="single" w:sz="8" w:color="7F7F7F"/>
              <w:right w:val="single" w:sz="8" w:color="7F7F7F"/>
            </w:tcBorders>
          </w:tcPr>
          <w:p>
            <w:pPr>
              <w:spacing w:after="0"/>
              <w:rPr>
                <w:sz w:val="11"/>
                <w:szCs w:val="11"/>
                <w:color w:val="auto"/>
              </w:rPr>
            </w:pPr>
          </w:p>
        </w:tc>
        <w:tc>
          <w:tcPr>
            <w:tcW w:w="1940" w:type="dxa"/>
            <w:vAlign w:val="bottom"/>
            <w:tcBorders>
              <w:right w:val="single" w:sz="8" w:color="7F7F7F"/>
            </w:tcBorders>
            <w:vMerge w:val="continue"/>
          </w:tcPr>
          <w:p>
            <w:pPr>
              <w:spacing w:after="0"/>
              <w:rPr>
                <w:sz w:val="11"/>
                <w:szCs w:val="11"/>
                <w:color w:val="auto"/>
              </w:rPr>
            </w:pPr>
          </w:p>
        </w:tc>
        <w:tc>
          <w:tcPr>
            <w:tcW w:w="3560" w:type="dxa"/>
            <w:vAlign w:val="bottom"/>
            <w:tcBorders>
              <w:bottom w:val="single" w:sz="8" w:color="7F7F7F"/>
              <w:right w:val="single" w:sz="8" w:color="7F7F7F"/>
            </w:tcBorders>
          </w:tcPr>
          <w:p>
            <w:pPr>
              <w:ind w:left="140"/>
              <w:spacing w:after="0" w:line="126" w:lineRule="exact"/>
              <w:rPr>
                <w:sz w:val="20"/>
                <w:szCs w:val="20"/>
                <w:color w:val="auto"/>
              </w:rPr>
            </w:pPr>
            <w:r>
              <w:rPr>
                <w:rFonts w:ascii="Arial" w:cs="Arial" w:eastAsia="Arial" w:hAnsi="Arial"/>
                <w:sz w:val="10"/>
                <w:szCs w:val="10"/>
                <w:color w:val="auto"/>
              </w:rPr>
              <w:t>Russell 2000</w:t>
            </w:r>
            <w:r>
              <w:rPr>
                <w:rFonts w:ascii="Arial" w:cs="Arial" w:eastAsia="Arial" w:hAnsi="Arial"/>
                <w:sz w:val="14"/>
                <w:szCs w:val="14"/>
                <w:color w:val="auto"/>
                <w:vertAlign w:val="superscript"/>
              </w:rPr>
              <w:t>®</w:t>
            </w:r>
            <w:r>
              <w:rPr>
                <w:rFonts w:ascii="Arial" w:cs="Arial" w:eastAsia="Arial" w:hAnsi="Arial"/>
                <w:sz w:val="10"/>
                <w:szCs w:val="10"/>
                <w:color w:val="auto"/>
              </w:rPr>
              <w:t xml:space="preserve"> Index</w:t>
            </w:r>
          </w:p>
        </w:tc>
        <w:tc>
          <w:tcPr>
            <w:tcW w:w="1380" w:type="dxa"/>
            <w:vAlign w:val="bottom"/>
            <w:tcBorders>
              <w:bottom w:val="single" w:sz="8" w:color="7F7F7F"/>
              <w:right w:val="single" w:sz="8" w:color="7F7F7F"/>
            </w:tcBorders>
          </w:tcPr>
          <w:p>
            <w:pPr>
              <w:jc w:val="right"/>
              <w:spacing w:after="0" w:line="12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1240" w:type="dxa"/>
            <w:vAlign w:val="bottom"/>
            <w:tcBorders>
              <w:left w:val="single" w:sz="8" w:color="7F7F7F"/>
              <w:right w:val="single" w:sz="8" w:color="7F7F7F"/>
            </w:tcBorders>
          </w:tcPr>
          <w:p>
            <w:pPr>
              <w:spacing w:after="0"/>
              <w:rPr>
                <w:sz w:val="12"/>
                <w:szCs w:val="12"/>
                <w:color w:val="auto"/>
              </w:rPr>
            </w:pPr>
          </w:p>
        </w:tc>
        <w:tc>
          <w:tcPr>
            <w:tcW w:w="1940" w:type="dxa"/>
            <w:vAlign w:val="bottom"/>
            <w:tcBorders>
              <w:right w:val="single" w:sz="8" w:color="7F7F7F"/>
            </w:tcBorders>
          </w:tcPr>
          <w:p>
            <w:pPr>
              <w:ind w:left="300"/>
              <w:spacing w:after="0"/>
              <w:rPr>
                <w:sz w:val="20"/>
                <w:szCs w:val="20"/>
                <w:color w:val="auto"/>
              </w:rPr>
            </w:pPr>
            <w:r>
              <w:rPr>
                <w:rFonts w:ascii="Arial" w:cs="Arial" w:eastAsia="Arial" w:hAnsi="Arial"/>
                <w:sz w:val="13"/>
                <w:szCs w:val="13"/>
                <w:color w:val="auto"/>
              </w:rPr>
              <w:t>(Shield Rate: 10%)</w:t>
            </w:r>
          </w:p>
        </w:tc>
        <w:tc>
          <w:tcPr>
            <w:tcW w:w="3560" w:type="dxa"/>
            <w:vAlign w:val="bottom"/>
            <w:tcBorders>
              <w:bottom w:val="single" w:sz="8" w:color="7F7F7F"/>
              <w:right w:val="single" w:sz="8" w:color="7F7F7F"/>
            </w:tcBorders>
          </w:tcPr>
          <w:p>
            <w:pPr>
              <w:ind w:left="140"/>
              <w:spacing w:after="0"/>
              <w:rPr>
                <w:sz w:val="20"/>
                <w:szCs w:val="20"/>
                <w:color w:val="auto"/>
              </w:rPr>
            </w:pPr>
            <w:r>
              <w:rPr>
                <w:rFonts w:ascii="Arial" w:cs="Arial" w:eastAsia="Arial" w:hAnsi="Arial"/>
                <w:sz w:val="13"/>
                <w:szCs w:val="13"/>
                <w:color w:val="auto"/>
              </w:rPr>
              <w:t>MSCI EAFE Index</w:t>
            </w:r>
          </w:p>
        </w:tc>
        <w:tc>
          <w:tcPr>
            <w:tcW w:w="1380" w:type="dxa"/>
            <w:vAlign w:val="bottom"/>
            <w:tcBorders>
              <w:bottom w:val="single" w:sz="8" w:color="7F7F7F"/>
              <w:right w:val="single" w:sz="8" w:color="7F7F7F"/>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1240" w:type="dxa"/>
            <w:vAlign w:val="bottom"/>
            <w:tcBorders>
              <w:left w:val="single" w:sz="8" w:color="7F7F7F"/>
              <w:bottom w:val="single" w:sz="8" w:color="7F7F7F"/>
              <w:right w:val="single" w:sz="8" w:color="7F7F7F"/>
            </w:tcBorders>
          </w:tcPr>
          <w:p>
            <w:pPr>
              <w:spacing w:after="0"/>
              <w:rPr>
                <w:sz w:val="12"/>
                <w:szCs w:val="12"/>
                <w:color w:val="auto"/>
              </w:rPr>
            </w:pPr>
          </w:p>
        </w:tc>
        <w:tc>
          <w:tcPr>
            <w:tcW w:w="1940" w:type="dxa"/>
            <w:vAlign w:val="bottom"/>
            <w:tcBorders>
              <w:bottom w:val="single" w:sz="8" w:color="7F7F7F"/>
              <w:right w:val="single" w:sz="8" w:color="7F7F7F"/>
            </w:tcBorders>
          </w:tcPr>
          <w:p>
            <w:pPr>
              <w:spacing w:after="0"/>
              <w:rPr>
                <w:sz w:val="12"/>
                <w:szCs w:val="12"/>
                <w:color w:val="auto"/>
              </w:rPr>
            </w:pPr>
          </w:p>
        </w:tc>
        <w:tc>
          <w:tcPr>
            <w:tcW w:w="3560" w:type="dxa"/>
            <w:vAlign w:val="bottom"/>
            <w:tcBorders>
              <w:bottom w:val="single" w:sz="8" w:color="7F7F7F"/>
              <w:right w:val="single" w:sz="8" w:color="7F7F7F"/>
            </w:tcBorders>
          </w:tcPr>
          <w:p>
            <w:pPr>
              <w:ind w:left="140"/>
              <w:spacing w:after="0" w:line="138" w:lineRule="exact"/>
              <w:rPr>
                <w:sz w:val="20"/>
                <w:szCs w:val="20"/>
                <w:color w:val="auto"/>
              </w:rPr>
            </w:pPr>
            <w:r>
              <w:rPr>
                <w:rFonts w:ascii="Arial" w:cs="Arial" w:eastAsia="Arial" w:hAnsi="Arial"/>
                <w:sz w:val="11"/>
                <w:szCs w:val="11"/>
                <w:color w:val="auto"/>
              </w:rPr>
              <w:t>Nasdaq-100 Index</w:t>
            </w:r>
            <w:r>
              <w:rPr>
                <w:rFonts w:ascii="Arial" w:cs="Arial" w:eastAsia="Arial" w:hAnsi="Arial"/>
                <w:sz w:val="16"/>
                <w:szCs w:val="16"/>
                <w:color w:val="auto"/>
                <w:vertAlign w:val="superscript"/>
              </w:rPr>
              <w:t>®</w:t>
            </w:r>
          </w:p>
        </w:tc>
        <w:tc>
          <w:tcPr>
            <w:tcW w:w="1380" w:type="dxa"/>
            <w:vAlign w:val="bottom"/>
            <w:tcBorders>
              <w:bottom w:val="single" w:sz="8" w:color="7F7F7F"/>
              <w:right w:val="single" w:sz="8" w:color="7F7F7F"/>
            </w:tcBorders>
          </w:tcPr>
          <w:p>
            <w:pPr>
              <w:jc w:val="right"/>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3180" w:type="dxa"/>
            <w:vAlign w:val="bottom"/>
            <w:gridSpan w:val="2"/>
          </w:tcPr>
          <w:p>
            <w:pPr>
              <w:ind w:left="80"/>
              <w:spacing w:after="0"/>
              <w:rPr>
                <w:sz w:val="20"/>
                <w:szCs w:val="20"/>
                <w:color w:val="auto"/>
              </w:rPr>
            </w:pPr>
            <w:r>
              <w:rPr>
                <w:rFonts w:ascii="Arial" w:cs="Arial" w:eastAsia="Arial" w:hAnsi="Arial"/>
                <w:sz w:val="13"/>
                <w:szCs w:val="13"/>
                <w:b w:val="1"/>
                <w:bCs w:val="1"/>
                <w:color w:val="auto"/>
              </w:rPr>
              <w:t>Step Rate Shield Options</w:t>
            </w:r>
          </w:p>
        </w:tc>
        <w:tc>
          <w:tcPr>
            <w:tcW w:w="3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1240" w:type="dxa"/>
            <w:vAlign w:val="bottom"/>
            <w:tcBorders>
              <w:top w:val="single" w:sz="8" w:color="7F7F7F"/>
              <w:left w:val="single" w:sz="8" w:color="7F7F7F"/>
              <w:bottom w:val="single" w:sz="8" w:color="7F7F7F"/>
              <w:right w:val="single" w:sz="8" w:color="7F7F7F"/>
            </w:tcBorders>
            <w:shd w:val="clear" w:color="auto" w:fill="D9D9D9"/>
          </w:tcPr>
          <w:p>
            <w:pPr>
              <w:ind w:left="440"/>
              <w:spacing w:after="0" w:line="139" w:lineRule="exact"/>
              <w:rPr>
                <w:sz w:val="20"/>
                <w:szCs w:val="20"/>
                <w:color w:val="auto"/>
              </w:rPr>
            </w:pPr>
            <w:r>
              <w:rPr>
                <w:rFonts w:ascii="Arial" w:cs="Arial" w:eastAsia="Arial" w:hAnsi="Arial"/>
                <w:sz w:val="13"/>
                <w:szCs w:val="13"/>
                <w:b w:val="1"/>
                <w:bCs w:val="1"/>
                <w:color w:val="auto"/>
              </w:rPr>
              <w:t>Term </w:t>
            </w:r>
          </w:p>
        </w:tc>
        <w:tc>
          <w:tcPr>
            <w:tcW w:w="200" w:type="dxa"/>
            <w:vAlign w:val="bottom"/>
            <w:tcBorders>
              <w:top w:val="single" w:sz="8" w:color="7F7F7F"/>
              <w:bottom w:val="single" w:sz="8" w:color="7F7F7F"/>
            </w:tcBorders>
            <w:shd w:val="clear" w:color="auto" w:fill="D9D9D9"/>
          </w:tcPr>
          <w:p>
            <w:pPr>
              <w:spacing w:after="0"/>
              <w:rPr>
                <w:sz w:val="12"/>
                <w:szCs w:val="12"/>
                <w:color w:val="auto"/>
              </w:rPr>
            </w:pPr>
          </w:p>
        </w:tc>
        <w:tc>
          <w:tcPr>
            <w:tcW w:w="1740" w:type="dxa"/>
            <w:vAlign w:val="bottom"/>
            <w:tcBorders>
              <w:top w:val="single" w:sz="8" w:color="7F7F7F"/>
              <w:bottom w:val="single" w:sz="8" w:color="7F7F7F"/>
              <w:right w:val="single" w:sz="8" w:color="7F7F7F"/>
            </w:tcBorders>
            <w:shd w:val="clear" w:color="auto" w:fill="D9D9D9"/>
          </w:tcPr>
          <w:p>
            <w:pPr>
              <w:ind w:left="100"/>
              <w:spacing w:after="0" w:line="139" w:lineRule="exact"/>
              <w:rPr>
                <w:sz w:val="20"/>
                <w:szCs w:val="20"/>
                <w:color w:val="auto"/>
              </w:rPr>
            </w:pPr>
            <w:r>
              <w:rPr>
                <w:rFonts w:ascii="Arial" w:cs="Arial" w:eastAsia="Arial" w:hAnsi="Arial"/>
                <w:sz w:val="13"/>
                <w:szCs w:val="13"/>
                <w:b w:val="1"/>
                <w:bCs w:val="1"/>
                <w:color w:val="auto"/>
              </w:rPr>
              <w:t>Shield Rate</w:t>
            </w:r>
          </w:p>
        </w:tc>
        <w:tc>
          <w:tcPr>
            <w:tcW w:w="2560" w:type="dxa"/>
            <w:vAlign w:val="bottom"/>
            <w:tcBorders>
              <w:top w:val="single" w:sz="8" w:color="7F7F7F"/>
              <w:bottom w:val="single" w:sz="8" w:color="7F7F7F"/>
            </w:tcBorders>
            <w:shd w:val="clear" w:color="auto" w:fill="D9D9D9"/>
          </w:tcPr>
          <w:p>
            <w:pPr>
              <w:ind w:left="140"/>
              <w:spacing w:after="0" w:line="139" w:lineRule="exact"/>
              <w:rPr>
                <w:sz w:val="20"/>
                <w:szCs w:val="20"/>
                <w:color w:val="auto"/>
              </w:rPr>
            </w:pPr>
            <w:r>
              <w:rPr>
                <w:rFonts w:ascii="Arial" w:cs="Arial" w:eastAsia="Arial" w:hAnsi="Arial"/>
                <w:sz w:val="13"/>
                <w:szCs w:val="13"/>
                <w:b w:val="1"/>
                <w:bCs w:val="1"/>
                <w:color w:val="auto"/>
              </w:rPr>
              <w:t>Index/Crediting Strategy</w:t>
            </w:r>
          </w:p>
        </w:tc>
        <w:tc>
          <w:tcPr>
            <w:tcW w:w="1000" w:type="dxa"/>
            <w:vAlign w:val="bottom"/>
            <w:tcBorders>
              <w:top w:val="single" w:sz="8" w:color="7F7F7F"/>
              <w:bottom w:val="single" w:sz="8" w:color="7F7F7F"/>
              <w:right w:val="single" w:sz="8" w:color="7F7F7F"/>
            </w:tcBorders>
            <w:shd w:val="clear" w:color="auto" w:fill="D9D9D9"/>
          </w:tcPr>
          <w:p>
            <w:pPr>
              <w:spacing w:after="0"/>
              <w:rPr>
                <w:sz w:val="12"/>
                <w:szCs w:val="12"/>
                <w:color w:val="auto"/>
              </w:rPr>
            </w:pPr>
          </w:p>
        </w:tc>
        <w:tc>
          <w:tcPr>
            <w:tcW w:w="1380" w:type="dxa"/>
            <w:vAlign w:val="bottom"/>
            <w:tcBorders>
              <w:top w:val="single" w:sz="8" w:color="7F7F7F"/>
              <w:bottom w:val="single" w:sz="8" w:color="7F7F7F"/>
              <w:right w:val="single" w:sz="8" w:color="7F7F7F"/>
            </w:tcBorders>
            <w:shd w:val="clear" w:color="auto" w:fill="D9D9D9"/>
          </w:tcPr>
          <w:p>
            <w:pPr>
              <w:jc w:val="right"/>
              <w:ind w:right="534"/>
              <w:spacing w:after="0" w:line="139" w:lineRule="exact"/>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39"/>
        </w:trPr>
        <w:tc>
          <w:tcPr>
            <w:tcW w:w="1240" w:type="dxa"/>
            <w:vAlign w:val="bottom"/>
            <w:tcBorders>
              <w:left w:val="single" w:sz="8" w:color="7F7F7F"/>
              <w:right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tcBorders>
              <w:right w:val="single" w:sz="8" w:color="7F7F7F"/>
            </w:tcBorders>
            <w:vMerge w:val="restart"/>
          </w:tcPr>
          <w:p>
            <w:pPr>
              <w:ind w:left="100"/>
              <w:spacing w:after="0"/>
              <w:rPr>
                <w:sz w:val="20"/>
                <w:szCs w:val="20"/>
                <w:color w:val="auto"/>
              </w:rPr>
            </w:pPr>
            <w:r>
              <w:rPr>
                <w:rFonts w:ascii="Arial" w:cs="Arial" w:eastAsia="Arial" w:hAnsi="Arial"/>
                <w:sz w:val="13"/>
                <w:szCs w:val="13"/>
                <w:color w:val="auto"/>
              </w:rPr>
              <w:t>Shield 15</w:t>
            </w:r>
          </w:p>
        </w:tc>
        <w:tc>
          <w:tcPr>
            <w:tcW w:w="2560" w:type="dxa"/>
            <w:vAlign w:val="bottom"/>
            <w:tcBorders>
              <w:bottom w:val="single" w:sz="8" w:color="7F7F7F"/>
            </w:tcBorders>
          </w:tcPr>
          <w:p>
            <w:pPr>
              <w:ind w:left="140"/>
              <w:spacing w:after="0" w:line="138" w:lineRule="exact"/>
              <w:rPr>
                <w:sz w:val="20"/>
                <w:szCs w:val="20"/>
                <w:color w:val="auto"/>
              </w:rPr>
            </w:pPr>
            <w:r>
              <w:rPr>
                <w:rFonts w:ascii="Arial" w:cs="Arial" w:eastAsia="Arial" w:hAnsi="Arial"/>
                <w:sz w:val="11"/>
                <w:szCs w:val="11"/>
                <w:color w:val="auto"/>
              </w:rPr>
              <w:t>S&amp;P 500</w:t>
            </w:r>
            <w:r>
              <w:rPr>
                <w:rFonts w:ascii="Arial" w:cs="Arial" w:eastAsia="Arial" w:hAnsi="Arial"/>
                <w:sz w:val="16"/>
                <w:szCs w:val="16"/>
                <w:color w:val="auto"/>
                <w:vertAlign w:val="superscript"/>
              </w:rPr>
              <w:t>®</w:t>
            </w:r>
            <w:r>
              <w:rPr>
                <w:rFonts w:ascii="Arial" w:cs="Arial" w:eastAsia="Arial" w:hAnsi="Arial"/>
                <w:sz w:val="11"/>
                <w:szCs w:val="11"/>
                <w:color w:val="auto"/>
              </w:rPr>
              <w:t xml:space="preserve"> Index Step Rate</w:t>
            </w:r>
          </w:p>
        </w:tc>
        <w:tc>
          <w:tcPr>
            <w:tcW w:w="1000" w:type="dxa"/>
            <w:vAlign w:val="bottom"/>
            <w:tcBorders>
              <w:bottom w:val="single" w:sz="8" w:color="7F7F7F"/>
              <w:right w:val="single" w:sz="8" w:color="7F7F7F"/>
            </w:tcBorders>
          </w:tcPr>
          <w:p>
            <w:pPr>
              <w:spacing w:after="0"/>
              <w:rPr>
                <w:sz w:val="12"/>
                <w:szCs w:val="12"/>
                <w:color w:val="auto"/>
              </w:rPr>
            </w:pPr>
          </w:p>
        </w:tc>
        <w:tc>
          <w:tcPr>
            <w:tcW w:w="1380" w:type="dxa"/>
            <w:vAlign w:val="bottom"/>
            <w:tcBorders>
              <w:bottom w:val="single" w:sz="8" w:color="7F7F7F"/>
              <w:right w:val="single" w:sz="8" w:color="7F7F7F"/>
            </w:tcBorders>
          </w:tcPr>
          <w:p>
            <w:pPr>
              <w:jc w:val="right"/>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1240" w:type="dxa"/>
            <w:vAlign w:val="bottom"/>
            <w:tcBorders>
              <w:left w:val="single" w:sz="8" w:color="7F7F7F"/>
              <w:right w:val="single" w:sz="8" w:color="7F7F7F"/>
            </w:tcBorders>
          </w:tcPr>
          <w:p>
            <w:pPr>
              <w:spacing w:after="0"/>
              <w:rPr>
                <w:sz w:val="11"/>
                <w:szCs w:val="11"/>
                <w:color w:val="auto"/>
              </w:rPr>
            </w:pPr>
          </w:p>
        </w:tc>
        <w:tc>
          <w:tcPr>
            <w:tcW w:w="200" w:type="dxa"/>
            <w:vAlign w:val="bottom"/>
          </w:tcPr>
          <w:p>
            <w:pPr>
              <w:spacing w:after="0"/>
              <w:rPr>
                <w:sz w:val="11"/>
                <w:szCs w:val="11"/>
                <w:color w:val="auto"/>
              </w:rPr>
            </w:pPr>
          </w:p>
        </w:tc>
        <w:tc>
          <w:tcPr>
            <w:tcW w:w="1740" w:type="dxa"/>
            <w:vAlign w:val="bottom"/>
            <w:tcBorders>
              <w:right w:val="single" w:sz="8" w:color="7F7F7F"/>
            </w:tcBorders>
            <w:vMerge w:val="continue"/>
          </w:tcPr>
          <w:p>
            <w:pPr>
              <w:spacing w:after="0"/>
              <w:rPr>
                <w:sz w:val="11"/>
                <w:szCs w:val="11"/>
                <w:color w:val="auto"/>
              </w:rPr>
            </w:pPr>
          </w:p>
        </w:tc>
        <w:tc>
          <w:tcPr>
            <w:tcW w:w="2560" w:type="dxa"/>
            <w:vAlign w:val="bottom"/>
            <w:tcBorders>
              <w:bottom w:val="single" w:sz="8" w:color="7F7F7F"/>
            </w:tcBorders>
          </w:tcPr>
          <w:p>
            <w:pPr>
              <w:ind w:left="140"/>
              <w:spacing w:after="0" w:line="126" w:lineRule="exact"/>
              <w:rPr>
                <w:sz w:val="20"/>
                <w:szCs w:val="20"/>
                <w:color w:val="auto"/>
              </w:rPr>
            </w:pPr>
            <w:r>
              <w:rPr>
                <w:rFonts w:ascii="Arial" w:cs="Arial" w:eastAsia="Arial" w:hAnsi="Arial"/>
                <w:sz w:val="10"/>
                <w:szCs w:val="10"/>
                <w:color w:val="auto"/>
              </w:rPr>
              <w:t>Russell 2000</w:t>
            </w:r>
            <w:r>
              <w:rPr>
                <w:rFonts w:ascii="Arial" w:cs="Arial" w:eastAsia="Arial" w:hAnsi="Arial"/>
                <w:sz w:val="14"/>
                <w:szCs w:val="14"/>
                <w:color w:val="auto"/>
                <w:vertAlign w:val="superscript"/>
              </w:rPr>
              <w:t>®</w:t>
            </w:r>
            <w:r>
              <w:rPr>
                <w:rFonts w:ascii="Arial" w:cs="Arial" w:eastAsia="Arial" w:hAnsi="Arial"/>
                <w:sz w:val="10"/>
                <w:szCs w:val="10"/>
                <w:color w:val="auto"/>
              </w:rPr>
              <w:t xml:space="preserve"> Index Step Rate</w:t>
            </w:r>
          </w:p>
        </w:tc>
        <w:tc>
          <w:tcPr>
            <w:tcW w:w="1000" w:type="dxa"/>
            <w:vAlign w:val="bottom"/>
            <w:tcBorders>
              <w:bottom w:val="single" w:sz="8" w:color="7F7F7F"/>
              <w:right w:val="single" w:sz="8" w:color="7F7F7F"/>
            </w:tcBorders>
          </w:tcPr>
          <w:p>
            <w:pPr>
              <w:spacing w:after="0"/>
              <w:rPr>
                <w:sz w:val="11"/>
                <w:szCs w:val="11"/>
                <w:color w:val="auto"/>
              </w:rPr>
            </w:pPr>
          </w:p>
        </w:tc>
        <w:tc>
          <w:tcPr>
            <w:tcW w:w="1380" w:type="dxa"/>
            <w:vAlign w:val="bottom"/>
            <w:tcBorders>
              <w:bottom w:val="single" w:sz="8" w:color="7F7F7F"/>
              <w:right w:val="single" w:sz="8" w:color="7F7F7F"/>
            </w:tcBorders>
          </w:tcPr>
          <w:p>
            <w:pPr>
              <w:jc w:val="right"/>
              <w:spacing w:after="0" w:line="12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1240" w:type="dxa"/>
            <w:vAlign w:val="bottom"/>
            <w:tcBorders>
              <w:left w:val="single" w:sz="8" w:color="7F7F7F"/>
              <w:right w:val="single" w:sz="8" w:color="7F7F7F"/>
            </w:tcBorders>
            <w:vMerge w:val="restart"/>
          </w:tcPr>
          <w:p>
            <w:pPr>
              <w:jc w:val="center"/>
              <w:ind w:left="34"/>
              <w:spacing w:after="0"/>
              <w:rPr>
                <w:sz w:val="20"/>
                <w:szCs w:val="20"/>
                <w:color w:val="auto"/>
              </w:rPr>
            </w:pPr>
            <w:r>
              <w:rPr>
                <w:rFonts w:ascii="Arial" w:cs="Arial" w:eastAsia="Arial" w:hAnsi="Arial"/>
                <w:sz w:val="13"/>
                <w:szCs w:val="13"/>
                <w:color w:val="auto"/>
                <w:w w:val="99"/>
              </w:rPr>
              <w:t>2 Year</w:t>
            </w:r>
          </w:p>
        </w:tc>
        <w:tc>
          <w:tcPr>
            <w:tcW w:w="200" w:type="dxa"/>
            <w:vAlign w:val="bottom"/>
          </w:tcPr>
          <w:p>
            <w:pPr>
              <w:spacing w:after="0"/>
              <w:rPr>
                <w:sz w:val="12"/>
                <w:szCs w:val="12"/>
                <w:color w:val="auto"/>
              </w:rPr>
            </w:pPr>
          </w:p>
        </w:tc>
        <w:tc>
          <w:tcPr>
            <w:tcW w:w="1740" w:type="dxa"/>
            <w:vAlign w:val="bottom"/>
            <w:tcBorders>
              <w:right w:val="single" w:sz="8" w:color="7F7F7F"/>
            </w:tcBorders>
          </w:tcPr>
          <w:p>
            <w:pPr>
              <w:ind w:left="100"/>
              <w:spacing w:after="0"/>
              <w:rPr>
                <w:sz w:val="20"/>
                <w:szCs w:val="20"/>
                <w:color w:val="auto"/>
              </w:rPr>
            </w:pPr>
            <w:r>
              <w:rPr>
                <w:rFonts w:ascii="Arial" w:cs="Arial" w:eastAsia="Arial" w:hAnsi="Arial"/>
                <w:sz w:val="13"/>
                <w:szCs w:val="13"/>
                <w:color w:val="auto"/>
              </w:rPr>
              <w:t>(Shield Rate: 15%)</w:t>
            </w:r>
          </w:p>
        </w:tc>
        <w:tc>
          <w:tcPr>
            <w:tcW w:w="2560" w:type="dxa"/>
            <w:vAlign w:val="bottom"/>
            <w:tcBorders>
              <w:bottom w:val="single" w:sz="8" w:color="7F7F7F"/>
            </w:tcBorders>
          </w:tcPr>
          <w:p>
            <w:pPr>
              <w:ind w:left="140"/>
              <w:spacing w:after="0"/>
              <w:rPr>
                <w:sz w:val="20"/>
                <w:szCs w:val="20"/>
                <w:color w:val="auto"/>
              </w:rPr>
            </w:pPr>
            <w:r>
              <w:rPr>
                <w:rFonts w:ascii="Arial" w:cs="Arial" w:eastAsia="Arial" w:hAnsi="Arial"/>
                <w:sz w:val="13"/>
                <w:szCs w:val="13"/>
                <w:color w:val="auto"/>
              </w:rPr>
              <w:t>MSCI EAFE Index Step Rate</w:t>
            </w:r>
          </w:p>
        </w:tc>
        <w:tc>
          <w:tcPr>
            <w:tcW w:w="1000" w:type="dxa"/>
            <w:vAlign w:val="bottom"/>
            <w:tcBorders>
              <w:bottom w:val="single" w:sz="8" w:color="7F7F7F"/>
              <w:right w:val="single" w:sz="8" w:color="7F7F7F"/>
            </w:tcBorders>
          </w:tcPr>
          <w:p>
            <w:pPr>
              <w:spacing w:after="0"/>
              <w:rPr>
                <w:sz w:val="12"/>
                <w:szCs w:val="12"/>
                <w:color w:val="auto"/>
              </w:rPr>
            </w:pPr>
          </w:p>
        </w:tc>
        <w:tc>
          <w:tcPr>
            <w:tcW w:w="1380" w:type="dxa"/>
            <w:vAlign w:val="bottom"/>
            <w:tcBorders>
              <w:bottom w:val="single" w:sz="8" w:color="7F7F7F"/>
              <w:right w:val="single" w:sz="8" w:color="7F7F7F"/>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7"/>
        </w:trPr>
        <w:tc>
          <w:tcPr>
            <w:tcW w:w="1240" w:type="dxa"/>
            <w:vAlign w:val="bottom"/>
            <w:tcBorders>
              <w:left w:val="single" w:sz="8" w:color="7F7F7F"/>
              <w:right w:val="single" w:sz="8" w:color="7F7F7F"/>
            </w:tcBorders>
            <w:vMerge w:val="continue"/>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tcBorders>
              <w:right w:val="single" w:sz="8" w:color="7F7F7F"/>
            </w:tcBorders>
          </w:tcPr>
          <w:p>
            <w:pPr>
              <w:spacing w:after="0"/>
              <w:rPr>
                <w:sz w:val="4"/>
                <w:szCs w:val="4"/>
                <w:color w:val="auto"/>
              </w:rPr>
            </w:pPr>
          </w:p>
        </w:tc>
        <w:tc>
          <w:tcPr>
            <w:tcW w:w="2560" w:type="dxa"/>
            <w:vAlign w:val="bottom"/>
            <w:vMerge w:val="restart"/>
          </w:tcPr>
          <w:p>
            <w:pPr>
              <w:ind w:left="140"/>
              <w:spacing w:after="0" w:line="138" w:lineRule="exact"/>
              <w:rPr>
                <w:sz w:val="20"/>
                <w:szCs w:val="20"/>
                <w:color w:val="auto"/>
              </w:rPr>
            </w:pPr>
            <w:r>
              <w:rPr>
                <w:rFonts w:ascii="Arial" w:cs="Arial" w:eastAsia="Arial" w:hAnsi="Arial"/>
                <w:sz w:val="11"/>
                <w:szCs w:val="11"/>
                <w:color w:val="auto"/>
              </w:rPr>
              <w:t>Nasdaq-100 Index</w:t>
            </w:r>
            <w:r>
              <w:rPr>
                <w:rFonts w:ascii="Arial" w:cs="Arial" w:eastAsia="Arial" w:hAnsi="Arial"/>
                <w:sz w:val="16"/>
                <w:szCs w:val="16"/>
                <w:color w:val="auto"/>
                <w:vertAlign w:val="superscript"/>
              </w:rPr>
              <w:t>®</w:t>
            </w:r>
            <w:r>
              <w:rPr>
                <w:rFonts w:ascii="Arial" w:cs="Arial" w:eastAsia="Arial" w:hAnsi="Arial"/>
                <w:sz w:val="11"/>
                <w:szCs w:val="11"/>
                <w:color w:val="auto"/>
              </w:rPr>
              <w:t xml:space="preserve"> Step Rate</w:t>
            </w:r>
          </w:p>
        </w:tc>
        <w:tc>
          <w:tcPr>
            <w:tcW w:w="1000" w:type="dxa"/>
            <w:vAlign w:val="bottom"/>
            <w:tcBorders>
              <w:right w:val="single" w:sz="8" w:color="7F7F7F"/>
            </w:tcBorders>
          </w:tcPr>
          <w:p>
            <w:pPr>
              <w:spacing w:after="0"/>
              <w:rPr>
                <w:sz w:val="4"/>
                <w:szCs w:val="4"/>
                <w:color w:val="auto"/>
              </w:rPr>
            </w:pPr>
          </w:p>
        </w:tc>
        <w:tc>
          <w:tcPr>
            <w:tcW w:w="1380" w:type="dxa"/>
            <w:vAlign w:val="bottom"/>
            <w:tcBorders>
              <w:right w:val="single" w:sz="8" w:color="7F7F7F"/>
            </w:tcBorders>
            <w:vMerge w:val="restart"/>
          </w:tcPr>
          <w:p>
            <w:pPr>
              <w:jc w:val="right"/>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2"/>
        </w:trPr>
        <w:tc>
          <w:tcPr>
            <w:tcW w:w="1240" w:type="dxa"/>
            <w:vAlign w:val="bottom"/>
            <w:tcBorders>
              <w:left w:val="single" w:sz="8" w:color="7F7F7F"/>
              <w:right w:val="single" w:sz="8" w:color="7F7F7F"/>
            </w:tcBorders>
            <w:vMerge w:val="restart"/>
          </w:tcPr>
          <w:p>
            <w:pPr>
              <w:jc w:val="center"/>
              <w:ind w:left="34"/>
              <w:spacing w:after="0"/>
              <w:rPr>
                <w:sz w:val="20"/>
                <w:szCs w:val="20"/>
                <w:color w:val="auto"/>
              </w:rPr>
            </w:pPr>
            <w:r>
              <w:rPr>
                <w:rFonts w:ascii="Arial" w:cs="Arial" w:eastAsia="Arial" w:hAnsi="Arial"/>
                <w:sz w:val="13"/>
                <w:szCs w:val="13"/>
                <w:color w:val="auto"/>
              </w:rPr>
              <w:t>Shield</w:t>
            </w:r>
          </w:p>
        </w:tc>
        <w:tc>
          <w:tcPr>
            <w:tcW w:w="200" w:type="dxa"/>
            <w:vAlign w:val="bottom"/>
            <w:tcBorders>
              <w:bottom w:val="single" w:sz="8" w:color="7F7F7F"/>
            </w:tcBorders>
          </w:tcPr>
          <w:p>
            <w:pPr>
              <w:spacing w:after="0"/>
              <w:rPr>
                <w:sz w:val="8"/>
                <w:szCs w:val="8"/>
                <w:color w:val="auto"/>
              </w:rPr>
            </w:pPr>
          </w:p>
        </w:tc>
        <w:tc>
          <w:tcPr>
            <w:tcW w:w="1740" w:type="dxa"/>
            <w:vAlign w:val="bottom"/>
            <w:tcBorders>
              <w:bottom w:val="single" w:sz="8" w:color="7F7F7F"/>
              <w:right w:val="single" w:sz="8" w:color="7F7F7F"/>
            </w:tcBorders>
          </w:tcPr>
          <w:p>
            <w:pPr>
              <w:spacing w:after="0"/>
              <w:rPr>
                <w:sz w:val="8"/>
                <w:szCs w:val="8"/>
                <w:color w:val="auto"/>
              </w:rPr>
            </w:pPr>
          </w:p>
        </w:tc>
        <w:tc>
          <w:tcPr>
            <w:tcW w:w="2560" w:type="dxa"/>
            <w:vAlign w:val="bottom"/>
            <w:tcBorders>
              <w:bottom w:val="single" w:sz="8" w:color="7F7F7F"/>
            </w:tcBorders>
            <w:vMerge w:val="continue"/>
          </w:tcPr>
          <w:p>
            <w:pPr>
              <w:spacing w:after="0"/>
              <w:rPr>
                <w:sz w:val="8"/>
                <w:szCs w:val="8"/>
                <w:color w:val="auto"/>
              </w:rPr>
            </w:pPr>
          </w:p>
        </w:tc>
        <w:tc>
          <w:tcPr>
            <w:tcW w:w="1000" w:type="dxa"/>
            <w:vAlign w:val="bottom"/>
            <w:tcBorders>
              <w:bottom w:val="single" w:sz="8" w:color="7F7F7F"/>
              <w:right w:val="single" w:sz="8" w:color="7F7F7F"/>
            </w:tcBorders>
          </w:tcPr>
          <w:p>
            <w:pPr>
              <w:spacing w:after="0"/>
              <w:rPr>
                <w:sz w:val="8"/>
                <w:szCs w:val="8"/>
                <w:color w:val="auto"/>
              </w:rPr>
            </w:pPr>
          </w:p>
        </w:tc>
        <w:tc>
          <w:tcPr>
            <w:tcW w:w="1380" w:type="dxa"/>
            <w:vAlign w:val="bottom"/>
            <w:tcBorders>
              <w:bottom w:val="single" w:sz="8" w:color="7F7F7F"/>
              <w:right w:val="single" w:sz="8" w:color="7F7F7F"/>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1240" w:type="dxa"/>
            <w:vAlign w:val="bottom"/>
            <w:tcBorders>
              <w:left w:val="single" w:sz="8" w:color="7F7F7F"/>
              <w:right w:val="single" w:sz="8" w:color="7F7F7F"/>
            </w:tcBorders>
            <w:vMerge w:val="continue"/>
          </w:tcPr>
          <w:p>
            <w:pPr>
              <w:spacing w:after="0"/>
              <w:rPr>
                <w:sz w:val="3"/>
                <w:szCs w:val="3"/>
                <w:color w:val="auto"/>
              </w:rPr>
            </w:pPr>
          </w:p>
        </w:tc>
        <w:tc>
          <w:tcPr>
            <w:tcW w:w="200" w:type="dxa"/>
            <w:vAlign w:val="bottom"/>
          </w:tcPr>
          <w:p>
            <w:pPr>
              <w:spacing w:after="0"/>
              <w:rPr>
                <w:sz w:val="3"/>
                <w:szCs w:val="3"/>
                <w:color w:val="auto"/>
              </w:rPr>
            </w:pPr>
          </w:p>
        </w:tc>
        <w:tc>
          <w:tcPr>
            <w:tcW w:w="1740" w:type="dxa"/>
            <w:vAlign w:val="bottom"/>
            <w:tcBorders>
              <w:right w:val="single" w:sz="8" w:color="7F7F7F"/>
            </w:tcBorders>
          </w:tcPr>
          <w:p>
            <w:pPr>
              <w:spacing w:after="0"/>
              <w:rPr>
                <w:sz w:val="3"/>
                <w:szCs w:val="3"/>
                <w:color w:val="auto"/>
              </w:rPr>
            </w:pPr>
          </w:p>
        </w:tc>
        <w:tc>
          <w:tcPr>
            <w:tcW w:w="2560" w:type="dxa"/>
            <w:vAlign w:val="bottom"/>
            <w:vMerge w:val="restart"/>
          </w:tcPr>
          <w:p>
            <w:pPr>
              <w:ind w:left="140"/>
              <w:spacing w:after="0" w:line="138" w:lineRule="exact"/>
              <w:rPr>
                <w:sz w:val="20"/>
                <w:szCs w:val="20"/>
                <w:color w:val="auto"/>
              </w:rPr>
            </w:pPr>
            <w:r>
              <w:rPr>
                <w:rFonts w:ascii="Arial" w:cs="Arial" w:eastAsia="Arial" w:hAnsi="Arial"/>
                <w:sz w:val="11"/>
                <w:szCs w:val="11"/>
                <w:color w:val="auto"/>
              </w:rPr>
              <w:t>S&amp;P 500</w:t>
            </w:r>
            <w:r>
              <w:rPr>
                <w:rFonts w:ascii="Arial" w:cs="Arial" w:eastAsia="Arial" w:hAnsi="Arial"/>
                <w:sz w:val="16"/>
                <w:szCs w:val="16"/>
                <w:color w:val="auto"/>
                <w:vertAlign w:val="superscript"/>
              </w:rPr>
              <w:t>®</w:t>
            </w:r>
            <w:r>
              <w:rPr>
                <w:rFonts w:ascii="Arial" w:cs="Arial" w:eastAsia="Arial" w:hAnsi="Arial"/>
                <w:sz w:val="11"/>
                <w:szCs w:val="11"/>
                <w:color w:val="auto"/>
              </w:rPr>
              <w:t xml:space="preserve"> Index Step Rate</w:t>
            </w:r>
          </w:p>
        </w:tc>
        <w:tc>
          <w:tcPr>
            <w:tcW w:w="1000" w:type="dxa"/>
            <w:vAlign w:val="bottom"/>
            <w:tcBorders>
              <w:right w:val="single" w:sz="8" w:color="7F7F7F"/>
            </w:tcBorders>
          </w:tcPr>
          <w:p>
            <w:pPr>
              <w:spacing w:after="0"/>
              <w:rPr>
                <w:sz w:val="3"/>
                <w:szCs w:val="3"/>
                <w:color w:val="auto"/>
              </w:rPr>
            </w:pPr>
          </w:p>
        </w:tc>
        <w:tc>
          <w:tcPr>
            <w:tcW w:w="1380" w:type="dxa"/>
            <w:vAlign w:val="bottom"/>
            <w:tcBorders>
              <w:right w:val="single" w:sz="8" w:color="7F7F7F"/>
            </w:tcBorders>
            <w:vMerge w:val="restart"/>
          </w:tcPr>
          <w:p>
            <w:pPr>
              <w:jc w:val="right"/>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line="20" w:lineRule="exact"/>
              <w:rPr>
                <w:sz w:val="1"/>
                <w:szCs w:val="1"/>
                <w:color w:val="auto"/>
              </w:rPr>
            </w:pPr>
          </w:p>
        </w:tc>
      </w:tr>
      <w:tr>
        <w:trPr>
          <w:trHeight w:val="102"/>
        </w:trPr>
        <w:tc>
          <w:tcPr>
            <w:tcW w:w="1240" w:type="dxa"/>
            <w:vAlign w:val="bottom"/>
            <w:tcBorders>
              <w:left w:val="single" w:sz="8" w:color="7F7F7F"/>
              <w:right w:val="single" w:sz="8" w:color="7F7F7F"/>
            </w:tcBorders>
            <w:vMerge w:val="restart"/>
          </w:tcPr>
          <w:p>
            <w:pPr>
              <w:jc w:val="center"/>
              <w:ind w:left="34"/>
              <w:spacing w:after="0"/>
              <w:rPr>
                <w:sz w:val="20"/>
                <w:szCs w:val="20"/>
                <w:color w:val="auto"/>
              </w:rPr>
            </w:pPr>
            <w:r>
              <w:rPr>
                <w:rFonts w:ascii="Arial" w:cs="Arial" w:eastAsia="Arial" w:hAnsi="Arial"/>
                <w:sz w:val="13"/>
                <w:szCs w:val="13"/>
                <w:color w:val="auto"/>
                <w:w w:val="98"/>
              </w:rPr>
              <w:t>Term</w:t>
            </w:r>
          </w:p>
        </w:tc>
        <w:tc>
          <w:tcPr>
            <w:tcW w:w="200" w:type="dxa"/>
            <w:vAlign w:val="bottom"/>
          </w:tcPr>
          <w:p>
            <w:pPr>
              <w:spacing w:after="0"/>
              <w:rPr>
                <w:sz w:val="8"/>
                <w:szCs w:val="8"/>
                <w:color w:val="auto"/>
              </w:rPr>
            </w:pPr>
          </w:p>
        </w:tc>
        <w:tc>
          <w:tcPr>
            <w:tcW w:w="1740" w:type="dxa"/>
            <w:vAlign w:val="bottom"/>
            <w:tcBorders>
              <w:right w:val="single" w:sz="8" w:color="7F7F7F"/>
            </w:tcBorders>
          </w:tcPr>
          <w:p>
            <w:pPr>
              <w:spacing w:after="0"/>
              <w:rPr>
                <w:sz w:val="8"/>
                <w:szCs w:val="8"/>
                <w:color w:val="auto"/>
              </w:rPr>
            </w:pPr>
          </w:p>
        </w:tc>
        <w:tc>
          <w:tcPr>
            <w:tcW w:w="2560" w:type="dxa"/>
            <w:vAlign w:val="bottom"/>
            <w:tcBorders>
              <w:bottom w:val="single" w:sz="8" w:color="7F7F7F"/>
            </w:tcBorders>
            <w:vMerge w:val="continue"/>
          </w:tcPr>
          <w:p>
            <w:pPr>
              <w:spacing w:after="0"/>
              <w:rPr>
                <w:sz w:val="8"/>
                <w:szCs w:val="8"/>
                <w:color w:val="auto"/>
              </w:rPr>
            </w:pPr>
          </w:p>
        </w:tc>
        <w:tc>
          <w:tcPr>
            <w:tcW w:w="1000" w:type="dxa"/>
            <w:vAlign w:val="bottom"/>
            <w:tcBorders>
              <w:bottom w:val="single" w:sz="8" w:color="7F7F7F"/>
              <w:right w:val="single" w:sz="8" w:color="7F7F7F"/>
            </w:tcBorders>
          </w:tcPr>
          <w:p>
            <w:pPr>
              <w:spacing w:after="0"/>
              <w:rPr>
                <w:sz w:val="8"/>
                <w:szCs w:val="8"/>
                <w:color w:val="auto"/>
              </w:rPr>
            </w:pPr>
          </w:p>
        </w:tc>
        <w:tc>
          <w:tcPr>
            <w:tcW w:w="1380" w:type="dxa"/>
            <w:vAlign w:val="bottom"/>
            <w:tcBorders>
              <w:bottom w:val="single" w:sz="8" w:color="7F7F7F"/>
              <w:right w:val="single" w:sz="8" w:color="7F7F7F"/>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1240" w:type="dxa"/>
            <w:vAlign w:val="bottom"/>
            <w:tcBorders>
              <w:left w:val="single" w:sz="8" w:color="7F7F7F"/>
              <w:right w:val="single" w:sz="8" w:color="7F7F7F"/>
            </w:tcBorders>
            <w:vMerge w:val="continue"/>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tcBorders>
              <w:right w:val="single" w:sz="8" w:color="7F7F7F"/>
            </w:tcBorders>
            <w:vMerge w:val="restart"/>
          </w:tcPr>
          <w:p>
            <w:pPr>
              <w:ind w:left="100"/>
              <w:spacing w:after="0" w:line="126" w:lineRule="exact"/>
              <w:rPr>
                <w:sz w:val="20"/>
                <w:szCs w:val="20"/>
                <w:color w:val="auto"/>
              </w:rPr>
            </w:pPr>
            <w:r>
              <w:rPr>
                <w:rFonts w:ascii="Arial" w:cs="Arial" w:eastAsia="Arial" w:hAnsi="Arial"/>
                <w:sz w:val="13"/>
                <w:szCs w:val="13"/>
                <w:color w:val="auto"/>
              </w:rPr>
              <w:t>Shield 10</w:t>
            </w:r>
          </w:p>
        </w:tc>
        <w:tc>
          <w:tcPr>
            <w:tcW w:w="2560" w:type="dxa"/>
            <w:vAlign w:val="bottom"/>
            <w:vMerge w:val="restart"/>
          </w:tcPr>
          <w:p>
            <w:pPr>
              <w:ind w:left="140"/>
              <w:spacing w:after="0" w:line="126" w:lineRule="exact"/>
              <w:rPr>
                <w:sz w:val="20"/>
                <w:szCs w:val="20"/>
                <w:color w:val="auto"/>
              </w:rPr>
            </w:pPr>
            <w:r>
              <w:rPr>
                <w:rFonts w:ascii="Arial" w:cs="Arial" w:eastAsia="Arial" w:hAnsi="Arial"/>
                <w:sz w:val="10"/>
                <w:szCs w:val="10"/>
                <w:color w:val="auto"/>
              </w:rPr>
              <w:t>Russell 2000</w:t>
            </w:r>
            <w:r>
              <w:rPr>
                <w:rFonts w:ascii="Arial" w:cs="Arial" w:eastAsia="Arial" w:hAnsi="Arial"/>
                <w:sz w:val="14"/>
                <w:szCs w:val="14"/>
                <w:color w:val="auto"/>
                <w:vertAlign w:val="superscript"/>
              </w:rPr>
              <w:t>®</w:t>
            </w:r>
            <w:r>
              <w:rPr>
                <w:rFonts w:ascii="Arial" w:cs="Arial" w:eastAsia="Arial" w:hAnsi="Arial"/>
                <w:sz w:val="10"/>
                <w:szCs w:val="10"/>
                <w:color w:val="auto"/>
              </w:rPr>
              <w:t xml:space="preserve"> Index Step Rate</w:t>
            </w:r>
          </w:p>
        </w:tc>
        <w:tc>
          <w:tcPr>
            <w:tcW w:w="1000" w:type="dxa"/>
            <w:vAlign w:val="bottom"/>
            <w:tcBorders>
              <w:right w:val="single" w:sz="8" w:color="7F7F7F"/>
            </w:tcBorders>
          </w:tcPr>
          <w:p>
            <w:pPr>
              <w:spacing w:after="0"/>
              <w:rPr>
                <w:sz w:val="4"/>
                <w:szCs w:val="4"/>
                <w:color w:val="auto"/>
              </w:rPr>
            </w:pPr>
          </w:p>
        </w:tc>
        <w:tc>
          <w:tcPr>
            <w:tcW w:w="1380" w:type="dxa"/>
            <w:vAlign w:val="bottom"/>
            <w:tcBorders>
              <w:right w:val="single" w:sz="8" w:color="7F7F7F"/>
            </w:tcBorders>
            <w:vMerge w:val="restart"/>
          </w:tcPr>
          <w:p>
            <w:pPr>
              <w:jc w:val="right"/>
              <w:spacing w:after="0" w:line="12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77"/>
        </w:trPr>
        <w:tc>
          <w:tcPr>
            <w:tcW w:w="1240" w:type="dxa"/>
            <w:vAlign w:val="bottom"/>
            <w:tcBorders>
              <w:left w:val="single" w:sz="8" w:color="7F7F7F"/>
              <w:right w:val="single" w:sz="8" w:color="7F7F7F"/>
            </w:tcBorders>
          </w:tcPr>
          <w:p>
            <w:pPr>
              <w:spacing w:after="0"/>
              <w:rPr>
                <w:sz w:val="6"/>
                <w:szCs w:val="6"/>
                <w:color w:val="auto"/>
              </w:rPr>
            </w:pPr>
          </w:p>
        </w:tc>
        <w:tc>
          <w:tcPr>
            <w:tcW w:w="200" w:type="dxa"/>
            <w:vAlign w:val="bottom"/>
          </w:tcPr>
          <w:p>
            <w:pPr>
              <w:spacing w:after="0"/>
              <w:rPr>
                <w:sz w:val="6"/>
                <w:szCs w:val="6"/>
                <w:color w:val="auto"/>
              </w:rPr>
            </w:pPr>
          </w:p>
        </w:tc>
        <w:tc>
          <w:tcPr>
            <w:tcW w:w="1740" w:type="dxa"/>
            <w:vAlign w:val="bottom"/>
            <w:tcBorders>
              <w:right w:val="single" w:sz="8" w:color="7F7F7F"/>
            </w:tcBorders>
            <w:vMerge w:val="continue"/>
          </w:tcPr>
          <w:p>
            <w:pPr>
              <w:spacing w:after="0"/>
              <w:rPr>
                <w:sz w:val="6"/>
                <w:szCs w:val="6"/>
                <w:color w:val="auto"/>
              </w:rPr>
            </w:pPr>
          </w:p>
        </w:tc>
        <w:tc>
          <w:tcPr>
            <w:tcW w:w="2560" w:type="dxa"/>
            <w:vAlign w:val="bottom"/>
            <w:tcBorders>
              <w:bottom w:val="single" w:sz="8" w:color="7F7F7F"/>
            </w:tcBorders>
            <w:vMerge w:val="continue"/>
          </w:tcPr>
          <w:p>
            <w:pPr>
              <w:spacing w:after="0"/>
              <w:rPr>
                <w:sz w:val="6"/>
                <w:szCs w:val="6"/>
                <w:color w:val="auto"/>
              </w:rPr>
            </w:pPr>
          </w:p>
        </w:tc>
        <w:tc>
          <w:tcPr>
            <w:tcW w:w="1000" w:type="dxa"/>
            <w:vAlign w:val="bottom"/>
            <w:tcBorders>
              <w:bottom w:val="single" w:sz="8" w:color="7F7F7F"/>
              <w:right w:val="single" w:sz="8" w:color="7F7F7F"/>
            </w:tcBorders>
          </w:tcPr>
          <w:p>
            <w:pPr>
              <w:spacing w:after="0"/>
              <w:rPr>
                <w:sz w:val="6"/>
                <w:szCs w:val="6"/>
                <w:color w:val="auto"/>
              </w:rPr>
            </w:pPr>
          </w:p>
        </w:tc>
        <w:tc>
          <w:tcPr>
            <w:tcW w:w="1380" w:type="dxa"/>
            <w:vAlign w:val="bottom"/>
            <w:tcBorders>
              <w:bottom w:val="single" w:sz="8" w:color="7F7F7F"/>
              <w:right w:val="single" w:sz="8" w:color="7F7F7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1240" w:type="dxa"/>
            <w:vAlign w:val="bottom"/>
            <w:tcBorders>
              <w:left w:val="single" w:sz="8" w:color="7F7F7F"/>
              <w:right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tcBorders>
              <w:right w:val="single" w:sz="8" w:color="7F7F7F"/>
            </w:tcBorders>
          </w:tcPr>
          <w:p>
            <w:pPr>
              <w:ind w:left="100"/>
              <w:spacing w:after="0"/>
              <w:rPr>
                <w:sz w:val="20"/>
                <w:szCs w:val="20"/>
                <w:color w:val="auto"/>
              </w:rPr>
            </w:pPr>
            <w:r>
              <w:rPr>
                <w:rFonts w:ascii="Arial" w:cs="Arial" w:eastAsia="Arial" w:hAnsi="Arial"/>
                <w:sz w:val="13"/>
                <w:szCs w:val="13"/>
                <w:color w:val="auto"/>
              </w:rPr>
              <w:t>(Shield Rate: 10%)</w:t>
            </w:r>
          </w:p>
        </w:tc>
        <w:tc>
          <w:tcPr>
            <w:tcW w:w="2560" w:type="dxa"/>
            <w:vAlign w:val="bottom"/>
            <w:tcBorders>
              <w:bottom w:val="single" w:sz="8" w:color="7F7F7F"/>
            </w:tcBorders>
          </w:tcPr>
          <w:p>
            <w:pPr>
              <w:ind w:left="140"/>
              <w:spacing w:after="0"/>
              <w:rPr>
                <w:sz w:val="20"/>
                <w:szCs w:val="20"/>
                <w:color w:val="auto"/>
              </w:rPr>
            </w:pPr>
            <w:r>
              <w:rPr>
                <w:rFonts w:ascii="Arial" w:cs="Arial" w:eastAsia="Arial" w:hAnsi="Arial"/>
                <w:sz w:val="13"/>
                <w:szCs w:val="13"/>
                <w:color w:val="auto"/>
              </w:rPr>
              <w:t>MSCI EAFE Index Step Rate</w:t>
            </w:r>
          </w:p>
        </w:tc>
        <w:tc>
          <w:tcPr>
            <w:tcW w:w="1000" w:type="dxa"/>
            <w:vAlign w:val="bottom"/>
            <w:tcBorders>
              <w:bottom w:val="single" w:sz="8" w:color="7F7F7F"/>
              <w:right w:val="single" w:sz="8" w:color="7F7F7F"/>
            </w:tcBorders>
          </w:tcPr>
          <w:p>
            <w:pPr>
              <w:spacing w:after="0"/>
              <w:rPr>
                <w:sz w:val="12"/>
                <w:szCs w:val="12"/>
                <w:color w:val="auto"/>
              </w:rPr>
            </w:pPr>
          </w:p>
        </w:tc>
        <w:tc>
          <w:tcPr>
            <w:tcW w:w="1380" w:type="dxa"/>
            <w:vAlign w:val="bottom"/>
            <w:tcBorders>
              <w:bottom w:val="single" w:sz="8" w:color="7F7F7F"/>
              <w:right w:val="single" w:sz="8" w:color="7F7F7F"/>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1240" w:type="dxa"/>
            <w:vAlign w:val="bottom"/>
            <w:tcBorders>
              <w:left w:val="single" w:sz="8" w:color="7F7F7F"/>
              <w:bottom w:val="single" w:sz="8" w:color="7F7F7F"/>
              <w:right w:val="single" w:sz="8" w:color="7F7F7F"/>
            </w:tcBorders>
          </w:tcPr>
          <w:p>
            <w:pPr>
              <w:spacing w:after="0"/>
              <w:rPr>
                <w:sz w:val="12"/>
                <w:szCs w:val="12"/>
                <w:color w:val="auto"/>
              </w:rPr>
            </w:pPr>
          </w:p>
        </w:tc>
        <w:tc>
          <w:tcPr>
            <w:tcW w:w="200" w:type="dxa"/>
            <w:vAlign w:val="bottom"/>
            <w:tcBorders>
              <w:bottom w:val="single" w:sz="8" w:color="7F7F7F"/>
            </w:tcBorders>
          </w:tcPr>
          <w:p>
            <w:pPr>
              <w:spacing w:after="0"/>
              <w:rPr>
                <w:sz w:val="12"/>
                <w:szCs w:val="12"/>
                <w:color w:val="auto"/>
              </w:rPr>
            </w:pPr>
          </w:p>
        </w:tc>
        <w:tc>
          <w:tcPr>
            <w:tcW w:w="1740" w:type="dxa"/>
            <w:vAlign w:val="bottom"/>
            <w:tcBorders>
              <w:bottom w:val="single" w:sz="8" w:color="7F7F7F"/>
              <w:right w:val="single" w:sz="8" w:color="7F7F7F"/>
            </w:tcBorders>
          </w:tcPr>
          <w:p>
            <w:pPr>
              <w:spacing w:after="0"/>
              <w:rPr>
                <w:sz w:val="12"/>
                <w:szCs w:val="12"/>
                <w:color w:val="auto"/>
              </w:rPr>
            </w:pPr>
          </w:p>
        </w:tc>
        <w:tc>
          <w:tcPr>
            <w:tcW w:w="2560" w:type="dxa"/>
            <w:vAlign w:val="bottom"/>
            <w:tcBorders>
              <w:bottom w:val="single" w:sz="8" w:color="7F7F7F"/>
            </w:tcBorders>
          </w:tcPr>
          <w:p>
            <w:pPr>
              <w:ind w:left="140"/>
              <w:spacing w:after="0" w:line="138" w:lineRule="exact"/>
              <w:rPr>
                <w:sz w:val="20"/>
                <w:szCs w:val="20"/>
                <w:color w:val="auto"/>
              </w:rPr>
            </w:pPr>
            <w:r>
              <w:rPr>
                <w:rFonts w:ascii="Arial" w:cs="Arial" w:eastAsia="Arial" w:hAnsi="Arial"/>
                <w:sz w:val="11"/>
                <w:szCs w:val="11"/>
                <w:color w:val="auto"/>
              </w:rPr>
              <w:t>Nasdaq-100 Index</w:t>
            </w:r>
            <w:r>
              <w:rPr>
                <w:rFonts w:ascii="Arial" w:cs="Arial" w:eastAsia="Arial" w:hAnsi="Arial"/>
                <w:sz w:val="16"/>
                <w:szCs w:val="16"/>
                <w:color w:val="auto"/>
                <w:vertAlign w:val="superscript"/>
              </w:rPr>
              <w:t>®</w:t>
            </w:r>
            <w:r>
              <w:rPr>
                <w:rFonts w:ascii="Arial" w:cs="Arial" w:eastAsia="Arial" w:hAnsi="Arial"/>
                <w:sz w:val="11"/>
                <w:szCs w:val="11"/>
                <w:color w:val="auto"/>
              </w:rPr>
              <w:t xml:space="preserve"> Step Rate</w:t>
            </w:r>
          </w:p>
        </w:tc>
        <w:tc>
          <w:tcPr>
            <w:tcW w:w="1000" w:type="dxa"/>
            <w:vAlign w:val="bottom"/>
            <w:tcBorders>
              <w:bottom w:val="single" w:sz="8" w:color="7F7F7F"/>
              <w:right w:val="single" w:sz="8" w:color="7F7F7F"/>
            </w:tcBorders>
          </w:tcPr>
          <w:p>
            <w:pPr>
              <w:spacing w:after="0"/>
              <w:rPr>
                <w:sz w:val="12"/>
                <w:szCs w:val="12"/>
                <w:color w:val="auto"/>
              </w:rPr>
            </w:pPr>
          </w:p>
        </w:tc>
        <w:tc>
          <w:tcPr>
            <w:tcW w:w="1380" w:type="dxa"/>
            <w:vAlign w:val="bottom"/>
            <w:tcBorders>
              <w:bottom w:val="single" w:sz="8" w:color="7F7F7F"/>
              <w:right w:val="single" w:sz="8" w:color="7F7F7F"/>
            </w:tcBorders>
          </w:tcPr>
          <w:p>
            <w:pPr>
              <w:jc w:val="right"/>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380" w:type="dxa"/>
            <w:vAlign w:val="bottom"/>
            <w:gridSpan w:val="2"/>
          </w:tcPr>
          <w:p>
            <w:pPr>
              <w:jc w:val="right"/>
              <w:spacing w:after="0"/>
              <w:rPr>
                <w:sz w:val="20"/>
                <w:szCs w:val="20"/>
                <w:color w:val="auto"/>
              </w:rPr>
            </w:pPr>
            <w:r>
              <w:rPr>
                <w:rFonts w:ascii="Arial" w:cs="Arial" w:eastAsia="Arial" w:hAnsi="Arial"/>
                <w:sz w:val="13"/>
                <w:szCs w:val="13"/>
                <w:color w:val="auto"/>
              </w:rPr>
              <w:t>(Continued on the next page.)</w:t>
            </w:r>
          </w:p>
        </w:tc>
        <w:tc>
          <w:tcPr>
            <w:tcW w:w="0" w:type="dxa"/>
            <w:vAlign w:val="bottom"/>
          </w:tcPr>
          <w:p>
            <w:pPr>
              <w:spacing w:after="0"/>
              <w:rPr>
                <w:sz w:val="1"/>
                <w:szCs w:val="1"/>
                <w:color w:val="auto"/>
              </w:rPr>
            </w:pPr>
          </w:p>
        </w:tc>
      </w:tr>
      <w:tr>
        <w:trPr>
          <w:trHeight w:val="245"/>
        </w:trPr>
        <w:tc>
          <w:tcPr>
            <w:tcW w:w="1440" w:type="dxa"/>
            <w:vAlign w:val="bottom"/>
            <w:gridSpan w:val="2"/>
          </w:tcPr>
          <w:p>
            <w:pPr>
              <w:jc w:val="center"/>
              <w:ind w:right="120"/>
              <w:spacing w:after="0"/>
              <w:rPr>
                <w:sz w:val="20"/>
                <w:szCs w:val="20"/>
                <w:color w:val="auto"/>
              </w:rPr>
            </w:pPr>
            <w:r>
              <w:rPr>
                <w:rFonts w:ascii="Arial" w:cs="Arial" w:eastAsia="Arial" w:hAnsi="Arial"/>
                <w:sz w:val="13"/>
                <w:szCs w:val="13"/>
                <w:color w:val="auto"/>
              </w:rPr>
              <w:t>SLS2-APP-NY (07/24)</w:t>
            </w:r>
          </w:p>
        </w:tc>
        <w:tc>
          <w:tcPr>
            <w:tcW w:w="1740" w:type="dxa"/>
            <w:vAlign w:val="bottom"/>
          </w:tcPr>
          <w:p>
            <w:pPr>
              <w:spacing w:after="0"/>
              <w:rPr>
                <w:sz w:val="21"/>
                <w:szCs w:val="21"/>
                <w:color w:val="auto"/>
              </w:rPr>
            </w:pPr>
          </w:p>
        </w:tc>
        <w:tc>
          <w:tcPr>
            <w:tcW w:w="2560" w:type="dxa"/>
            <w:vAlign w:val="bottom"/>
          </w:tcPr>
          <w:p>
            <w:pPr>
              <w:ind w:left="700"/>
              <w:spacing w:after="0"/>
              <w:rPr>
                <w:sz w:val="20"/>
                <w:szCs w:val="20"/>
                <w:color w:val="auto"/>
              </w:rPr>
            </w:pPr>
            <w:r>
              <w:rPr>
                <w:rFonts w:ascii="Arial" w:cs="Arial" w:eastAsia="Arial" w:hAnsi="Arial"/>
                <w:sz w:val="13"/>
                <w:szCs w:val="13"/>
                <w:color w:val="auto"/>
              </w:rPr>
              <w:t>Page 4 of 8</w:t>
            </w:r>
          </w:p>
        </w:tc>
        <w:tc>
          <w:tcPr>
            <w:tcW w:w="1000" w:type="dxa"/>
            <w:vAlign w:val="bottom"/>
          </w:tcPr>
          <w:p>
            <w:pPr>
              <w:spacing w:after="0"/>
              <w:rPr>
                <w:sz w:val="21"/>
                <w:szCs w:val="21"/>
                <w:color w:val="auto"/>
              </w:rPr>
            </w:pPr>
          </w:p>
        </w:tc>
        <w:tc>
          <w:tcPr>
            <w:tcW w:w="1380" w:type="dxa"/>
            <w:vAlign w:val="bottom"/>
          </w:tcPr>
          <w:p>
            <w:pPr>
              <w:jc w:val="right"/>
              <w:ind w:right="54"/>
              <w:spacing w:after="0"/>
              <w:rPr>
                <w:sz w:val="20"/>
                <w:szCs w:val="20"/>
                <w:color w:val="auto"/>
              </w:rPr>
            </w:pPr>
            <w:r>
              <w:rPr>
                <w:rFonts w:ascii="Arial" w:cs="Arial" w:eastAsia="Arial" w:hAnsi="Arial"/>
                <w:sz w:val="13"/>
                <w:szCs w:val="13"/>
                <w:color w:val="auto"/>
              </w:rPr>
              <w:t xml:space="preserve">BSL2-6-NY (07/24) </w:t>
            </w:r>
          </w:p>
        </w:tc>
        <w:tc>
          <w:tcPr>
            <w:tcW w:w="0" w:type="dxa"/>
            <w:vAlign w:val="bottom"/>
          </w:tcPr>
          <w:p>
            <w:pPr>
              <w:spacing w:after="0"/>
              <w:rPr>
                <w:sz w:val="1"/>
                <w:szCs w:val="1"/>
                <w:color w:val="auto"/>
              </w:rPr>
            </w:pPr>
          </w:p>
        </w:tc>
      </w:tr>
    </w:tbl>
    <w:p>
      <w:pPr>
        <w:sectPr>
          <w:pgSz w:w="11900" w:h="16838" w:orient="portrait"/>
          <w:cols w:equalWidth="0" w:num="1">
            <w:col w:w="10159"/>
          </w:cols>
          <w:pgMar w:left="300" w:top="232" w:right="1440" w:bottom="1440" w:gutter="0" w:footer="0" w:header="0"/>
        </w:sectPr>
      </w:pPr>
    </w:p>
    <w:bookmarkStart w:id="127" w:name="page128"/>
    <w:bookmarkEnd w:id="127"/>
    <w:p>
      <w:pPr>
        <w:ind w:left="81"/>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2">
                      <a:extLst>
                        <a:ext uri="{28A0092B-C50C-407E-A947-70E740481C1C}"/>
                      </a:extLst>
                    </a:blip>
                    <a:srcRect/>
                    <a:stretch>
                      <a:fillRect/>
                    </a:stretch>
                  </pic:blipFill>
                  <pic:spPr bwMode="auto">
                    <a:xfrm>
                      <a:off x="0" y="0"/>
                      <a:ext cx="7206615" cy="31750"/>
                    </a:xfrm>
                    <a:prstGeom prst="rect">
                      <a:avLst/>
                    </a:prstGeom>
                    <a:noFill/>
                  </pic:spPr>
                </pic:pic>
              </a:graphicData>
            </a:graphic>
          </wp:anchor>
        </w:drawing>
        <w:t>Step Rate Shield Options (continued)</w:t>
      </w:r>
    </w:p>
    <w:p>
      <w:pPr>
        <w:spacing w:after="0" w:line="12" w:lineRule="exact"/>
        <w:rPr>
          <w:sz w:val="20"/>
          <w:szCs w:val="20"/>
          <w:color w:val="auto"/>
        </w:rPr>
      </w:pPr>
    </w:p>
    <w:tbl>
      <w:tblPr>
        <w:tblLayout w:type="fixed"/>
        <w:tblInd w:w="11" w:type="dxa"/>
        <w:tblCellMar>
          <w:top w:w="0" w:type="dxa"/>
          <w:left w:w="0" w:type="dxa"/>
          <w:bottom w:w="0" w:type="dxa"/>
          <w:right w:w="0" w:type="dxa"/>
        </w:tblCellMar>
      </w:tblPr>
      <w:tr>
        <w:trPr>
          <w:trHeight w:val="139"/>
        </w:trPr>
        <w:tc>
          <w:tcPr>
            <w:tcW w:w="1240" w:type="dxa"/>
            <w:vAlign w:val="bottom"/>
            <w:tcBorders>
              <w:top w:val="single" w:sz="8" w:color="7F7F7F"/>
              <w:left w:val="single" w:sz="8" w:color="7F7F7F"/>
              <w:bottom w:val="single" w:sz="8" w:color="7F7F7F"/>
              <w:right w:val="single" w:sz="8" w:color="7F7F7F"/>
            </w:tcBorders>
            <w:shd w:val="clear" w:color="auto" w:fill="D9D9D9"/>
          </w:tcPr>
          <w:p>
            <w:pPr>
              <w:ind w:left="440"/>
              <w:spacing w:after="0" w:line="139" w:lineRule="exact"/>
              <w:rPr>
                <w:sz w:val="20"/>
                <w:szCs w:val="20"/>
                <w:color w:val="auto"/>
              </w:rPr>
            </w:pPr>
            <w:r>
              <w:rPr>
                <w:rFonts w:ascii="Arial" w:cs="Arial" w:eastAsia="Arial" w:hAnsi="Arial"/>
                <w:sz w:val="13"/>
                <w:szCs w:val="13"/>
                <w:b w:val="1"/>
                <w:bCs w:val="1"/>
                <w:color w:val="auto"/>
              </w:rPr>
              <w:t>Term </w:t>
            </w:r>
          </w:p>
        </w:tc>
        <w:tc>
          <w:tcPr>
            <w:tcW w:w="1940" w:type="dxa"/>
            <w:vAlign w:val="bottom"/>
            <w:tcBorders>
              <w:top w:val="single" w:sz="8" w:color="7F7F7F"/>
              <w:bottom w:val="single" w:sz="8" w:color="7F7F7F"/>
              <w:right w:val="single" w:sz="8" w:color="7F7F7F"/>
            </w:tcBorders>
            <w:shd w:val="clear" w:color="auto" w:fill="D9D9D9"/>
          </w:tcPr>
          <w:p>
            <w:pPr>
              <w:ind w:left="300"/>
              <w:spacing w:after="0" w:line="139" w:lineRule="exact"/>
              <w:rPr>
                <w:sz w:val="20"/>
                <w:szCs w:val="20"/>
                <w:color w:val="auto"/>
              </w:rPr>
            </w:pPr>
            <w:r>
              <w:rPr>
                <w:rFonts w:ascii="Arial" w:cs="Arial" w:eastAsia="Arial" w:hAnsi="Arial"/>
                <w:sz w:val="13"/>
                <w:szCs w:val="13"/>
                <w:b w:val="1"/>
                <w:bCs w:val="1"/>
                <w:color w:val="auto"/>
              </w:rPr>
              <w:t>Shield Rate</w:t>
            </w:r>
          </w:p>
        </w:tc>
        <w:tc>
          <w:tcPr>
            <w:tcW w:w="3580" w:type="dxa"/>
            <w:vAlign w:val="bottom"/>
            <w:tcBorders>
              <w:top w:val="single" w:sz="8" w:color="7F7F7F"/>
              <w:bottom w:val="single" w:sz="8" w:color="7F7F7F"/>
              <w:right w:val="single" w:sz="8" w:color="7F7F7F"/>
            </w:tcBorders>
            <w:gridSpan w:val="2"/>
            <w:shd w:val="clear" w:color="auto" w:fill="D9D9D9"/>
          </w:tcPr>
          <w:p>
            <w:pPr>
              <w:ind w:left="140"/>
              <w:spacing w:after="0" w:line="139" w:lineRule="exact"/>
              <w:rPr>
                <w:sz w:val="20"/>
                <w:szCs w:val="20"/>
                <w:color w:val="auto"/>
              </w:rPr>
            </w:pPr>
            <w:r>
              <w:rPr>
                <w:rFonts w:ascii="Arial" w:cs="Arial" w:eastAsia="Arial" w:hAnsi="Arial"/>
                <w:sz w:val="13"/>
                <w:szCs w:val="13"/>
                <w:b w:val="1"/>
                <w:bCs w:val="1"/>
                <w:color w:val="auto"/>
              </w:rPr>
              <w:t>Index/Crediting Strategy</w:t>
            </w:r>
          </w:p>
        </w:tc>
        <w:tc>
          <w:tcPr>
            <w:tcW w:w="1340" w:type="dxa"/>
            <w:vAlign w:val="bottom"/>
            <w:tcBorders>
              <w:top w:val="single" w:sz="8" w:color="7F7F7F"/>
              <w:bottom w:val="single" w:sz="8" w:color="7F7F7F"/>
            </w:tcBorders>
            <w:shd w:val="clear" w:color="auto" w:fill="D9D9D9"/>
          </w:tcPr>
          <w:p>
            <w:pPr>
              <w:ind w:left="40"/>
              <w:spacing w:after="0" w:line="139" w:lineRule="exact"/>
              <w:rPr>
                <w:sz w:val="20"/>
                <w:szCs w:val="20"/>
                <w:color w:val="auto"/>
              </w:rPr>
            </w:pPr>
            <w:r>
              <w:rPr>
                <w:rFonts w:ascii="Arial" w:cs="Arial" w:eastAsia="Arial" w:hAnsi="Arial"/>
                <w:sz w:val="13"/>
                <w:szCs w:val="13"/>
                <w:b w:val="1"/>
                <w:bCs w:val="1"/>
                <w:color w:val="auto"/>
              </w:rPr>
              <w:t>Percentage</w:t>
            </w:r>
          </w:p>
        </w:tc>
        <w:tc>
          <w:tcPr>
            <w:tcW w:w="20" w:type="dxa"/>
            <w:vAlign w:val="bottom"/>
            <w:tcBorders>
              <w:top w:val="single" w:sz="8" w:color="7F7F7F"/>
              <w:bottom w:val="single" w:sz="8" w:color="7F7F7F"/>
            </w:tcBorders>
            <w:shd w:val="clear" w:color="auto" w:fill="7F7F7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40" w:type="dxa"/>
            <w:vAlign w:val="bottom"/>
            <w:tcBorders>
              <w:left w:val="single" w:sz="8" w:color="7F7F7F"/>
              <w:right w:val="single" w:sz="8" w:color="7F7F7F"/>
            </w:tcBorders>
          </w:tcPr>
          <w:p>
            <w:pPr>
              <w:spacing w:after="0"/>
              <w:rPr>
                <w:sz w:val="12"/>
                <w:szCs w:val="12"/>
                <w:color w:val="auto"/>
              </w:rPr>
            </w:pPr>
          </w:p>
        </w:tc>
        <w:tc>
          <w:tcPr>
            <w:tcW w:w="1940" w:type="dxa"/>
            <w:vAlign w:val="bottom"/>
            <w:tcBorders>
              <w:right w:val="single" w:sz="8" w:color="7F7F7F"/>
            </w:tcBorders>
            <w:vMerge w:val="restart"/>
          </w:tcPr>
          <w:p>
            <w:pPr>
              <w:ind w:left="300"/>
              <w:spacing w:after="0"/>
              <w:rPr>
                <w:sz w:val="20"/>
                <w:szCs w:val="20"/>
                <w:color w:val="auto"/>
              </w:rPr>
            </w:pPr>
            <w:r>
              <w:rPr>
                <w:rFonts w:ascii="Arial" w:cs="Arial" w:eastAsia="Arial" w:hAnsi="Arial"/>
                <w:sz w:val="13"/>
                <w:szCs w:val="13"/>
                <w:color w:val="auto"/>
              </w:rPr>
              <w:t>Shield 15</w:t>
            </w:r>
          </w:p>
        </w:tc>
        <w:tc>
          <w:tcPr>
            <w:tcW w:w="3580" w:type="dxa"/>
            <w:vAlign w:val="bottom"/>
            <w:tcBorders>
              <w:bottom w:val="single" w:sz="8" w:color="7F7F7F"/>
              <w:right w:val="single" w:sz="8" w:color="7F7F7F"/>
            </w:tcBorders>
            <w:gridSpan w:val="2"/>
          </w:tcPr>
          <w:p>
            <w:pPr>
              <w:ind w:left="140"/>
              <w:spacing w:after="0" w:line="138" w:lineRule="exact"/>
              <w:rPr>
                <w:sz w:val="20"/>
                <w:szCs w:val="20"/>
                <w:color w:val="auto"/>
              </w:rPr>
            </w:pPr>
            <w:r>
              <w:rPr>
                <w:rFonts w:ascii="Arial" w:cs="Arial" w:eastAsia="Arial" w:hAnsi="Arial"/>
                <w:sz w:val="11"/>
                <w:szCs w:val="11"/>
                <w:color w:val="auto"/>
              </w:rPr>
              <w:t>S&amp;P 500</w:t>
            </w:r>
            <w:r>
              <w:rPr>
                <w:rFonts w:ascii="Arial" w:cs="Arial" w:eastAsia="Arial" w:hAnsi="Arial"/>
                <w:sz w:val="16"/>
                <w:szCs w:val="16"/>
                <w:color w:val="auto"/>
                <w:vertAlign w:val="superscript"/>
              </w:rPr>
              <w:t>®</w:t>
            </w:r>
            <w:r>
              <w:rPr>
                <w:rFonts w:ascii="Arial" w:cs="Arial" w:eastAsia="Arial" w:hAnsi="Arial"/>
                <w:sz w:val="11"/>
                <w:szCs w:val="11"/>
                <w:color w:val="auto"/>
              </w:rPr>
              <w:t xml:space="preserve"> Index Step Rate</w:t>
            </w:r>
          </w:p>
        </w:tc>
        <w:tc>
          <w:tcPr>
            <w:tcW w:w="1340" w:type="dxa"/>
            <w:vAlign w:val="bottom"/>
            <w:tcBorders>
              <w:bottom w:val="single" w:sz="8" w:color="7F7F7F"/>
            </w:tcBorders>
          </w:tcPr>
          <w:p>
            <w:pPr>
              <w:jc w:val="right"/>
              <w:spacing w:after="0" w:line="139"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7F7F7F"/>
            </w:tcBorders>
            <w:shd w:val="clear" w:color="auto" w:fill="7F7F7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240" w:type="dxa"/>
            <w:vAlign w:val="bottom"/>
            <w:tcBorders>
              <w:left w:val="single" w:sz="8" w:color="7F7F7F"/>
              <w:right w:val="single" w:sz="8" w:color="7F7F7F"/>
            </w:tcBorders>
          </w:tcPr>
          <w:p>
            <w:pPr>
              <w:spacing w:after="0"/>
              <w:rPr>
                <w:sz w:val="11"/>
                <w:szCs w:val="11"/>
                <w:color w:val="auto"/>
              </w:rPr>
            </w:pPr>
          </w:p>
        </w:tc>
        <w:tc>
          <w:tcPr>
            <w:tcW w:w="1940" w:type="dxa"/>
            <w:vAlign w:val="bottom"/>
            <w:tcBorders>
              <w:right w:val="single" w:sz="8" w:color="7F7F7F"/>
            </w:tcBorders>
            <w:vMerge w:val="continue"/>
          </w:tcPr>
          <w:p>
            <w:pPr>
              <w:spacing w:after="0"/>
              <w:rPr>
                <w:sz w:val="11"/>
                <w:szCs w:val="11"/>
                <w:color w:val="auto"/>
              </w:rPr>
            </w:pPr>
          </w:p>
        </w:tc>
        <w:tc>
          <w:tcPr>
            <w:tcW w:w="3580" w:type="dxa"/>
            <w:vAlign w:val="bottom"/>
            <w:tcBorders>
              <w:bottom w:val="single" w:sz="8" w:color="7F7F7F"/>
              <w:right w:val="single" w:sz="8" w:color="7F7F7F"/>
            </w:tcBorders>
            <w:gridSpan w:val="2"/>
          </w:tcPr>
          <w:p>
            <w:pPr>
              <w:ind w:left="140"/>
              <w:spacing w:after="0" w:line="126" w:lineRule="exact"/>
              <w:rPr>
                <w:sz w:val="20"/>
                <w:szCs w:val="20"/>
                <w:color w:val="auto"/>
              </w:rPr>
            </w:pPr>
            <w:r>
              <w:rPr>
                <w:rFonts w:ascii="Arial" w:cs="Arial" w:eastAsia="Arial" w:hAnsi="Arial"/>
                <w:sz w:val="10"/>
                <w:szCs w:val="10"/>
                <w:color w:val="auto"/>
              </w:rPr>
              <w:t>Russell 2000</w:t>
            </w:r>
            <w:r>
              <w:rPr>
                <w:rFonts w:ascii="Arial" w:cs="Arial" w:eastAsia="Arial" w:hAnsi="Arial"/>
                <w:sz w:val="14"/>
                <w:szCs w:val="14"/>
                <w:color w:val="auto"/>
                <w:vertAlign w:val="superscript"/>
              </w:rPr>
              <w:t>®</w:t>
            </w:r>
            <w:r>
              <w:rPr>
                <w:rFonts w:ascii="Arial" w:cs="Arial" w:eastAsia="Arial" w:hAnsi="Arial"/>
                <w:sz w:val="10"/>
                <w:szCs w:val="10"/>
                <w:color w:val="auto"/>
              </w:rPr>
              <w:t xml:space="preserve"> Index Step Rate</w:t>
            </w:r>
          </w:p>
        </w:tc>
        <w:tc>
          <w:tcPr>
            <w:tcW w:w="1340" w:type="dxa"/>
            <w:vAlign w:val="bottom"/>
            <w:tcBorders>
              <w:bottom w:val="single" w:sz="8" w:color="7F7F7F"/>
            </w:tcBorders>
          </w:tcPr>
          <w:p>
            <w:pPr>
              <w:jc w:val="right"/>
              <w:spacing w:after="0" w:line="126"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7F7F7F"/>
            </w:tcBorders>
            <w:shd w:val="clear" w:color="auto" w:fill="7F7F7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40" w:type="dxa"/>
            <w:vAlign w:val="bottom"/>
            <w:tcBorders>
              <w:left w:val="single" w:sz="8" w:color="7F7F7F"/>
              <w:right w:val="single" w:sz="8" w:color="7F7F7F"/>
            </w:tcBorders>
            <w:vMerge w:val="restart"/>
          </w:tcPr>
          <w:p>
            <w:pPr>
              <w:jc w:val="center"/>
              <w:ind w:left="34"/>
              <w:spacing w:after="0"/>
              <w:rPr>
                <w:sz w:val="20"/>
                <w:szCs w:val="20"/>
                <w:color w:val="auto"/>
              </w:rPr>
            </w:pPr>
            <w:r>
              <w:rPr>
                <w:rFonts w:ascii="Arial" w:cs="Arial" w:eastAsia="Arial" w:hAnsi="Arial"/>
                <w:sz w:val="13"/>
                <w:szCs w:val="13"/>
                <w:color w:val="auto"/>
                <w:w w:val="99"/>
              </w:rPr>
              <w:t>1 Year</w:t>
            </w:r>
          </w:p>
        </w:tc>
        <w:tc>
          <w:tcPr>
            <w:tcW w:w="1940" w:type="dxa"/>
            <w:vAlign w:val="bottom"/>
            <w:tcBorders>
              <w:right w:val="single" w:sz="8" w:color="7F7F7F"/>
            </w:tcBorders>
          </w:tcPr>
          <w:p>
            <w:pPr>
              <w:ind w:left="300"/>
              <w:spacing w:after="0"/>
              <w:rPr>
                <w:sz w:val="20"/>
                <w:szCs w:val="20"/>
                <w:color w:val="auto"/>
              </w:rPr>
            </w:pPr>
            <w:r>
              <w:rPr>
                <w:rFonts w:ascii="Arial" w:cs="Arial" w:eastAsia="Arial" w:hAnsi="Arial"/>
                <w:sz w:val="13"/>
                <w:szCs w:val="13"/>
                <w:color w:val="auto"/>
              </w:rPr>
              <w:t>(Shield Rate: 15%)</w:t>
            </w:r>
          </w:p>
        </w:tc>
        <w:tc>
          <w:tcPr>
            <w:tcW w:w="3580" w:type="dxa"/>
            <w:vAlign w:val="bottom"/>
            <w:tcBorders>
              <w:bottom w:val="single" w:sz="8" w:color="7F7F7F"/>
              <w:right w:val="single" w:sz="8" w:color="7F7F7F"/>
            </w:tcBorders>
            <w:gridSpan w:val="2"/>
          </w:tcPr>
          <w:p>
            <w:pPr>
              <w:ind w:left="140"/>
              <w:spacing w:after="0"/>
              <w:rPr>
                <w:sz w:val="20"/>
                <w:szCs w:val="20"/>
                <w:color w:val="auto"/>
              </w:rPr>
            </w:pPr>
            <w:r>
              <w:rPr>
                <w:rFonts w:ascii="Arial" w:cs="Arial" w:eastAsia="Arial" w:hAnsi="Arial"/>
                <w:sz w:val="13"/>
                <w:szCs w:val="13"/>
                <w:color w:val="auto"/>
              </w:rPr>
              <w:t>MSCI EAFE Index Step Rate</w:t>
            </w:r>
          </w:p>
        </w:tc>
        <w:tc>
          <w:tcPr>
            <w:tcW w:w="1340" w:type="dxa"/>
            <w:vAlign w:val="bottom"/>
            <w:tcBorders>
              <w:bottom w:val="single" w:sz="8" w:color="7F7F7F"/>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7F7F7F"/>
            </w:tcBorders>
            <w:shd w:val="clear" w:color="auto" w:fill="7F7F7F"/>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1240" w:type="dxa"/>
            <w:vAlign w:val="bottom"/>
            <w:tcBorders>
              <w:left w:val="single" w:sz="8" w:color="7F7F7F"/>
              <w:right w:val="single" w:sz="8" w:color="7F7F7F"/>
            </w:tcBorders>
            <w:vMerge w:val="continue"/>
          </w:tcPr>
          <w:p>
            <w:pPr>
              <w:spacing w:after="0"/>
              <w:rPr>
                <w:sz w:val="4"/>
                <w:szCs w:val="4"/>
                <w:color w:val="auto"/>
              </w:rPr>
            </w:pPr>
          </w:p>
        </w:tc>
        <w:tc>
          <w:tcPr>
            <w:tcW w:w="1940" w:type="dxa"/>
            <w:vAlign w:val="bottom"/>
            <w:tcBorders>
              <w:right w:val="single" w:sz="8" w:color="7F7F7F"/>
            </w:tcBorders>
          </w:tcPr>
          <w:p>
            <w:pPr>
              <w:spacing w:after="0"/>
              <w:rPr>
                <w:sz w:val="4"/>
                <w:szCs w:val="4"/>
                <w:color w:val="auto"/>
              </w:rPr>
            </w:pPr>
          </w:p>
        </w:tc>
        <w:tc>
          <w:tcPr>
            <w:tcW w:w="3580" w:type="dxa"/>
            <w:vAlign w:val="bottom"/>
            <w:tcBorders>
              <w:right w:val="single" w:sz="8" w:color="7F7F7F"/>
            </w:tcBorders>
            <w:gridSpan w:val="2"/>
            <w:vMerge w:val="restart"/>
          </w:tcPr>
          <w:p>
            <w:pPr>
              <w:ind w:left="140"/>
              <w:spacing w:after="0" w:line="138" w:lineRule="exact"/>
              <w:rPr>
                <w:sz w:val="20"/>
                <w:szCs w:val="20"/>
                <w:color w:val="auto"/>
              </w:rPr>
            </w:pPr>
            <w:r>
              <w:rPr>
                <w:rFonts w:ascii="Arial" w:cs="Arial" w:eastAsia="Arial" w:hAnsi="Arial"/>
                <w:sz w:val="11"/>
                <w:szCs w:val="11"/>
                <w:color w:val="auto"/>
              </w:rPr>
              <w:t>Nasdaq-100 Index</w:t>
            </w:r>
            <w:r>
              <w:rPr>
                <w:rFonts w:ascii="Arial" w:cs="Arial" w:eastAsia="Arial" w:hAnsi="Arial"/>
                <w:sz w:val="16"/>
                <w:szCs w:val="16"/>
                <w:color w:val="auto"/>
                <w:vertAlign w:val="superscript"/>
              </w:rPr>
              <w:t>®</w:t>
            </w:r>
            <w:r>
              <w:rPr>
                <w:rFonts w:ascii="Arial" w:cs="Arial" w:eastAsia="Arial" w:hAnsi="Arial"/>
                <w:sz w:val="11"/>
                <w:szCs w:val="11"/>
                <w:color w:val="auto"/>
              </w:rPr>
              <w:t xml:space="preserve"> Step Rate</w:t>
            </w:r>
          </w:p>
        </w:tc>
        <w:tc>
          <w:tcPr>
            <w:tcW w:w="1340" w:type="dxa"/>
            <w:vAlign w:val="bottom"/>
            <w:vMerge w:val="restart"/>
          </w:tcPr>
          <w:p>
            <w:pPr>
              <w:jc w:val="right"/>
              <w:spacing w:after="0" w:line="139" w:lineRule="exact"/>
              <w:rPr>
                <w:sz w:val="20"/>
                <w:szCs w:val="20"/>
                <w:color w:val="auto"/>
              </w:rPr>
            </w:pPr>
            <w:r>
              <w:rPr>
                <w:rFonts w:ascii="Arial" w:cs="Arial" w:eastAsia="Arial" w:hAnsi="Arial"/>
                <w:sz w:val="13"/>
                <w:szCs w:val="13"/>
                <w:color w:val="auto"/>
              </w:rPr>
              <w:t>%</w:t>
            </w:r>
          </w:p>
        </w:tc>
        <w:tc>
          <w:tcPr>
            <w:tcW w:w="20" w:type="dxa"/>
            <w:vAlign w:val="bottom"/>
            <w:shd w:val="clear" w:color="auto" w:fill="7F7F7F"/>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1240" w:type="dxa"/>
            <w:vAlign w:val="bottom"/>
            <w:tcBorders>
              <w:left w:val="single" w:sz="8" w:color="7F7F7F"/>
              <w:right w:val="single" w:sz="8" w:color="7F7F7F"/>
            </w:tcBorders>
            <w:vMerge w:val="restart"/>
          </w:tcPr>
          <w:p>
            <w:pPr>
              <w:jc w:val="center"/>
              <w:ind w:left="34"/>
              <w:spacing w:after="0"/>
              <w:rPr>
                <w:sz w:val="20"/>
                <w:szCs w:val="20"/>
                <w:color w:val="auto"/>
              </w:rPr>
            </w:pPr>
            <w:r>
              <w:rPr>
                <w:rFonts w:ascii="Arial" w:cs="Arial" w:eastAsia="Arial" w:hAnsi="Arial"/>
                <w:sz w:val="13"/>
                <w:szCs w:val="13"/>
                <w:color w:val="auto"/>
              </w:rPr>
              <w:t>Shield</w:t>
            </w:r>
          </w:p>
        </w:tc>
        <w:tc>
          <w:tcPr>
            <w:tcW w:w="1940" w:type="dxa"/>
            <w:vAlign w:val="bottom"/>
            <w:tcBorders>
              <w:bottom w:val="single" w:sz="8" w:color="7F7F7F"/>
              <w:right w:val="single" w:sz="8" w:color="7F7F7F"/>
            </w:tcBorders>
          </w:tcPr>
          <w:p>
            <w:pPr>
              <w:spacing w:after="0"/>
              <w:rPr>
                <w:sz w:val="8"/>
                <w:szCs w:val="8"/>
                <w:color w:val="auto"/>
              </w:rPr>
            </w:pPr>
          </w:p>
        </w:tc>
        <w:tc>
          <w:tcPr>
            <w:tcW w:w="3580" w:type="dxa"/>
            <w:vAlign w:val="bottom"/>
            <w:tcBorders>
              <w:bottom w:val="single" w:sz="8" w:color="7F7F7F"/>
              <w:right w:val="single" w:sz="8" w:color="7F7F7F"/>
            </w:tcBorders>
            <w:gridSpan w:val="2"/>
            <w:vMerge w:val="continue"/>
          </w:tcPr>
          <w:p>
            <w:pPr>
              <w:spacing w:after="0"/>
              <w:rPr>
                <w:sz w:val="8"/>
                <w:szCs w:val="8"/>
                <w:color w:val="auto"/>
              </w:rPr>
            </w:pPr>
          </w:p>
        </w:tc>
        <w:tc>
          <w:tcPr>
            <w:tcW w:w="1340" w:type="dxa"/>
            <w:vAlign w:val="bottom"/>
            <w:tcBorders>
              <w:bottom w:val="single" w:sz="8" w:color="7F7F7F"/>
            </w:tcBorders>
            <w:vMerge w:val="continue"/>
          </w:tcPr>
          <w:p>
            <w:pPr>
              <w:spacing w:after="0"/>
              <w:rPr>
                <w:sz w:val="8"/>
                <w:szCs w:val="8"/>
                <w:color w:val="auto"/>
              </w:rPr>
            </w:pPr>
          </w:p>
        </w:tc>
        <w:tc>
          <w:tcPr>
            <w:tcW w:w="20" w:type="dxa"/>
            <w:vAlign w:val="bottom"/>
            <w:tcBorders>
              <w:bottom w:val="single" w:sz="8" w:color="7F7F7F"/>
            </w:tcBorders>
            <w:shd w:val="clear" w:color="auto" w:fill="7F7F7F"/>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1240" w:type="dxa"/>
            <w:vAlign w:val="bottom"/>
            <w:tcBorders>
              <w:left w:val="single" w:sz="8" w:color="7F7F7F"/>
              <w:right w:val="single" w:sz="8" w:color="7F7F7F"/>
            </w:tcBorders>
            <w:vMerge w:val="continue"/>
          </w:tcPr>
          <w:p>
            <w:pPr>
              <w:spacing w:after="0"/>
              <w:rPr>
                <w:sz w:val="3"/>
                <w:szCs w:val="3"/>
                <w:color w:val="auto"/>
              </w:rPr>
            </w:pPr>
          </w:p>
        </w:tc>
        <w:tc>
          <w:tcPr>
            <w:tcW w:w="1940" w:type="dxa"/>
            <w:vAlign w:val="bottom"/>
            <w:tcBorders>
              <w:right w:val="single" w:sz="8" w:color="7F7F7F"/>
            </w:tcBorders>
          </w:tcPr>
          <w:p>
            <w:pPr>
              <w:spacing w:after="0"/>
              <w:rPr>
                <w:sz w:val="3"/>
                <w:szCs w:val="3"/>
                <w:color w:val="auto"/>
              </w:rPr>
            </w:pPr>
          </w:p>
        </w:tc>
        <w:tc>
          <w:tcPr>
            <w:tcW w:w="3580" w:type="dxa"/>
            <w:vAlign w:val="bottom"/>
            <w:tcBorders>
              <w:right w:val="single" w:sz="8" w:color="7F7F7F"/>
            </w:tcBorders>
            <w:gridSpan w:val="2"/>
            <w:vMerge w:val="restart"/>
          </w:tcPr>
          <w:p>
            <w:pPr>
              <w:ind w:left="140"/>
              <w:spacing w:after="0" w:line="138" w:lineRule="exact"/>
              <w:rPr>
                <w:sz w:val="20"/>
                <w:szCs w:val="20"/>
                <w:color w:val="auto"/>
              </w:rPr>
            </w:pPr>
            <w:r>
              <w:rPr>
                <w:rFonts w:ascii="Arial" w:cs="Arial" w:eastAsia="Arial" w:hAnsi="Arial"/>
                <w:sz w:val="11"/>
                <w:szCs w:val="11"/>
                <w:color w:val="auto"/>
              </w:rPr>
              <w:t>S&amp;P 500</w:t>
            </w:r>
            <w:r>
              <w:rPr>
                <w:rFonts w:ascii="Arial" w:cs="Arial" w:eastAsia="Arial" w:hAnsi="Arial"/>
                <w:sz w:val="16"/>
                <w:szCs w:val="16"/>
                <w:color w:val="auto"/>
                <w:vertAlign w:val="superscript"/>
              </w:rPr>
              <w:t>®</w:t>
            </w:r>
            <w:r>
              <w:rPr>
                <w:rFonts w:ascii="Arial" w:cs="Arial" w:eastAsia="Arial" w:hAnsi="Arial"/>
                <w:sz w:val="11"/>
                <w:szCs w:val="11"/>
                <w:color w:val="auto"/>
              </w:rPr>
              <w:t xml:space="preserve"> Index Step Rate</w:t>
            </w:r>
          </w:p>
        </w:tc>
        <w:tc>
          <w:tcPr>
            <w:tcW w:w="1340" w:type="dxa"/>
            <w:vAlign w:val="bottom"/>
            <w:vMerge w:val="restart"/>
          </w:tcPr>
          <w:p>
            <w:pPr>
              <w:jc w:val="right"/>
              <w:spacing w:after="0" w:line="139" w:lineRule="exact"/>
              <w:rPr>
                <w:sz w:val="20"/>
                <w:szCs w:val="20"/>
                <w:color w:val="auto"/>
              </w:rPr>
            </w:pPr>
            <w:r>
              <w:rPr>
                <w:rFonts w:ascii="Arial" w:cs="Arial" w:eastAsia="Arial" w:hAnsi="Arial"/>
                <w:sz w:val="13"/>
                <w:szCs w:val="13"/>
                <w:color w:val="auto"/>
              </w:rPr>
              <w:t>%</w:t>
            </w:r>
          </w:p>
        </w:tc>
        <w:tc>
          <w:tcPr>
            <w:tcW w:w="20" w:type="dxa"/>
            <w:vAlign w:val="bottom"/>
            <w:shd w:val="clear" w:color="auto" w:fill="7F7F7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2"/>
        </w:trPr>
        <w:tc>
          <w:tcPr>
            <w:tcW w:w="1240" w:type="dxa"/>
            <w:vAlign w:val="bottom"/>
            <w:tcBorders>
              <w:left w:val="single" w:sz="8" w:color="7F7F7F"/>
              <w:right w:val="single" w:sz="8" w:color="7F7F7F"/>
            </w:tcBorders>
            <w:vMerge w:val="restart"/>
          </w:tcPr>
          <w:p>
            <w:pPr>
              <w:jc w:val="center"/>
              <w:ind w:left="34"/>
              <w:spacing w:after="0"/>
              <w:rPr>
                <w:sz w:val="20"/>
                <w:szCs w:val="20"/>
                <w:color w:val="auto"/>
              </w:rPr>
            </w:pPr>
            <w:r>
              <w:rPr>
                <w:rFonts w:ascii="Arial" w:cs="Arial" w:eastAsia="Arial" w:hAnsi="Arial"/>
                <w:sz w:val="13"/>
                <w:szCs w:val="13"/>
                <w:color w:val="auto"/>
                <w:w w:val="98"/>
              </w:rPr>
              <w:t>Term</w:t>
            </w:r>
          </w:p>
        </w:tc>
        <w:tc>
          <w:tcPr>
            <w:tcW w:w="1940" w:type="dxa"/>
            <w:vAlign w:val="bottom"/>
            <w:tcBorders>
              <w:right w:val="single" w:sz="8" w:color="7F7F7F"/>
            </w:tcBorders>
          </w:tcPr>
          <w:p>
            <w:pPr>
              <w:spacing w:after="0"/>
              <w:rPr>
                <w:sz w:val="8"/>
                <w:szCs w:val="8"/>
                <w:color w:val="auto"/>
              </w:rPr>
            </w:pPr>
          </w:p>
        </w:tc>
        <w:tc>
          <w:tcPr>
            <w:tcW w:w="3580" w:type="dxa"/>
            <w:vAlign w:val="bottom"/>
            <w:tcBorders>
              <w:bottom w:val="single" w:sz="8" w:color="7F7F7F"/>
              <w:right w:val="single" w:sz="8" w:color="7F7F7F"/>
            </w:tcBorders>
            <w:gridSpan w:val="2"/>
            <w:vMerge w:val="continue"/>
          </w:tcPr>
          <w:p>
            <w:pPr>
              <w:spacing w:after="0"/>
              <w:rPr>
                <w:sz w:val="8"/>
                <w:szCs w:val="8"/>
                <w:color w:val="auto"/>
              </w:rPr>
            </w:pPr>
          </w:p>
        </w:tc>
        <w:tc>
          <w:tcPr>
            <w:tcW w:w="1340" w:type="dxa"/>
            <w:vAlign w:val="bottom"/>
            <w:tcBorders>
              <w:bottom w:val="single" w:sz="8" w:color="7F7F7F"/>
            </w:tcBorders>
            <w:vMerge w:val="continue"/>
          </w:tcPr>
          <w:p>
            <w:pPr>
              <w:spacing w:after="0"/>
              <w:rPr>
                <w:sz w:val="8"/>
                <w:szCs w:val="8"/>
                <w:color w:val="auto"/>
              </w:rPr>
            </w:pPr>
          </w:p>
        </w:tc>
        <w:tc>
          <w:tcPr>
            <w:tcW w:w="20" w:type="dxa"/>
            <w:vAlign w:val="bottom"/>
            <w:tcBorders>
              <w:bottom w:val="single" w:sz="8" w:color="7F7F7F"/>
            </w:tcBorders>
            <w:shd w:val="clear" w:color="auto" w:fill="7F7F7F"/>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1240" w:type="dxa"/>
            <w:vAlign w:val="bottom"/>
            <w:tcBorders>
              <w:left w:val="single" w:sz="8" w:color="7F7F7F"/>
              <w:right w:val="single" w:sz="8" w:color="7F7F7F"/>
            </w:tcBorders>
            <w:vMerge w:val="continue"/>
          </w:tcPr>
          <w:p>
            <w:pPr>
              <w:spacing w:after="0"/>
              <w:rPr>
                <w:sz w:val="4"/>
                <w:szCs w:val="4"/>
                <w:color w:val="auto"/>
              </w:rPr>
            </w:pPr>
          </w:p>
        </w:tc>
        <w:tc>
          <w:tcPr>
            <w:tcW w:w="1940" w:type="dxa"/>
            <w:vAlign w:val="bottom"/>
            <w:tcBorders>
              <w:right w:val="single" w:sz="8" w:color="7F7F7F"/>
            </w:tcBorders>
            <w:vMerge w:val="restart"/>
          </w:tcPr>
          <w:p>
            <w:pPr>
              <w:ind w:left="300"/>
              <w:spacing w:after="0" w:line="126" w:lineRule="exact"/>
              <w:rPr>
                <w:sz w:val="20"/>
                <w:szCs w:val="20"/>
                <w:color w:val="auto"/>
              </w:rPr>
            </w:pPr>
            <w:r>
              <w:rPr>
                <w:rFonts w:ascii="Arial" w:cs="Arial" w:eastAsia="Arial" w:hAnsi="Arial"/>
                <w:sz w:val="13"/>
                <w:szCs w:val="13"/>
                <w:color w:val="auto"/>
              </w:rPr>
              <w:t>Shield 10</w:t>
            </w:r>
          </w:p>
        </w:tc>
        <w:tc>
          <w:tcPr>
            <w:tcW w:w="3580" w:type="dxa"/>
            <w:vAlign w:val="bottom"/>
            <w:tcBorders>
              <w:right w:val="single" w:sz="8" w:color="7F7F7F"/>
            </w:tcBorders>
            <w:gridSpan w:val="2"/>
            <w:vMerge w:val="restart"/>
          </w:tcPr>
          <w:p>
            <w:pPr>
              <w:ind w:left="140"/>
              <w:spacing w:after="0" w:line="126" w:lineRule="exact"/>
              <w:rPr>
                <w:sz w:val="20"/>
                <w:szCs w:val="20"/>
                <w:color w:val="auto"/>
              </w:rPr>
            </w:pPr>
            <w:r>
              <w:rPr>
                <w:rFonts w:ascii="Arial" w:cs="Arial" w:eastAsia="Arial" w:hAnsi="Arial"/>
                <w:sz w:val="10"/>
                <w:szCs w:val="10"/>
                <w:color w:val="auto"/>
              </w:rPr>
              <w:t>Russell 2000</w:t>
            </w:r>
            <w:r>
              <w:rPr>
                <w:rFonts w:ascii="Arial" w:cs="Arial" w:eastAsia="Arial" w:hAnsi="Arial"/>
                <w:sz w:val="14"/>
                <w:szCs w:val="14"/>
                <w:color w:val="auto"/>
                <w:vertAlign w:val="superscript"/>
              </w:rPr>
              <w:t>®</w:t>
            </w:r>
            <w:r>
              <w:rPr>
                <w:rFonts w:ascii="Arial" w:cs="Arial" w:eastAsia="Arial" w:hAnsi="Arial"/>
                <w:sz w:val="10"/>
                <w:szCs w:val="10"/>
                <w:color w:val="auto"/>
              </w:rPr>
              <w:t xml:space="preserve"> Index Step Rate</w:t>
            </w:r>
          </w:p>
        </w:tc>
        <w:tc>
          <w:tcPr>
            <w:tcW w:w="1340" w:type="dxa"/>
            <w:vAlign w:val="bottom"/>
            <w:vMerge w:val="restart"/>
          </w:tcPr>
          <w:p>
            <w:pPr>
              <w:jc w:val="right"/>
              <w:spacing w:after="0" w:line="126" w:lineRule="exact"/>
              <w:rPr>
                <w:sz w:val="20"/>
                <w:szCs w:val="20"/>
                <w:color w:val="auto"/>
              </w:rPr>
            </w:pPr>
            <w:r>
              <w:rPr>
                <w:rFonts w:ascii="Arial" w:cs="Arial" w:eastAsia="Arial" w:hAnsi="Arial"/>
                <w:sz w:val="13"/>
                <w:szCs w:val="13"/>
                <w:color w:val="auto"/>
              </w:rPr>
              <w:t>%</w:t>
            </w:r>
          </w:p>
        </w:tc>
        <w:tc>
          <w:tcPr>
            <w:tcW w:w="20" w:type="dxa"/>
            <w:vAlign w:val="bottom"/>
            <w:shd w:val="clear" w:color="auto" w:fill="7F7F7F"/>
          </w:tcPr>
          <w:p>
            <w:pPr>
              <w:spacing w:after="0"/>
              <w:rPr>
                <w:sz w:val="4"/>
                <w:szCs w:val="4"/>
                <w:color w:val="auto"/>
              </w:rPr>
            </w:pPr>
          </w:p>
        </w:tc>
        <w:tc>
          <w:tcPr>
            <w:tcW w:w="0" w:type="dxa"/>
            <w:vAlign w:val="bottom"/>
          </w:tcPr>
          <w:p>
            <w:pPr>
              <w:spacing w:after="0"/>
              <w:rPr>
                <w:sz w:val="1"/>
                <w:szCs w:val="1"/>
                <w:color w:val="auto"/>
              </w:rPr>
            </w:pPr>
          </w:p>
        </w:tc>
      </w:tr>
      <w:tr>
        <w:trPr>
          <w:trHeight w:val="77"/>
        </w:trPr>
        <w:tc>
          <w:tcPr>
            <w:tcW w:w="1240" w:type="dxa"/>
            <w:vAlign w:val="bottom"/>
            <w:tcBorders>
              <w:left w:val="single" w:sz="8" w:color="7F7F7F"/>
              <w:right w:val="single" w:sz="8" w:color="7F7F7F"/>
            </w:tcBorders>
          </w:tcPr>
          <w:p>
            <w:pPr>
              <w:spacing w:after="0"/>
              <w:rPr>
                <w:sz w:val="6"/>
                <w:szCs w:val="6"/>
                <w:color w:val="auto"/>
              </w:rPr>
            </w:pPr>
          </w:p>
        </w:tc>
        <w:tc>
          <w:tcPr>
            <w:tcW w:w="1940" w:type="dxa"/>
            <w:vAlign w:val="bottom"/>
            <w:tcBorders>
              <w:right w:val="single" w:sz="8" w:color="7F7F7F"/>
            </w:tcBorders>
            <w:vMerge w:val="continue"/>
          </w:tcPr>
          <w:p>
            <w:pPr>
              <w:spacing w:after="0"/>
              <w:rPr>
                <w:sz w:val="6"/>
                <w:szCs w:val="6"/>
                <w:color w:val="auto"/>
              </w:rPr>
            </w:pPr>
          </w:p>
        </w:tc>
        <w:tc>
          <w:tcPr>
            <w:tcW w:w="3580" w:type="dxa"/>
            <w:vAlign w:val="bottom"/>
            <w:tcBorders>
              <w:bottom w:val="single" w:sz="8" w:color="7F7F7F"/>
              <w:right w:val="single" w:sz="8" w:color="7F7F7F"/>
            </w:tcBorders>
            <w:gridSpan w:val="2"/>
            <w:vMerge w:val="continue"/>
          </w:tcPr>
          <w:p>
            <w:pPr>
              <w:spacing w:after="0"/>
              <w:rPr>
                <w:sz w:val="6"/>
                <w:szCs w:val="6"/>
                <w:color w:val="auto"/>
              </w:rPr>
            </w:pPr>
          </w:p>
        </w:tc>
        <w:tc>
          <w:tcPr>
            <w:tcW w:w="1340" w:type="dxa"/>
            <w:vAlign w:val="bottom"/>
            <w:tcBorders>
              <w:bottom w:val="single" w:sz="8" w:color="7F7F7F"/>
            </w:tcBorders>
            <w:vMerge w:val="continue"/>
          </w:tcPr>
          <w:p>
            <w:pPr>
              <w:spacing w:after="0"/>
              <w:rPr>
                <w:sz w:val="6"/>
                <w:szCs w:val="6"/>
                <w:color w:val="auto"/>
              </w:rPr>
            </w:pPr>
          </w:p>
        </w:tc>
        <w:tc>
          <w:tcPr>
            <w:tcW w:w="20" w:type="dxa"/>
            <w:vAlign w:val="bottom"/>
            <w:tcBorders>
              <w:bottom w:val="single" w:sz="8" w:color="7F7F7F"/>
            </w:tcBorders>
            <w:shd w:val="clear" w:color="auto" w:fill="7F7F7F"/>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1240" w:type="dxa"/>
            <w:vAlign w:val="bottom"/>
            <w:tcBorders>
              <w:left w:val="single" w:sz="8" w:color="7F7F7F"/>
              <w:right w:val="single" w:sz="8" w:color="7F7F7F"/>
            </w:tcBorders>
          </w:tcPr>
          <w:p>
            <w:pPr>
              <w:spacing w:after="0"/>
              <w:rPr>
                <w:sz w:val="12"/>
                <w:szCs w:val="12"/>
                <w:color w:val="auto"/>
              </w:rPr>
            </w:pPr>
          </w:p>
        </w:tc>
        <w:tc>
          <w:tcPr>
            <w:tcW w:w="1940" w:type="dxa"/>
            <w:vAlign w:val="bottom"/>
            <w:tcBorders>
              <w:right w:val="single" w:sz="8" w:color="7F7F7F"/>
            </w:tcBorders>
          </w:tcPr>
          <w:p>
            <w:pPr>
              <w:ind w:left="300"/>
              <w:spacing w:after="0"/>
              <w:rPr>
                <w:sz w:val="20"/>
                <w:szCs w:val="20"/>
                <w:color w:val="auto"/>
              </w:rPr>
            </w:pPr>
            <w:r>
              <w:rPr>
                <w:rFonts w:ascii="Arial" w:cs="Arial" w:eastAsia="Arial" w:hAnsi="Arial"/>
                <w:sz w:val="13"/>
                <w:szCs w:val="13"/>
                <w:color w:val="auto"/>
              </w:rPr>
              <w:t>(Shield Rate: 10%)</w:t>
            </w:r>
          </w:p>
        </w:tc>
        <w:tc>
          <w:tcPr>
            <w:tcW w:w="3580" w:type="dxa"/>
            <w:vAlign w:val="bottom"/>
            <w:tcBorders>
              <w:bottom w:val="single" w:sz="8" w:color="7F7F7F"/>
              <w:right w:val="single" w:sz="8" w:color="7F7F7F"/>
            </w:tcBorders>
            <w:gridSpan w:val="2"/>
          </w:tcPr>
          <w:p>
            <w:pPr>
              <w:ind w:left="140"/>
              <w:spacing w:after="0"/>
              <w:rPr>
                <w:sz w:val="20"/>
                <w:szCs w:val="20"/>
                <w:color w:val="auto"/>
              </w:rPr>
            </w:pPr>
            <w:r>
              <w:rPr>
                <w:rFonts w:ascii="Arial" w:cs="Arial" w:eastAsia="Arial" w:hAnsi="Arial"/>
                <w:sz w:val="13"/>
                <w:szCs w:val="13"/>
                <w:color w:val="auto"/>
              </w:rPr>
              <w:t>MSCI EAFE Index Step Rate</w:t>
            </w:r>
          </w:p>
        </w:tc>
        <w:tc>
          <w:tcPr>
            <w:tcW w:w="1340" w:type="dxa"/>
            <w:vAlign w:val="bottom"/>
            <w:tcBorders>
              <w:bottom w:val="single" w:sz="8" w:color="7F7F7F"/>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7F7F7F"/>
            </w:tcBorders>
            <w:shd w:val="clear" w:color="auto" w:fill="7F7F7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40" w:type="dxa"/>
            <w:vAlign w:val="bottom"/>
            <w:tcBorders>
              <w:left w:val="single" w:sz="8" w:color="7F7F7F"/>
              <w:bottom w:val="single" w:sz="8" w:color="7F7F7F"/>
              <w:right w:val="single" w:sz="8" w:color="7F7F7F"/>
            </w:tcBorders>
          </w:tcPr>
          <w:p>
            <w:pPr>
              <w:spacing w:after="0"/>
              <w:rPr>
                <w:sz w:val="12"/>
                <w:szCs w:val="12"/>
                <w:color w:val="auto"/>
              </w:rPr>
            </w:pPr>
          </w:p>
        </w:tc>
        <w:tc>
          <w:tcPr>
            <w:tcW w:w="1940" w:type="dxa"/>
            <w:vAlign w:val="bottom"/>
            <w:tcBorders>
              <w:bottom w:val="single" w:sz="8" w:color="7F7F7F"/>
              <w:right w:val="single" w:sz="8" w:color="7F7F7F"/>
            </w:tcBorders>
          </w:tcPr>
          <w:p>
            <w:pPr>
              <w:spacing w:after="0"/>
              <w:rPr>
                <w:sz w:val="12"/>
                <w:szCs w:val="12"/>
                <w:color w:val="auto"/>
              </w:rPr>
            </w:pPr>
          </w:p>
        </w:tc>
        <w:tc>
          <w:tcPr>
            <w:tcW w:w="3580" w:type="dxa"/>
            <w:vAlign w:val="bottom"/>
            <w:tcBorders>
              <w:bottom w:val="single" w:sz="8" w:color="7F7F7F"/>
              <w:right w:val="single" w:sz="8" w:color="7F7F7F"/>
            </w:tcBorders>
            <w:gridSpan w:val="2"/>
          </w:tcPr>
          <w:p>
            <w:pPr>
              <w:ind w:left="140"/>
              <w:spacing w:after="0" w:line="138" w:lineRule="exact"/>
              <w:rPr>
                <w:sz w:val="20"/>
                <w:szCs w:val="20"/>
                <w:color w:val="auto"/>
              </w:rPr>
            </w:pPr>
            <w:r>
              <w:rPr>
                <w:rFonts w:ascii="Arial" w:cs="Arial" w:eastAsia="Arial" w:hAnsi="Arial"/>
                <w:sz w:val="11"/>
                <w:szCs w:val="11"/>
                <w:color w:val="auto"/>
              </w:rPr>
              <w:t>Nasdaq-100 Index</w:t>
            </w:r>
            <w:r>
              <w:rPr>
                <w:rFonts w:ascii="Arial" w:cs="Arial" w:eastAsia="Arial" w:hAnsi="Arial"/>
                <w:sz w:val="16"/>
                <w:szCs w:val="16"/>
                <w:color w:val="auto"/>
                <w:vertAlign w:val="superscript"/>
              </w:rPr>
              <w:t>®</w:t>
            </w:r>
            <w:r>
              <w:rPr>
                <w:rFonts w:ascii="Arial" w:cs="Arial" w:eastAsia="Arial" w:hAnsi="Arial"/>
                <w:sz w:val="11"/>
                <w:szCs w:val="11"/>
                <w:color w:val="auto"/>
              </w:rPr>
              <w:t xml:space="preserve"> Step Rate</w:t>
            </w:r>
          </w:p>
        </w:tc>
        <w:tc>
          <w:tcPr>
            <w:tcW w:w="1340" w:type="dxa"/>
            <w:vAlign w:val="bottom"/>
            <w:tcBorders>
              <w:bottom w:val="single" w:sz="8" w:color="7F7F7F"/>
            </w:tcBorders>
          </w:tcPr>
          <w:p>
            <w:pPr>
              <w:jc w:val="right"/>
              <w:spacing w:after="0" w:line="139"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7F7F7F"/>
            </w:tcBorders>
            <w:shd w:val="clear" w:color="auto" w:fill="7F7F7F"/>
          </w:tcPr>
          <w:p>
            <w:pPr>
              <w:spacing w:after="0"/>
              <w:rPr>
                <w:sz w:val="12"/>
                <w:szCs w:val="12"/>
                <w:color w:val="auto"/>
              </w:rPr>
            </w:pPr>
          </w:p>
        </w:tc>
        <w:tc>
          <w:tcPr>
            <w:tcW w:w="0" w:type="dxa"/>
            <w:vAlign w:val="bottom"/>
          </w:tcPr>
          <w:p>
            <w:pPr>
              <w:spacing w:after="0"/>
              <w:rPr>
                <w:sz w:val="1"/>
                <w:szCs w:val="1"/>
                <w:color w:val="auto"/>
              </w:rPr>
            </w:pPr>
          </w:p>
        </w:tc>
      </w:tr>
      <w:tr>
        <w:trPr>
          <w:trHeight w:val="268"/>
        </w:trPr>
        <w:tc>
          <w:tcPr>
            <w:tcW w:w="3180" w:type="dxa"/>
            <w:vAlign w:val="bottom"/>
            <w:gridSpan w:val="2"/>
          </w:tcPr>
          <w:p>
            <w:pPr>
              <w:ind w:left="80"/>
              <w:spacing w:after="0"/>
              <w:rPr>
                <w:sz w:val="20"/>
                <w:szCs w:val="20"/>
                <w:color w:val="auto"/>
              </w:rPr>
            </w:pPr>
            <w:r>
              <w:rPr>
                <w:rFonts w:ascii="Arial" w:cs="Arial" w:eastAsia="Arial" w:hAnsi="Arial"/>
                <w:sz w:val="13"/>
                <w:szCs w:val="13"/>
                <w:b w:val="1"/>
                <w:bCs w:val="1"/>
                <w:color w:val="auto"/>
              </w:rPr>
              <w:t>Step Rate Edge Shield Options</w:t>
            </w:r>
          </w:p>
        </w:tc>
        <w:tc>
          <w:tcPr>
            <w:tcW w:w="24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1240" w:type="dxa"/>
            <w:vAlign w:val="bottom"/>
            <w:tcBorders>
              <w:left w:val="single" w:sz="8" w:color="D9D9D9"/>
              <w:bottom w:val="single" w:sz="8" w:color="7F7F7F"/>
              <w:right w:val="single" w:sz="8" w:color="D9D9D9"/>
            </w:tcBorders>
            <w:shd w:val="clear" w:color="auto" w:fill="D9D9D9"/>
          </w:tcPr>
          <w:p>
            <w:pPr>
              <w:ind w:left="380"/>
              <w:spacing w:after="0"/>
              <w:rPr>
                <w:sz w:val="20"/>
                <w:szCs w:val="20"/>
                <w:color w:val="auto"/>
              </w:rPr>
            </w:pPr>
            <w:r>
              <w:rPr>
                <w:rFonts w:ascii="Arial" w:cs="Arial" w:eastAsia="Arial" w:hAnsi="Arial"/>
                <w:sz w:val="13"/>
                <w:szCs w:val="13"/>
                <w:b w:val="1"/>
                <w:bCs w:val="1"/>
                <w:color w:val="auto"/>
              </w:rPr>
              <w:t>Term </w:t>
            </w:r>
          </w:p>
        </w:tc>
        <w:tc>
          <w:tcPr>
            <w:tcW w:w="1940" w:type="dxa"/>
            <w:vAlign w:val="bottom"/>
            <w:tcBorders>
              <w:bottom w:val="single" w:sz="8" w:color="7F7F7F"/>
              <w:right w:val="single" w:sz="8" w:color="D9D9D9"/>
            </w:tcBorders>
            <w:shd w:val="clear" w:color="auto" w:fill="D9D9D9"/>
          </w:tcPr>
          <w:p>
            <w:pPr>
              <w:ind w:left="300"/>
              <w:spacing w:after="0"/>
              <w:rPr>
                <w:sz w:val="20"/>
                <w:szCs w:val="20"/>
                <w:color w:val="auto"/>
              </w:rPr>
            </w:pPr>
            <w:r>
              <w:rPr>
                <w:rFonts w:ascii="Arial" w:cs="Arial" w:eastAsia="Arial" w:hAnsi="Arial"/>
                <w:sz w:val="13"/>
                <w:szCs w:val="13"/>
                <w:b w:val="1"/>
                <w:bCs w:val="1"/>
                <w:color w:val="auto"/>
              </w:rPr>
              <w:t>Shield Rate</w:t>
            </w:r>
          </w:p>
        </w:tc>
        <w:tc>
          <w:tcPr>
            <w:tcW w:w="3580" w:type="dxa"/>
            <w:vAlign w:val="bottom"/>
            <w:tcBorders>
              <w:bottom w:val="single" w:sz="8" w:color="7F7F7F"/>
              <w:right w:val="single" w:sz="8" w:color="D9D9D9"/>
            </w:tcBorders>
            <w:gridSpan w:val="2"/>
            <w:shd w:val="clear" w:color="auto" w:fill="D9D9D9"/>
          </w:tcPr>
          <w:p>
            <w:pPr>
              <w:ind w:left="140"/>
              <w:spacing w:after="0"/>
              <w:rPr>
                <w:sz w:val="20"/>
                <w:szCs w:val="20"/>
                <w:color w:val="auto"/>
              </w:rPr>
            </w:pPr>
            <w:r>
              <w:rPr>
                <w:rFonts w:ascii="Arial" w:cs="Arial" w:eastAsia="Arial" w:hAnsi="Arial"/>
                <w:sz w:val="13"/>
                <w:szCs w:val="13"/>
                <w:b w:val="1"/>
                <w:bCs w:val="1"/>
                <w:color w:val="auto"/>
              </w:rPr>
              <w:t>Index/Crediting Strategy</w:t>
            </w:r>
          </w:p>
        </w:tc>
        <w:tc>
          <w:tcPr>
            <w:tcW w:w="1340" w:type="dxa"/>
            <w:vAlign w:val="bottom"/>
            <w:tcBorders>
              <w:bottom w:val="single" w:sz="8" w:color="7F7F7F"/>
            </w:tcBorders>
            <w:shd w:val="clear" w:color="auto" w:fill="D9D9D9"/>
          </w:tcPr>
          <w:p>
            <w:pPr>
              <w:ind w:left="40"/>
              <w:spacing w:after="0"/>
              <w:rPr>
                <w:sz w:val="20"/>
                <w:szCs w:val="20"/>
                <w:color w:val="auto"/>
              </w:rPr>
            </w:pPr>
            <w:r>
              <w:rPr>
                <w:rFonts w:ascii="Arial" w:cs="Arial" w:eastAsia="Arial" w:hAnsi="Arial"/>
                <w:sz w:val="13"/>
                <w:szCs w:val="13"/>
                <w:b w:val="1"/>
                <w:bCs w:val="1"/>
                <w:color w:val="auto"/>
              </w:rPr>
              <w:t>Percentage</w:t>
            </w:r>
          </w:p>
        </w:tc>
        <w:tc>
          <w:tcPr>
            <w:tcW w:w="20" w:type="dxa"/>
            <w:vAlign w:val="bottom"/>
            <w:tcBorders>
              <w:bottom w:val="single" w:sz="8" w:color="7F7F7F"/>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40" w:type="dxa"/>
            <w:vAlign w:val="bottom"/>
            <w:tcBorders>
              <w:left w:val="single" w:sz="8" w:color="7F7F7F"/>
              <w:right w:val="single" w:sz="8" w:color="7F7F7F"/>
            </w:tcBorders>
          </w:tcPr>
          <w:p>
            <w:pPr>
              <w:spacing w:after="0"/>
              <w:rPr>
                <w:sz w:val="12"/>
                <w:szCs w:val="12"/>
                <w:color w:val="auto"/>
              </w:rPr>
            </w:pPr>
          </w:p>
        </w:tc>
        <w:tc>
          <w:tcPr>
            <w:tcW w:w="1940" w:type="dxa"/>
            <w:vAlign w:val="bottom"/>
            <w:tcBorders>
              <w:right w:val="single" w:sz="8" w:color="7F7F7F"/>
            </w:tcBorders>
            <w:vMerge w:val="restart"/>
          </w:tcPr>
          <w:p>
            <w:pPr>
              <w:ind w:left="300"/>
              <w:spacing w:after="0"/>
              <w:rPr>
                <w:sz w:val="20"/>
                <w:szCs w:val="20"/>
                <w:color w:val="auto"/>
              </w:rPr>
            </w:pPr>
            <w:r>
              <w:rPr>
                <w:rFonts w:ascii="Arial" w:cs="Arial" w:eastAsia="Arial" w:hAnsi="Arial"/>
                <w:sz w:val="13"/>
                <w:szCs w:val="13"/>
                <w:color w:val="auto"/>
              </w:rPr>
              <w:t>Shield 15</w:t>
            </w:r>
          </w:p>
        </w:tc>
        <w:tc>
          <w:tcPr>
            <w:tcW w:w="3580" w:type="dxa"/>
            <w:vAlign w:val="bottom"/>
            <w:tcBorders>
              <w:bottom w:val="single" w:sz="8" w:color="7F7F7F"/>
              <w:right w:val="single" w:sz="8" w:color="7F7F7F"/>
            </w:tcBorders>
            <w:gridSpan w:val="2"/>
          </w:tcPr>
          <w:p>
            <w:pPr>
              <w:ind w:left="140"/>
              <w:spacing w:after="0" w:line="138" w:lineRule="exact"/>
              <w:rPr>
                <w:sz w:val="20"/>
                <w:szCs w:val="20"/>
                <w:color w:val="auto"/>
              </w:rPr>
            </w:pPr>
            <w:r>
              <w:rPr>
                <w:rFonts w:ascii="Arial" w:cs="Arial" w:eastAsia="Arial" w:hAnsi="Arial"/>
                <w:sz w:val="11"/>
                <w:szCs w:val="11"/>
                <w:color w:val="auto"/>
              </w:rPr>
              <w:t>S&amp;P 500</w:t>
            </w:r>
            <w:r>
              <w:rPr>
                <w:rFonts w:ascii="Arial" w:cs="Arial" w:eastAsia="Arial" w:hAnsi="Arial"/>
                <w:sz w:val="16"/>
                <w:szCs w:val="16"/>
                <w:color w:val="auto"/>
                <w:vertAlign w:val="superscript"/>
              </w:rPr>
              <w:t>®</w:t>
            </w:r>
            <w:r>
              <w:rPr>
                <w:rFonts w:ascii="Arial" w:cs="Arial" w:eastAsia="Arial" w:hAnsi="Arial"/>
                <w:sz w:val="11"/>
                <w:szCs w:val="11"/>
                <w:color w:val="auto"/>
              </w:rPr>
              <w:t xml:space="preserve"> Index Step Rate Edge</w:t>
            </w:r>
          </w:p>
        </w:tc>
        <w:tc>
          <w:tcPr>
            <w:tcW w:w="1340" w:type="dxa"/>
            <w:vAlign w:val="bottom"/>
            <w:tcBorders>
              <w:bottom w:val="single" w:sz="8" w:color="7F7F7F"/>
            </w:tcBorders>
          </w:tcPr>
          <w:p>
            <w:pPr>
              <w:jc w:val="right"/>
              <w:spacing w:after="0" w:line="139"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7F7F7F"/>
            </w:tcBorders>
            <w:shd w:val="clear" w:color="auto" w:fill="7F7F7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240" w:type="dxa"/>
            <w:vAlign w:val="bottom"/>
            <w:tcBorders>
              <w:left w:val="single" w:sz="8" w:color="7F7F7F"/>
              <w:right w:val="single" w:sz="8" w:color="7F7F7F"/>
            </w:tcBorders>
          </w:tcPr>
          <w:p>
            <w:pPr>
              <w:spacing w:after="0"/>
              <w:rPr>
                <w:sz w:val="11"/>
                <w:szCs w:val="11"/>
                <w:color w:val="auto"/>
              </w:rPr>
            </w:pPr>
          </w:p>
        </w:tc>
        <w:tc>
          <w:tcPr>
            <w:tcW w:w="1940" w:type="dxa"/>
            <w:vAlign w:val="bottom"/>
            <w:tcBorders>
              <w:right w:val="single" w:sz="8" w:color="7F7F7F"/>
            </w:tcBorders>
            <w:vMerge w:val="continue"/>
          </w:tcPr>
          <w:p>
            <w:pPr>
              <w:spacing w:after="0"/>
              <w:rPr>
                <w:sz w:val="11"/>
                <w:szCs w:val="11"/>
                <w:color w:val="auto"/>
              </w:rPr>
            </w:pPr>
          </w:p>
        </w:tc>
        <w:tc>
          <w:tcPr>
            <w:tcW w:w="3580" w:type="dxa"/>
            <w:vAlign w:val="bottom"/>
            <w:tcBorders>
              <w:bottom w:val="single" w:sz="8" w:color="7F7F7F"/>
              <w:right w:val="single" w:sz="8" w:color="7F7F7F"/>
            </w:tcBorders>
            <w:gridSpan w:val="2"/>
          </w:tcPr>
          <w:p>
            <w:pPr>
              <w:ind w:left="140"/>
              <w:spacing w:after="0" w:line="126" w:lineRule="exact"/>
              <w:rPr>
                <w:sz w:val="20"/>
                <w:szCs w:val="20"/>
                <w:color w:val="auto"/>
              </w:rPr>
            </w:pPr>
            <w:r>
              <w:rPr>
                <w:rFonts w:ascii="Arial" w:cs="Arial" w:eastAsia="Arial" w:hAnsi="Arial"/>
                <w:sz w:val="10"/>
                <w:szCs w:val="10"/>
                <w:color w:val="auto"/>
              </w:rPr>
              <w:t>Russell 2000</w:t>
            </w:r>
            <w:r>
              <w:rPr>
                <w:rFonts w:ascii="Arial" w:cs="Arial" w:eastAsia="Arial" w:hAnsi="Arial"/>
                <w:sz w:val="14"/>
                <w:szCs w:val="14"/>
                <w:color w:val="auto"/>
                <w:vertAlign w:val="superscript"/>
              </w:rPr>
              <w:t>®</w:t>
            </w:r>
            <w:r>
              <w:rPr>
                <w:rFonts w:ascii="Arial" w:cs="Arial" w:eastAsia="Arial" w:hAnsi="Arial"/>
                <w:sz w:val="10"/>
                <w:szCs w:val="10"/>
                <w:color w:val="auto"/>
              </w:rPr>
              <w:t xml:space="preserve"> Index Step Rate Edge</w:t>
            </w:r>
          </w:p>
        </w:tc>
        <w:tc>
          <w:tcPr>
            <w:tcW w:w="1340" w:type="dxa"/>
            <w:vAlign w:val="bottom"/>
            <w:tcBorders>
              <w:bottom w:val="single" w:sz="8" w:color="7F7F7F"/>
            </w:tcBorders>
          </w:tcPr>
          <w:p>
            <w:pPr>
              <w:jc w:val="right"/>
              <w:spacing w:after="0" w:line="126"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7F7F7F"/>
            </w:tcBorders>
            <w:shd w:val="clear" w:color="auto" w:fill="7F7F7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40" w:type="dxa"/>
            <w:vAlign w:val="bottom"/>
            <w:tcBorders>
              <w:left w:val="single" w:sz="8" w:color="7F7F7F"/>
              <w:right w:val="single" w:sz="8" w:color="7F7F7F"/>
            </w:tcBorders>
            <w:vMerge w:val="restart"/>
          </w:tcPr>
          <w:p>
            <w:pPr>
              <w:jc w:val="center"/>
              <w:ind w:left="34"/>
              <w:spacing w:after="0"/>
              <w:rPr>
                <w:sz w:val="20"/>
                <w:szCs w:val="20"/>
                <w:color w:val="auto"/>
              </w:rPr>
            </w:pPr>
            <w:r>
              <w:rPr>
                <w:rFonts w:ascii="Arial" w:cs="Arial" w:eastAsia="Arial" w:hAnsi="Arial"/>
                <w:sz w:val="13"/>
                <w:szCs w:val="13"/>
                <w:color w:val="auto"/>
                <w:w w:val="99"/>
              </w:rPr>
              <w:t>2 Year</w:t>
            </w:r>
          </w:p>
        </w:tc>
        <w:tc>
          <w:tcPr>
            <w:tcW w:w="1940" w:type="dxa"/>
            <w:vAlign w:val="bottom"/>
            <w:tcBorders>
              <w:right w:val="single" w:sz="8" w:color="7F7F7F"/>
            </w:tcBorders>
          </w:tcPr>
          <w:p>
            <w:pPr>
              <w:ind w:left="300"/>
              <w:spacing w:after="0"/>
              <w:rPr>
                <w:sz w:val="20"/>
                <w:szCs w:val="20"/>
                <w:color w:val="auto"/>
              </w:rPr>
            </w:pPr>
            <w:r>
              <w:rPr>
                <w:rFonts w:ascii="Arial" w:cs="Arial" w:eastAsia="Arial" w:hAnsi="Arial"/>
                <w:sz w:val="13"/>
                <w:szCs w:val="13"/>
                <w:color w:val="auto"/>
              </w:rPr>
              <w:t>(Shield Rate: 15%)</w:t>
            </w:r>
          </w:p>
        </w:tc>
        <w:tc>
          <w:tcPr>
            <w:tcW w:w="3580" w:type="dxa"/>
            <w:vAlign w:val="bottom"/>
            <w:tcBorders>
              <w:bottom w:val="single" w:sz="8" w:color="7F7F7F"/>
              <w:right w:val="single" w:sz="8" w:color="7F7F7F"/>
            </w:tcBorders>
            <w:gridSpan w:val="2"/>
          </w:tcPr>
          <w:p>
            <w:pPr>
              <w:ind w:left="140"/>
              <w:spacing w:after="0"/>
              <w:rPr>
                <w:sz w:val="20"/>
                <w:szCs w:val="20"/>
                <w:color w:val="auto"/>
              </w:rPr>
            </w:pPr>
            <w:r>
              <w:rPr>
                <w:rFonts w:ascii="Arial" w:cs="Arial" w:eastAsia="Arial" w:hAnsi="Arial"/>
                <w:sz w:val="13"/>
                <w:szCs w:val="13"/>
                <w:color w:val="auto"/>
              </w:rPr>
              <w:t>MSCI EAFE Index Step Rate Edge</w:t>
            </w:r>
          </w:p>
        </w:tc>
        <w:tc>
          <w:tcPr>
            <w:tcW w:w="1340" w:type="dxa"/>
            <w:vAlign w:val="bottom"/>
            <w:tcBorders>
              <w:bottom w:val="single" w:sz="8" w:color="7F7F7F"/>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7F7F7F"/>
            </w:tcBorders>
            <w:shd w:val="clear" w:color="auto" w:fill="7F7F7F"/>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1240" w:type="dxa"/>
            <w:vAlign w:val="bottom"/>
            <w:tcBorders>
              <w:left w:val="single" w:sz="8" w:color="7F7F7F"/>
              <w:right w:val="single" w:sz="8" w:color="7F7F7F"/>
            </w:tcBorders>
            <w:vMerge w:val="continue"/>
          </w:tcPr>
          <w:p>
            <w:pPr>
              <w:spacing w:after="0"/>
              <w:rPr>
                <w:sz w:val="4"/>
                <w:szCs w:val="4"/>
                <w:color w:val="auto"/>
              </w:rPr>
            </w:pPr>
          </w:p>
        </w:tc>
        <w:tc>
          <w:tcPr>
            <w:tcW w:w="1940" w:type="dxa"/>
            <w:vAlign w:val="bottom"/>
            <w:tcBorders>
              <w:right w:val="single" w:sz="8" w:color="7F7F7F"/>
            </w:tcBorders>
          </w:tcPr>
          <w:p>
            <w:pPr>
              <w:spacing w:after="0"/>
              <w:rPr>
                <w:sz w:val="4"/>
                <w:szCs w:val="4"/>
                <w:color w:val="auto"/>
              </w:rPr>
            </w:pPr>
          </w:p>
        </w:tc>
        <w:tc>
          <w:tcPr>
            <w:tcW w:w="3580" w:type="dxa"/>
            <w:vAlign w:val="bottom"/>
            <w:tcBorders>
              <w:right w:val="single" w:sz="8" w:color="7F7F7F"/>
            </w:tcBorders>
            <w:gridSpan w:val="2"/>
            <w:vMerge w:val="restart"/>
          </w:tcPr>
          <w:p>
            <w:pPr>
              <w:ind w:left="140"/>
              <w:spacing w:after="0" w:line="138" w:lineRule="exact"/>
              <w:rPr>
                <w:sz w:val="20"/>
                <w:szCs w:val="20"/>
                <w:color w:val="auto"/>
              </w:rPr>
            </w:pPr>
            <w:r>
              <w:rPr>
                <w:rFonts w:ascii="Arial" w:cs="Arial" w:eastAsia="Arial" w:hAnsi="Arial"/>
                <w:sz w:val="11"/>
                <w:szCs w:val="11"/>
                <w:color w:val="auto"/>
              </w:rPr>
              <w:t>Nasdaq-100 Index</w:t>
            </w:r>
            <w:r>
              <w:rPr>
                <w:rFonts w:ascii="Arial" w:cs="Arial" w:eastAsia="Arial" w:hAnsi="Arial"/>
                <w:sz w:val="16"/>
                <w:szCs w:val="16"/>
                <w:color w:val="auto"/>
                <w:vertAlign w:val="superscript"/>
              </w:rPr>
              <w:t>®</w:t>
            </w:r>
            <w:r>
              <w:rPr>
                <w:rFonts w:ascii="Arial" w:cs="Arial" w:eastAsia="Arial" w:hAnsi="Arial"/>
                <w:sz w:val="11"/>
                <w:szCs w:val="11"/>
                <w:color w:val="auto"/>
              </w:rPr>
              <w:t xml:space="preserve"> Step Rate Edge</w:t>
            </w:r>
          </w:p>
        </w:tc>
        <w:tc>
          <w:tcPr>
            <w:tcW w:w="1340" w:type="dxa"/>
            <w:vAlign w:val="bottom"/>
            <w:vMerge w:val="restart"/>
          </w:tcPr>
          <w:p>
            <w:pPr>
              <w:jc w:val="right"/>
              <w:spacing w:after="0" w:line="139" w:lineRule="exact"/>
              <w:rPr>
                <w:sz w:val="20"/>
                <w:szCs w:val="20"/>
                <w:color w:val="auto"/>
              </w:rPr>
            </w:pPr>
            <w:r>
              <w:rPr>
                <w:rFonts w:ascii="Arial" w:cs="Arial" w:eastAsia="Arial" w:hAnsi="Arial"/>
                <w:sz w:val="13"/>
                <w:szCs w:val="13"/>
                <w:color w:val="auto"/>
              </w:rPr>
              <w:t>%</w:t>
            </w:r>
          </w:p>
        </w:tc>
        <w:tc>
          <w:tcPr>
            <w:tcW w:w="20" w:type="dxa"/>
            <w:vAlign w:val="bottom"/>
            <w:shd w:val="clear" w:color="auto" w:fill="7F7F7F"/>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1240" w:type="dxa"/>
            <w:vAlign w:val="bottom"/>
            <w:tcBorders>
              <w:left w:val="single" w:sz="8" w:color="7F7F7F"/>
              <w:right w:val="single" w:sz="8" w:color="7F7F7F"/>
            </w:tcBorders>
            <w:vMerge w:val="restart"/>
          </w:tcPr>
          <w:p>
            <w:pPr>
              <w:jc w:val="center"/>
              <w:ind w:left="34"/>
              <w:spacing w:after="0"/>
              <w:rPr>
                <w:sz w:val="20"/>
                <w:szCs w:val="20"/>
                <w:color w:val="auto"/>
              </w:rPr>
            </w:pPr>
            <w:r>
              <w:rPr>
                <w:rFonts w:ascii="Arial" w:cs="Arial" w:eastAsia="Arial" w:hAnsi="Arial"/>
                <w:sz w:val="13"/>
                <w:szCs w:val="13"/>
                <w:color w:val="auto"/>
              </w:rPr>
              <w:t>Shield</w:t>
            </w:r>
          </w:p>
        </w:tc>
        <w:tc>
          <w:tcPr>
            <w:tcW w:w="1940" w:type="dxa"/>
            <w:vAlign w:val="bottom"/>
            <w:tcBorders>
              <w:bottom w:val="single" w:sz="8" w:color="7F7F7F"/>
              <w:right w:val="single" w:sz="8" w:color="7F7F7F"/>
            </w:tcBorders>
          </w:tcPr>
          <w:p>
            <w:pPr>
              <w:spacing w:after="0"/>
              <w:rPr>
                <w:sz w:val="7"/>
                <w:szCs w:val="7"/>
                <w:color w:val="auto"/>
              </w:rPr>
            </w:pPr>
          </w:p>
        </w:tc>
        <w:tc>
          <w:tcPr>
            <w:tcW w:w="3580" w:type="dxa"/>
            <w:vAlign w:val="bottom"/>
            <w:tcBorders>
              <w:bottom w:val="single" w:sz="8" w:color="7F7F7F"/>
              <w:right w:val="single" w:sz="8" w:color="7F7F7F"/>
            </w:tcBorders>
            <w:gridSpan w:val="2"/>
            <w:vMerge w:val="continue"/>
          </w:tcPr>
          <w:p>
            <w:pPr>
              <w:spacing w:after="0"/>
              <w:rPr>
                <w:sz w:val="7"/>
                <w:szCs w:val="7"/>
                <w:color w:val="auto"/>
              </w:rPr>
            </w:pPr>
          </w:p>
        </w:tc>
        <w:tc>
          <w:tcPr>
            <w:tcW w:w="1340" w:type="dxa"/>
            <w:vAlign w:val="bottom"/>
            <w:tcBorders>
              <w:bottom w:val="single" w:sz="8" w:color="7F7F7F"/>
            </w:tcBorders>
            <w:vMerge w:val="continue"/>
          </w:tcPr>
          <w:p>
            <w:pPr>
              <w:spacing w:after="0"/>
              <w:rPr>
                <w:sz w:val="7"/>
                <w:szCs w:val="7"/>
                <w:color w:val="auto"/>
              </w:rPr>
            </w:pPr>
          </w:p>
        </w:tc>
        <w:tc>
          <w:tcPr>
            <w:tcW w:w="20" w:type="dxa"/>
            <w:vAlign w:val="bottom"/>
            <w:tcBorders>
              <w:bottom w:val="single" w:sz="8" w:color="7F7F7F"/>
            </w:tcBorders>
            <w:shd w:val="clear" w:color="auto" w:fill="7F7F7F"/>
          </w:tcPr>
          <w:p>
            <w:pPr>
              <w:spacing w:after="0"/>
              <w:rPr>
                <w:sz w:val="7"/>
                <w:szCs w:val="7"/>
                <w:color w:val="auto"/>
              </w:rPr>
            </w:pPr>
          </w:p>
        </w:tc>
        <w:tc>
          <w:tcPr>
            <w:tcW w:w="0" w:type="dxa"/>
            <w:vAlign w:val="bottom"/>
          </w:tcPr>
          <w:p>
            <w:pPr>
              <w:spacing w:after="0"/>
              <w:rPr>
                <w:sz w:val="1"/>
                <w:szCs w:val="1"/>
                <w:color w:val="auto"/>
              </w:rPr>
            </w:pPr>
          </w:p>
        </w:tc>
      </w:tr>
      <w:tr>
        <w:trPr>
          <w:trHeight w:val="37"/>
        </w:trPr>
        <w:tc>
          <w:tcPr>
            <w:tcW w:w="1240" w:type="dxa"/>
            <w:vAlign w:val="bottom"/>
            <w:tcBorders>
              <w:left w:val="single" w:sz="8" w:color="7F7F7F"/>
              <w:right w:val="single" w:sz="8" w:color="7F7F7F"/>
            </w:tcBorders>
            <w:vMerge w:val="continue"/>
          </w:tcPr>
          <w:p>
            <w:pPr>
              <w:spacing w:after="0"/>
              <w:rPr>
                <w:sz w:val="3"/>
                <w:szCs w:val="3"/>
                <w:color w:val="auto"/>
              </w:rPr>
            </w:pPr>
          </w:p>
        </w:tc>
        <w:tc>
          <w:tcPr>
            <w:tcW w:w="1940" w:type="dxa"/>
            <w:vAlign w:val="bottom"/>
            <w:tcBorders>
              <w:right w:val="single" w:sz="8" w:color="7F7F7F"/>
            </w:tcBorders>
          </w:tcPr>
          <w:p>
            <w:pPr>
              <w:spacing w:after="0"/>
              <w:rPr>
                <w:sz w:val="3"/>
                <w:szCs w:val="3"/>
                <w:color w:val="auto"/>
              </w:rPr>
            </w:pPr>
          </w:p>
        </w:tc>
        <w:tc>
          <w:tcPr>
            <w:tcW w:w="3580" w:type="dxa"/>
            <w:vAlign w:val="bottom"/>
            <w:tcBorders>
              <w:right w:val="single" w:sz="8" w:color="7F7F7F"/>
            </w:tcBorders>
            <w:gridSpan w:val="2"/>
            <w:vMerge w:val="restart"/>
          </w:tcPr>
          <w:p>
            <w:pPr>
              <w:ind w:left="140"/>
              <w:spacing w:after="0" w:line="138" w:lineRule="exact"/>
              <w:rPr>
                <w:sz w:val="20"/>
                <w:szCs w:val="20"/>
                <w:color w:val="auto"/>
              </w:rPr>
            </w:pPr>
            <w:r>
              <w:rPr>
                <w:rFonts w:ascii="Arial" w:cs="Arial" w:eastAsia="Arial" w:hAnsi="Arial"/>
                <w:sz w:val="11"/>
                <w:szCs w:val="11"/>
                <w:color w:val="auto"/>
              </w:rPr>
              <w:t>S&amp;P 500</w:t>
            </w:r>
            <w:r>
              <w:rPr>
                <w:rFonts w:ascii="Arial" w:cs="Arial" w:eastAsia="Arial" w:hAnsi="Arial"/>
                <w:sz w:val="16"/>
                <w:szCs w:val="16"/>
                <w:color w:val="auto"/>
                <w:vertAlign w:val="superscript"/>
              </w:rPr>
              <w:t>®</w:t>
            </w:r>
            <w:r>
              <w:rPr>
                <w:rFonts w:ascii="Arial" w:cs="Arial" w:eastAsia="Arial" w:hAnsi="Arial"/>
                <w:sz w:val="11"/>
                <w:szCs w:val="11"/>
                <w:color w:val="auto"/>
              </w:rPr>
              <w:t xml:space="preserve"> Index Step Rate Edge</w:t>
            </w:r>
          </w:p>
        </w:tc>
        <w:tc>
          <w:tcPr>
            <w:tcW w:w="1340" w:type="dxa"/>
            <w:vAlign w:val="bottom"/>
            <w:vMerge w:val="restart"/>
          </w:tcPr>
          <w:p>
            <w:pPr>
              <w:jc w:val="right"/>
              <w:spacing w:after="0" w:line="139" w:lineRule="exact"/>
              <w:rPr>
                <w:sz w:val="20"/>
                <w:szCs w:val="20"/>
                <w:color w:val="auto"/>
              </w:rPr>
            </w:pPr>
            <w:r>
              <w:rPr>
                <w:rFonts w:ascii="Arial" w:cs="Arial" w:eastAsia="Arial" w:hAnsi="Arial"/>
                <w:sz w:val="13"/>
                <w:szCs w:val="13"/>
                <w:color w:val="auto"/>
              </w:rPr>
              <w:t>%</w:t>
            </w:r>
          </w:p>
        </w:tc>
        <w:tc>
          <w:tcPr>
            <w:tcW w:w="20" w:type="dxa"/>
            <w:vAlign w:val="bottom"/>
            <w:shd w:val="clear" w:color="auto" w:fill="7F7F7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2"/>
        </w:trPr>
        <w:tc>
          <w:tcPr>
            <w:tcW w:w="1240" w:type="dxa"/>
            <w:vAlign w:val="bottom"/>
            <w:tcBorders>
              <w:left w:val="single" w:sz="8" w:color="7F7F7F"/>
              <w:right w:val="single" w:sz="8" w:color="7F7F7F"/>
            </w:tcBorders>
            <w:vMerge w:val="restart"/>
          </w:tcPr>
          <w:p>
            <w:pPr>
              <w:jc w:val="center"/>
              <w:ind w:left="34"/>
              <w:spacing w:after="0"/>
              <w:rPr>
                <w:sz w:val="20"/>
                <w:szCs w:val="20"/>
                <w:color w:val="auto"/>
              </w:rPr>
            </w:pPr>
            <w:r>
              <w:rPr>
                <w:rFonts w:ascii="Arial" w:cs="Arial" w:eastAsia="Arial" w:hAnsi="Arial"/>
                <w:sz w:val="13"/>
                <w:szCs w:val="13"/>
                <w:color w:val="auto"/>
                <w:w w:val="98"/>
              </w:rPr>
              <w:t>Term</w:t>
            </w:r>
          </w:p>
        </w:tc>
        <w:tc>
          <w:tcPr>
            <w:tcW w:w="1940" w:type="dxa"/>
            <w:vAlign w:val="bottom"/>
            <w:tcBorders>
              <w:right w:val="single" w:sz="8" w:color="7F7F7F"/>
            </w:tcBorders>
          </w:tcPr>
          <w:p>
            <w:pPr>
              <w:spacing w:after="0"/>
              <w:rPr>
                <w:sz w:val="8"/>
                <w:szCs w:val="8"/>
                <w:color w:val="auto"/>
              </w:rPr>
            </w:pPr>
          </w:p>
        </w:tc>
        <w:tc>
          <w:tcPr>
            <w:tcW w:w="3580" w:type="dxa"/>
            <w:vAlign w:val="bottom"/>
            <w:tcBorders>
              <w:bottom w:val="single" w:sz="8" w:color="7F7F7F"/>
              <w:right w:val="single" w:sz="8" w:color="7F7F7F"/>
            </w:tcBorders>
            <w:gridSpan w:val="2"/>
            <w:vMerge w:val="continue"/>
          </w:tcPr>
          <w:p>
            <w:pPr>
              <w:spacing w:after="0"/>
              <w:rPr>
                <w:sz w:val="8"/>
                <w:szCs w:val="8"/>
                <w:color w:val="auto"/>
              </w:rPr>
            </w:pPr>
          </w:p>
        </w:tc>
        <w:tc>
          <w:tcPr>
            <w:tcW w:w="1340" w:type="dxa"/>
            <w:vAlign w:val="bottom"/>
            <w:tcBorders>
              <w:bottom w:val="single" w:sz="8" w:color="7F7F7F"/>
            </w:tcBorders>
            <w:vMerge w:val="continue"/>
          </w:tcPr>
          <w:p>
            <w:pPr>
              <w:spacing w:after="0"/>
              <w:rPr>
                <w:sz w:val="8"/>
                <w:szCs w:val="8"/>
                <w:color w:val="auto"/>
              </w:rPr>
            </w:pPr>
          </w:p>
        </w:tc>
        <w:tc>
          <w:tcPr>
            <w:tcW w:w="20" w:type="dxa"/>
            <w:vAlign w:val="bottom"/>
            <w:tcBorders>
              <w:bottom w:val="single" w:sz="8" w:color="7F7F7F"/>
            </w:tcBorders>
            <w:shd w:val="clear" w:color="auto" w:fill="7F7F7F"/>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1240" w:type="dxa"/>
            <w:vAlign w:val="bottom"/>
            <w:tcBorders>
              <w:left w:val="single" w:sz="8" w:color="7F7F7F"/>
              <w:right w:val="single" w:sz="8" w:color="7F7F7F"/>
            </w:tcBorders>
            <w:vMerge w:val="continue"/>
          </w:tcPr>
          <w:p>
            <w:pPr>
              <w:spacing w:after="0"/>
              <w:rPr>
                <w:sz w:val="4"/>
                <w:szCs w:val="4"/>
                <w:color w:val="auto"/>
              </w:rPr>
            </w:pPr>
          </w:p>
        </w:tc>
        <w:tc>
          <w:tcPr>
            <w:tcW w:w="1940" w:type="dxa"/>
            <w:vAlign w:val="bottom"/>
            <w:tcBorders>
              <w:right w:val="single" w:sz="8" w:color="7F7F7F"/>
            </w:tcBorders>
            <w:vMerge w:val="restart"/>
          </w:tcPr>
          <w:p>
            <w:pPr>
              <w:ind w:left="300"/>
              <w:spacing w:after="0" w:line="126" w:lineRule="exact"/>
              <w:rPr>
                <w:sz w:val="20"/>
                <w:szCs w:val="20"/>
                <w:color w:val="auto"/>
              </w:rPr>
            </w:pPr>
            <w:r>
              <w:rPr>
                <w:rFonts w:ascii="Arial" w:cs="Arial" w:eastAsia="Arial" w:hAnsi="Arial"/>
                <w:sz w:val="13"/>
                <w:szCs w:val="13"/>
                <w:color w:val="auto"/>
              </w:rPr>
              <w:t>Shield 10</w:t>
            </w:r>
          </w:p>
        </w:tc>
        <w:tc>
          <w:tcPr>
            <w:tcW w:w="3580" w:type="dxa"/>
            <w:vAlign w:val="bottom"/>
            <w:tcBorders>
              <w:right w:val="single" w:sz="8" w:color="7F7F7F"/>
            </w:tcBorders>
            <w:gridSpan w:val="2"/>
            <w:vMerge w:val="restart"/>
          </w:tcPr>
          <w:p>
            <w:pPr>
              <w:ind w:left="140"/>
              <w:spacing w:after="0" w:line="126" w:lineRule="exact"/>
              <w:rPr>
                <w:sz w:val="20"/>
                <w:szCs w:val="20"/>
                <w:color w:val="auto"/>
              </w:rPr>
            </w:pPr>
            <w:r>
              <w:rPr>
                <w:rFonts w:ascii="Arial" w:cs="Arial" w:eastAsia="Arial" w:hAnsi="Arial"/>
                <w:sz w:val="10"/>
                <w:szCs w:val="10"/>
                <w:color w:val="auto"/>
              </w:rPr>
              <w:t>Russell 2000</w:t>
            </w:r>
            <w:r>
              <w:rPr>
                <w:rFonts w:ascii="Arial" w:cs="Arial" w:eastAsia="Arial" w:hAnsi="Arial"/>
                <w:sz w:val="14"/>
                <w:szCs w:val="14"/>
                <w:color w:val="auto"/>
                <w:vertAlign w:val="superscript"/>
              </w:rPr>
              <w:t>®</w:t>
            </w:r>
            <w:r>
              <w:rPr>
                <w:rFonts w:ascii="Arial" w:cs="Arial" w:eastAsia="Arial" w:hAnsi="Arial"/>
                <w:sz w:val="10"/>
                <w:szCs w:val="10"/>
                <w:color w:val="auto"/>
              </w:rPr>
              <w:t xml:space="preserve"> Index Step Rate Edge</w:t>
            </w:r>
          </w:p>
        </w:tc>
        <w:tc>
          <w:tcPr>
            <w:tcW w:w="1340" w:type="dxa"/>
            <w:vAlign w:val="bottom"/>
            <w:vMerge w:val="restart"/>
          </w:tcPr>
          <w:p>
            <w:pPr>
              <w:jc w:val="right"/>
              <w:spacing w:after="0" w:line="126" w:lineRule="exact"/>
              <w:rPr>
                <w:sz w:val="20"/>
                <w:szCs w:val="20"/>
                <w:color w:val="auto"/>
              </w:rPr>
            </w:pPr>
            <w:r>
              <w:rPr>
                <w:rFonts w:ascii="Arial" w:cs="Arial" w:eastAsia="Arial" w:hAnsi="Arial"/>
                <w:sz w:val="13"/>
                <w:szCs w:val="13"/>
                <w:color w:val="auto"/>
              </w:rPr>
              <w:t>%</w:t>
            </w:r>
          </w:p>
        </w:tc>
        <w:tc>
          <w:tcPr>
            <w:tcW w:w="20" w:type="dxa"/>
            <w:vAlign w:val="bottom"/>
            <w:shd w:val="clear" w:color="auto" w:fill="7F7F7F"/>
          </w:tcPr>
          <w:p>
            <w:pPr>
              <w:spacing w:after="0"/>
              <w:rPr>
                <w:sz w:val="4"/>
                <w:szCs w:val="4"/>
                <w:color w:val="auto"/>
              </w:rPr>
            </w:pPr>
          </w:p>
        </w:tc>
        <w:tc>
          <w:tcPr>
            <w:tcW w:w="0" w:type="dxa"/>
            <w:vAlign w:val="bottom"/>
          </w:tcPr>
          <w:p>
            <w:pPr>
              <w:spacing w:after="0"/>
              <w:rPr>
                <w:sz w:val="1"/>
                <w:szCs w:val="1"/>
                <w:color w:val="auto"/>
              </w:rPr>
            </w:pPr>
          </w:p>
        </w:tc>
      </w:tr>
      <w:tr>
        <w:trPr>
          <w:trHeight w:val="77"/>
        </w:trPr>
        <w:tc>
          <w:tcPr>
            <w:tcW w:w="1240" w:type="dxa"/>
            <w:vAlign w:val="bottom"/>
            <w:tcBorders>
              <w:left w:val="single" w:sz="8" w:color="7F7F7F"/>
              <w:right w:val="single" w:sz="8" w:color="7F7F7F"/>
            </w:tcBorders>
          </w:tcPr>
          <w:p>
            <w:pPr>
              <w:spacing w:after="0"/>
              <w:rPr>
                <w:sz w:val="6"/>
                <w:szCs w:val="6"/>
                <w:color w:val="auto"/>
              </w:rPr>
            </w:pPr>
          </w:p>
        </w:tc>
        <w:tc>
          <w:tcPr>
            <w:tcW w:w="1940" w:type="dxa"/>
            <w:vAlign w:val="bottom"/>
            <w:tcBorders>
              <w:right w:val="single" w:sz="8" w:color="7F7F7F"/>
            </w:tcBorders>
            <w:vMerge w:val="continue"/>
          </w:tcPr>
          <w:p>
            <w:pPr>
              <w:spacing w:after="0"/>
              <w:rPr>
                <w:sz w:val="6"/>
                <w:szCs w:val="6"/>
                <w:color w:val="auto"/>
              </w:rPr>
            </w:pPr>
          </w:p>
        </w:tc>
        <w:tc>
          <w:tcPr>
            <w:tcW w:w="3580" w:type="dxa"/>
            <w:vAlign w:val="bottom"/>
            <w:tcBorders>
              <w:bottom w:val="single" w:sz="8" w:color="7F7F7F"/>
              <w:right w:val="single" w:sz="8" w:color="7F7F7F"/>
            </w:tcBorders>
            <w:gridSpan w:val="2"/>
            <w:vMerge w:val="continue"/>
          </w:tcPr>
          <w:p>
            <w:pPr>
              <w:spacing w:after="0"/>
              <w:rPr>
                <w:sz w:val="6"/>
                <w:szCs w:val="6"/>
                <w:color w:val="auto"/>
              </w:rPr>
            </w:pPr>
          </w:p>
        </w:tc>
        <w:tc>
          <w:tcPr>
            <w:tcW w:w="1340" w:type="dxa"/>
            <w:vAlign w:val="bottom"/>
            <w:tcBorders>
              <w:bottom w:val="single" w:sz="8" w:color="7F7F7F"/>
            </w:tcBorders>
            <w:vMerge w:val="continue"/>
          </w:tcPr>
          <w:p>
            <w:pPr>
              <w:spacing w:after="0"/>
              <w:rPr>
                <w:sz w:val="6"/>
                <w:szCs w:val="6"/>
                <w:color w:val="auto"/>
              </w:rPr>
            </w:pPr>
          </w:p>
        </w:tc>
        <w:tc>
          <w:tcPr>
            <w:tcW w:w="20" w:type="dxa"/>
            <w:vAlign w:val="bottom"/>
            <w:tcBorders>
              <w:bottom w:val="single" w:sz="8" w:color="7F7F7F"/>
            </w:tcBorders>
            <w:shd w:val="clear" w:color="auto" w:fill="7F7F7F"/>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1240" w:type="dxa"/>
            <w:vAlign w:val="bottom"/>
            <w:tcBorders>
              <w:left w:val="single" w:sz="8" w:color="7F7F7F"/>
              <w:right w:val="single" w:sz="8" w:color="7F7F7F"/>
            </w:tcBorders>
          </w:tcPr>
          <w:p>
            <w:pPr>
              <w:spacing w:after="0"/>
              <w:rPr>
                <w:sz w:val="12"/>
                <w:szCs w:val="12"/>
                <w:color w:val="auto"/>
              </w:rPr>
            </w:pPr>
          </w:p>
        </w:tc>
        <w:tc>
          <w:tcPr>
            <w:tcW w:w="1940" w:type="dxa"/>
            <w:vAlign w:val="bottom"/>
            <w:tcBorders>
              <w:right w:val="single" w:sz="8" w:color="7F7F7F"/>
            </w:tcBorders>
          </w:tcPr>
          <w:p>
            <w:pPr>
              <w:ind w:left="300"/>
              <w:spacing w:after="0"/>
              <w:rPr>
                <w:sz w:val="20"/>
                <w:szCs w:val="20"/>
                <w:color w:val="auto"/>
              </w:rPr>
            </w:pPr>
            <w:r>
              <w:rPr>
                <w:rFonts w:ascii="Arial" w:cs="Arial" w:eastAsia="Arial" w:hAnsi="Arial"/>
                <w:sz w:val="13"/>
                <w:szCs w:val="13"/>
                <w:color w:val="auto"/>
              </w:rPr>
              <w:t>(Shield Rate: 10%)</w:t>
            </w:r>
          </w:p>
        </w:tc>
        <w:tc>
          <w:tcPr>
            <w:tcW w:w="3580" w:type="dxa"/>
            <w:vAlign w:val="bottom"/>
            <w:tcBorders>
              <w:bottom w:val="single" w:sz="8" w:color="7F7F7F"/>
              <w:right w:val="single" w:sz="8" w:color="7F7F7F"/>
            </w:tcBorders>
            <w:gridSpan w:val="2"/>
          </w:tcPr>
          <w:p>
            <w:pPr>
              <w:ind w:left="140"/>
              <w:spacing w:after="0"/>
              <w:rPr>
                <w:sz w:val="20"/>
                <w:szCs w:val="20"/>
                <w:color w:val="auto"/>
              </w:rPr>
            </w:pPr>
            <w:r>
              <w:rPr>
                <w:rFonts w:ascii="Arial" w:cs="Arial" w:eastAsia="Arial" w:hAnsi="Arial"/>
                <w:sz w:val="13"/>
                <w:szCs w:val="13"/>
                <w:color w:val="auto"/>
              </w:rPr>
              <w:t>MSCI EAFE Index Step Rate Edge</w:t>
            </w:r>
          </w:p>
        </w:tc>
        <w:tc>
          <w:tcPr>
            <w:tcW w:w="1340" w:type="dxa"/>
            <w:vAlign w:val="bottom"/>
            <w:tcBorders>
              <w:bottom w:val="single" w:sz="8" w:color="7F7F7F"/>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7F7F7F"/>
            </w:tcBorders>
            <w:shd w:val="clear" w:color="auto" w:fill="7F7F7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40" w:type="dxa"/>
            <w:vAlign w:val="bottom"/>
            <w:tcBorders>
              <w:left w:val="single" w:sz="8" w:color="7F7F7F"/>
              <w:bottom w:val="single" w:sz="8" w:color="7F7F7F"/>
              <w:right w:val="single" w:sz="8" w:color="7F7F7F"/>
            </w:tcBorders>
          </w:tcPr>
          <w:p>
            <w:pPr>
              <w:spacing w:after="0"/>
              <w:rPr>
                <w:sz w:val="12"/>
                <w:szCs w:val="12"/>
                <w:color w:val="auto"/>
              </w:rPr>
            </w:pPr>
          </w:p>
        </w:tc>
        <w:tc>
          <w:tcPr>
            <w:tcW w:w="1940" w:type="dxa"/>
            <w:vAlign w:val="bottom"/>
            <w:tcBorders>
              <w:bottom w:val="single" w:sz="8" w:color="7F7F7F"/>
              <w:right w:val="single" w:sz="8" w:color="7F7F7F"/>
            </w:tcBorders>
          </w:tcPr>
          <w:p>
            <w:pPr>
              <w:spacing w:after="0"/>
              <w:rPr>
                <w:sz w:val="12"/>
                <w:szCs w:val="12"/>
                <w:color w:val="auto"/>
              </w:rPr>
            </w:pPr>
          </w:p>
        </w:tc>
        <w:tc>
          <w:tcPr>
            <w:tcW w:w="3580" w:type="dxa"/>
            <w:vAlign w:val="bottom"/>
            <w:tcBorders>
              <w:bottom w:val="single" w:sz="8" w:color="7F7F7F"/>
              <w:right w:val="single" w:sz="8" w:color="7F7F7F"/>
            </w:tcBorders>
            <w:gridSpan w:val="2"/>
          </w:tcPr>
          <w:p>
            <w:pPr>
              <w:ind w:left="140"/>
              <w:spacing w:after="0" w:line="138" w:lineRule="exact"/>
              <w:rPr>
                <w:sz w:val="20"/>
                <w:szCs w:val="20"/>
                <w:color w:val="auto"/>
              </w:rPr>
            </w:pPr>
            <w:r>
              <w:rPr>
                <w:rFonts w:ascii="Arial" w:cs="Arial" w:eastAsia="Arial" w:hAnsi="Arial"/>
                <w:sz w:val="11"/>
                <w:szCs w:val="11"/>
                <w:color w:val="auto"/>
              </w:rPr>
              <w:t>Nasdaq-100 Index</w:t>
            </w:r>
            <w:r>
              <w:rPr>
                <w:rFonts w:ascii="Arial" w:cs="Arial" w:eastAsia="Arial" w:hAnsi="Arial"/>
                <w:sz w:val="16"/>
                <w:szCs w:val="16"/>
                <w:color w:val="auto"/>
                <w:vertAlign w:val="superscript"/>
              </w:rPr>
              <w:t>®</w:t>
            </w:r>
            <w:r>
              <w:rPr>
                <w:rFonts w:ascii="Arial" w:cs="Arial" w:eastAsia="Arial" w:hAnsi="Arial"/>
                <w:sz w:val="11"/>
                <w:szCs w:val="11"/>
                <w:color w:val="auto"/>
              </w:rPr>
              <w:t xml:space="preserve"> Step Rate Edge</w:t>
            </w:r>
          </w:p>
        </w:tc>
        <w:tc>
          <w:tcPr>
            <w:tcW w:w="1340" w:type="dxa"/>
            <w:vAlign w:val="bottom"/>
            <w:tcBorders>
              <w:bottom w:val="single" w:sz="8" w:color="7F7F7F"/>
            </w:tcBorders>
          </w:tcPr>
          <w:p>
            <w:pPr>
              <w:jc w:val="right"/>
              <w:spacing w:after="0" w:line="139"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7F7F7F"/>
            </w:tcBorders>
            <w:shd w:val="clear" w:color="auto" w:fill="7F7F7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40" w:type="dxa"/>
            <w:vAlign w:val="bottom"/>
            <w:tcBorders>
              <w:left w:val="single" w:sz="8" w:color="7F7F7F"/>
              <w:right w:val="single" w:sz="8" w:color="7F7F7F"/>
            </w:tcBorders>
          </w:tcPr>
          <w:p>
            <w:pPr>
              <w:spacing w:after="0"/>
              <w:rPr>
                <w:sz w:val="12"/>
                <w:szCs w:val="12"/>
                <w:color w:val="auto"/>
              </w:rPr>
            </w:pPr>
          </w:p>
        </w:tc>
        <w:tc>
          <w:tcPr>
            <w:tcW w:w="1940" w:type="dxa"/>
            <w:vAlign w:val="bottom"/>
            <w:tcBorders>
              <w:right w:val="single" w:sz="8" w:color="7F7F7F"/>
            </w:tcBorders>
            <w:vMerge w:val="restart"/>
          </w:tcPr>
          <w:p>
            <w:pPr>
              <w:ind w:left="300"/>
              <w:spacing w:after="0"/>
              <w:rPr>
                <w:sz w:val="20"/>
                <w:szCs w:val="20"/>
                <w:color w:val="auto"/>
              </w:rPr>
            </w:pPr>
            <w:r>
              <w:rPr>
                <w:rFonts w:ascii="Arial" w:cs="Arial" w:eastAsia="Arial" w:hAnsi="Arial"/>
                <w:sz w:val="13"/>
                <w:szCs w:val="13"/>
                <w:color w:val="auto"/>
              </w:rPr>
              <w:t>Shield 15</w:t>
            </w:r>
          </w:p>
        </w:tc>
        <w:tc>
          <w:tcPr>
            <w:tcW w:w="3580" w:type="dxa"/>
            <w:vAlign w:val="bottom"/>
            <w:tcBorders>
              <w:bottom w:val="single" w:sz="8" w:color="7F7F7F"/>
              <w:right w:val="single" w:sz="8" w:color="7F7F7F"/>
            </w:tcBorders>
            <w:gridSpan w:val="2"/>
          </w:tcPr>
          <w:p>
            <w:pPr>
              <w:ind w:left="140"/>
              <w:spacing w:after="0" w:line="138" w:lineRule="exact"/>
              <w:rPr>
                <w:sz w:val="20"/>
                <w:szCs w:val="20"/>
                <w:color w:val="auto"/>
              </w:rPr>
            </w:pPr>
            <w:r>
              <w:rPr>
                <w:rFonts w:ascii="Arial" w:cs="Arial" w:eastAsia="Arial" w:hAnsi="Arial"/>
                <w:sz w:val="11"/>
                <w:szCs w:val="11"/>
                <w:color w:val="auto"/>
              </w:rPr>
              <w:t>S&amp;P 500</w:t>
            </w:r>
            <w:r>
              <w:rPr>
                <w:rFonts w:ascii="Arial" w:cs="Arial" w:eastAsia="Arial" w:hAnsi="Arial"/>
                <w:sz w:val="16"/>
                <w:szCs w:val="16"/>
                <w:color w:val="auto"/>
                <w:vertAlign w:val="superscript"/>
              </w:rPr>
              <w:t>®</w:t>
            </w:r>
            <w:r>
              <w:rPr>
                <w:rFonts w:ascii="Arial" w:cs="Arial" w:eastAsia="Arial" w:hAnsi="Arial"/>
                <w:sz w:val="11"/>
                <w:szCs w:val="11"/>
                <w:color w:val="auto"/>
              </w:rPr>
              <w:t xml:space="preserve"> Index Step Rate Edge</w:t>
            </w:r>
          </w:p>
        </w:tc>
        <w:tc>
          <w:tcPr>
            <w:tcW w:w="1340" w:type="dxa"/>
            <w:vAlign w:val="bottom"/>
            <w:tcBorders>
              <w:bottom w:val="single" w:sz="8" w:color="7F7F7F"/>
            </w:tcBorders>
          </w:tcPr>
          <w:p>
            <w:pPr>
              <w:jc w:val="right"/>
              <w:spacing w:after="0" w:line="139"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7F7F7F"/>
            </w:tcBorders>
            <w:shd w:val="clear" w:color="auto" w:fill="7F7F7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240" w:type="dxa"/>
            <w:vAlign w:val="bottom"/>
            <w:tcBorders>
              <w:left w:val="single" w:sz="8" w:color="7F7F7F"/>
              <w:right w:val="single" w:sz="8" w:color="7F7F7F"/>
            </w:tcBorders>
          </w:tcPr>
          <w:p>
            <w:pPr>
              <w:spacing w:after="0"/>
              <w:rPr>
                <w:sz w:val="11"/>
                <w:szCs w:val="11"/>
                <w:color w:val="auto"/>
              </w:rPr>
            </w:pPr>
          </w:p>
        </w:tc>
        <w:tc>
          <w:tcPr>
            <w:tcW w:w="1940" w:type="dxa"/>
            <w:vAlign w:val="bottom"/>
            <w:tcBorders>
              <w:right w:val="single" w:sz="8" w:color="7F7F7F"/>
            </w:tcBorders>
            <w:vMerge w:val="continue"/>
          </w:tcPr>
          <w:p>
            <w:pPr>
              <w:spacing w:after="0"/>
              <w:rPr>
                <w:sz w:val="11"/>
                <w:szCs w:val="11"/>
                <w:color w:val="auto"/>
              </w:rPr>
            </w:pPr>
          </w:p>
        </w:tc>
        <w:tc>
          <w:tcPr>
            <w:tcW w:w="3580" w:type="dxa"/>
            <w:vAlign w:val="bottom"/>
            <w:tcBorders>
              <w:bottom w:val="single" w:sz="8" w:color="7F7F7F"/>
              <w:right w:val="single" w:sz="8" w:color="7F7F7F"/>
            </w:tcBorders>
            <w:gridSpan w:val="2"/>
          </w:tcPr>
          <w:p>
            <w:pPr>
              <w:ind w:left="140"/>
              <w:spacing w:after="0" w:line="126" w:lineRule="exact"/>
              <w:rPr>
                <w:sz w:val="20"/>
                <w:szCs w:val="20"/>
                <w:color w:val="auto"/>
              </w:rPr>
            </w:pPr>
            <w:r>
              <w:rPr>
                <w:rFonts w:ascii="Arial" w:cs="Arial" w:eastAsia="Arial" w:hAnsi="Arial"/>
                <w:sz w:val="10"/>
                <w:szCs w:val="10"/>
                <w:color w:val="auto"/>
              </w:rPr>
              <w:t>Russell 2000</w:t>
            </w:r>
            <w:r>
              <w:rPr>
                <w:rFonts w:ascii="Arial" w:cs="Arial" w:eastAsia="Arial" w:hAnsi="Arial"/>
                <w:sz w:val="14"/>
                <w:szCs w:val="14"/>
                <w:color w:val="auto"/>
                <w:vertAlign w:val="superscript"/>
              </w:rPr>
              <w:t>®</w:t>
            </w:r>
            <w:r>
              <w:rPr>
                <w:rFonts w:ascii="Arial" w:cs="Arial" w:eastAsia="Arial" w:hAnsi="Arial"/>
                <w:sz w:val="10"/>
                <w:szCs w:val="10"/>
                <w:color w:val="auto"/>
              </w:rPr>
              <w:t xml:space="preserve"> Index Step Rate Edge</w:t>
            </w:r>
          </w:p>
        </w:tc>
        <w:tc>
          <w:tcPr>
            <w:tcW w:w="1340" w:type="dxa"/>
            <w:vAlign w:val="bottom"/>
            <w:tcBorders>
              <w:bottom w:val="single" w:sz="8" w:color="7F7F7F"/>
            </w:tcBorders>
          </w:tcPr>
          <w:p>
            <w:pPr>
              <w:jc w:val="right"/>
              <w:spacing w:after="0" w:line="126"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7F7F7F"/>
            </w:tcBorders>
            <w:shd w:val="clear" w:color="auto" w:fill="7F7F7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40" w:type="dxa"/>
            <w:vAlign w:val="bottom"/>
            <w:tcBorders>
              <w:left w:val="single" w:sz="8" w:color="7F7F7F"/>
              <w:right w:val="single" w:sz="8" w:color="7F7F7F"/>
            </w:tcBorders>
            <w:vMerge w:val="restart"/>
          </w:tcPr>
          <w:p>
            <w:pPr>
              <w:jc w:val="center"/>
              <w:ind w:left="34"/>
              <w:spacing w:after="0"/>
              <w:rPr>
                <w:sz w:val="20"/>
                <w:szCs w:val="20"/>
                <w:color w:val="auto"/>
              </w:rPr>
            </w:pPr>
            <w:r>
              <w:rPr>
                <w:rFonts w:ascii="Arial" w:cs="Arial" w:eastAsia="Arial" w:hAnsi="Arial"/>
                <w:sz w:val="13"/>
                <w:szCs w:val="13"/>
                <w:color w:val="auto"/>
                <w:w w:val="99"/>
              </w:rPr>
              <w:t>1 Year</w:t>
            </w:r>
          </w:p>
        </w:tc>
        <w:tc>
          <w:tcPr>
            <w:tcW w:w="1940" w:type="dxa"/>
            <w:vAlign w:val="bottom"/>
            <w:tcBorders>
              <w:right w:val="single" w:sz="8" w:color="7F7F7F"/>
            </w:tcBorders>
          </w:tcPr>
          <w:p>
            <w:pPr>
              <w:ind w:left="300"/>
              <w:spacing w:after="0"/>
              <w:rPr>
                <w:sz w:val="20"/>
                <w:szCs w:val="20"/>
                <w:color w:val="auto"/>
              </w:rPr>
            </w:pPr>
            <w:r>
              <w:rPr>
                <w:rFonts w:ascii="Arial" w:cs="Arial" w:eastAsia="Arial" w:hAnsi="Arial"/>
                <w:sz w:val="13"/>
                <w:szCs w:val="13"/>
                <w:color w:val="auto"/>
              </w:rPr>
              <w:t>(Shield Rate: 15%)</w:t>
            </w:r>
          </w:p>
        </w:tc>
        <w:tc>
          <w:tcPr>
            <w:tcW w:w="3580" w:type="dxa"/>
            <w:vAlign w:val="bottom"/>
            <w:tcBorders>
              <w:bottom w:val="single" w:sz="8" w:color="7F7F7F"/>
              <w:right w:val="single" w:sz="8" w:color="7F7F7F"/>
            </w:tcBorders>
            <w:gridSpan w:val="2"/>
          </w:tcPr>
          <w:p>
            <w:pPr>
              <w:ind w:left="140"/>
              <w:spacing w:after="0"/>
              <w:rPr>
                <w:sz w:val="20"/>
                <w:szCs w:val="20"/>
                <w:color w:val="auto"/>
              </w:rPr>
            </w:pPr>
            <w:r>
              <w:rPr>
                <w:rFonts w:ascii="Arial" w:cs="Arial" w:eastAsia="Arial" w:hAnsi="Arial"/>
                <w:sz w:val="13"/>
                <w:szCs w:val="13"/>
                <w:color w:val="auto"/>
              </w:rPr>
              <w:t>MSCI EAFE Index Step Rate Edge</w:t>
            </w:r>
          </w:p>
        </w:tc>
        <w:tc>
          <w:tcPr>
            <w:tcW w:w="1340" w:type="dxa"/>
            <w:vAlign w:val="bottom"/>
            <w:tcBorders>
              <w:bottom w:val="single" w:sz="8" w:color="7F7F7F"/>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7F7F7F"/>
            </w:tcBorders>
            <w:shd w:val="clear" w:color="auto" w:fill="7F7F7F"/>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1240" w:type="dxa"/>
            <w:vAlign w:val="bottom"/>
            <w:tcBorders>
              <w:left w:val="single" w:sz="8" w:color="7F7F7F"/>
              <w:right w:val="single" w:sz="8" w:color="7F7F7F"/>
            </w:tcBorders>
            <w:vMerge w:val="continue"/>
          </w:tcPr>
          <w:p>
            <w:pPr>
              <w:spacing w:after="0"/>
              <w:rPr>
                <w:sz w:val="4"/>
                <w:szCs w:val="4"/>
                <w:color w:val="auto"/>
              </w:rPr>
            </w:pPr>
          </w:p>
        </w:tc>
        <w:tc>
          <w:tcPr>
            <w:tcW w:w="1940" w:type="dxa"/>
            <w:vAlign w:val="bottom"/>
            <w:tcBorders>
              <w:right w:val="single" w:sz="8" w:color="7F7F7F"/>
            </w:tcBorders>
          </w:tcPr>
          <w:p>
            <w:pPr>
              <w:spacing w:after="0"/>
              <w:rPr>
                <w:sz w:val="4"/>
                <w:szCs w:val="4"/>
                <w:color w:val="auto"/>
              </w:rPr>
            </w:pPr>
          </w:p>
        </w:tc>
        <w:tc>
          <w:tcPr>
            <w:tcW w:w="3580" w:type="dxa"/>
            <w:vAlign w:val="bottom"/>
            <w:tcBorders>
              <w:right w:val="single" w:sz="8" w:color="7F7F7F"/>
            </w:tcBorders>
            <w:gridSpan w:val="2"/>
            <w:vMerge w:val="restart"/>
          </w:tcPr>
          <w:p>
            <w:pPr>
              <w:ind w:left="140"/>
              <w:spacing w:after="0" w:line="138" w:lineRule="exact"/>
              <w:rPr>
                <w:sz w:val="20"/>
                <w:szCs w:val="20"/>
                <w:color w:val="auto"/>
              </w:rPr>
            </w:pPr>
            <w:r>
              <w:rPr>
                <w:rFonts w:ascii="Arial" w:cs="Arial" w:eastAsia="Arial" w:hAnsi="Arial"/>
                <w:sz w:val="11"/>
                <w:szCs w:val="11"/>
                <w:color w:val="auto"/>
              </w:rPr>
              <w:t>Nasdaq-100 Index</w:t>
            </w:r>
            <w:r>
              <w:rPr>
                <w:rFonts w:ascii="Arial" w:cs="Arial" w:eastAsia="Arial" w:hAnsi="Arial"/>
                <w:sz w:val="16"/>
                <w:szCs w:val="16"/>
                <w:color w:val="auto"/>
                <w:vertAlign w:val="superscript"/>
              </w:rPr>
              <w:t>®</w:t>
            </w:r>
            <w:r>
              <w:rPr>
                <w:rFonts w:ascii="Arial" w:cs="Arial" w:eastAsia="Arial" w:hAnsi="Arial"/>
                <w:sz w:val="11"/>
                <w:szCs w:val="11"/>
                <w:color w:val="auto"/>
              </w:rPr>
              <w:t xml:space="preserve"> Step Rate Edge</w:t>
            </w:r>
          </w:p>
        </w:tc>
        <w:tc>
          <w:tcPr>
            <w:tcW w:w="1340" w:type="dxa"/>
            <w:vAlign w:val="bottom"/>
            <w:vMerge w:val="restart"/>
          </w:tcPr>
          <w:p>
            <w:pPr>
              <w:jc w:val="right"/>
              <w:spacing w:after="0" w:line="139" w:lineRule="exact"/>
              <w:rPr>
                <w:sz w:val="20"/>
                <w:szCs w:val="20"/>
                <w:color w:val="auto"/>
              </w:rPr>
            </w:pPr>
            <w:r>
              <w:rPr>
                <w:rFonts w:ascii="Arial" w:cs="Arial" w:eastAsia="Arial" w:hAnsi="Arial"/>
                <w:sz w:val="13"/>
                <w:szCs w:val="13"/>
                <w:color w:val="auto"/>
              </w:rPr>
              <w:t>%</w:t>
            </w:r>
          </w:p>
        </w:tc>
        <w:tc>
          <w:tcPr>
            <w:tcW w:w="20" w:type="dxa"/>
            <w:vAlign w:val="bottom"/>
            <w:shd w:val="clear" w:color="auto" w:fill="7F7F7F"/>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1240" w:type="dxa"/>
            <w:vAlign w:val="bottom"/>
            <w:tcBorders>
              <w:left w:val="single" w:sz="8" w:color="7F7F7F"/>
              <w:right w:val="single" w:sz="8" w:color="7F7F7F"/>
            </w:tcBorders>
            <w:vMerge w:val="restart"/>
          </w:tcPr>
          <w:p>
            <w:pPr>
              <w:jc w:val="center"/>
              <w:ind w:left="34"/>
              <w:spacing w:after="0"/>
              <w:rPr>
                <w:sz w:val="20"/>
                <w:szCs w:val="20"/>
                <w:color w:val="auto"/>
              </w:rPr>
            </w:pPr>
            <w:r>
              <w:rPr>
                <w:rFonts w:ascii="Arial" w:cs="Arial" w:eastAsia="Arial" w:hAnsi="Arial"/>
                <w:sz w:val="13"/>
                <w:szCs w:val="13"/>
                <w:color w:val="auto"/>
              </w:rPr>
              <w:t>Shield</w:t>
            </w:r>
          </w:p>
        </w:tc>
        <w:tc>
          <w:tcPr>
            <w:tcW w:w="1940" w:type="dxa"/>
            <w:vAlign w:val="bottom"/>
            <w:tcBorders>
              <w:bottom w:val="single" w:sz="8" w:color="7F7F7F"/>
              <w:right w:val="single" w:sz="8" w:color="7F7F7F"/>
            </w:tcBorders>
          </w:tcPr>
          <w:p>
            <w:pPr>
              <w:spacing w:after="0"/>
              <w:rPr>
                <w:sz w:val="7"/>
                <w:szCs w:val="7"/>
                <w:color w:val="auto"/>
              </w:rPr>
            </w:pPr>
          </w:p>
        </w:tc>
        <w:tc>
          <w:tcPr>
            <w:tcW w:w="3580" w:type="dxa"/>
            <w:vAlign w:val="bottom"/>
            <w:tcBorders>
              <w:bottom w:val="single" w:sz="8" w:color="7F7F7F"/>
              <w:right w:val="single" w:sz="8" w:color="7F7F7F"/>
            </w:tcBorders>
            <w:gridSpan w:val="2"/>
            <w:vMerge w:val="continue"/>
          </w:tcPr>
          <w:p>
            <w:pPr>
              <w:spacing w:after="0"/>
              <w:rPr>
                <w:sz w:val="7"/>
                <w:szCs w:val="7"/>
                <w:color w:val="auto"/>
              </w:rPr>
            </w:pPr>
          </w:p>
        </w:tc>
        <w:tc>
          <w:tcPr>
            <w:tcW w:w="1340" w:type="dxa"/>
            <w:vAlign w:val="bottom"/>
            <w:tcBorders>
              <w:bottom w:val="single" w:sz="8" w:color="7F7F7F"/>
            </w:tcBorders>
            <w:vMerge w:val="continue"/>
          </w:tcPr>
          <w:p>
            <w:pPr>
              <w:spacing w:after="0"/>
              <w:rPr>
                <w:sz w:val="7"/>
                <w:szCs w:val="7"/>
                <w:color w:val="auto"/>
              </w:rPr>
            </w:pPr>
          </w:p>
        </w:tc>
        <w:tc>
          <w:tcPr>
            <w:tcW w:w="20" w:type="dxa"/>
            <w:vAlign w:val="bottom"/>
            <w:tcBorders>
              <w:bottom w:val="single" w:sz="8" w:color="7F7F7F"/>
            </w:tcBorders>
            <w:shd w:val="clear" w:color="auto" w:fill="7F7F7F"/>
          </w:tcPr>
          <w:p>
            <w:pPr>
              <w:spacing w:after="0"/>
              <w:rPr>
                <w:sz w:val="7"/>
                <w:szCs w:val="7"/>
                <w:color w:val="auto"/>
              </w:rPr>
            </w:pPr>
          </w:p>
        </w:tc>
        <w:tc>
          <w:tcPr>
            <w:tcW w:w="0" w:type="dxa"/>
            <w:vAlign w:val="bottom"/>
          </w:tcPr>
          <w:p>
            <w:pPr>
              <w:spacing w:after="0"/>
              <w:rPr>
                <w:sz w:val="1"/>
                <w:szCs w:val="1"/>
                <w:color w:val="auto"/>
              </w:rPr>
            </w:pPr>
          </w:p>
        </w:tc>
      </w:tr>
      <w:tr>
        <w:trPr>
          <w:trHeight w:val="37"/>
        </w:trPr>
        <w:tc>
          <w:tcPr>
            <w:tcW w:w="1240" w:type="dxa"/>
            <w:vAlign w:val="bottom"/>
            <w:tcBorders>
              <w:left w:val="single" w:sz="8" w:color="7F7F7F"/>
              <w:right w:val="single" w:sz="8" w:color="7F7F7F"/>
            </w:tcBorders>
            <w:vMerge w:val="continue"/>
          </w:tcPr>
          <w:p>
            <w:pPr>
              <w:spacing w:after="0"/>
              <w:rPr>
                <w:sz w:val="3"/>
                <w:szCs w:val="3"/>
                <w:color w:val="auto"/>
              </w:rPr>
            </w:pPr>
          </w:p>
        </w:tc>
        <w:tc>
          <w:tcPr>
            <w:tcW w:w="1940" w:type="dxa"/>
            <w:vAlign w:val="bottom"/>
            <w:tcBorders>
              <w:right w:val="single" w:sz="8" w:color="7F7F7F"/>
            </w:tcBorders>
          </w:tcPr>
          <w:p>
            <w:pPr>
              <w:spacing w:after="0"/>
              <w:rPr>
                <w:sz w:val="3"/>
                <w:szCs w:val="3"/>
                <w:color w:val="auto"/>
              </w:rPr>
            </w:pPr>
          </w:p>
        </w:tc>
        <w:tc>
          <w:tcPr>
            <w:tcW w:w="3580" w:type="dxa"/>
            <w:vAlign w:val="bottom"/>
            <w:tcBorders>
              <w:right w:val="single" w:sz="8" w:color="7F7F7F"/>
            </w:tcBorders>
            <w:gridSpan w:val="2"/>
            <w:vMerge w:val="restart"/>
          </w:tcPr>
          <w:p>
            <w:pPr>
              <w:ind w:left="140"/>
              <w:spacing w:after="0" w:line="138" w:lineRule="exact"/>
              <w:rPr>
                <w:sz w:val="20"/>
                <w:szCs w:val="20"/>
                <w:color w:val="auto"/>
              </w:rPr>
            </w:pPr>
            <w:r>
              <w:rPr>
                <w:rFonts w:ascii="Arial" w:cs="Arial" w:eastAsia="Arial" w:hAnsi="Arial"/>
                <w:sz w:val="11"/>
                <w:szCs w:val="11"/>
                <w:color w:val="auto"/>
              </w:rPr>
              <w:t>S&amp;P 500</w:t>
            </w:r>
            <w:r>
              <w:rPr>
                <w:rFonts w:ascii="Arial" w:cs="Arial" w:eastAsia="Arial" w:hAnsi="Arial"/>
                <w:sz w:val="16"/>
                <w:szCs w:val="16"/>
                <w:color w:val="auto"/>
                <w:vertAlign w:val="superscript"/>
              </w:rPr>
              <w:t>®</w:t>
            </w:r>
            <w:r>
              <w:rPr>
                <w:rFonts w:ascii="Arial" w:cs="Arial" w:eastAsia="Arial" w:hAnsi="Arial"/>
                <w:sz w:val="11"/>
                <w:szCs w:val="11"/>
                <w:color w:val="auto"/>
              </w:rPr>
              <w:t xml:space="preserve"> Index Step Rate Edge</w:t>
            </w:r>
          </w:p>
        </w:tc>
        <w:tc>
          <w:tcPr>
            <w:tcW w:w="1340" w:type="dxa"/>
            <w:vAlign w:val="bottom"/>
            <w:vMerge w:val="restart"/>
          </w:tcPr>
          <w:p>
            <w:pPr>
              <w:jc w:val="right"/>
              <w:spacing w:after="0" w:line="139" w:lineRule="exact"/>
              <w:rPr>
                <w:sz w:val="20"/>
                <w:szCs w:val="20"/>
                <w:color w:val="auto"/>
              </w:rPr>
            </w:pPr>
            <w:r>
              <w:rPr>
                <w:rFonts w:ascii="Arial" w:cs="Arial" w:eastAsia="Arial" w:hAnsi="Arial"/>
                <w:sz w:val="13"/>
                <w:szCs w:val="13"/>
                <w:color w:val="auto"/>
              </w:rPr>
              <w:t>%</w:t>
            </w:r>
          </w:p>
        </w:tc>
        <w:tc>
          <w:tcPr>
            <w:tcW w:w="20" w:type="dxa"/>
            <w:vAlign w:val="bottom"/>
            <w:shd w:val="clear" w:color="auto" w:fill="7F7F7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2"/>
        </w:trPr>
        <w:tc>
          <w:tcPr>
            <w:tcW w:w="1240" w:type="dxa"/>
            <w:vAlign w:val="bottom"/>
            <w:tcBorders>
              <w:left w:val="single" w:sz="8" w:color="7F7F7F"/>
              <w:right w:val="single" w:sz="8" w:color="7F7F7F"/>
            </w:tcBorders>
            <w:vMerge w:val="restart"/>
          </w:tcPr>
          <w:p>
            <w:pPr>
              <w:jc w:val="center"/>
              <w:ind w:left="34"/>
              <w:spacing w:after="0"/>
              <w:rPr>
                <w:sz w:val="20"/>
                <w:szCs w:val="20"/>
                <w:color w:val="auto"/>
              </w:rPr>
            </w:pPr>
            <w:r>
              <w:rPr>
                <w:rFonts w:ascii="Arial" w:cs="Arial" w:eastAsia="Arial" w:hAnsi="Arial"/>
                <w:sz w:val="13"/>
                <w:szCs w:val="13"/>
                <w:color w:val="auto"/>
                <w:w w:val="98"/>
              </w:rPr>
              <w:t>Term</w:t>
            </w:r>
          </w:p>
        </w:tc>
        <w:tc>
          <w:tcPr>
            <w:tcW w:w="1940" w:type="dxa"/>
            <w:vAlign w:val="bottom"/>
            <w:tcBorders>
              <w:right w:val="single" w:sz="8" w:color="7F7F7F"/>
            </w:tcBorders>
          </w:tcPr>
          <w:p>
            <w:pPr>
              <w:spacing w:after="0"/>
              <w:rPr>
                <w:sz w:val="8"/>
                <w:szCs w:val="8"/>
                <w:color w:val="auto"/>
              </w:rPr>
            </w:pPr>
          </w:p>
        </w:tc>
        <w:tc>
          <w:tcPr>
            <w:tcW w:w="3580" w:type="dxa"/>
            <w:vAlign w:val="bottom"/>
            <w:tcBorders>
              <w:bottom w:val="single" w:sz="8" w:color="7F7F7F"/>
              <w:right w:val="single" w:sz="8" w:color="7F7F7F"/>
            </w:tcBorders>
            <w:gridSpan w:val="2"/>
            <w:vMerge w:val="continue"/>
          </w:tcPr>
          <w:p>
            <w:pPr>
              <w:spacing w:after="0"/>
              <w:rPr>
                <w:sz w:val="8"/>
                <w:szCs w:val="8"/>
                <w:color w:val="auto"/>
              </w:rPr>
            </w:pPr>
          </w:p>
        </w:tc>
        <w:tc>
          <w:tcPr>
            <w:tcW w:w="1340" w:type="dxa"/>
            <w:vAlign w:val="bottom"/>
            <w:tcBorders>
              <w:bottom w:val="single" w:sz="8" w:color="7F7F7F"/>
            </w:tcBorders>
            <w:vMerge w:val="continue"/>
          </w:tcPr>
          <w:p>
            <w:pPr>
              <w:spacing w:after="0"/>
              <w:rPr>
                <w:sz w:val="8"/>
                <w:szCs w:val="8"/>
                <w:color w:val="auto"/>
              </w:rPr>
            </w:pPr>
          </w:p>
        </w:tc>
        <w:tc>
          <w:tcPr>
            <w:tcW w:w="20" w:type="dxa"/>
            <w:vAlign w:val="bottom"/>
            <w:tcBorders>
              <w:bottom w:val="single" w:sz="8" w:color="7F7F7F"/>
            </w:tcBorders>
            <w:shd w:val="clear" w:color="auto" w:fill="7F7F7F"/>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1240" w:type="dxa"/>
            <w:vAlign w:val="bottom"/>
            <w:tcBorders>
              <w:left w:val="single" w:sz="8" w:color="7F7F7F"/>
              <w:right w:val="single" w:sz="8" w:color="7F7F7F"/>
            </w:tcBorders>
            <w:vMerge w:val="continue"/>
          </w:tcPr>
          <w:p>
            <w:pPr>
              <w:spacing w:after="0"/>
              <w:rPr>
                <w:sz w:val="4"/>
                <w:szCs w:val="4"/>
                <w:color w:val="auto"/>
              </w:rPr>
            </w:pPr>
          </w:p>
        </w:tc>
        <w:tc>
          <w:tcPr>
            <w:tcW w:w="1940" w:type="dxa"/>
            <w:vAlign w:val="bottom"/>
            <w:tcBorders>
              <w:right w:val="single" w:sz="8" w:color="7F7F7F"/>
            </w:tcBorders>
            <w:vMerge w:val="restart"/>
          </w:tcPr>
          <w:p>
            <w:pPr>
              <w:ind w:left="300"/>
              <w:spacing w:after="0" w:line="126" w:lineRule="exact"/>
              <w:rPr>
                <w:sz w:val="20"/>
                <w:szCs w:val="20"/>
                <w:color w:val="auto"/>
              </w:rPr>
            </w:pPr>
            <w:r>
              <w:rPr>
                <w:rFonts w:ascii="Arial" w:cs="Arial" w:eastAsia="Arial" w:hAnsi="Arial"/>
                <w:sz w:val="13"/>
                <w:szCs w:val="13"/>
                <w:color w:val="auto"/>
              </w:rPr>
              <w:t>Shield 10</w:t>
            </w:r>
          </w:p>
        </w:tc>
        <w:tc>
          <w:tcPr>
            <w:tcW w:w="3580" w:type="dxa"/>
            <w:vAlign w:val="bottom"/>
            <w:tcBorders>
              <w:right w:val="single" w:sz="8" w:color="7F7F7F"/>
            </w:tcBorders>
            <w:gridSpan w:val="2"/>
            <w:vMerge w:val="restart"/>
          </w:tcPr>
          <w:p>
            <w:pPr>
              <w:ind w:left="140"/>
              <w:spacing w:after="0" w:line="126" w:lineRule="exact"/>
              <w:rPr>
                <w:sz w:val="20"/>
                <w:szCs w:val="20"/>
                <w:color w:val="auto"/>
              </w:rPr>
            </w:pPr>
            <w:r>
              <w:rPr>
                <w:rFonts w:ascii="Arial" w:cs="Arial" w:eastAsia="Arial" w:hAnsi="Arial"/>
                <w:sz w:val="10"/>
                <w:szCs w:val="10"/>
                <w:color w:val="auto"/>
              </w:rPr>
              <w:t>Russell 2000</w:t>
            </w:r>
            <w:r>
              <w:rPr>
                <w:rFonts w:ascii="Arial" w:cs="Arial" w:eastAsia="Arial" w:hAnsi="Arial"/>
                <w:sz w:val="14"/>
                <w:szCs w:val="14"/>
                <w:color w:val="auto"/>
                <w:vertAlign w:val="superscript"/>
              </w:rPr>
              <w:t>®</w:t>
            </w:r>
            <w:r>
              <w:rPr>
                <w:rFonts w:ascii="Arial" w:cs="Arial" w:eastAsia="Arial" w:hAnsi="Arial"/>
                <w:sz w:val="10"/>
                <w:szCs w:val="10"/>
                <w:color w:val="auto"/>
              </w:rPr>
              <w:t xml:space="preserve"> Index Step Rate Edge</w:t>
            </w:r>
          </w:p>
        </w:tc>
        <w:tc>
          <w:tcPr>
            <w:tcW w:w="1340" w:type="dxa"/>
            <w:vAlign w:val="bottom"/>
            <w:vMerge w:val="restart"/>
          </w:tcPr>
          <w:p>
            <w:pPr>
              <w:jc w:val="right"/>
              <w:spacing w:after="0" w:line="126" w:lineRule="exact"/>
              <w:rPr>
                <w:sz w:val="20"/>
                <w:szCs w:val="20"/>
                <w:color w:val="auto"/>
              </w:rPr>
            </w:pPr>
            <w:r>
              <w:rPr>
                <w:rFonts w:ascii="Arial" w:cs="Arial" w:eastAsia="Arial" w:hAnsi="Arial"/>
                <w:sz w:val="13"/>
                <w:szCs w:val="13"/>
                <w:color w:val="auto"/>
              </w:rPr>
              <w:t>%</w:t>
            </w:r>
          </w:p>
        </w:tc>
        <w:tc>
          <w:tcPr>
            <w:tcW w:w="20" w:type="dxa"/>
            <w:vAlign w:val="bottom"/>
            <w:shd w:val="clear" w:color="auto" w:fill="7F7F7F"/>
          </w:tcPr>
          <w:p>
            <w:pPr>
              <w:spacing w:after="0"/>
              <w:rPr>
                <w:sz w:val="4"/>
                <w:szCs w:val="4"/>
                <w:color w:val="auto"/>
              </w:rPr>
            </w:pPr>
          </w:p>
        </w:tc>
        <w:tc>
          <w:tcPr>
            <w:tcW w:w="0" w:type="dxa"/>
            <w:vAlign w:val="bottom"/>
          </w:tcPr>
          <w:p>
            <w:pPr>
              <w:spacing w:after="0"/>
              <w:rPr>
                <w:sz w:val="1"/>
                <w:szCs w:val="1"/>
                <w:color w:val="auto"/>
              </w:rPr>
            </w:pPr>
          </w:p>
        </w:tc>
      </w:tr>
      <w:tr>
        <w:trPr>
          <w:trHeight w:val="77"/>
        </w:trPr>
        <w:tc>
          <w:tcPr>
            <w:tcW w:w="1240" w:type="dxa"/>
            <w:vAlign w:val="bottom"/>
            <w:tcBorders>
              <w:left w:val="single" w:sz="8" w:color="7F7F7F"/>
              <w:right w:val="single" w:sz="8" w:color="7F7F7F"/>
            </w:tcBorders>
          </w:tcPr>
          <w:p>
            <w:pPr>
              <w:spacing w:after="0"/>
              <w:rPr>
                <w:sz w:val="6"/>
                <w:szCs w:val="6"/>
                <w:color w:val="auto"/>
              </w:rPr>
            </w:pPr>
          </w:p>
        </w:tc>
        <w:tc>
          <w:tcPr>
            <w:tcW w:w="1940" w:type="dxa"/>
            <w:vAlign w:val="bottom"/>
            <w:tcBorders>
              <w:right w:val="single" w:sz="8" w:color="7F7F7F"/>
            </w:tcBorders>
            <w:vMerge w:val="continue"/>
          </w:tcPr>
          <w:p>
            <w:pPr>
              <w:spacing w:after="0"/>
              <w:rPr>
                <w:sz w:val="6"/>
                <w:szCs w:val="6"/>
                <w:color w:val="auto"/>
              </w:rPr>
            </w:pPr>
          </w:p>
        </w:tc>
        <w:tc>
          <w:tcPr>
            <w:tcW w:w="3580" w:type="dxa"/>
            <w:vAlign w:val="bottom"/>
            <w:tcBorders>
              <w:bottom w:val="single" w:sz="8" w:color="7F7F7F"/>
              <w:right w:val="single" w:sz="8" w:color="7F7F7F"/>
            </w:tcBorders>
            <w:gridSpan w:val="2"/>
            <w:vMerge w:val="continue"/>
          </w:tcPr>
          <w:p>
            <w:pPr>
              <w:spacing w:after="0"/>
              <w:rPr>
                <w:sz w:val="6"/>
                <w:szCs w:val="6"/>
                <w:color w:val="auto"/>
              </w:rPr>
            </w:pPr>
          </w:p>
        </w:tc>
        <w:tc>
          <w:tcPr>
            <w:tcW w:w="1340" w:type="dxa"/>
            <w:vAlign w:val="bottom"/>
            <w:tcBorders>
              <w:bottom w:val="single" w:sz="8" w:color="7F7F7F"/>
            </w:tcBorders>
            <w:vMerge w:val="continue"/>
          </w:tcPr>
          <w:p>
            <w:pPr>
              <w:spacing w:after="0"/>
              <w:rPr>
                <w:sz w:val="6"/>
                <w:szCs w:val="6"/>
                <w:color w:val="auto"/>
              </w:rPr>
            </w:pPr>
          </w:p>
        </w:tc>
        <w:tc>
          <w:tcPr>
            <w:tcW w:w="20" w:type="dxa"/>
            <w:vAlign w:val="bottom"/>
            <w:tcBorders>
              <w:bottom w:val="single" w:sz="8" w:color="7F7F7F"/>
            </w:tcBorders>
            <w:shd w:val="clear" w:color="auto" w:fill="7F7F7F"/>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1240" w:type="dxa"/>
            <w:vAlign w:val="bottom"/>
            <w:tcBorders>
              <w:left w:val="single" w:sz="8" w:color="7F7F7F"/>
              <w:right w:val="single" w:sz="8" w:color="7F7F7F"/>
            </w:tcBorders>
          </w:tcPr>
          <w:p>
            <w:pPr>
              <w:spacing w:after="0"/>
              <w:rPr>
                <w:sz w:val="12"/>
                <w:szCs w:val="12"/>
                <w:color w:val="auto"/>
              </w:rPr>
            </w:pPr>
          </w:p>
        </w:tc>
        <w:tc>
          <w:tcPr>
            <w:tcW w:w="1940" w:type="dxa"/>
            <w:vAlign w:val="bottom"/>
            <w:tcBorders>
              <w:right w:val="single" w:sz="8" w:color="7F7F7F"/>
            </w:tcBorders>
          </w:tcPr>
          <w:p>
            <w:pPr>
              <w:ind w:left="300"/>
              <w:spacing w:after="0"/>
              <w:rPr>
                <w:sz w:val="20"/>
                <w:szCs w:val="20"/>
                <w:color w:val="auto"/>
              </w:rPr>
            </w:pPr>
            <w:r>
              <w:rPr>
                <w:rFonts w:ascii="Arial" w:cs="Arial" w:eastAsia="Arial" w:hAnsi="Arial"/>
                <w:sz w:val="13"/>
                <w:szCs w:val="13"/>
                <w:color w:val="auto"/>
              </w:rPr>
              <w:t>(Shield Rate: 10%)</w:t>
            </w:r>
          </w:p>
        </w:tc>
        <w:tc>
          <w:tcPr>
            <w:tcW w:w="3580" w:type="dxa"/>
            <w:vAlign w:val="bottom"/>
            <w:tcBorders>
              <w:bottom w:val="single" w:sz="8" w:color="7F7F7F"/>
              <w:right w:val="single" w:sz="8" w:color="7F7F7F"/>
            </w:tcBorders>
            <w:gridSpan w:val="2"/>
          </w:tcPr>
          <w:p>
            <w:pPr>
              <w:ind w:left="140"/>
              <w:spacing w:after="0"/>
              <w:rPr>
                <w:sz w:val="20"/>
                <w:szCs w:val="20"/>
                <w:color w:val="auto"/>
              </w:rPr>
            </w:pPr>
            <w:r>
              <w:rPr>
                <w:rFonts w:ascii="Arial" w:cs="Arial" w:eastAsia="Arial" w:hAnsi="Arial"/>
                <w:sz w:val="13"/>
                <w:szCs w:val="13"/>
                <w:color w:val="auto"/>
              </w:rPr>
              <w:t>MSCI EAFE Index Step Rate Edge</w:t>
            </w:r>
          </w:p>
        </w:tc>
        <w:tc>
          <w:tcPr>
            <w:tcW w:w="1340" w:type="dxa"/>
            <w:vAlign w:val="bottom"/>
            <w:tcBorders>
              <w:bottom w:val="single" w:sz="8" w:color="7F7F7F"/>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7F7F7F"/>
            </w:tcBorders>
            <w:shd w:val="clear" w:color="auto" w:fill="7F7F7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Borders>
              <w:left w:val="single" w:sz="8" w:color="7F7F7F"/>
              <w:bottom w:val="single" w:sz="8" w:color="7F7F7F"/>
              <w:right w:val="single" w:sz="8" w:color="7F7F7F"/>
            </w:tcBorders>
          </w:tcPr>
          <w:p>
            <w:pPr>
              <w:spacing w:after="0"/>
              <w:rPr>
                <w:sz w:val="12"/>
                <w:szCs w:val="12"/>
                <w:color w:val="auto"/>
              </w:rPr>
            </w:pPr>
          </w:p>
        </w:tc>
        <w:tc>
          <w:tcPr>
            <w:tcW w:w="1940" w:type="dxa"/>
            <w:vAlign w:val="bottom"/>
            <w:tcBorders>
              <w:bottom w:val="single" w:sz="8" w:color="7F7F7F"/>
              <w:right w:val="single" w:sz="8" w:color="7F7F7F"/>
            </w:tcBorders>
          </w:tcPr>
          <w:p>
            <w:pPr>
              <w:spacing w:after="0"/>
              <w:rPr>
                <w:sz w:val="12"/>
                <w:szCs w:val="12"/>
                <w:color w:val="auto"/>
              </w:rPr>
            </w:pPr>
          </w:p>
        </w:tc>
        <w:tc>
          <w:tcPr>
            <w:tcW w:w="3580" w:type="dxa"/>
            <w:vAlign w:val="bottom"/>
            <w:tcBorders>
              <w:bottom w:val="single" w:sz="8" w:color="7F7F7F"/>
              <w:right w:val="single" w:sz="8" w:color="7F7F7F"/>
            </w:tcBorders>
            <w:gridSpan w:val="2"/>
          </w:tcPr>
          <w:p>
            <w:pPr>
              <w:ind w:left="140"/>
              <w:spacing w:after="0" w:line="138" w:lineRule="exact"/>
              <w:rPr>
                <w:sz w:val="20"/>
                <w:szCs w:val="20"/>
                <w:color w:val="auto"/>
              </w:rPr>
            </w:pPr>
            <w:r>
              <w:rPr>
                <w:rFonts w:ascii="Arial" w:cs="Arial" w:eastAsia="Arial" w:hAnsi="Arial"/>
                <w:sz w:val="11"/>
                <w:szCs w:val="11"/>
                <w:color w:val="auto"/>
              </w:rPr>
              <w:t>Nasdaq-100 Index</w:t>
            </w:r>
            <w:r>
              <w:rPr>
                <w:rFonts w:ascii="Arial" w:cs="Arial" w:eastAsia="Arial" w:hAnsi="Arial"/>
                <w:sz w:val="16"/>
                <w:szCs w:val="16"/>
                <w:color w:val="auto"/>
                <w:vertAlign w:val="superscript"/>
              </w:rPr>
              <w:t>®</w:t>
            </w:r>
            <w:r>
              <w:rPr>
                <w:rFonts w:ascii="Arial" w:cs="Arial" w:eastAsia="Arial" w:hAnsi="Arial"/>
                <w:sz w:val="11"/>
                <w:szCs w:val="11"/>
                <w:color w:val="auto"/>
              </w:rPr>
              <w:t xml:space="preserve"> Step Rate Edge</w:t>
            </w:r>
          </w:p>
        </w:tc>
        <w:tc>
          <w:tcPr>
            <w:tcW w:w="1340" w:type="dxa"/>
            <w:vAlign w:val="bottom"/>
            <w:tcBorders>
              <w:bottom w:val="single" w:sz="8" w:color="7F7F7F"/>
            </w:tcBorders>
          </w:tcPr>
          <w:p>
            <w:pPr>
              <w:jc w:val="right"/>
              <w:spacing w:after="0" w:line="139"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7F7F7F"/>
            </w:tcBorders>
            <w:shd w:val="clear" w:color="auto" w:fill="7F7F7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40" w:type="dxa"/>
            <w:vAlign w:val="bottom"/>
            <w:tcBorders>
              <w:left w:val="single" w:sz="8" w:color="D9D9D9"/>
              <w:bottom w:val="single" w:sz="8" w:color="7F7F7F"/>
              <w:right w:val="single" w:sz="8" w:color="D9D9D9"/>
            </w:tcBorders>
            <w:shd w:val="clear" w:color="auto" w:fill="D9D9D9"/>
          </w:tcPr>
          <w:p>
            <w:pPr>
              <w:jc w:val="center"/>
              <w:ind w:right="134"/>
              <w:spacing w:after="0"/>
              <w:rPr>
                <w:sz w:val="20"/>
                <w:szCs w:val="20"/>
                <w:color w:val="auto"/>
              </w:rPr>
            </w:pPr>
            <w:r>
              <w:rPr>
                <w:rFonts w:ascii="Arial" w:cs="Arial" w:eastAsia="Arial" w:hAnsi="Arial"/>
                <w:sz w:val="13"/>
                <w:szCs w:val="13"/>
                <w:b w:val="1"/>
                <w:bCs w:val="1"/>
                <w:color w:val="auto"/>
                <w:w w:val="94"/>
              </w:rPr>
              <w:t>   Fixed Account</w:t>
            </w:r>
          </w:p>
        </w:tc>
        <w:tc>
          <w:tcPr>
            <w:tcW w:w="1940" w:type="dxa"/>
            <w:vAlign w:val="bottom"/>
            <w:tcBorders>
              <w:bottom w:val="single" w:sz="8" w:color="7F7F7F"/>
              <w:right w:val="single" w:sz="8" w:color="D9D9D9"/>
            </w:tcBorders>
            <w:shd w:val="clear" w:color="auto" w:fill="D9D9D9"/>
          </w:tcPr>
          <w:p>
            <w:pPr>
              <w:spacing w:after="0"/>
              <w:rPr>
                <w:sz w:val="13"/>
                <w:szCs w:val="13"/>
                <w:color w:val="auto"/>
              </w:rPr>
            </w:pPr>
          </w:p>
        </w:tc>
        <w:tc>
          <w:tcPr>
            <w:tcW w:w="2420" w:type="dxa"/>
            <w:vAlign w:val="bottom"/>
            <w:tcBorders>
              <w:bottom w:val="single" w:sz="8" w:color="7F7F7F"/>
            </w:tcBorders>
            <w:shd w:val="clear" w:color="auto" w:fill="D9D9D9"/>
          </w:tcPr>
          <w:p>
            <w:pPr>
              <w:spacing w:after="0"/>
              <w:rPr>
                <w:sz w:val="13"/>
                <w:szCs w:val="13"/>
                <w:color w:val="auto"/>
              </w:rPr>
            </w:pPr>
          </w:p>
        </w:tc>
        <w:tc>
          <w:tcPr>
            <w:tcW w:w="1160" w:type="dxa"/>
            <w:vAlign w:val="bottom"/>
            <w:tcBorders>
              <w:bottom w:val="single" w:sz="8" w:color="7F7F7F"/>
              <w:right w:val="single" w:sz="8" w:color="D9D9D9"/>
            </w:tcBorders>
            <w:shd w:val="clear" w:color="auto" w:fill="D9D9D9"/>
          </w:tcPr>
          <w:p>
            <w:pPr>
              <w:spacing w:after="0"/>
              <w:rPr>
                <w:sz w:val="13"/>
                <w:szCs w:val="13"/>
                <w:color w:val="auto"/>
              </w:rPr>
            </w:pPr>
          </w:p>
        </w:tc>
        <w:tc>
          <w:tcPr>
            <w:tcW w:w="1340" w:type="dxa"/>
            <w:vAlign w:val="bottom"/>
            <w:tcBorders>
              <w:bottom w:val="single" w:sz="8" w:color="7F7F7F"/>
            </w:tcBorders>
            <w:shd w:val="clear" w:color="auto" w:fill="D9D9D9"/>
          </w:tcPr>
          <w:p>
            <w:pPr>
              <w:spacing w:after="0"/>
              <w:rPr>
                <w:sz w:val="13"/>
                <w:szCs w:val="13"/>
                <w:color w:val="auto"/>
              </w:rPr>
            </w:pPr>
          </w:p>
        </w:tc>
        <w:tc>
          <w:tcPr>
            <w:tcW w:w="20" w:type="dxa"/>
            <w:vAlign w:val="bottom"/>
            <w:tcBorders>
              <w:bottom w:val="single" w:sz="8" w:color="7F7F7F"/>
            </w:tcBorders>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240" w:type="dxa"/>
            <w:vAlign w:val="bottom"/>
            <w:tcBorders>
              <w:left w:val="single" w:sz="8" w:color="7F7F7F"/>
              <w:bottom w:val="single" w:sz="8" w:color="7F7F7F"/>
              <w:right w:val="single" w:sz="8" w:color="7F7F7F"/>
            </w:tcBorders>
          </w:tcPr>
          <w:p>
            <w:pPr>
              <w:jc w:val="center"/>
              <w:ind w:right="94"/>
              <w:spacing w:after="0" w:line="139" w:lineRule="exact"/>
              <w:rPr>
                <w:sz w:val="20"/>
                <w:szCs w:val="20"/>
                <w:color w:val="auto"/>
              </w:rPr>
            </w:pPr>
            <w:r>
              <w:rPr>
                <w:rFonts w:ascii="Arial" w:cs="Arial" w:eastAsia="Arial" w:hAnsi="Arial"/>
                <w:sz w:val="13"/>
                <w:szCs w:val="13"/>
                <w:color w:val="auto"/>
                <w:w w:val="90"/>
              </w:rPr>
              <w:t>   1 Year Term</w:t>
            </w:r>
          </w:p>
        </w:tc>
        <w:tc>
          <w:tcPr>
            <w:tcW w:w="1940" w:type="dxa"/>
            <w:vAlign w:val="bottom"/>
            <w:tcBorders>
              <w:bottom w:val="single" w:sz="8" w:color="7F7F7F"/>
            </w:tcBorders>
          </w:tcPr>
          <w:p>
            <w:pPr>
              <w:ind w:left="300"/>
              <w:spacing w:after="0" w:line="139" w:lineRule="exact"/>
              <w:rPr>
                <w:sz w:val="20"/>
                <w:szCs w:val="20"/>
                <w:color w:val="auto"/>
              </w:rPr>
            </w:pPr>
            <w:r>
              <w:rPr>
                <w:rFonts w:ascii="Arial" w:cs="Arial" w:eastAsia="Arial" w:hAnsi="Arial"/>
                <w:sz w:val="13"/>
                <w:szCs w:val="13"/>
                <w:color w:val="auto"/>
              </w:rPr>
              <w:t>Fixed Account*</w:t>
            </w:r>
          </w:p>
        </w:tc>
        <w:tc>
          <w:tcPr>
            <w:tcW w:w="2420" w:type="dxa"/>
            <w:vAlign w:val="bottom"/>
            <w:tcBorders>
              <w:bottom w:val="single" w:sz="8" w:color="7F7F7F"/>
            </w:tcBorders>
          </w:tcPr>
          <w:p>
            <w:pPr>
              <w:spacing w:after="0"/>
              <w:rPr>
                <w:sz w:val="12"/>
                <w:szCs w:val="12"/>
                <w:color w:val="auto"/>
              </w:rPr>
            </w:pPr>
          </w:p>
        </w:tc>
        <w:tc>
          <w:tcPr>
            <w:tcW w:w="1160" w:type="dxa"/>
            <w:vAlign w:val="bottom"/>
            <w:tcBorders>
              <w:bottom w:val="single" w:sz="8" w:color="7F7F7F"/>
              <w:right w:val="single" w:sz="8" w:color="7F7F7F"/>
            </w:tcBorders>
          </w:tcPr>
          <w:p>
            <w:pPr>
              <w:spacing w:after="0"/>
              <w:rPr>
                <w:sz w:val="12"/>
                <w:szCs w:val="12"/>
                <w:color w:val="auto"/>
              </w:rPr>
            </w:pPr>
          </w:p>
        </w:tc>
        <w:tc>
          <w:tcPr>
            <w:tcW w:w="1340" w:type="dxa"/>
            <w:vAlign w:val="bottom"/>
            <w:tcBorders>
              <w:bottom w:val="single" w:sz="8" w:color="7F7F7F"/>
            </w:tcBorders>
          </w:tcPr>
          <w:p>
            <w:pPr>
              <w:ind w:left="40"/>
              <w:spacing w:after="0" w:line="139" w:lineRule="exact"/>
              <w:rPr>
                <w:sz w:val="20"/>
                <w:szCs w:val="20"/>
                <w:color w:val="auto"/>
              </w:rPr>
            </w:pPr>
            <w:r>
              <w:rPr>
                <w:rFonts w:ascii="Arial" w:cs="Arial" w:eastAsia="Arial" w:hAnsi="Arial"/>
                <w:sz w:val="13"/>
                <w:szCs w:val="13"/>
                <w:b w:val="1"/>
                <w:bCs w:val="1"/>
                <w:color w:val="auto"/>
              </w:rPr>
              <w:t>___________</w:t>
            </w:r>
            <w:r>
              <w:rPr>
                <w:rFonts w:ascii="Arial" w:cs="Arial" w:eastAsia="Arial" w:hAnsi="Arial"/>
                <w:sz w:val="13"/>
                <w:szCs w:val="13"/>
                <w:color w:val="auto"/>
              </w:rPr>
              <w:t>%</w:t>
            </w:r>
          </w:p>
        </w:tc>
        <w:tc>
          <w:tcPr>
            <w:tcW w:w="20" w:type="dxa"/>
            <w:vAlign w:val="bottom"/>
            <w:tcBorders>
              <w:bottom w:val="single" w:sz="8" w:color="7F7F7F"/>
            </w:tcBorders>
            <w:shd w:val="clear" w:color="auto" w:fill="7F7F7F"/>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124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160" w:type="dxa"/>
            <w:vAlign w:val="bottom"/>
            <w:tcBorders>
              <w:right w:val="single" w:sz="8" w:color="D9D9D9"/>
            </w:tcBorders>
            <w:shd w:val="clear" w:color="auto" w:fill="D9D9D9"/>
          </w:tcPr>
          <w:p>
            <w:pPr>
              <w:ind w:left="320"/>
              <w:spacing w:after="0"/>
              <w:rPr>
                <w:sz w:val="20"/>
                <w:szCs w:val="20"/>
                <w:color w:val="auto"/>
              </w:rPr>
            </w:pPr>
            <w:r>
              <w:rPr>
                <w:rFonts w:ascii="Arial" w:cs="Arial" w:eastAsia="Arial" w:hAnsi="Arial"/>
                <w:sz w:val="13"/>
                <w:szCs w:val="13"/>
                <w:b w:val="1"/>
                <w:bCs w:val="1"/>
                <w:color w:val="auto"/>
                <w:w w:val="93"/>
              </w:rPr>
              <w:t>      TOTAL: </w:t>
            </w:r>
          </w:p>
        </w:tc>
        <w:tc>
          <w:tcPr>
            <w:tcW w:w="1340" w:type="dxa"/>
            <w:vAlign w:val="bottom"/>
            <w:shd w:val="clear" w:color="auto" w:fill="D9D9D9"/>
          </w:tcPr>
          <w:p>
            <w:pPr>
              <w:ind w:left="40"/>
              <w:spacing w:after="0"/>
              <w:rPr>
                <w:sz w:val="20"/>
                <w:szCs w:val="20"/>
                <w:color w:val="auto"/>
              </w:rPr>
            </w:pPr>
            <w:r>
              <w:rPr>
                <w:rFonts w:ascii="Arial" w:cs="Arial" w:eastAsia="Arial" w:hAnsi="Arial"/>
                <w:sz w:val="13"/>
                <w:szCs w:val="13"/>
                <w:b w:val="1"/>
                <w:bCs w:val="1"/>
                <w:color w:val="auto"/>
              </w:rPr>
              <w:t>___________</w:t>
            </w: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1" w:right="2159" w:hanging="1"/>
        <w:spacing w:after="0" w:line="258" w:lineRule="auto"/>
        <w:tabs>
          <w:tab w:leader="none" w:pos="89" w:val="left"/>
        </w:tabs>
        <w:numPr>
          <w:ilvl w:val="0"/>
          <w:numId w:val="96"/>
        </w:numPr>
        <w:rPr>
          <w:rFonts w:ascii="Arial" w:cs="Arial" w:eastAsia="Arial" w:hAnsi="Arial"/>
          <w:sz w:val="13"/>
          <w:szCs w:val="13"/>
          <w:color w:val="auto"/>
        </w:rPr>
      </w:pPr>
      <w:r>
        <w:rPr>
          <w:rFonts w:ascii="Arial" w:cs="Arial" w:eastAsia="Arial" w:hAnsi="Arial"/>
          <w:sz w:val="13"/>
          <w:szCs w:val="13"/>
          <w:color w:val="auto"/>
        </w:rPr>
        <w:t>We may with 30 days advance written notice restrict transfers into the Fixed Account during the Transfer Period if the declared interest rate that would apply equals the Minimum Guaranteed Interest Rate and Brighthouse Life Insurance Company of NY is unable to support the Minimum Guaranteed Interest Rate. We will notify you if restrictions on transfers and allocations are subsequently lifted.</w:t>
      </w:r>
    </w:p>
    <w:p>
      <w:pPr>
        <w:spacing w:after="0" w:line="73" w:lineRule="exact"/>
        <w:rPr>
          <w:sz w:val="20"/>
          <w:szCs w:val="20"/>
          <w:color w:val="auto"/>
        </w:rPr>
      </w:pPr>
    </w:p>
    <w:p>
      <w:pPr>
        <w:ind w:left="1"/>
        <w:spacing w:after="0"/>
        <w:tabs>
          <w:tab w:leader="none" w:pos="3860" w:val="left"/>
          <w:tab w:leader="none" w:pos="6820" w:val="left"/>
        </w:tabs>
        <w:rPr>
          <w:sz w:val="20"/>
          <w:szCs w:val="20"/>
          <w:color w:val="auto"/>
        </w:rPr>
      </w:pPr>
      <w:r>
        <w:rPr>
          <w:rFonts w:ascii="Arial" w:cs="Arial" w:eastAsia="Arial" w:hAnsi="Arial"/>
          <w:sz w:val="13"/>
          <w:szCs w:val="13"/>
          <w:color w:val="auto"/>
        </w:rPr>
        <w:t>SLS2-APP-NY (07/24)</w:t>
      </w:r>
      <w:r>
        <w:rPr>
          <w:sz w:val="20"/>
          <w:szCs w:val="20"/>
          <w:color w:val="auto"/>
        </w:rPr>
        <w:tab/>
      </w:r>
      <w:r>
        <w:rPr>
          <w:rFonts w:ascii="Arial" w:cs="Arial" w:eastAsia="Arial" w:hAnsi="Arial"/>
          <w:sz w:val="13"/>
          <w:szCs w:val="13"/>
          <w:color w:val="auto"/>
        </w:rPr>
        <w:t>Page 5 of 8</w:t>
      </w:r>
      <w:r>
        <w:rPr>
          <w:sz w:val="20"/>
          <w:szCs w:val="20"/>
          <w:color w:val="auto"/>
        </w:rPr>
        <w:tab/>
      </w:r>
      <w:r>
        <w:rPr>
          <w:rFonts w:ascii="Arial" w:cs="Arial" w:eastAsia="Arial" w:hAnsi="Arial"/>
          <w:sz w:val="13"/>
          <w:szCs w:val="13"/>
          <w:color w:val="auto"/>
        </w:rPr>
        <w:t xml:space="preserve">BSL2-6-NY (07/24) </w:t>
      </w:r>
    </w:p>
    <w:p>
      <w:pPr>
        <w:sectPr>
          <w:pgSz w:w="11900" w:h="16838" w:orient="portrait"/>
          <w:cols w:equalWidth="0" w:num="1">
            <w:col w:w="10160"/>
          </w:cols>
          <w:pgMar w:left="299" w:top="236" w:right="1440" w:bottom="1440" w:gutter="0" w:footer="0" w:header="0"/>
        </w:sectPr>
      </w:pPr>
    </w:p>
    <w:bookmarkStart w:id="128" w:name="page129"/>
    <w:bookmarkEnd w:id="128"/>
    <w:p>
      <w:pPr>
        <w:ind w:left="8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3">
                      <a:extLst>
                        <a:ext uri="{28A0092B-C50C-407E-A947-70E740481C1C}"/>
                      </a:extLst>
                    </a:blip>
                    <a:srcRect/>
                    <a:stretch>
                      <a:fillRect/>
                    </a:stretch>
                  </pic:blipFill>
                  <pic:spPr bwMode="auto">
                    <a:xfrm>
                      <a:off x="0" y="0"/>
                      <a:ext cx="7206615" cy="31750"/>
                    </a:xfrm>
                    <a:prstGeom prst="rect">
                      <a:avLst/>
                    </a:prstGeom>
                    <a:noFill/>
                  </pic:spPr>
                </pic:pic>
              </a:graphicData>
            </a:graphic>
          </wp:anchor>
        </w:drawing>
        <w:t>9. Index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140325" cy="127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4">
                      <a:extLst>
                        <a:ext uri="{28A0092B-C50C-407E-A947-70E740481C1C}"/>
                      </a:extLst>
                    </a:blip>
                    <a:srcRect/>
                    <a:stretch>
                      <a:fillRect/>
                    </a:stretch>
                  </pic:blipFill>
                  <pic:spPr bwMode="auto">
                    <a:xfrm>
                      <a:off x="0" y="0"/>
                      <a:ext cx="5140325" cy="12700"/>
                    </a:xfrm>
                    <a:prstGeom prst="rect">
                      <a:avLst/>
                    </a:prstGeom>
                    <a:noFill/>
                  </pic:spPr>
                </pic:pic>
              </a:graphicData>
            </a:graphic>
          </wp:anchor>
        </w:drawing>
      </w:r>
    </w:p>
    <w:p>
      <w:pPr>
        <w:spacing w:after="0" w:line="60" w:lineRule="exact"/>
        <w:rPr>
          <w:sz w:val="20"/>
          <w:szCs w:val="20"/>
          <w:color w:val="auto"/>
        </w:rPr>
      </w:pPr>
    </w:p>
    <w:p>
      <w:pPr>
        <w:ind w:left="80" w:right="2099"/>
        <w:spacing w:after="0" w:line="210" w:lineRule="auto"/>
        <w:rPr>
          <w:sz w:val="20"/>
          <w:szCs w:val="20"/>
          <w:color w:val="auto"/>
        </w:rPr>
      </w:pPr>
      <w:r>
        <w:rPr>
          <w:rFonts w:ascii="Arial" w:cs="Arial" w:eastAsia="Arial" w:hAnsi="Arial"/>
          <w:sz w:val="13"/>
          <w:szCs w:val="13"/>
          <w:color w:val="auto"/>
        </w:rPr>
        <w:t>The S&amp;P 500</w:t>
      </w:r>
      <w:r>
        <w:rPr>
          <w:rFonts w:ascii="Arial" w:cs="Arial" w:eastAsia="Arial" w:hAnsi="Arial"/>
          <w:sz w:val="19"/>
          <w:szCs w:val="19"/>
          <w:color w:val="auto"/>
          <w:vertAlign w:val="superscript"/>
        </w:rPr>
        <w:t>®</w:t>
      </w:r>
      <w:r>
        <w:rPr>
          <w:rFonts w:ascii="Arial" w:cs="Arial" w:eastAsia="Arial" w:hAnsi="Arial"/>
          <w:sz w:val="13"/>
          <w:szCs w:val="13"/>
          <w:color w:val="auto"/>
        </w:rPr>
        <w:t xml:space="preserve"> is a product of S&amp;P Dow Jones Indices LLC or its affiliates (“SPDJI”) and has been licensed for use by Brighthouse Financial, Inc. S&amp;P</w:t>
      </w:r>
      <w:r>
        <w:rPr>
          <w:rFonts w:ascii="Arial" w:cs="Arial" w:eastAsia="Arial" w:hAnsi="Arial"/>
          <w:sz w:val="19"/>
          <w:szCs w:val="19"/>
          <w:color w:val="auto"/>
          <w:vertAlign w:val="superscript"/>
        </w:rPr>
        <w:t>®</w:t>
      </w:r>
      <w:r>
        <w:rPr>
          <w:rFonts w:ascii="Arial" w:cs="Arial" w:eastAsia="Arial" w:hAnsi="Arial"/>
          <w:sz w:val="13"/>
          <w:szCs w:val="13"/>
          <w:color w:val="auto"/>
        </w:rPr>
        <w:t>, S&amp;P 500</w:t>
      </w:r>
      <w:r>
        <w:rPr>
          <w:rFonts w:ascii="Arial" w:cs="Arial" w:eastAsia="Arial" w:hAnsi="Arial"/>
          <w:sz w:val="19"/>
          <w:szCs w:val="19"/>
          <w:color w:val="auto"/>
          <w:vertAlign w:val="superscript"/>
        </w:rPr>
        <w:t>®</w:t>
      </w:r>
      <w:r>
        <w:rPr>
          <w:rFonts w:ascii="Arial" w:cs="Arial" w:eastAsia="Arial" w:hAnsi="Arial"/>
          <w:sz w:val="13"/>
          <w:szCs w:val="13"/>
          <w:color w:val="auto"/>
        </w:rPr>
        <w:t>, US 500, The 500, iBoxx</w:t>
      </w:r>
      <w:r>
        <w:rPr>
          <w:rFonts w:ascii="Arial" w:cs="Arial" w:eastAsia="Arial" w:hAnsi="Arial"/>
          <w:sz w:val="19"/>
          <w:szCs w:val="19"/>
          <w:color w:val="auto"/>
          <w:vertAlign w:val="superscript"/>
        </w:rPr>
        <w:t>®</w:t>
      </w:r>
      <w:r>
        <w:rPr>
          <w:rFonts w:ascii="Arial" w:cs="Arial" w:eastAsia="Arial" w:hAnsi="Arial"/>
          <w:sz w:val="13"/>
          <w:szCs w:val="13"/>
          <w:color w:val="auto"/>
        </w:rPr>
        <w:t>, iTraxx</w:t>
      </w:r>
      <w:r>
        <w:rPr>
          <w:rFonts w:ascii="Arial" w:cs="Arial" w:eastAsia="Arial" w:hAnsi="Arial"/>
          <w:sz w:val="19"/>
          <w:szCs w:val="19"/>
          <w:color w:val="auto"/>
          <w:vertAlign w:val="superscript"/>
        </w:rPr>
        <w:t>®</w:t>
      </w:r>
      <w:r>
        <w:rPr>
          <w:rFonts w:ascii="Arial" w:cs="Arial" w:eastAsia="Arial" w:hAnsi="Arial"/>
          <w:sz w:val="13"/>
          <w:szCs w:val="13"/>
          <w:color w:val="auto"/>
        </w:rPr>
        <w:t xml:space="preserve"> and CDX</w:t>
      </w:r>
      <w:r>
        <w:rPr>
          <w:rFonts w:ascii="Arial" w:cs="Arial" w:eastAsia="Arial" w:hAnsi="Arial"/>
          <w:sz w:val="19"/>
          <w:szCs w:val="19"/>
          <w:color w:val="auto"/>
          <w:vertAlign w:val="superscript"/>
        </w:rPr>
        <w:t>®</w:t>
      </w:r>
      <w:r>
        <w:rPr>
          <w:rFonts w:ascii="Arial" w:cs="Arial" w:eastAsia="Arial" w:hAnsi="Arial"/>
          <w:sz w:val="13"/>
          <w:szCs w:val="13"/>
          <w:color w:val="auto"/>
        </w:rPr>
        <w:t xml:space="preserve"> are trademarks of S&amp;P Global, Inc. or its affiliates (“S&amp;P”); Dow Jones</w:t>
      </w:r>
      <w:r>
        <w:rPr>
          <w:rFonts w:ascii="Arial" w:cs="Arial" w:eastAsia="Arial" w:hAnsi="Arial"/>
          <w:sz w:val="19"/>
          <w:szCs w:val="19"/>
          <w:color w:val="auto"/>
          <w:vertAlign w:val="superscript"/>
        </w:rPr>
        <w:t>®</w:t>
      </w:r>
      <w:r>
        <w:rPr>
          <w:rFonts w:ascii="Arial" w:cs="Arial" w:eastAsia="Arial" w:hAnsi="Arial"/>
          <w:sz w:val="13"/>
          <w:szCs w:val="13"/>
          <w:color w:val="auto"/>
        </w:rPr>
        <w:t xml:space="preserve"> is a registered trademark of Dow Jones Trademark Holdings LLC (“Dow Jones”); and these trademarks have been licensed for use by SPDJI and sublicensed for certain purposes by Brighthouse Financial, Inc. Brighthouse Financial products are not sponsored, endorsed, sold or promoted by SPDJI, Dow Jones, S&amp;P, their respective affiliates, and none of such parties make any representation regarding the advisability of investing in such product(s) nor do they have any liability for any errors, omissions, or interruptions of the S&amp;P 500</w:t>
      </w:r>
      <w:r>
        <w:rPr>
          <w:rFonts w:ascii="Arial" w:cs="Arial" w:eastAsia="Arial" w:hAnsi="Arial"/>
          <w:sz w:val="19"/>
          <w:szCs w:val="19"/>
          <w:color w:val="auto"/>
          <w:vertAlign w:val="superscript"/>
        </w:rPr>
        <w:t>®</w:t>
      </w:r>
      <w:r>
        <w:rPr>
          <w:rFonts w:ascii="Arial" w:cs="Arial" w:eastAsia="Arial" w:hAnsi="Arial"/>
          <w:sz w:val="13"/>
          <w:szCs w:val="13"/>
          <w:color w:val="auto"/>
        </w:rPr>
        <w:t>.</w:t>
      </w:r>
    </w:p>
    <w:p>
      <w:pPr>
        <w:spacing w:after="0" w:line="23" w:lineRule="exact"/>
        <w:rPr>
          <w:sz w:val="20"/>
          <w:szCs w:val="20"/>
          <w:color w:val="auto"/>
        </w:rPr>
      </w:pPr>
    </w:p>
    <w:p>
      <w:pPr>
        <w:ind w:left="80" w:right="2139"/>
        <w:spacing w:after="0" w:line="223" w:lineRule="auto"/>
        <w:rPr>
          <w:sz w:val="20"/>
          <w:szCs w:val="20"/>
          <w:color w:val="auto"/>
        </w:rPr>
      </w:pPr>
      <w:r>
        <w:rPr>
          <w:rFonts w:ascii="Arial" w:cs="Arial" w:eastAsia="Arial" w:hAnsi="Arial"/>
          <w:sz w:val="13"/>
          <w:szCs w:val="13"/>
          <w:color w:val="auto"/>
        </w:rPr>
        <w:t>The Russell 2000</w:t>
      </w:r>
      <w:r>
        <w:rPr>
          <w:rFonts w:ascii="Arial" w:cs="Arial" w:eastAsia="Arial" w:hAnsi="Arial"/>
          <w:sz w:val="19"/>
          <w:szCs w:val="19"/>
          <w:color w:val="auto"/>
          <w:vertAlign w:val="superscript"/>
        </w:rPr>
        <w:t>®</w:t>
      </w:r>
      <w:r>
        <w:rPr>
          <w:rFonts w:ascii="Arial" w:cs="Arial" w:eastAsia="Arial" w:hAnsi="Arial"/>
          <w:sz w:val="13"/>
          <w:szCs w:val="13"/>
          <w:color w:val="auto"/>
        </w:rPr>
        <w:t xml:space="preserve"> Index is a trademark of Russell Investments and has been licensed for use by affiliates of Brighthouse Financial, Inc. including Brighthouse Services, LLC and Brighthouse Life Insurance Company of NY (collectively, “Brighthouse Financial”). This annuity product is not sponsored, endorsed, sold or promoted by Russell Investments and Russell Investments makes no representation regarding the advisability of investing in this annuity product.</w:t>
      </w:r>
    </w:p>
    <w:p>
      <w:pPr>
        <w:spacing w:after="0" w:line="104" w:lineRule="exact"/>
        <w:rPr>
          <w:sz w:val="20"/>
          <w:szCs w:val="20"/>
          <w:color w:val="auto"/>
        </w:rPr>
      </w:pPr>
    </w:p>
    <w:p>
      <w:pPr>
        <w:ind w:left="80" w:right="2119"/>
        <w:spacing w:after="0" w:line="251" w:lineRule="auto"/>
        <w:rPr>
          <w:sz w:val="20"/>
          <w:szCs w:val="20"/>
          <w:color w:val="auto"/>
        </w:rPr>
      </w:pPr>
      <w:r>
        <w:rPr>
          <w:rFonts w:ascii="Arial" w:cs="Arial" w:eastAsia="Arial" w:hAnsi="Arial"/>
          <w:sz w:val="13"/>
          <w:szCs w:val="13"/>
          <w:color w:val="auto"/>
        </w:rPr>
        <w:t>This annuity product is not sponsored, endorsed, or promoted by MSCI, and MSCI bears no liability with respect to any such products or securities or any index on which such products or securities are based. This annuity product Prospectus contains a more detailed description of the limited relationship MSCI has with affiliates of Brighthouse Financial Inc. including Brighthouse Services, LLC and Brighthouse Life Insurance Company of NY (collectively, “Brighthouse Financial”) and any related products.</w:t>
      </w:r>
    </w:p>
    <w:p>
      <w:pPr>
        <w:spacing w:after="0" w:line="99" w:lineRule="exact"/>
        <w:rPr>
          <w:sz w:val="20"/>
          <w:szCs w:val="20"/>
          <w:color w:val="auto"/>
        </w:rPr>
      </w:pPr>
    </w:p>
    <w:p>
      <w:pPr>
        <w:ind w:left="80" w:right="2219"/>
        <w:spacing w:after="0" w:line="223" w:lineRule="auto"/>
        <w:rPr>
          <w:sz w:val="20"/>
          <w:szCs w:val="20"/>
          <w:color w:val="auto"/>
        </w:rPr>
      </w:pPr>
      <w:r>
        <w:rPr>
          <w:rFonts w:ascii="Arial" w:cs="Arial" w:eastAsia="Arial" w:hAnsi="Arial"/>
          <w:sz w:val="13"/>
          <w:szCs w:val="13"/>
          <w:color w:val="auto"/>
        </w:rPr>
        <w:t>Nasdaq</w:t>
      </w:r>
      <w:r>
        <w:rPr>
          <w:rFonts w:ascii="Arial" w:cs="Arial" w:eastAsia="Arial" w:hAnsi="Arial"/>
          <w:sz w:val="19"/>
          <w:szCs w:val="19"/>
          <w:color w:val="auto"/>
          <w:vertAlign w:val="superscript"/>
        </w:rPr>
        <w:t>®</w:t>
      </w:r>
      <w:r>
        <w:rPr>
          <w:rFonts w:ascii="Arial" w:cs="Arial" w:eastAsia="Arial" w:hAnsi="Arial"/>
          <w:sz w:val="13"/>
          <w:szCs w:val="13"/>
          <w:color w:val="auto"/>
        </w:rPr>
        <w:t>, Nasdaq-100</w:t>
      </w:r>
      <w:r>
        <w:rPr>
          <w:rFonts w:ascii="Arial" w:cs="Arial" w:eastAsia="Arial" w:hAnsi="Arial"/>
          <w:sz w:val="19"/>
          <w:szCs w:val="19"/>
          <w:color w:val="auto"/>
          <w:vertAlign w:val="superscript"/>
        </w:rPr>
        <w:t>®</w:t>
      </w:r>
      <w:r>
        <w:rPr>
          <w:rFonts w:ascii="Arial" w:cs="Arial" w:eastAsia="Arial" w:hAnsi="Arial"/>
          <w:sz w:val="13"/>
          <w:szCs w:val="13"/>
          <w:color w:val="auto"/>
        </w:rPr>
        <w:t>, Nasdaq-100 Index</w:t>
      </w:r>
      <w:r>
        <w:rPr>
          <w:rFonts w:ascii="Arial" w:cs="Arial" w:eastAsia="Arial" w:hAnsi="Arial"/>
          <w:sz w:val="19"/>
          <w:szCs w:val="19"/>
          <w:color w:val="auto"/>
          <w:vertAlign w:val="superscript"/>
        </w:rPr>
        <w:t>®</w:t>
      </w:r>
      <w:r>
        <w:rPr>
          <w:rFonts w:ascii="Arial" w:cs="Arial" w:eastAsia="Arial" w:hAnsi="Arial"/>
          <w:sz w:val="13"/>
          <w:szCs w:val="13"/>
          <w:color w:val="auto"/>
        </w:rPr>
        <w:t>, and NDX</w:t>
      </w:r>
      <w:r>
        <w:rPr>
          <w:rFonts w:ascii="Arial" w:cs="Arial" w:eastAsia="Arial" w:hAnsi="Arial"/>
          <w:sz w:val="19"/>
          <w:szCs w:val="19"/>
          <w:color w:val="auto"/>
          <w:vertAlign w:val="superscript"/>
        </w:rPr>
        <w:t>®</w:t>
      </w:r>
      <w:r>
        <w:rPr>
          <w:rFonts w:ascii="Arial" w:cs="Arial" w:eastAsia="Arial" w:hAnsi="Arial"/>
          <w:sz w:val="13"/>
          <w:szCs w:val="13"/>
          <w:color w:val="auto"/>
        </w:rPr>
        <w:t xml:space="preserve"> are registered trademarks of Nasdaq, Inc. (which, with its affiliates, is referred to as the “Corporations”) and are licensed for use by Brighthouse Financial, Inc. Brighthouse Financial products have not been passed on by the Corporations as to their legality or suitability and are not issued, endorsed, sold, or promoted by the Corporations. THE CORPORATIONS MAKE NO WARRANTIES AND BEAR NO LIABILITY WITH RESPECT TO THESE PRODUCTS.</w:t>
      </w:r>
    </w:p>
    <w:p>
      <w:pPr>
        <w:spacing w:after="0" w:line="289"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10. Client Acknowledgements and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140325" cy="127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5">
                      <a:extLst>
                        <a:ext uri="{28A0092B-C50C-407E-A947-70E740481C1C}"/>
                      </a:extLst>
                    </a:blip>
                    <a:srcRect/>
                    <a:stretch>
                      <a:fillRect/>
                    </a:stretch>
                  </pic:blipFill>
                  <pic:spPr bwMode="auto">
                    <a:xfrm>
                      <a:off x="0" y="0"/>
                      <a:ext cx="5140325" cy="12700"/>
                    </a:xfrm>
                    <a:prstGeom prst="rect">
                      <a:avLst/>
                    </a:prstGeom>
                    <a:noFill/>
                  </pic:spPr>
                </pic:pic>
              </a:graphicData>
            </a:graphic>
          </wp:anchor>
        </w:drawing>
      </w:r>
    </w:p>
    <w:p>
      <w:pPr>
        <w:spacing w:after="0" w:line="69" w:lineRule="exact"/>
        <w:rPr>
          <w:sz w:val="20"/>
          <w:szCs w:val="20"/>
          <w:color w:val="auto"/>
        </w:rPr>
      </w:pPr>
    </w:p>
    <w:p>
      <w:pPr>
        <w:ind w:left="80"/>
        <w:spacing w:after="0"/>
        <w:rPr>
          <w:sz w:val="20"/>
          <w:szCs w:val="20"/>
          <w:color w:val="auto"/>
        </w:rPr>
      </w:pPr>
      <w:r>
        <w:rPr>
          <w:rFonts w:ascii="Arial" w:cs="Arial" w:eastAsia="Arial" w:hAnsi="Arial"/>
          <w:sz w:val="13"/>
          <w:szCs w:val="13"/>
          <w:color w:val="auto"/>
        </w:rPr>
        <w:t>By signing below, I acknowledge the following to the best of my knowledge and belief:</w:t>
      </w:r>
    </w:p>
    <w:p>
      <w:pPr>
        <w:spacing w:after="0" w:line="89" w:lineRule="exact"/>
        <w:rPr>
          <w:sz w:val="20"/>
          <w:szCs w:val="20"/>
          <w:color w:val="auto"/>
        </w:rPr>
      </w:pPr>
    </w:p>
    <w:p>
      <w:pPr>
        <w:ind w:left="240" w:hanging="161"/>
        <w:spacing w:after="0"/>
        <w:tabs>
          <w:tab w:leader="none" w:pos="240" w:val="left"/>
        </w:tabs>
        <w:numPr>
          <w:ilvl w:val="0"/>
          <w:numId w:val="97"/>
        </w:numPr>
        <w:rPr>
          <w:rFonts w:ascii="Arial" w:cs="Arial" w:eastAsia="Arial" w:hAnsi="Arial"/>
          <w:sz w:val="13"/>
          <w:szCs w:val="13"/>
          <w:color w:val="auto"/>
        </w:rPr>
      </w:pPr>
      <w:r>
        <w:rPr>
          <w:rFonts w:ascii="Arial" w:cs="Arial" w:eastAsia="Arial" w:hAnsi="Arial"/>
          <w:sz w:val="13"/>
          <w:szCs w:val="13"/>
          <w:color w:val="auto"/>
        </w:rPr>
        <w:t>I have read and understand the information above.</w:t>
      </w:r>
    </w:p>
    <w:p>
      <w:pPr>
        <w:spacing w:after="0" w:line="11" w:lineRule="exact"/>
        <w:rPr>
          <w:rFonts w:ascii="Arial" w:cs="Arial" w:eastAsia="Arial" w:hAnsi="Arial"/>
          <w:sz w:val="13"/>
          <w:szCs w:val="13"/>
          <w:color w:val="auto"/>
        </w:rPr>
      </w:pPr>
    </w:p>
    <w:p>
      <w:pPr>
        <w:ind w:left="240" w:right="2219" w:hanging="161"/>
        <w:spacing w:after="0" w:line="238" w:lineRule="auto"/>
        <w:tabs>
          <w:tab w:leader="none" w:pos="240" w:val="left"/>
        </w:tabs>
        <w:numPr>
          <w:ilvl w:val="0"/>
          <w:numId w:val="97"/>
        </w:numPr>
        <w:rPr>
          <w:rFonts w:ascii="Arial" w:cs="Arial" w:eastAsia="Arial" w:hAnsi="Arial"/>
          <w:sz w:val="13"/>
          <w:szCs w:val="13"/>
          <w:color w:val="auto"/>
        </w:rPr>
      </w:pPr>
      <w:r>
        <w:rPr>
          <w:rFonts w:ascii="Arial" w:cs="Arial" w:eastAsia="Arial" w:hAnsi="Arial"/>
          <w:sz w:val="13"/>
          <w:szCs w:val="13"/>
          <w:color w:val="auto"/>
        </w:rPr>
        <w:t>I agree that the above information and statements and those made on all pages of this application are true and correct to the best of my knowledge and belief and are made as the basis of my application.</w:t>
      </w:r>
    </w:p>
    <w:p>
      <w:pPr>
        <w:spacing w:after="0" w:line="1" w:lineRule="exact"/>
        <w:rPr>
          <w:rFonts w:ascii="Arial" w:cs="Arial" w:eastAsia="Arial" w:hAnsi="Arial"/>
          <w:sz w:val="13"/>
          <w:szCs w:val="13"/>
          <w:color w:val="auto"/>
        </w:rPr>
      </w:pPr>
    </w:p>
    <w:p>
      <w:pPr>
        <w:ind w:left="240" w:right="2099" w:hanging="161"/>
        <w:spacing w:after="0" w:line="238" w:lineRule="auto"/>
        <w:tabs>
          <w:tab w:leader="none" w:pos="240" w:val="left"/>
        </w:tabs>
        <w:numPr>
          <w:ilvl w:val="0"/>
          <w:numId w:val="97"/>
        </w:numPr>
        <w:rPr>
          <w:rFonts w:ascii="Arial" w:cs="Arial" w:eastAsia="Arial" w:hAnsi="Arial"/>
          <w:sz w:val="13"/>
          <w:szCs w:val="13"/>
          <w:color w:val="auto"/>
        </w:rPr>
      </w:pPr>
      <w:r>
        <w:rPr>
          <w:rFonts w:ascii="Arial" w:cs="Arial" w:eastAsia="Arial" w:hAnsi="Arial"/>
          <w:sz w:val="13"/>
          <w:szCs w:val="13"/>
          <w:b w:val="1"/>
          <w:bCs w:val="1"/>
          <w:color w:val="auto"/>
        </w:rPr>
        <w:t>VALUES AND DETERMINATION OF ANNUITY PAYMENTS PROVIDED BY THIS CONTRACT, WHEN BASED ON THE VALUE OF THE SHIELD OPTION(S) SUBJECT TO THE SHIELD RATE AND THE CAP, STEP, OR EDGE RATE, ARE VARIABLE, MAY INCREASE OR DECREASE, BASED ON WHETHER THE INDEX PERFORMANCE IS POSITIVE, NEGATIVE, OR EQUAL TO ZERO, AND ARE NOT GUARANTEED AS TO FIXED DOLLAR AMOUNT. INVESTMENT IN THE CONTRACT INVOLVES INVESTMENT RISKS, INCLUDING POSSIBLE LOSS OF PRINCIPAL. THE INDEX RETURN MAY BE POSITIVE, NEGATIVE OR ZERO AND INVESTMENT IN THIS CONTRACT MAY RESULT IN A LOSS OF PRINCIPAL. IN SOME INSTANCES, THE POTENTIAL INVESTMENT LOSS FOR THIS PRODUCT MAY BE SIGNIFICANTLY GREATER THAN THE POTENTIAL INVESTMENT GAIN.</w:t>
      </w:r>
    </w:p>
    <w:p>
      <w:pPr>
        <w:spacing w:after="0" w:line="4" w:lineRule="exact"/>
        <w:rPr>
          <w:rFonts w:ascii="Arial" w:cs="Arial" w:eastAsia="Arial" w:hAnsi="Arial"/>
          <w:sz w:val="13"/>
          <w:szCs w:val="13"/>
          <w:color w:val="auto"/>
        </w:rPr>
      </w:pPr>
    </w:p>
    <w:p>
      <w:pPr>
        <w:ind w:left="240" w:hanging="161"/>
        <w:spacing w:after="0"/>
        <w:tabs>
          <w:tab w:leader="none" w:pos="240" w:val="left"/>
        </w:tabs>
        <w:numPr>
          <w:ilvl w:val="0"/>
          <w:numId w:val="97"/>
        </w:numPr>
        <w:rPr>
          <w:rFonts w:ascii="Arial" w:cs="Arial" w:eastAsia="Arial" w:hAnsi="Arial"/>
          <w:sz w:val="13"/>
          <w:szCs w:val="13"/>
          <w:color w:val="auto"/>
        </w:rPr>
      </w:pPr>
      <w:r>
        <w:rPr>
          <w:rFonts w:ascii="Arial" w:cs="Arial" w:eastAsia="Arial" w:hAnsi="Arial"/>
          <w:sz w:val="13"/>
          <w:szCs w:val="13"/>
          <w:color w:val="auto"/>
        </w:rPr>
        <w:t>I have been provided with the Appendix 28 - Non-Guaranteed Index Annuities disclosure form.</w:t>
      </w:r>
    </w:p>
    <w:p>
      <w:pPr>
        <w:ind w:left="240" w:hanging="161"/>
        <w:spacing w:after="0"/>
        <w:tabs>
          <w:tab w:leader="none" w:pos="240" w:val="left"/>
        </w:tabs>
        <w:numPr>
          <w:ilvl w:val="0"/>
          <w:numId w:val="97"/>
        </w:numPr>
        <w:rPr>
          <w:rFonts w:ascii="Arial" w:cs="Arial" w:eastAsia="Arial" w:hAnsi="Arial"/>
          <w:sz w:val="13"/>
          <w:szCs w:val="13"/>
          <w:color w:val="auto"/>
        </w:rPr>
      </w:pPr>
      <w:r>
        <w:rPr>
          <w:rFonts w:ascii="Arial" w:cs="Arial" w:eastAsia="Arial" w:hAnsi="Arial"/>
          <w:sz w:val="13"/>
          <w:szCs w:val="13"/>
          <w:color w:val="auto"/>
        </w:rPr>
        <w:t>I have been provided with the Brighthouse Financial Customer Privacy Notice.</w:t>
      </w:r>
    </w:p>
    <w:p>
      <w:pPr>
        <w:ind w:left="240" w:right="2299" w:hanging="161"/>
        <w:spacing w:after="0" w:line="238" w:lineRule="auto"/>
        <w:tabs>
          <w:tab w:leader="none" w:pos="240" w:val="left"/>
        </w:tabs>
        <w:numPr>
          <w:ilvl w:val="0"/>
          <w:numId w:val="97"/>
        </w:numPr>
        <w:rPr>
          <w:rFonts w:ascii="Arial" w:cs="Arial" w:eastAsia="Arial" w:hAnsi="Arial"/>
          <w:sz w:val="13"/>
          <w:szCs w:val="13"/>
          <w:color w:val="auto"/>
        </w:rPr>
      </w:pPr>
      <w:r>
        <w:rPr>
          <w:rFonts w:ascii="Arial" w:cs="Arial" w:eastAsia="Arial" w:hAnsi="Arial"/>
          <w:sz w:val="13"/>
          <w:szCs w:val="13"/>
          <w:color w:val="auto"/>
        </w:rPr>
        <w:t>If this contract is being purchased with monies from an existing Brighthouse Financial Contract, then I have been provided with the Internal Annuity Transfer Disclosure.</w:t>
      </w:r>
    </w:p>
    <w:p>
      <w:pPr>
        <w:spacing w:after="0" w:line="1" w:lineRule="exact"/>
        <w:rPr>
          <w:rFonts w:ascii="Arial" w:cs="Arial" w:eastAsia="Arial" w:hAnsi="Arial"/>
          <w:sz w:val="13"/>
          <w:szCs w:val="13"/>
          <w:color w:val="auto"/>
        </w:rPr>
      </w:pPr>
    </w:p>
    <w:p>
      <w:pPr>
        <w:ind w:left="240" w:right="2119" w:hanging="161"/>
        <w:spacing w:after="0" w:line="238" w:lineRule="auto"/>
        <w:tabs>
          <w:tab w:leader="none" w:pos="240" w:val="left"/>
        </w:tabs>
        <w:numPr>
          <w:ilvl w:val="0"/>
          <w:numId w:val="97"/>
        </w:numPr>
        <w:rPr>
          <w:rFonts w:ascii="Arial" w:cs="Arial" w:eastAsia="Arial" w:hAnsi="Arial"/>
          <w:sz w:val="13"/>
          <w:szCs w:val="13"/>
          <w:color w:val="auto"/>
        </w:rPr>
      </w:pPr>
      <w:r>
        <w:rPr>
          <w:rFonts w:ascii="Arial" w:cs="Arial" w:eastAsia="Arial" w:hAnsi="Arial"/>
          <w:sz w:val="13"/>
          <w:szCs w:val="13"/>
          <w:color w:val="auto"/>
        </w:rPr>
        <w:t>If this contract is being used to fund an IRA, then I understand that there is no additional tax benefit obtained by funding an IRA with a deferred annuity.</w:t>
      </w:r>
    </w:p>
    <w:p>
      <w:pPr>
        <w:spacing w:after="0" w:line="1" w:lineRule="exact"/>
        <w:rPr>
          <w:rFonts w:ascii="Arial" w:cs="Arial" w:eastAsia="Arial" w:hAnsi="Arial"/>
          <w:sz w:val="13"/>
          <w:szCs w:val="13"/>
          <w:color w:val="auto"/>
        </w:rPr>
      </w:pPr>
    </w:p>
    <w:p>
      <w:pPr>
        <w:jc w:val="both"/>
        <w:ind w:left="240" w:right="2199" w:hanging="161"/>
        <w:spacing w:after="0" w:line="245" w:lineRule="auto"/>
        <w:tabs>
          <w:tab w:leader="none" w:pos="240" w:val="left"/>
        </w:tabs>
        <w:numPr>
          <w:ilvl w:val="0"/>
          <w:numId w:val="97"/>
        </w:numPr>
        <w:rPr>
          <w:rFonts w:ascii="Arial" w:cs="Arial" w:eastAsia="Arial" w:hAnsi="Arial"/>
          <w:sz w:val="13"/>
          <w:szCs w:val="13"/>
          <w:color w:val="auto"/>
        </w:rPr>
      </w:pPr>
      <w:r>
        <w:rPr>
          <w:rFonts w:ascii="Arial" w:cs="Arial" w:eastAsia="Arial" w:hAnsi="Arial"/>
          <w:sz w:val="13"/>
          <w:szCs w:val="13"/>
          <w:color w:val="auto"/>
        </w:rPr>
        <w:t>I understand that Brighthouse Life Insurance Company of NY (“Brighthouse Financial”) does not guarantee the tax consequences of the annuity (including, but not limited to, whether the IRA or other tax-qualified annuity meets minimum distribution requirements and how much of each income payment is excludable from income as a return of any after-tax contribution), and I should consult with my own tax advisor prior to the purchase of the annuity.</w:t>
      </w:r>
    </w:p>
    <w:p>
      <w:pPr>
        <w:spacing w:after="0" w:line="102" w:lineRule="exact"/>
        <w:rPr>
          <w:sz w:val="20"/>
          <w:szCs w:val="20"/>
          <w:color w:val="auto"/>
        </w:rPr>
      </w:pPr>
    </w:p>
    <w:p>
      <w:pPr>
        <w:ind w:left="6340"/>
        <w:spacing w:after="0"/>
        <w:rPr>
          <w:sz w:val="20"/>
          <w:szCs w:val="20"/>
          <w:color w:val="auto"/>
        </w:rPr>
      </w:pPr>
      <w:r>
        <w:rPr>
          <w:rFonts w:ascii="Arial" w:cs="Arial" w:eastAsia="Arial" w:hAnsi="Arial"/>
          <w:sz w:val="13"/>
          <w:szCs w:val="13"/>
          <w:color w:val="auto"/>
        </w:rPr>
        <w:t>(Continued on the next page.)</w:t>
      </w:r>
    </w:p>
    <w:p>
      <w:pPr>
        <w:spacing w:after="0" w:line="108" w:lineRule="exact"/>
        <w:rPr>
          <w:sz w:val="20"/>
          <w:szCs w:val="20"/>
          <w:color w:val="auto"/>
        </w:rPr>
      </w:pPr>
    </w:p>
    <w:p>
      <w:pPr>
        <w:spacing w:after="0"/>
        <w:tabs>
          <w:tab w:leader="none" w:pos="3860" w:val="left"/>
          <w:tab w:leader="none" w:pos="6820" w:val="left"/>
        </w:tabs>
        <w:rPr>
          <w:sz w:val="20"/>
          <w:szCs w:val="20"/>
          <w:color w:val="auto"/>
        </w:rPr>
      </w:pPr>
      <w:r>
        <w:rPr>
          <w:rFonts w:ascii="Arial" w:cs="Arial" w:eastAsia="Arial" w:hAnsi="Arial"/>
          <w:sz w:val="13"/>
          <w:szCs w:val="13"/>
          <w:color w:val="auto"/>
        </w:rPr>
        <w:t>SLS2-APP-NY (07/24)</w:t>
      </w:r>
      <w:r>
        <w:rPr>
          <w:sz w:val="20"/>
          <w:szCs w:val="20"/>
          <w:color w:val="auto"/>
        </w:rPr>
        <w:tab/>
      </w:r>
      <w:r>
        <w:rPr>
          <w:rFonts w:ascii="Arial" w:cs="Arial" w:eastAsia="Arial" w:hAnsi="Arial"/>
          <w:sz w:val="13"/>
          <w:szCs w:val="13"/>
          <w:color w:val="auto"/>
        </w:rPr>
        <w:t>Page 6 of 8</w:t>
      </w:r>
      <w:r>
        <w:rPr>
          <w:sz w:val="20"/>
          <w:szCs w:val="20"/>
          <w:color w:val="auto"/>
        </w:rPr>
        <w:tab/>
      </w:r>
      <w:r>
        <w:rPr>
          <w:rFonts w:ascii="Arial" w:cs="Arial" w:eastAsia="Arial" w:hAnsi="Arial"/>
          <w:sz w:val="13"/>
          <w:szCs w:val="13"/>
          <w:color w:val="auto"/>
        </w:rPr>
        <w:t xml:space="preserve">BSL2-6-NY (07/24) </w:t>
      </w:r>
    </w:p>
    <w:p>
      <w:pPr>
        <w:sectPr>
          <w:pgSz w:w="11900" w:h="16838" w:orient="portrait"/>
          <w:cols w:equalWidth="0" w:num="1">
            <w:col w:w="10159"/>
          </w:cols>
          <w:pgMar w:left="300" w:top="232" w:right="1440" w:bottom="1440" w:gutter="0" w:footer="0" w:header="0"/>
        </w:sectPr>
      </w:pPr>
    </w:p>
    <w:bookmarkStart w:id="129" w:name="page130"/>
    <w:bookmarkEnd w:id="129"/>
    <w:p>
      <w:pPr>
        <w:jc w:val="both"/>
        <w:ind w:left="240" w:right="2139" w:hanging="161"/>
        <w:spacing w:after="0" w:line="245" w:lineRule="auto"/>
        <w:tabs>
          <w:tab w:leader="none" w:pos="240" w:val="left"/>
        </w:tabs>
        <w:numPr>
          <w:ilvl w:val="0"/>
          <w:numId w:val="98"/>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6">
                      <a:extLst>
                        <a:ext uri="{28A0092B-C50C-407E-A947-70E740481C1C}"/>
                      </a:extLst>
                    </a:blip>
                    <a:srcRect/>
                    <a:stretch>
                      <a:fillRect/>
                    </a:stretch>
                  </pic:blipFill>
                  <pic:spPr bwMode="auto">
                    <a:xfrm>
                      <a:off x="0" y="0"/>
                      <a:ext cx="7206615" cy="31750"/>
                    </a:xfrm>
                    <a:prstGeom prst="rect">
                      <a:avLst/>
                    </a:prstGeom>
                    <a:noFill/>
                  </pic:spPr>
                </pic:pic>
              </a:graphicData>
            </a:graphic>
          </wp:anchor>
        </w:drawing>
        <w:t>I acknowledge and understand that if a Wholesaler (who is an employee of Brighthouse Services, LLC, an affiliate of Brighthouse Life Insurance Company of NY) met with me, either in person or by phone, then the Wholesaler may receive compensation for the sale of a Brighthouse Life Insurance Company of NY or affiliate annuity product (“Brighthouse Financial Product”) by my Representative.</w:t>
      </w:r>
    </w:p>
    <w:p>
      <w:pPr>
        <w:ind w:left="240" w:right="2099"/>
        <w:spacing w:after="0" w:line="238" w:lineRule="auto"/>
        <w:rPr>
          <w:rFonts w:ascii="Arial" w:cs="Arial" w:eastAsia="Arial" w:hAnsi="Arial"/>
          <w:sz w:val="13"/>
          <w:szCs w:val="13"/>
          <w:color w:val="auto"/>
        </w:rPr>
      </w:pPr>
      <w:r>
        <w:rPr>
          <w:rFonts w:ascii="Arial" w:cs="Arial" w:eastAsia="Arial" w:hAnsi="Arial"/>
          <w:sz w:val="13"/>
          <w:szCs w:val="13"/>
          <w:color w:val="auto"/>
        </w:rPr>
        <w:t>Wholesaler compensation may vary from product to product and by the premium or deposit amount. The amount of wholesaler compensation may increase in part based upon the relative amount of Brighthouse Financial Products sold during a set period. The Wholesaler is eligible for additional cash compensation (such as medical, retirement and other benefits) and non-cash compensation (such as recognition conferences) based on his or her overall Brighthouse Financial Product sales and productivity. I understand that I may request additional information from my Representative about the Wholesaler compensation expected as a result of my purchase.</w:t>
      </w:r>
    </w:p>
    <w:p>
      <w:pPr>
        <w:spacing w:after="0" w:line="2" w:lineRule="exact"/>
        <w:rPr>
          <w:rFonts w:ascii="Arial" w:cs="Arial" w:eastAsia="Arial" w:hAnsi="Arial"/>
          <w:sz w:val="13"/>
          <w:szCs w:val="13"/>
          <w:color w:val="auto"/>
        </w:rPr>
      </w:pPr>
    </w:p>
    <w:p>
      <w:pPr>
        <w:ind w:left="240" w:right="2779" w:hanging="161"/>
        <w:spacing w:after="0" w:line="238" w:lineRule="auto"/>
        <w:tabs>
          <w:tab w:leader="none" w:pos="240" w:val="left"/>
        </w:tabs>
        <w:numPr>
          <w:ilvl w:val="0"/>
          <w:numId w:val="98"/>
        </w:numPr>
        <w:rPr>
          <w:rFonts w:ascii="Arial" w:cs="Arial" w:eastAsia="Arial" w:hAnsi="Arial"/>
          <w:sz w:val="13"/>
          <w:szCs w:val="13"/>
          <w:color w:val="auto"/>
        </w:rPr>
      </w:pPr>
      <w:r>
        <w:rPr>
          <w:rFonts w:ascii="Arial" w:cs="Arial" w:eastAsia="Arial" w:hAnsi="Arial"/>
          <w:sz w:val="13"/>
          <w:szCs w:val="13"/>
          <w:color w:val="auto"/>
        </w:rPr>
        <w:t>I acknowledge that I have been provided with the current prospectus of Brighthouse Life Insurance Company of NY for the Brighthouse Shield Level II 6-Year Annuity.</w:t>
      </w:r>
    </w:p>
    <w:p>
      <w:pPr>
        <w:spacing w:after="0" w:line="1" w:lineRule="exact"/>
        <w:rPr>
          <w:rFonts w:ascii="Arial" w:cs="Arial" w:eastAsia="Arial" w:hAnsi="Arial"/>
          <w:sz w:val="13"/>
          <w:szCs w:val="13"/>
          <w:color w:val="auto"/>
        </w:rPr>
      </w:pPr>
    </w:p>
    <w:p>
      <w:pPr>
        <w:ind w:left="240" w:hanging="161"/>
        <w:spacing w:after="0"/>
        <w:tabs>
          <w:tab w:leader="none" w:pos="240" w:val="left"/>
        </w:tabs>
        <w:numPr>
          <w:ilvl w:val="0"/>
          <w:numId w:val="98"/>
        </w:numPr>
        <w:rPr>
          <w:rFonts w:ascii="Arial" w:cs="Arial" w:eastAsia="Arial" w:hAnsi="Arial"/>
          <w:sz w:val="13"/>
          <w:szCs w:val="13"/>
          <w:color w:val="auto"/>
        </w:rPr>
      </w:pPr>
      <w:r>
        <w:rPr>
          <w:rFonts w:ascii="Arial" w:cs="Arial" w:eastAsia="Arial" w:hAnsi="Arial"/>
          <w:sz w:val="13"/>
          <w:szCs w:val="13"/>
          <w:color w:val="auto"/>
        </w:rPr>
        <w:t>I have been provided with the Brighthouse Shield Level II 6-Year Annuity Fact Card.</w:t>
      </w:r>
    </w:p>
    <w:p>
      <w:pPr>
        <w:ind w:left="240" w:right="2299" w:hanging="161"/>
        <w:spacing w:after="0" w:line="258" w:lineRule="auto"/>
        <w:tabs>
          <w:tab w:leader="none" w:pos="240" w:val="left"/>
        </w:tabs>
        <w:numPr>
          <w:ilvl w:val="0"/>
          <w:numId w:val="98"/>
        </w:numPr>
        <w:rPr>
          <w:rFonts w:ascii="Arial" w:cs="Arial" w:eastAsia="Arial" w:hAnsi="Arial"/>
          <w:sz w:val="13"/>
          <w:szCs w:val="13"/>
          <w:color w:val="auto"/>
        </w:rPr>
      </w:pPr>
      <w:r>
        <w:rPr>
          <w:rFonts w:ascii="Arial" w:cs="Arial" w:eastAsia="Arial" w:hAnsi="Arial"/>
          <w:sz w:val="13"/>
          <w:szCs w:val="13"/>
          <w:color w:val="auto"/>
        </w:rPr>
        <w:t>I have been provided with the Brighthouse Shield Level II 6-Year Annuity Contract Disclosure and separate rate sheets for both the current and minimum guaranteed rates.</w:t>
      </w:r>
    </w:p>
    <w:p>
      <w:pPr>
        <w:spacing w:after="0" w:line="53"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U.S. Tax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-86360</wp:posOffset>
            </wp:positionV>
            <wp:extent cx="5140325" cy="16694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7">
                      <a:extLst>
                        <a:ext uri="{28A0092B-C50C-407E-A947-70E740481C1C}"/>
                      </a:extLst>
                    </a:blip>
                    <a:srcRect/>
                    <a:stretch>
                      <a:fillRect/>
                    </a:stretch>
                  </pic:blipFill>
                  <pic:spPr bwMode="auto">
                    <a:xfrm>
                      <a:off x="0" y="0"/>
                      <a:ext cx="5140325" cy="166941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b w:val="1"/>
          <w:bCs w:val="1"/>
          <w:color w:val="auto"/>
        </w:rPr>
        <w:t>Under penalties of perjury, I certify that:</w:t>
      </w:r>
    </w:p>
    <w:p>
      <w:pPr>
        <w:ind w:left="340"/>
        <w:spacing w:after="0"/>
        <w:rPr>
          <w:sz w:val="20"/>
          <w:szCs w:val="20"/>
          <w:color w:val="auto"/>
        </w:rPr>
      </w:pPr>
      <w:r>
        <w:rPr>
          <w:rFonts w:ascii="Arial" w:cs="Arial" w:eastAsia="Arial" w:hAnsi="Arial"/>
          <w:sz w:val="13"/>
          <w:szCs w:val="13"/>
          <w:b w:val="1"/>
          <w:bCs w:val="1"/>
          <w:color w:val="auto"/>
        </w:rPr>
        <w:t>1.</w:t>
      </w:r>
      <w:r>
        <w:rPr>
          <w:rFonts w:ascii="Arial" w:cs="Arial" w:eastAsia="Arial" w:hAnsi="Arial"/>
          <w:sz w:val="13"/>
          <w:szCs w:val="13"/>
          <w:color w:val="auto"/>
        </w:rPr>
        <w:t xml:space="preserve">   </w:t>
      </w:r>
      <w:r>
        <w:rPr>
          <w:rFonts w:ascii="Arial" w:cs="Arial" w:eastAsia="Arial" w:hAnsi="Arial"/>
          <w:sz w:val="13"/>
          <w:szCs w:val="13"/>
          <w:b w:val="1"/>
          <w:bCs w:val="1"/>
          <w:color w:val="auto"/>
        </w:rPr>
        <w:t>The number shown on this form is my correct taxpayer identification number; and</w:t>
      </w:r>
    </w:p>
    <w:p>
      <w:pPr>
        <w:ind w:left="520" w:right="2279" w:hanging="197"/>
        <w:spacing w:after="0" w:line="238" w:lineRule="auto"/>
        <w:rPr>
          <w:sz w:val="20"/>
          <w:szCs w:val="20"/>
          <w:color w:val="auto"/>
        </w:rPr>
      </w:pPr>
      <w:r>
        <w:rPr>
          <w:rFonts w:ascii="Arial" w:cs="Arial" w:eastAsia="Arial" w:hAnsi="Arial"/>
          <w:sz w:val="13"/>
          <w:szCs w:val="13"/>
          <w:b w:val="1"/>
          <w:bCs w:val="1"/>
          <w:color w:val="auto"/>
        </w:rPr>
        <w:t>2.</w:t>
      </w:r>
      <w:r>
        <w:rPr>
          <w:rFonts w:ascii="Arial" w:cs="Arial" w:eastAsia="Arial" w:hAnsi="Arial"/>
          <w:sz w:val="13"/>
          <w:szCs w:val="13"/>
          <w:color w:val="auto"/>
        </w:rPr>
        <w:t xml:space="preserve">   </w:t>
      </w:r>
      <w:r>
        <w:rPr>
          <w:rFonts w:ascii="Arial" w:cs="Arial" w:eastAsia="Arial" w:hAnsi="Arial"/>
          <w:sz w:val="13"/>
          <w:szCs w:val="13"/>
          <w:b w:val="1"/>
          <w:bCs w:val="1"/>
          <w:color w:val="auto"/>
        </w:rPr>
        <w:t>I am not subject to backup withholding because: (a) I am exempt from backup withholding, or (b) I have not been notified by the Internal Revenue Service (IRS) that I am subject to backup withholding as a result of a failure to report all interest or dividends, or (c) the IRS has notified me that I am no longer subject to backup withholding; and</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3.</w:t>
      </w:r>
      <w:r>
        <w:rPr>
          <w:rFonts w:ascii="Arial" w:cs="Arial" w:eastAsia="Arial" w:hAnsi="Arial"/>
          <w:sz w:val="13"/>
          <w:szCs w:val="13"/>
          <w:color w:val="auto"/>
        </w:rPr>
        <w:t xml:space="preserve">   </w:t>
      </w:r>
      <w:r>
        <w:rPr>
          <w:rFonts w:ascii="Arial" w:cs="Arial" w:eastAsia="Arial" w:hAnsi="Arial"/>
          <w:sz w:val="13"/>
          <w:szCs w:val="13"/>
          <w:b w:val="1"/>
          <w:bCs w:val="1"/>
          <w:color w:val="auto"/>
        </w:rPr>
        <w:t>I am a U.S. citizen or other U.S. person; and</w:t>
      </w:r>
    </w:p>
    <w:p>
      <w:pPr>
        <w:ind w:left="340"/>
        <w:spacing w:after="0"/>
        <w:rPr>
          <w:sz w:val="20"/>
          <w:szCs w:val="20"/>
          <w:color w:val="auto"/>
        </w:rPr>
      </w:pPr>
      <w:r>
        <w:rPr>
          <w:rFonts w:ascii="Arial" w:cs="Arial" w:eastAsia="Arial" w:hAnsi="Arial"/>
          <w:sz w:val="13"/>
          <w:szCs w:val="13"/>
          <w:b w:val="1"/>
          <w:bCs w:val="1"/>
          <w:color w:val="auto"/>
        </w:rPr>
        <w:t>4.</w:t>
      </w:r>
      <w:r>
        <w:rPr>
          <w:rFonts w:ascii="Arial" w:cs="Arial" w:eastAsia="Arial" w:hAnsi="Arial"/>
          <w:sz w:val="13"/>
          <w:szCs w:val="13"/>
          <w:color w:val="auto"/>
        </w:rPr>
        <w:t xml:space="preserve">   </w:t>
      </w:r>
      <w:r>
        <w:rPr>
          <w:rFonts w:ascii="Arial" w:cs="Arial" w:eastAsia="Arial" w:hAnsi="Arial"/>
          <w:sz w:val="13"/>
          <w:szCs w:val="13"/>
          <w:b w:val="1"/>
          <w:bCs w:val="1"/>
          <w:color w:val="auto"/>
        </w:rPr>
        <w:t>The FATCA code(s) entered on this form (if any) indicating that I am exempt from FATCA reporting is correct</w:t>
      </w:r>
      <w:r>
        <w:rPr>
          <w:rFonts w:ascii="Arial" w:cs="Arial" w:eastAsia="Arial" w:hAnsi="Arial"/>
          <w:sz w:val="13"/>
          <w:szCs w:val="13"/>
          <w:color w:val="auto"/>
        </w:rPr>
        <w:t>.</w:t>
      </w:r>
    </w:p>
    <w:p>
      <w:pPr>
        <w:spacing w:after="0" w:line="166" w:lineRule="exact"/>
        <w:rPr>
          <w:sz w:val="20"/>
          <w:szCs w:val="20"/>
          <w:color w:val="auto"/>
        </w:rPr>
      </w:pPr>
    </w:p>
    <w:p>
      <w:pPr>
        <w:ind w:left="60" w:right="2279"/>
        <w:spacing w:after="0" w:line="248" w:lineRule="auto"/>
        <w:rPr>
          <w:sz w:val="20"/>
          <w:szCs w:val="20"/>
          <w:color w:val="auto"/>
        </w:rPr>
      </w:pPr>
      <w:r>
        <w:rPr>
          <w:rFonts w:ascii="Arial" w:cs="Arial" w:eastAsia="Arial" w:hAnsi="Arial"/>
          <w:sz w:val="13"/>
          <w:szCs w:val="13"/>
          <w:b w:val="1"/>
          <w:bCs w:val="1"/>
          <w:color w:val="auto"/>
        </w:rPr>
        <w:t xml:space="preserve">Certification Instructions: </w:t>
      </w:r>
      <w:r>
        <w:rPr>
          <w:rFonts w:ascii="Arial" w:cs="Arial" w:eastAsia="Arial" w:hAnsi="Arial"/>
          <w:sz w:val="13"/>
          <w:szCs w:val="13"/>
          <w:color w:val="auto"/>
        </w:rPr>
        <w:t>You must cross out item 2 above if you have been notified by the IRS that you are currently subject to</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backup withholding because you have failed to report all interest and dividends on your tax return. “U.S. citizen” and “U.S. person” are as defined in IRS Form W-9. If you are not a U.S. Citizen or a U.S. person for tax purposes, please cross out item 3 above and complete appropriate IRS documentation such as IRS Form W-8BEN. Item number 4, FATCA Code: </w:t>
      </w:r>
      <w:r>
        <w:rPr>
          <w:rFonts w:ascii="Arial" w:cs="Arial" w:eastAsia="Arial" w:hAnsi="Arial"/>
          <w:sz w:val="13"/>
          <w:szCs w:val="13"/>
          <w:u w:val="single" w:color="auto"/>
          <w:color w:val="auto"/>
        </w:rPr>
        <w:t>  N/A</w:t>
      </w:r>
      <w:r>
        <w:rPr>
          <w:rFonts w:ascii="Arial" w:cs="Arial" w:eastAsia="Arial" w:hAnsi="Arial"/>
          <w:sz w:val="13"/>
          <w:szCs w:val="13"/>
          <w:color w:val="auto"/>
        </w:rPr>
        <w:t xml:space="preserve">  (No FATCA Code Applicable).</w:t>
      </w:r>
    </w:p>
    <w:p>
      <w:pPr>
        <w:spacing w:after="0" w:line="150" w:lineRule="exact"/>
        <w:rPr>
          <w:sz w:val="20"/>
          <w:szCs w:val="20"/>
          <w:color w:val="auto"/>
        </w:rPr>
      </w:pPr>
    </w:p>
    <w:p>
      <w:pPr>
        <w:ind w:left="60" w:right="2379"/>
        <w:spacing w:after="0" w:line="287" w:lineRule="auto"/>
        <w:rPr>
          <w:sz w:val="20"/>
          <w:szCs w:val="20"/>
          <w:color w:val="auto"/>
        </w:rPr>
      </w:pPr>
      <w:r>
        <w:rPr>
          <w:rFonts w:ascii="Arial" w:cs="Arial" w:eastAsia="Arial" w:hAnsi="Arial"/>
          <w:sz w:val="13"/>
          <w:szCs w:val="13"/>
          <w:b w:val="1"/>
          <w:bCs w:val="1"/>
          <w:color w:val="auto"/>
        </w:rPr>
        <w:t>The Internal Revenue Service does not require your consent to any provision of this document other than the certifications required to avoid backup withholding.</w:t>
      </w:r>
    </w:p>
    <w:p>
      <w:pPr>
        <w:spacing w:after="0" w:line="69" w:lineRule="exact"/>
        <w:rPr>
          <w:sz w:val="20"/>
          <w:szCs w:val="20"/>
          <w:color w:val="auto"/>
        </w:rPr>
      </w:pPr>
    </w:p>
    <w:tbl>
      <w:tblPr>
        <w:tblLayout w:type="fixed"/>
        <w:tblInd w:w="720" w:type="dxa"/>
        <w:tblCellMar>
          <w:top w:w="0" w:type="dxa"/>
          <w:left w:w="0" w:type="dxa"/>
          <w:bottom w:w="0" w:type="dxa"/>
          <w:right w:w="0" w:type="dxa"/>
        </w:tblCellMar>
      </w:tblPr>
      <w:tr>
        <w:trPr>
          <w:trHeight w:val="174"/>
        </w:trPr>
        <w:tc>
          <w:tcPr>
            <w:tcW w:w="5180" w:type="dxa"/>
            <w:vAlign w:val="bottom"/>
          </w:tcPr>
          <w:p>
            <w:pPr>
              <w:ind w:left="80"/>
              <w:spacing w:after="0"/>
              <w:rPr>
                <w:sz w:val="20"/>
                <w:szCs w:val="20"/>
                <w:color w:val="auto"/>
              </w:rPr>
            </w:pPr>
            <w:r>
              <w:rPr>
                <w:rFonts w:ascii="Arial" w:cs="Arial" w:eastAsia="Arial" w:hAnsi="Arial"/>
                <w:sz w:val="13"/>
                <w:szCs w:val="13"/>
                <w:color w:val="auto"/>
              </w:rPr>
              <w:t>Signature and Title of Owner* (Annuitant unless otherwise noted):</w:t>
            </w:r>
          </w:p>
        </w:tc>
        <w:tc>
          <w:tcPr>
            <w:tcW w:w="20" w:type="dxa"/>
            <w:vAlign w:val="bottom"/>
            <w:shd w:val="clear" w:color="auto" w:fill="7F7F7F"/>
          </w:tcPr>
          <w:p>
            <w:pPr>
              <w:spacing w:after="0"/>
              <w:rPr>
                <w:sz w:val="15"/>
                <w:szCs w:val="15"/>
                <w:color w:val="auto"/>
              </w:rPr>
            </w:pPr>
          </w:p>
        </w:tc>
        <w:tc>
          <w:tcPr>
            <w:tcW w:w="2180" w:type="dxa"/>
            <w:vAlign w:val="bottom"/>
          </w:tcPr>
          <w:p>
            <w:pPr>
              <w:ind w:left="80"/>
              <w:spacing w:after="0"/>
              <w:rPr>
                <w:sz w:val="20"/>
                <w:szCs w:val="20"/>
                <w:color w:val="auto"/>
              </w:rPr>
            </w:pPr>
            <w:r>
              <w:rPr>
                <w:rFonts w:ascii="Arial" w:cs="Arial" w:eastAsia="Arial" w:hAnsi="Arial"/>
                <w:sz w:val="13"/>
                <w:szCs w:val="13"/>
                <w:color w:val="auto"/>
              </w:rPr>
              <w:t>Date signed:</w:t>
            </w:r>
          </w:p>
        </w:tc>
        <w:tc>
          <w:tcPr>
            <w:tcW w:w="0" w:type="dxa"/>
            <w:vAlign w:val="bottom"/>
          </w:tcPr>
          <w:p>
            <w:pPr>
              <w:spacing w:after="0"/>
              <w:rPr>
                <w:sz w:val="1"/>
                <w:szCs w:val="1"/>
                <w:color w:val="auto"/>
              </w:rPr>
            </w:pPr>
          </w:p>
        </w:tc>
      </w:tr>
      <w:tr>
        <w:trPr>
          <w:trHeight w:val="414"/>
        </w:trPr>
        <w:tc>
          <w:tcPr>
            <w:tcW w:w="5180" w:type="dxa"/>
            <w:vAlign w:val="bottom"/>
            <w:tcBorders>
              <w:bottom w:val="single" w:sz="8" w:color="7F7F7F"/>
            </w:tcBorders>
          </w:tcPr>
          <w:p>
            <w:pPr>
              <w:spacing w:after="0"/>
              <w:rPr>
                <w:sz w:val="24"/>
                <w:szCs w:val="24"/>
                <w:color w:val="auto"/>
              </w:rPr>
            </w:pPr>
          </w:p>
        </w:tc>
        <w:tc>
          <w:tcPr>
            <w:tcW w:w="20" w:type="dxa"/>
            <w:vAlign w:val="bottom"/>
            <w:tcBorders>
              <w:bottom w:val="single" w:sz="8" w:color="7F7F7F"/>
            </w:tcBorders>
            <w:shd w:val="clear" w:color="auto" w:fill="7F7F7F"/>
          </w:tcPr>
          <w:p>
            <w:pPr>
              <w:spacing w:after="0"/>
              <w:rPr>
                <w:sz w:val="24"/>
                <w:szCs w:val="24"/>
                <w:color w:val="auto"/>
              </w:rPr>
            </w:pPr>
          </w:p>
        </w:tc>
        <w:tc>
          <w:tcPr>
            <w:tcW w:w="2180" w:type="dxa"/>
            <w:vAlign w:val="bottom"/>
            <w:tcBorders>
              <w:bottom w:val="single" w:sz="8" w:color="7F7F7F"/>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5180" w:type="dxa"/>
            <w:vAlign w:val="bottom"/>
            <w:vMerge w:val="restart"/>
          </w:tcPr>
          <w:p>
            <w:pPr>
              <w:ind w:left="80"/>
              <w:spacing w:after="0"/>
              <w:rPr>
                <w:sz w:val="20"/>
                <w:szCs w:val="20"/>
                <w:color w:val="auto"/>
              </w:rPr>
            </w:pPr>
            <w:r>
              <w:rPr>
                <w:rFonts w:ascii="Arial" w:cs="Arial" w:eastAsia="Arial" w:hAnsi="Arial"/>
                <w:sz w:val="13"/>
                <w:szCs w:val="13"/>
                <w:color w:val="auto"/>
              </w:rPr>
              <w:t>Signature of Joint Owner:</w:t>
            </w:r>
          </w:p>
        </w:tc>
        <w:tc>
          <w:tcPr>
            <w:tcW w:w="20" w:type="dxa"/>
            <w:vAlign w:val="bottom"/>
          </w:tcPr>
          <w:p>
            <w:pPr>
              <w:spacing w:after="0"/>
              <w:rPr>
                <w:sz w:val="3"/>
                <w:szCs w:val="3"/>
                <w:color w:val="auto"/>
              </w:rPr>
            </w:pPr>
          </w:p>
        </w:tc>
        <w:tc>
          <w:tcPr>
            <w:tcW w:w="2180" w:type="dxa"/>
            <w:vAlign w:val="bottom"/>
            <w:vMerge w:val="restart"/>
          </w:tcPr>
          <w:p>
            <w:pPr>
              <w:ind w:left="80"/>
              <w:spacing w:after="0"/>
              <w:rPr>
                <w:sz w:val="20"/>
                <w:szCs w:val="20"/>
                <w:color w:val="auto"/>
              </w:rPr>
            </w:pPr>
            <w:r>
              <w:rPr>
                <w:rFonts w:ascii="Arial" w:cs="Arial" w:eastAsia="Arial" w:hAnsi="Arial"/>
                <w:sz w:val="13"/>
                <w:szCs w:val="13"/>
                <w:color w:val="auto"/>
              </w:rPr>
              <w:t>Date signed:</w:t>
            </w:r>
          </w:p>
        </w:tc>
        <w:tc>
          <w:tcPr>
            <w:tcW w:w="0" w:type="dxa"/>
            <w:vAlign w:val="bottom"/>
          </w:tcPr>
          <w:p>
            <w:pPr>
              <w:spacing w:after="0" w:line="20" w:lineRule="exact"/>
              <w:rPr>
                <w:sz w:val="1"/>
                <w:szCs w:val="1"/>
                <w:color w:val="auto"/>
              </w:rPr>
            </w:pPr>
          </w:p>
        </w:tc>
      </w:tr>
      <w:tr>
        <w:trPr>
          <w:trHeight w:val="161"/>
        </w:trPr>
        <w:tc>
          <w:tcPr>
            <w:tcW w:w="5180" w:type="dxa"/>
            <w:vAlign w:val="bottom"/>
            <w:vMerge w:val="continue"/>
          </w:tcPr>
          <w:p>
            <w:pPr>
              <w:spacing w:after="0"/>
              <w:rPr>
                <w:sz w:val="14"/>
                <w:szCs w:val="14"/>
                <w:color w:val="auto"/>
              </w:rPr>
            </w:pPr>
          </w:p>
        </w:tc>
        <w:tc>
          <w:tcPr>
            <w:tcW w:w="20" w:type="dxa"/>
            <w:vAlign w:val="bottom"/>
            <w:shd w:val="clear" w:color="auto" w:fill="7F7F7F"/>
          </w:tcPr>
          <w:p>
            <w:pPr>
              <w:spacing w:after="0"/>
              <w:rPr>
                <w:sz w:val="14"/>
                <w:szCs w:val="14"/>
                <w:color w:val="auto"/>
              </w:rPr>
            </w:pPr>
          </w:p>
        </w:tc>
        <w:tc>
          <w:tcPr>
            <w:tcW w:w="2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4"/>
        </w:trPr>
        <w:tc>
          <w:tcPr>
            <w:tcW w:w="5180" w:type="dxa"/>
            <w:vAlign w:val="bottom"/>
            <w:tcBorders>
              <w:bottom w:val="single" w:sz="8" w:color="7F7F7F"/>
            </w:tcBorders>
          </w:tcPr>
          <w:p>
            <w:pPr>
              <w:spacing w:after="0"/>
              <w:rPr>
                <w:sz w:val="24"/>
                <w:szCs w:val="24"/>
                <w:color w:val="auto"/>
              </w:rPr>
            </w:pPr>
          </w:p>
        </w:tc>
        <w:tc>
          <w:tcPr>
            <w:tcW w:w="20" w:type="dxa"/>
            <w:vAlign w:val="bottom"/>
            <w:tcBorders>
              <w:bottom w:val="single" w:sz="8" w:color="7F7F7F"/>
            </w:tcBorders>
            <w:shd w:val="clear" w:color="auto" w:fill="7F7F7F"/>
          </w:tcPr>
          <w:p>
            <w:pPr>
              <w:spacing w:after="0"/>
              <w:rPr>
                <w:sz w:val="24"/>
                <w:szCs w:val="24"/>
                <w:color w:val="auto"/>
              </w:rPr>
            </w:pPr>
          </w:p>
        </w:tc>
        <w:tc>
          <w:tcPr>
            <w:tcW w:w="2180" w:type="dxa"/>
            <w:vAlign w:val="bottom"/>
            <w:tcBorders>
              <w:bottom w:val="single" w:sz="8" w:color="7F7F7F"/>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5180" w:type="dxa"/>
            <w:vAlign w:val="bottom"/>
            <w:vMerge w:val="restart"/>
          </w:tcPr>
          <w:p>
            <w:pPr>
              <w:ind w:left="80"/>
              <w:spacing w:after="0"/>
              <w:rPr>
                <w:sz w:val="20"/>
                <w:szCs w:val="20"/>
                <w:color w:val="auto"/>
              </w:rPr>
            </w:pPr>
            <w:r>
              <w:rPr>
                <w:rFonts w:ascii="Arial" w:cs="Arial" w:eastAsia="Arial" w:hAnsi="Arial"/>
                <w:sz w:val="13"/>
                <w:szCs w:val="13"/>
                <w:color w:val="auto"/>
              </w:rPr>
              <w:t>Signature of Annuitant (if different than the Owner):</w:t>
            </w:r>
          </w:p>
        </w:tc>
        <w:tc>
          <w:tcPr>
            <w:tcW w:w="20" w:type="dxa"/>
            <w:vAlign w:val="bottom"/>
          </w:tcPr>
          <w:p>
            <w:pPr>
              <w:spacing w:after="0"/>
              <w:rPr>
                <w:sz w:val="3"/>
                <w:szCs w:val="3"/>
                <w:color w:val="auto"/>
              </w:rPr>
            </w:pPr>
          </w:p>
        </w:tc>
        <w:tc>
          <w:tcPr>
            <w:tcW w:w="2180" w:type="dxa"/>
            <w:vAlign w:val="bottom"/>
            <w:vMerge w:val="restart"/>
          </w:tcPr>
          <w:p>
            <w:pPr>
              <w:ind w:left="80"/>
              <w:spacing w:after="0"/>
              <w:rPr>
                <w:sz w:val="20"/>
                <w:szCs w:val="20"/>
                <w:color w:val="auto"/>
              </w:rPr>
            </w:pPr>
            <w:r>
              <w:rPr>
                <w:rFonts w:ascii="Arial" w:cs="Arial" w:eastAsia="Arial" w:hAnsi="Arial"/>
                <w:sz w:val="13"/>
                <w:szCs w:val="13"/>
                <w:color w:val="auto"/>
              </w:rPr>
              <w:t>Date signed:</w:t>
            </w:r>
          </w:p>
        </w:tc>
        <w:tc>
          <w:tcPr>
            <w:tcW w:w="0" w:type="dxa"/>
            <w:vAlign w:val="bottom"/>
          </w:tcPr>
          <w:p>
            <w:pPr>
              <w:spacing w:after="0" w:line="20" w:lineRule="exact"/>
              <w:rPr>
                <w:sz w:val="1"/>
                <w:szCs w:val="1"/>
                <w:color w:val="auto"/>
              </w:rPr>
            </w:pPr>
          </w:p>
        </w:tc>
      </w:tr>
      <w:tr>
        <w:trPr>
          <w:trHeight w:val="161"/>
        </w:trPr>
        <w:tc>
          <w:tcPr>
            <w:tcW w:w="5180" w:type="dxa"/>
            <w:vAlign w:val="bottom"/>
            <w:vMerge w:val="continue"/>
          </w:tcPr>
          <w:p>
            <w:pPr>
              <w:spacing w:after="0"/>
              <w:rPr>
                <w:sz w:val="14"/>
                <w:szCs w:val="14"/>
                <w:color w:val="auto"/>
              </w:rPr>
            </w:pPr>
          </w:p>
        </w:tc>
        <w:tc>
          <w:tcPr>
            <w:tcW w:w="20" w:type="dxa"/>
            <w:vAlign w:val="bottom"/>
            <w:shd w:val="clear" w:color="auto" w:fill="7F7F7F"/>
          </w:tcPr>
          <w:p>
            <w:pPr>
              <w:spacing w:after="0"/>
              <w:rPr>
                <w:sz w:val="14"/>
                <w:szCs w:val="14"/>
                <w:color w:val="auto"/>
              </w:rPr>
            </w:pPr>
          </w:p>
        </w:tc>
        <w:tc>
          <w:tcPr>
            <w:tcW w:w="2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4"/>
        </w:trPr>
        <w:tc>
          <w:tcPr>
            <w:tcW w:w="5180" w:type="dxa"/>
            <w:vAlign w:val="bottom"/>
            <w:tcBorders>
              <w:bottom w:val="single" w:sz="8" w:color="7F7F7F"/>
            </w:tcBorders>
          </w:tcPr>
          <w:p>
            <w:pPr>
              <w:spacing w:after="0"/>
              <w:rPr>
                <w:sz w:val="24"/>
                <w:szCs w:val="24"/>
                <w:color w:val="auto"/>
              </w:rPr>
            </w:pPr>
          </w:p>
        </w:tc>
        <w:tc>
          <w:tcPr>
            <w:tcW w:w="20" w:type="dxa"/>
            <w:vAlign w:val="bottom"/>
            <w:tcBorders>
              <w:bottom w:val="single" w:sz="8" w:color="7F7F7F"/>
            </w:tcBorders>
            <w:shd w:val="clear" w:color="auto" w:fill="7F7F7F"/>
          </w:tcPr>
          <w:p>
            <w:pPr>
              <w:spacing w:after="0"/>
              <w:rPr>
                <w:sz w:val="24"/>
                <w:szCs w:val="24"/>
                <w:color w:val="auto"/>
              </w:rPr>
            </w:pPr>
          </w:p>
        </w:tc>
        <w:tc>
          <w:tcPr>
            <w:tcW w:w="2180" w:type="dxa"/>
            <w:vAlign w:val="bottom"/>
            <w:tcBorders>
              <w:bottom w:val="single" w:sz="8" w:color="7F7F7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-1177290</wp:posOffset>
            </wp:positionV>
            <wp:extent cx="365125" cy="117157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8">
                      <a:extLst>
                        <a:ext uri="{28A0092B-C50C-407E-A947-70E740481C1C}"/>
                      </a:extLst>
                    </a:blip>
                    <a:srcRect/>
                    <a:stretch>
                      <a:fillRect/>
                    </a:stretch>
                  </pic:blipFill>
                  <pic:spPr bwMode="auto">
                    <a:xfrm>
                      <a:off x="0" y="0"/>
                      <a:ext cx="365125" cy="1171575"/>
                    </a:xfrm>
                    <a:prstGeom prst="rect">
                      <a:avLst/>
                    </a:prstGeom>
                    <a:noFill/>
                  </pic:spPr>
                </pic:pic>
              </a:graphicData>
            </a:graphic>
          </wp:anchor>
        </w:drawing>
      </w:r>
    </w:p>
    <w:p>
      <w:pPr>
        <w:spacing w:after="0" w:line="47" w:lineRule="exact"/>
        <w:rPr>
          <w:sz w:val="20"/>
          <w:szCs w:val="20"/>
          <w:color w:val="auto"/>
        </w:rPr>
      </w:pPr>
    </w:p>
    <w:p>
      <w:pPr>
        <w:ind w:left="80"/>
        <w:spacing w:after="0"/>
        <w:rPr>
          <w:sz w:val="20"/>
          <w:szCs w:val="20"/>
          <w:color w:val="auto"/>
        </w:rPr>
      </w:pPr>
      <w:r>
        <w:rPr>
          <w:rFonts w:ascii="Arial" w:cs="Arial" w:eastAsia="Arial" w:hAnsi="Arial"/>
          <w:sz w:val="13"/>
          <w:szCs w:val="13"/>
          <w:color w:val="auto"/>
        </w:rPr>
        <w:t>*If the Owner is an entity, print the name of the Owner representatives and have one or more Owner representatives 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76835</wp:posOffset>
            </wp:positionV>
            <wp:extent cx="132080" cy="13843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9">
                      <a:extLst>
                        <a:ext uri="{28A0092B-C50C-407E-A947-70E740481C1C}"/>
                      </a:extLst>
                    </a:blip>
                    <a:srcRect/>
                    <a:stretch>
                      <a:fillRect/>
                    </a:stretch>
                  </pic:blipFill>
                  <pic:spPr bwMode="auto">
                    <a:xfrm>
                      <a:off x="0" y="0"/>
                      <a:ext cx="132080" cy="138430"/>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20" w:type="dxa"/>
            <w:vAlign w:val="bottom"/>
            <w:gridSpan w:val="2"/>
          </w:tcPr>
          <w:p>
            <w:pPr>
              <w:ind w:left="320"/>
              <w:spacing w:after="0"/>
              <w:rPr>
                <w:sz w:val="20"/>
                <w:szCs w:val="20"/>
                <w:color w:val="auto"/>
              </w:rPr>
            </w:pPr>
            <w:r>
              <w:rPr>
                <w:rFonts w:ascii="Arial" w:cs="Arial" w:eastAsia="Arial" w:hAnsi="Arial"/>
                <w:sz w:val="13"/>
                <w:szCs w:val="13"/>
                <w:color w:val="auto"/>
              </w:rPr>
              <w:t xml:space="preserve">State where application is signed: </w:t>
            </w:r>
            <w:r>
              <w:rPr>
                <w:rFonts w:ascii="Arial" w:cs="Arial" w:eastAsia="Arial" w:hAnsi="Arial"/>
                <w:sz w:val="13"/>
                <w:szCs w:val="13"/>
                <w:color w:val="7F7F7F"/>
              </w:rPr>
              <w:t xml:space="preserve">          </w:t>
            </w:r>
          </w:p>
        </w:tc>
        <w:tc>
          <w:tcPr>
            <w:tcW w:w="2100" w:type="dxa"/>
            <w:vAlign w:val="bottom"/>
          </w:tcPr>
          <w:p>
            <w:pPr>
              <w:ind w:left="40"/>
              <w:spacing w:after="0"/>
              <w:rPr>
                <w:sz w:val="20"/>
                <w:szCs w:val="20"/>
                <w:color w:val="auto"/>
              </w:rPr>
            </w:pPr>
            <w:r>
              <w:rPr>
                <w:rFonts w:ascii="Arial" w:cs="Arial" w:eastAsia="Arial" w:hAnsi="Arial"/>
                <w:sz w:val="13"/>
                <w:szCs w:val="13"/>
                <w:color w:val="7F7F7F"/>
              </w:rPr>
              <w:t xml:space="preserve">                                              </w:t>
            </w:r>
          </w:p>
        </w:tc>
        <w:tc>
          <w:tcPr>
            <w:tcW w:w="3080" w:type="dxa"/>
            <w:vAlign w:val="bottom"/>
            <w:gridSpan w:val="2"/>
          </w:tcPr>
          <w:p>
            <w:pPr>
              <w:ind w:left="60"/>
              <w:spacing w:after="0"/>
              <w:rPr>
                <w:sz w:val="20"/>
                <w:szCs w:val="20"/>
                <w:color w:val="auto"/>
              </w:rPr>
            </w:pPr>
            <w:r>
              <w:rPr>
                <w:rFonts w:ascii="Arial" w:cs="Arial" w:eastAsia="Arial" w:hAnsi="Arial"/>
                <w:sz w:val="13"/>
                <w:szCs w:val="13"/>
                <w:color w:val="7F7F7F"/>
              </w:rPr>
              <w:t xml:space="preserve">       </w:t>
            </w:r>
          </w:p>
        </w:tc>
      </w:tr>
      <w:tr>
        <w:trPr>
          <w:trHeight w:val="20"/>
        </w:trPr>
        <w:tc>
          <w:tcPr>
            <w:tcW w:w="2340" w:type="dxa"/>
            <w:vAlign w:val="bottom"/>
          </w:tcPr>
          <w:p>
            <w:pPr>
              <w:spacing w:after="0" w:line="20" w:lineRule="exact"/>
              <w:rPr>
                <w:sz w:val="1"/>
                <w:szCs w:val="1"/>
                <w:color w:val="auto"/>
              </w:rPr>
            </w:pPr>
          </w:p>
        </w:tc>
        <w:tc>
          <w:tcPr>
            <w:tcW w:w="3040" w:type="dxa"/>
            <w:vAlign w:val="bottom"/>
            <w:gridSpan w:val="3"/>
            <w:shd w:val="clear" w:color="auto" w:fill="7F7F7F"/>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40"/>
        </w:trPr>
        <w:tc>
          <w:tcPr>
            <w:tcW w:w="8000" w:type="dxa"/>
            <w:vAlign w:val="bottom"/>
            <w:gridSpan w:val="5"/>
          </w:tcPr>
          <w:p>
            <w:pPr>
              <w:ind w:left="320"/>
              <w:spacing w:after="0"/>
              <w:rPr>
                <w:sz w:val="20"/>
                <w:szCs w:val="20"/>
                <w:color w:val="auto"/>
              </w:rPr>
            </w:pPr>
            <w:r>
              <w:rPr>
                <w:rFonts w:ascii="Arial" w:cs="Arial" w:eastAsia="Arial" w:hAnsi="Arial"/>
                <w:sz w:val="13"/>
                <w:szCs w:val="13"/>
                <w:color w:val="auto"/>
              </w:rPr>
              <w:t>(If state of signing is different than the Owner’s residence state, the Nexus form is required.)</w:t>
            </w:r>
          </w:p>
        </w:tc>
      </w:tr>
      <w:tr>
        <w:trPr>
          <w:trHeight w:val="258"/>
        </w:trPr>
        <w:tc>
          <w:tcPr>
            <w:tcW w:w="2820" w:type="dxa"/>
            <w:vAlign w:val="bottom"/>
            <w:gridSpan w:val="2"/>
          </w:tcPr>
          <w:p>
            <w:pPr>
              <w:spacing w:after="0"/>
              <w:rPr>
                <w:sz w:val="20"/>
                <w:szCs w:val="20"/>
                <w:color w:val="auto"/>
              </w:rPr>
            </w:pPr>
            <w:r>
              <w:rPr>
                <w:rFonts w:ascii="Arial" w:cs="Arial" w:eastAsia="Arial" w:hAnsi="Arial"/>
                <w:sz w:val="13"/>
                <w:szCs w:val="13"/>
                <w:color w:val="auto"/>
              </w:rPr>
              <w:t>SLS2-APP-NY (07/24)</w:t>
            </w:r>
          </w:p>
        </w:tc>
        <w:tc>
          <w:tcPr>
            <w:tcW w:w="2100" w:type="dxa"/>
            <w:vAlign w:val="bottom"/>
          </w:tcPr>
          <w:p>
            <w:pPr>
              <w:ind w:left="1060"/>
              <w:spacing w:after="0"/>
              <w:rPr>
                <w:sz w:val="20"/>
                <w:szCs w:val="20"/>
                <w:color w:val="auto"/>
              </w:rPr>
            </w:pPr>
            <w:r>
              <w:rPr>
                <w:rFonts w:ascii="Arial" w:cs="Arial" w:eastAsia="Arial" w:hAnsi="Arial"/>
                <w:sz w:val="13"/>
                <w:szCs w:val="13"/>
                <w:color w:val="auto"/>
              </w:rPr>
              <w:t>Page 7 of 8</w:t>
            </w:r>
          </w:p>
        </w:tc>
        <w:tc>
          <w:tcPr>
            <w:tcW w:w="460" w:type="dxa"/>
            <w:vAlign w:val="bottom"/>
          </w:tcPr>
          <w:p>
            <w:pPr>
              <w:spacing w:after="0"/>
              <w:rPr>
                <w:sz w:val="22"/>
                <w:szCs w:val="22"/>
                <w:color w:val="auto"/>
              </w:rPr>
            </w:pPr>
          </w:p>
        </w:tc>
        <w:tc>
          <w:tcPr>
            <w:tcW w:w="2620" w:type="dxa"/>
            <w:vAlign w:val="bottom"/>
          </w:tcPr>
          <w:p>
            <w:pPr>
              <w:ind w:left="1460"/>
              <w:spacing w:after="0"/>
              <w:rPr>
                <w:sz w:val="20"/>
                <w:szCs w:val="20"/>
                <w:color w:val="auto"/>
              </w:rPr>
            </w:pPr>
            <w:r>
              <w:rPr>
                <w:rFonts w:ascii="Arial" w:cs="Arial" w:eastAsia="Arial" w:hAnsi="Arial"/>
                <w:sz w:val="13"/>
                <w:szCs w:val="13"/>
                <w:color w:val="auto"/>
              </w:rPr>
              <w:t xml:space="preserve">BSL2-6-NY (07/24) </w:t>
            </w:r>
          </w:p>
        </w:tc>
      </w:tr>
    </w:tbl>
    <w:p>
      <w:pPr>
        <w:sectPr>
          <w:pgSz w:w="11900" w:h="16838" w:orient="portrait"/>
          <w:cols w:equalWidth="0" w:num="1">
            <w:col w:w="10159"/>
          </w:cols>
          <w:pgMar w:left="300" w:top="236" w:right="1440" w:bottom="1440" w:gutter="0" w:footer="0" w:header="0"/>
        </w:sectPr>
      </w:pPr>
    </w:p>
    <w:bookmarkStart w:id="130" w:name="page131"/>
    <w:bookmarkEnd w:id="130"/>
    <w:p>
      <w:pPr>
        <w:ind w:left="8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0">
                      <a:extLst>
                        <a:ext uri="{28A0092B-C50C-407E-A947-70E740481C1C}"/>
                      </a:extLst>
                    </a:blip>
                    <a:srcRect/>
                    <a:stretch>
                      <a:fillRect/>
                    </a:stretch>
                  </pic:blipFill>
                  <pic:spPr bwMode="auto">
                    <a:xfrm>
                      <a:off x="0" y="0"/>
                      <a:ext cx="7206615" cy="31750"/>
                    </a:xfrm>
                    <a:prstGeom prst="rect">
                      <a:avLst/>
                    </a:prstGeom>
                    <a:noFill/>
                  </pic:spPr>
                </pic:pic>
              </a:graphicData>
            </a:graphic>
          </wp:anchor>
        </w:drawing>
        <w:t>11. Representative Acknowledgements and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140325" cy="127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1">
                      <a:extLst>
                        <a:ext uri="{28A0092B-C50C-407E-A947-70E740481C1C}"/>
                      </a:extLst>
                    </a:blip>
                    <a:srcRect/>
                    <a:stretch>
                      <a:fillRect/>
                    </a:stretch>
                  </pic:blipFill>
                  <pic:spPr bwMode="auto">
                    <a:xfrm>
                      <a:off x="0" y="0"/>
                      <a:ext cx="5140325" cy="12700"/>
                    </a:xfrm>
                    <a:prstGeom prst="rect">
                      <a:avLst/>
                    </a:prstGeom>
                    <a:noFill/>
                  </pic:spPr>
                </pic:pic>
              </a:graphicData>
            </a:graphic>
          </wp:anchor>
        </w:drawing>
      </w:r>
    </w:p>
    <w:p>
      <w:pPr>
        <w:spacing w:after="0" w:line="40" w:lineRule="exact"/>
        <w:rPr>
          <w:sz w:val="20"/>
          <w:szCs w:val="20"/>
          <w:color w:val="auto"/>
        </w:rPr>
      </w:pPr>
    </w:p>
    <w:p>
      <w:pPr>
        <w:ind w:left="80"/>
        <w:spacing w:after="0"/>
        <w:rPr>
          <w:sz w:val="20"/>
          <w:szCs w:val="20"/>
          <w:color w:val="auto"/>
        </w:rPr>
      </w:pPr>
      <w:r>
        <w:rPr>
          <w:rFonts w:ascii="Arial" w:cs="Arial" w:eastAsia="Arial" w:hAnsi="Arial"/>
          <w:sz w:val="13"/>
          <w:szCs w:val="13"/>
          <w:color w:val="auto"/>
        </w:rPr>
        <w:t>By signing below, I acknowledge the following:</w:t>
      </w:r>
    </w:p>
    <w:p>
      <w:pPr>
        <w:spacing w:after="0" w:line="11" w:lineRule="exact"/>
        <w:rPr>
          <w:sz w:val="20"/>
          <w:szCs w:val="20"/>
          <w:color w:val="auto"/>
        </w:rPr>
      </w:pPr>
    </w:p>
    <w:p>
      <w:pPr>
        <w:ind w:left="240" w:hanging="161"/>
        <w:spacing w:after="0"/>
        <w:tabs>
          <w:tab w:leader="none" w:pos="240" w:val="left"/>
        </w:tabs>
        <w:numPr>
          <w:ilvl w:val="0"/>
          <w:numId w:val="99"/>
        </w:numPr>
        <w:rPr>
          <w:rFonts w:ascii="Arial" w:cs="Arial" w:eastAsia="Arial" w:hAnsi="Arial"/>
          <w:sz w:val="13"/>
          <w:szCs w:val="13"/>
          <w:color w:val="auto"/>
        </w:rPr>
      </w:pPr>
      <w:r>
        <w:rPr>
          <w:rFonts w:ascii="Arial" w:cs="Arial" w:eastAsia="Arial" w:hAnsi="Arial"/>
          <w:sz w:val="13"/>
          <w:szCs w:val="13"/>
          <w:color w:val="auto"/>
        </w:rPr>
        <w:t>All information provided by the applicant has been truly and accurately recorded.</w:t>
      </w:r>
    </w:p>
    <w:p>
      <w:pPr>
        <w:ind w:left="240" w:hanging="161"/>
        <w:spacing w:after="0"/>
        <w:tabs>
          <w:tab w:leader="none" w:pos="240" w:val="left"/>
        </w:tabs>
        <w:numPr>
          <w:ilvl w:val="0"/>
          <w:numId w:val="99"/>
        </w:numPr>
        <w:rPr>
          <w:rFonts w:ascii="Arial" w:cs="Arial" w:eastAsia="Arial" w:hAnsi="Arial"/>
          <w:sz w:val="13"/>
          <w:szCs w:val="13"/>
          <w:color w:val="auto"/>
        </w:rPr>
      </w:pPr>
      <w:r>
        <w:rPr>
          <w:rFonts w:ascii="Arial" w:cs="Arial" w:eastAsia="Arial" w:hAnsi="Arial"/>
          <w:sz w:val="13"/>
          <w:szCs w:val="13"/>
          <w:color w:val="auto"/>
        </w:rPr>
        <w:t>All answers are correct to the best of my knowledge.</w:t>
      </w:r>
    </w:p>
    <w:p>
      <w:pPr>
        <w:ind w:left="240" w:hanging="161"/>
        <w:spacing w:after="0"/>
        <w:tabs>
          <w:tab w:leader="none" w:pos="240" w:val="left"/>
        </w:tabs>
        <w:numPr>
          <w:ilvl w:val="0"/>
          <w:numId w:val="99"/>
        </w:numPr>
        <w:rPr>
          <w:rFonts w:ascii="Arial" w:cs="Arial" w:eastAsia="Arial" w:hAnsi="Arial"/>
          <w:sz w:val="13"/>
          <w:szCs w:val="13"/>
          <w:color w:val="auto"/>
        </w:rPr>
      </w:pPr>
      <w:r>
        <w:rPr>
          <w:rFonts w:ascii="Arial" w:cs="Arial" w:eastAsia="Arial" w:hAnsi="Arial"/>
          <w:sz w:val="13"/>
          <w:szCs w:val="13"/>
          <w:color w:val="auto"/>
        </w:rPr>
        <w:t>I have delivered a current prospectus.</w:t>
      </w:r>
    </w:p>
    <w:p>
      <w:pPr>
        <w:ind w:left="240" w:right="2099" w:hanging="161"/>
        <w:spacing w:after="0" w:line="238" w:lineRule="auto"/>
        <w:tabs>
          <w:tab w:leader="none" w:pos="240" w:val="left"/>
        </w:tabs>
        <w:numPr>
          <w:ilvl w:val="0"/>
          <w:numId w:val="99"/>
        </w:numPr>
        <w:rPr>
          <w:rFonts w:ascii="Arial" w:cs="Arial" w:eastAsia="Arial" w:hAnsi="Arial"/>
          <w:sz w:val="13"/>
          <w:szCs w:val="13"/>
          <w:color w:val="auto"/>
        </w:rPr>
      </w:pPr>
      <w:r>
        <w:rPr>
          <w:rFonts w:ascii="Arial" w:cs="Arial" w:eastAsia="Arial" w:hAnsi="Arial"/>
          <w:sz w:val="13"/>
          <w:szCs w:val="13"/>
          <w:color w:val="auto"/>
        </w:rPr>
        <w:t>I have provided the Proposed Owner with the Brighthouse Financial Consumer Privacy Notice prior to or at the time he/she completed the application form.</w:t>
      </w:r>
    </w:p>
    <w:p>
      <w:pPr>
        <w:spacing w:after="0" w:line="1" w:lineRule="exact"/>
        <w:rPr>
          <w:rFonts w:ascii="Arial" w:cs="Arial" w:eastAsia="Arial" w:hAnsi="Arial"/>
          <w:sz w:val="13"/>
          <w:szCs w:val="13"/>
          <w:color w:val="auto"/>
        </w:rPr>
      </w:pPr>
    </w:p>
    <w:p>
      <w:pPr>
        <w:ind w:left="240" w:hanging="161"/>
        <w:spacing w:after="0"/>
        <w:tabs>
          <w:tab w:leader="none" w:pos="240" w:val="left"/>
        </w:tabs>
        <w:numPr>
          <w:ilvl w:val="0"/>
          <w:numId w:val="99"/>
        </w:numPr>
        <w:rPr>
          <w:rFonts w:ascii="Arial" w:cs="Arial" w:eastAsia="Arial" w:hAnsi="Arial"/>
          <w:sz w:val="13"/>
          <w:szCs w:val="13"/>
          <w:color w:val="auto"/>
        </w:rPr>
      </w:pPr>
      <w:r>
        <w:rPr>
          <w:rFonts w:ascii="Arial" w:cs="Arial" w:eastAsia="Arial" w:hAnsi="Arial"/>
          <w:sz w:val="13"/>
          <w:szCs w:val="13"/>
          <w:color w:val="auto"/>
        </w:rPr>
        <w:t>I have provided the Appendix 28 - Non-Guaranteed Index Annuities disclosure form.</w:t>
      </w:r>
    </w:p>
    <w:p>
      <w:pPr>
        <w:ind w:left="240" w:right="2639" w:hanging="161"/>
        <w:spacing w:after="0" w:line="238" w:lineRule="auto"/>
        <w:tabs>
          <w:tab w:leader="none" w:pos="240" w:val="left"/>
        </w:tabs>
        <w:numPr>
          <w:ilvl w:val="0"/>
          <w:numId w:val="99"/>
        </w:numPr>
        <w:rPr>
          <w:rFonts w:ascii="Arial" w:cs="Arial" w:eastAsia="Arial" w:hAnsi="Arial"/>
          <w:sz w:val="13"/>
          <w:szCs w:val="13"/>
          <w:color w:val="auto"/>
        </w:rPr>
      </w:pPr>
      <w:r>
        <w:rPr>
          <w:rFonts w:ascii="Arial" w:cs="Arial" w:eastAsia="Arial" w:hAnsi="Arial"/>
          <w:sz w:val="13"/>
          <w:szCs w:val="13"/>
          <w:color w:val="auto"/>
        </w:rPr>
        <w:t>If this new contract is being purchased with monies from an existing Brighthouse Financial Contract, then I have provided the applicant(s) with the Internal Annuity Transfer Disclosure.</w:t>
      </w:r>
    </w:p>
    <w:p>
      <w:pPr>
        <w:spacing w:after="0" w:line="1" w:lineRule="exact"/>
        <w:rPr>
          <w:rFonts w:ascii="Arial" w:cs="Arial" w:eastAsia="Arial" w:hAnsi="Arial"/>
          <w:sz w:val="13"/>
          <w:szCs w:val="13"/>
          <w:color w:val="auto"/>
        </w:rPr>
      </w:pPr>
    </w:p>
    <w:p>
      <w:pPr>
        <w:ind w:left="240" w:hanging="161"/>
        <w:spacing w:after="0"/>
        <w:tabs>
          <w:tab w:leader="none" w:pos="240" w:val="left"/>
        </w:tabs>
        <w:numPr>
          <w:ilvl w:val="0"/>
          <w:numId w:val="99"/>
        </w:numPr>
        <w:rPr>
          <w:rFonts w:ascii="Arial" w:cs="Arial" w:eastAsia="Arial" w:hAnsi="Arial"/>
          <w:sz w:val="13"/>
          <w:szCs w:val="13"/>
          <w:color w:val="auto"/>
        </w:rPr>
      </w:pPr>
      <w:r>
        <w:rPr>
          <w:rFonts w:ascii="Arial" w:cs="Arial" w:eastAsia="Arial" w:hAnsi="Arial"/>
          <w:sz w:val="13"/>
          <w:szCs w:val="13"/>
          <w:color w:val="auto"/>
        </w:rPr>
        <w:t>I have provided the [Brighthouse Shield Level II 6-Year Annuity] Fact Card.</w:t>
      </w:r>
    </w:p>
    <w:p>
      <w:pPr>
        <w:ind w:left="240" w:right="2079" w:hanging="161"/>
        <w:spacing w:after="0" w:line="258" w:lineRule="auto"/>
        <w:tabs>
          <w:tab w:leader="none" w:pos="240" w:val="left"/>
        </w:tabs>
        <w:numPr>
          <w:ilvl w:val="0"/>
          <w:numId w:val="99"/>
        </w:numPr>
        <w:rPr>
          <w:rFonts w:ascii="Arial" w:cs="Arial" w:eastAsia="Arial" w:hAnsi="Arial"/>
          <w:sz w:val="13"/>
          <w:szCs w:val="13"/>
          <w:color w:val="auto"/>
        </w:rPr>
      </w:pPr>
      <w:r>
        <w:rPr>
          <w:rFonts w:ascii="Arial" w:cs="Arial" w:eastAsia="Arial" w:hAnsi="Arial"/>
          <w:sz w:val="13"/>
          <w:szCs w:val="13"/>
          <w:color w:val="auto"/>
        </w:rPr>
        <w:t>I have provided the Brighthouse Shield Level 6-Year Annuity Contract Disclosure and separate rate sheets for both the current and the minimum guaranteed rates.</w:t>
      </w:r>
    </w:p>
    <w:p>
      <w:pPr>
        <w:spacing w:after="0" w:line="92" w:lineRule="exact"/>
        <w:rPr>
          <w:sz w:val="20"/>
          <w:szCs w:val="20"/>
          <w:color w:val="auto"/>
        </w:rPr>
      </w:pPr>
    </w:p>
    <w:tbl>
      <w:tblPr>
        <w:tblLayout w:type="fixed"/>
        <w:tblInd w:w="80" w:type="dxa"/>
        <w:tblCellMar>
          <w:top w:w="0" w:type="dxa"/>
          <w:left w:w="0" w:type="dxa"/>
          <w:bottom w:w="0" w:type="dxa"/>
          <w:right w:w="0" w:type="dxa"/>
        </w:tblCellMar>
      </w:tblPr>
      <w:tr>
        <w:trPr>
          <w:trHeight w:val="188"/>
        </w:trPr>
        <w:tc>
          <w:tcPr>
            <w:tcW w:w="6100" w:type="dxa"/>
            <w:vAlign w:val="bottom"/>
          </w:tcPr>
          <w:p>
            <w:pPr>
              <w:spacing w:after="0"/>
              <w:rPr>
                <w:sz w:val="20"/>
                <w:szCs w:val="20"/>
                <w:color w:val="auto"/>
              </w:rPr>
            </w:pPr>
            <w:r>
              <w:rPr>
                <w:rFonts w:ascii="Arial" w:cs="Arial" w:eastAsia="Arial" w:hAnsi="Arial"/>
                <w:sz w:val="13"/>
                <w:szCs w:val="13"/>
                <w:color w:val="auto"/>
              </w:rPr>
              <w:t>Does the applicant have any existing life insurance policies or annuity contracts?</w:t>
            </w:r>
          </w:p>
        </w:tc>
        <w:tc>
          <w:tcPr>
            <w:tcW w:w="1480" w:type="dxa"/>
            <w:vAlign w:val="bottom"/>
          </w:tcPr>
          <w:p>
            <w:pPr>
              <w:ind w:left="720"/>
              <w:spacing w:after="0" w:line="150" w:lineRule="exact"/>
              <w:rPr>
                <w:sz w:val="20"/>
                <w:szCs w:val="20"/>
                <w:color w:val="auto"/>
              </w:rPr>
            </w:pPr>
            <w:r>
              <w:rPr>
                <w:rFonts w:ascii="MS PGothic" w:cs="MS PGothic" w:eastAsia="MS PGothic" w:hAnsi="MS PGothic"/>
                <w:sz w:val="13"/>
                <w:szCs w:val="13"/>
                <w:color w:val="auto"/>
                <w:w w:val="89"/>
              </w:rPr>
              <w:t>☐</w:t>
            </w:r>
            <w:r>
              <w:rPr>
                <w:rFonts w:ascii="Arial" w:cs="Arial" w:eastAsia="Arial" w:hAnsi="Arial"/>
                <w:sz w:val="13"/>
                <w:szCs w:val="13"/>
                <w:color w:val="auto"/>
                <w:w w:val="89"/>
              </w:rPr>
              <w:t xml:space="preserve"> Yes  </w:t>
            </w:r>
            <w:r>
              <w:rPr>
                <w:rFonts w:ascii="MS PGothic" w:cs="MS PGothic" w:eastAsia="MS PGothic" w:hAnsi="MS PGothic"/>
                <w:sz w:val="13"/>
                <w:szCs w:val="13"/>
                <w:color w:val="auto"/>
                <w:w w:val="89"/>
              </w:rPr>
              <w:t>☐</w:t>
            </w:r>
            <w:r>
              <w:rPr>
                <w:rFonts w:ascii="Arial" w:cs="Arial" w:eastAsia="Arial" w:hAnsi="Arial"/>
                <w:sz w:val="13"/>
                <w:szCs w:val="13"/>
                <w:color w:val="auto"/>
                <w:w w:val="89"/>
              </w:rPr>
              <w:t xml:space="preserve"> No</w:t>
            </w:r>
          </w:p>
        </w:tc>
      </w:tr>
      <w:tr>
        <w:trPr>
          <w:trHeight w:val="223"/>
        </w:trPr>
        <w:tc>
          <w:tcPr>
            <w:tcW w:w="6100" w:type="dxa"/>
            <w:vAlign w:val="bottom"/>
          </w:tcPr>
          <w:p>
            <w:pPr>
              <w:spacing w:after="0"/>
              <w:rPr>
                <w:sz w:val="20"/>
                <w:szCs w:val="20"/>
                <w:color w:val="auto"/>
              </w:rPr>
            </w:pPr>
            <w:r>
              <w:rPr>
                <w:rFonts w:ascii="Arial" w:cs="Arial" w:eastAsia="Arial" w:hAnsi="Arial"/>
                <w:sz w:val="13"/>
                <w:szCs w:val="13"/>
                <w:color w:val="auto"/>
              </w:rPr>
              <w:t>Does the applicant intend to replace, discontinue, or change any existing policy or contract?</w:t>
            </w:r>
          </w:p>
        </w:tc>
        <w:tc>
          <w:tcPr>
            <w:tcW w:w="1480" w:type="dxa"/>
            <w:vAlign w:val="bottom"/>
          </w:tcPr>
          <w:p>
            <w:pPr>
              <w:ind w:left="720"/>
              <w:spacing w:after="0" w:line="150" w:lineRule="exact"/>
              <w:rPr>
                <w:sz w:val="20"/>
                <w:szCs w:val="20"/>
                <w:color w:val="auto"/>
              </w:rPr>
            </w:pPr>
            <w:r>
              <w:rPr>
                <w:rFonts w:ascii="MS PGothic" w:cs="MS PGothic" w:eastAsia="MS PGothic" w:hAnsi="MS PGothic"/>
                <w:sz w:val="13"/>
                <w:szCs w:val="13"/>
                <w:color w:val="auto"/>
                <w:w w:val="89"/>
              </w:rPr>
              <w:t>☐</w:t>
            </w:r>
            <w:r>
              <w:rPr>
                <w:rFonts w:ascii="Arial" w:cs="Arial" w:eastAsia="Arial" w:hAnsi="Arial"/>
                <w:sz w:val="13"/>
                <w:szCs w:val="13"/>
                <w:color w:val="auto"/>
                <w:w w:val="89"/>
              </w:rPr>
              <w:t xml:space="preserve"> Yes  </w:t>
            </w:r>
            <w:r>
              <w:rPr>
                <w:rFonts w:ascii="MS PGothic" w:cs="MS PGothic" w:eastAsia="MS PGothic" w:hAnsi="MS PGothic"/>
                <w:sz w:val="13"/>
                <w:szCs w:val="13"/>
                <w:color w:val="auto"/>
                <w:w w:val="89"/>
              </w:rPr>
              <w:t>☐</w:t>
            </w:r>
            <w:r>
              <w:rPr>
                <w:rFonts w:ascii="Arial" w:cs="Arial" w:eastAsia="Arial" w:hAnsi="Arial"/>
                <w:sz w:val="13"/>
                <w:szCs w:val="13"/>
                <w:color w:val="auto"/>
                <w:w w:val="89"/>
              </w:rPr>
              <w:t xml:space="preserve"> No</w:t>
            </w:r>
          </w:p>
        </w:tc>
      </w:tr>
      <w:tr>
        <w:trPr>
          <w:trHeight w:val="230"/>
        </w:trPr>
        <w:tc>
          <w:tcPr>
            <w:tcW w:w="6100" w:type="dxa"/>
            <w:vAlign w:val="bottom"/>
          </w:tcPr>
          <w:p>
            <w:pPr>
              <w:spacing w:after="0"/>
              <w:rPr>
                <w:sz w:val="20"/>
                <w:szCs w:val="20"/>
                <w:color w:val="auto"/>
              </w:rPr>
            </w:pPr>
            <w:r>
              <w:rPr>
                <w:rFonts w:ascii="Arial" w:cs="Arial" w:eastAsia="Arial" w:hAnsi="Arial"/>
                <w:sz w:val="13"/>
                <w:szCs w:val="13"/>
                <w:color w:val="auto"/>
              </w:rPr>
              <w:t>If “Yes” to either, ensure that any applicable disclosure and replacement forms are attached.</w:t>
            </w:r>
          </w:p>
        </w:tc>
        <w:tc>
          <w:tcPr>
            <w:tcW w:w="1480" w:type="dxa"/>
            <w:vAlign w:val="bottom"/>
          </w:tcPr>
          <w:p>
            <w:pPr>
              <w:spacing w:after="0"/>
              <w:rPr>
                <w:sz w:val="20"/>
                <w:szCs w:val="20"/>
                <w:color w:val="auto"/>
              </w:rPr>
            </w:pPr>
          </w:p>
        </w:tc>
      </w:tr>
    </w:tbl>
    <w:p>
      <w:pPr>
        <w:spacing w:after="0" w:line="104"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  Primary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5140325" cy="127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2">
                      <a:extLst>
                        <a:ext uri="{28A0092B-C50C-407E-A947-70E740481C1C}"/>
                      </a:extLst>
                    </a:blip>
                    <a:srcRect/>
                    <a:stretch>
                      <a:fillRect/>
                    </a:stretch>
                  </pic:blipFill>
                  <pic:spPr bwMode="auto">
                    <a:xfrm>
                      <a:off x="0" y="0"/>
                      <a:ext cx="5140325" cy="12700"/>
                    </a:xfrm>
                    <a:prstGeom prst="rect">
                      <a:avLst/>
                    </a:prstGeom>
                    <a:noFill/>
                  </pic:spPr>
                </pic:pic>
              </a:graphicData>
            </a:graphic>
          </wp:anchor>
        </w:drawing>
      </w:r>
    </w:p>
    <w:p>
      <w:pPr>
        <w:spacing w:after="0" w:line="100"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1060" w:type="dxa"/>
            <w:vAlign w:val="bottom"/>
            <w:gridSpan w:val="4"/>
          </w:tcPr>
          <w:p>
            <w:pPr>
              <w:spacing w:after="0"/>
              <w:rPr>
                <w:sz w:val="20"/>
                <w:szCs w:val="20"/>
                <w:color w:val="auto"/>
              </w:rPr>
            </w:pPr>
            <w:r>
              <w:rPr>
                <w:rFonts w:ascii="Arial" w:cs="Arial" w:eastAsia="Arial" w:hAnsi="Arial"/>
                <w:sz w:val="13"/>
                <w:szCs w:val="13"/>
                <w:color w:val="auto"/>
              </w:rPr>
              <w:t xml:space="preserve">  First Name:      </w:t>
            </w:r>
          </w:p>
        </w:tc>
        <w:tc>
          <w:tcPr>
            <w:tcW w:w="140" w:type="dxa"/>
            <w:vAlign w:val="bottom"/>
            <w:gridSpan w:val="2"/>
          </w:tcPr>
          <w:p>
            <w:pPr>
              <w:ind w:left="40"/>
              <w:spacing w:after="0"/>
              <w:rPr>
                <w:sz w:val="20"/>
                <w:szCs w:val="20"/>
                <w:color w:val="auto"/>
              </w:rPr>
            </w:pPr>
            <w:r>
              <w:rPr>
                <w:rFonts w:ascii="Arial" w:cs="Arial" w:eastAsia="Arial" w:hAnsi="Arial"/>
                <w:sz w:val="11"/>
                <w:szCs w:val="11"/>
                <w:color w:val="auto"/>
                <w:w w:val="72"/>
              </w:rPr>
              <w:t> </w:t>
            </w:r>
          </w:p>
        </w:tc>
        <w:tc>
          <w:tcPr>
            <w:tcW w:w="120" w:type="dxa"/>
            <w:vAlign w:val="bottom"/>
          </w:tcPr>
          <w:p>
            <w:pPr>
              <w:jc w:val="right"/>
              <w:ind w:right="28"/>
              <w:spacing w:after="0"/>
              <w:rPr>
                <w:sz w:val="20"/>
                <w:szCs w:val="20"/>
                <w:color w:val="auto"/>
              </w:rPr>
            </w:pPr>
            <w:r>
              <w:rPr>
                <w:rFonts w:ascii="Arial" w:cs="Arial" w:eastAsia="Arial" w:hAnsi="Arial"/>
                <w:sz w:val="4"/>
                <w:szCs w:val="4"/>
                <w:color w:val="auto"/>
                <w:w w:val="98"/>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Pr>
          <w:p>
            <w:pPr>
              <w:jc w:val="right"/>
              <w:ind w:right="21"/>
              <w:spacing w:after="0"/>
              <w:rPr>
                <w:sz w:val="20"/>
                <w:szCs w:val="20"/>
                <w:color w:val="auto"/>
              </w:rPr>
            </w:pPr>
            <w:r>
              <w:rPr>
                <w:rFonts w:ascii="Arial" w:cs="Arial" w:eastAsia="Arial" w:hAnsi="Arial"/>
                <w:sz w:val="8"/>
                <w:szCs w:val="8"/>
                <w:color w:val="auto"/>
                <w:w w:val="74"/>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Pr>
          <w:p>
            <w:pPr>
              <w:jc w:val="right"/>
              <w:ind w:right="21"/>
              <w:spacing w:after="0"/>
              <w:rPr>
                <w:sz w:val="20"/>
                <w:szCs w:val="20"/>
                <w:color w:val="auto"/>
              </w:rPr>
            </w:pPr>
            <w:r>
              <w:rPr>
                <w:rFonts w:ascii="Arial" w:cs="Arial" w:eastAsia="Arial" w:hAnsi="Arial"/>
                <w:sz w:val="8"/>
                <w:szCs w:val="8"/>
                <w:color w:val="auto"/>
                <w:w w:val="74"/>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240" w:type="dxa"/>
            <w:vAlign w:val="bottom"/>
            <w:gridSpan w:val="2"/>
          </w:tcPr>
          <w:p>
            <w:pPr>
              <w:jc w:val="right"/>
              <w:ind w:right="180"/>
              <w:spacing w:after="0"/>
              <w:rPr>
                <w:sz w:val="20"/>
                <w:szCs w:val="20"/>
                <w:color w:val="auto"/>
              </w:rPr>
            </w:pPr>
            <w:r>
              <w:rPr>
                <w:rFonts w:ascii="Arial" w:cs="Arial" w:eastAsia="Arial" w:hAnsi="Arial"/>
                <w:sz w:val="4"/>
                <w:szCs w:val="4"/>
                <w:color w:val="auto"/>
                <w:w w:val="98"/>
              </w:rPr>
              <w:t> </w:t>
            </w:r>
          </w:p>
        </w:tc>
        <w:tc>
          <w:tcPr>
            <w:tcW w:w="2100" w:type="dxa"/>
            <w:vAlign w:val="bottom"/>
            <w:gridSpan w:val="5"/>
          </w:tcPr>
          <w:p>
            <w:pPr>
              <w:ind w:left="20"/>
              <w:spacing w:after="0"/>
              <w:rPr>
                <w:sz w:val="20"/>
                <w:szCs w:val="20"/>
                <w:color w:val="auto"/>
              </w:rPr>
            </w:pPr>
            <w:r>
              <w:rPr>
                <w:rFonts w:ascii="Arial" w:cs="Arial" w:eastAsia="Arial" w:hAnsi="Arial"/>
                <w:sz w:val="13"/>
                <w:szCs w:val="13"/>
                <w:color w:val="auto"/>
                <w:w w:val="95"/>
              </w:rPr>
              <w:t>National Producer Number (NPN):  </w:t>
            </w:r>
          </w:p>
        </w:tc>
        <w:tc>
          <w:tcPr>
            <w:tcW w:w="140" w:type="dxa"/>
            <w:vAlign w:val="bottom"/>
          </w:tcPr>
          <w:p>
            <w:pPr>
              <w:ind w:left="100"/>
              <w:spacing w:after="0"/>
              <w:rPr>
                <w:sz w:val="20"/>
                <w:szCs w:val="20"/>
                <w:color w:val="auto"/>
              </w:rPr>
            </w:pPr>
            <w:r>
              <w:rPr>
                <w:rFonts w:ascii="Arial" w:cs="Arial" w:eastAsia="Arial" w:hAnsi="Arial"/>
                <w:sz w:val="2"/>
                <w:szCs w:val="2"/>
                <w:color w:val="auto"/>
                <w:w w:val="97"/>
              </w:rPr>
              <w:t> </w:t>
            </w:r>
          </w:p>
        </w:tc>
        <w:tc>
          <w:tcPr>
            <w:tcW w:w="120" w:type="dxa"/>
            <w:vAlign w:val="bottom"/>
          </w:tcPr>
          <w:p>
            <w:pPr>
              <w:ind w:left="80"/>
              <w:spacing w:after="0"/>
              <w:rPr>
                <w:sz w:val="20"/>
                <w:szCs w:val="20"/>
                <w:color w:val="auto"/>
              </w:rPr>
            </w:pPr>
            <w:r>
              <w:rPr>
                <w:rFonts w:ascii="Arial" w:cs="Arial" w:eastAsia="Arial" w:hAnsi="Arial"/>
                <w:sz w:val="2"/>
                <w:szCs w:val="2"/>
                <w:color w:val="auto"/>
                <w:w w:val="97"/>
              </w:rPr>
              <w:t> </w:t>
            </w:r>
          </w:p>
        </w:tc>
        <w:tc>
          <w:tcPr>
            <w:tcW w:w="140" w:type="dxa"/>
            <w:vAlign w:val="bottom"/>
          </w:tcPr>
          <w:p>
            <w:pPr>
              <w:ind w:left="100"/>
              <w:spacing w:after="0"/>
              <w:rPr>
                <w:sz w:val="20"/>
                <w:szCs w:val="20"/>
                <w:color w:val="auto"/>
              </w:rPr>
            </w:pPr>
            <w:r>
              <w:rPr>
                <w:rFonts w:ascii="Arial" w:cs="Arial" w:eastAsia="Arial" w:hAnsi="Arial"/>
                <w:sz w:val="2"/>
                <w:szCs w:val="2"/>
                <w:color w:val="auto"/>
                <w:w w:val="97"/>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80" w:type="dxa"/>
            <w:vAlign w:val="bottom"/>
          </w:tcPr>
          <w:p>
            <w:pPr>
              <w:ind w:left="40"/>
              <w:spacing w:after="0"/>
              <w:rPr>
                <w:sz w:val="20"/>
                <w:szCs w:val="20"/>
                <w:color w:val="auto"/>
              </w:rPr>
            </w:pPr>
            <w:r>
              <w:rPr>
                <w:rFonts w:ascii="Arial" w:cs="Arial" w:eastAsia="Arial" w:hAnsi="Arial"/>
                <w:sz w:val="2"/>
                <w:szCs w:val="2"/>
                <w:color w:val="auto"/>
                <w:w w:val="97"/>
              </w:rPr>
              <w:t> </w:t>
            </w:r>
          </w:p>
        </w:tc>
        <w:tc>
          <w:tcPr>
            <w:tcW w:w="140" w:type="dxa"/>
            <w:vAlign w:val="bottom"/>
          </w:tcPr>
          <w:p>
            <w:pPr>
              <w:ind w:left="100"/>
              <w:spacing w:after="0"/>
              <w:rPr>
                <w:sz w:val="20"/>
                <w:szCs w:val="20"/>
                <w:color w:val="auto"/>
              </w:rPr>
            </w:pPr>
            <w:r>
              <w:rPr>
                <w:rFonts w:ascii="Arial" w:cs="Arial" w:eastAsia="Arial" w:hAnsi="Arial"/>
                <w:sz w:val="2"/>
                <w:szCs w:val="2"/>
                <w:color w:val="auto"/>
                <w:w w:val="97"/>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80" w:type="dxa"/>
            <w:vAlign w:val="bottom"/>
          </w:tcPr>
          <w:p>
            <w:pPr>
              <w:ind w:left="40"/>
              <w:spacing w:after="0"/>
              <w:rPr>
                <w:sz w:val="20"/>
                <w:szCs w:val="20"/>
                <w:color w:val="auto"/>
              </w:rPr>
            </w:pPr>
            <w:r>
              <w:rPr>
                <w:rFonts w:ascii="Arial" w:cs="Arial" w:eastAsia="Arial" w:hAnsi="Arial"/>
                <w:sz w:val="2"/>
                <w:szCs w:val="2"/>
                <w:color w:val="auto"/>
                <w:w w:val="97"/>
              </w:rPr>
              <w:t> </w:t>
            </w:r>
          </w:p>
        </w:tc>
        <w:tc>
          <w:tcPr>
            <w:tcW w:w="140" w:type="dxa"/>
            <w:vAlign w:val="bottom"/>
          </w:tcPr>
          <w:p>
            <w:pPr>
              <w:ind w:left="100"/>
              <w:spacing w:after="0"/>
              <w:rPr>
                <w:sz w:val="20"/>
                <w:szCs w:val="20"/>
                <w:color w:val="auto"/>
              </w:rPr>
            </w:pPr>
            <w:r>
              <w:rPr>
                <w:rFonts w:ascii="Arial" w:cs="Arial" w:eastAsia="Arial" w:hAnsi="Arial"/>
                <w:sz w:val="2"/>
                <w:szCs w:val="2"/>
                <w:color w:val="auto"/>
                <w:w w:val="97"/>
              </w:rPr>
              <w:t> </w:t>
            </w:r>
          </w:p>
        </w:tc>
        <w:tc>
          <w:tcPr>
            <w:tcW w:w="120" w:type="dxa"/>
            <w:vAlign w:val="bottom"/>
          </w:tcPr>
          <w:p>
            <w:pPr>
              <w:ind w:left="80"/>
              <w:spacing w:after="0"/>
              <w:rPr>
                <w:sz w:val="20"/>
                <w:szCs w:val="20"/>
                <w:color w:val="auto"/>
              </w:rPr>
            </w:pPr>
            <w:r>
              <w:rPr>
                <w:rFonts w:ascii="Arial" w:cs="Arial" w:eastAsia="Arial" w:hAnsi="Arial"/>
                <w:sz w:val="2"/>
                <w:szCs w:val="2"/>
                <w:color w:val="auto"/>
                <w:w w:val="97"/>
              </w:rPr>
              <w:t> </w:t>
            </w:r>
          </w:p>
        </w:tc>
        <w:tc>
          <w:tcPr>
            <w:tcW w:w="220" w:type="dxa"/>
            <w:vAlign w:val="bottom"/>
          </w:tcPr>
          <w:p>
            <w:pPr>
              <w:jc w:val="right"/>
              <w:ind w:right="14"/>
              <w:spacing w:after="0"/>
              <w:rPr>
                <w:sz w:val="20"/>
                <w:szCs w:val="20"/>
                <w:color w:val="auto"/>
              </w:rPr>
            </w:pPr>
            <w:r>
              <w:rPr>
                <w:rFonts w:ascii="Arial" w:cs="Arial" w:eastAsia="Arial" w:hAnsi="Arial"/>
                <w:sz w:val="13"/>
                <w:szCs w:val="13"/>
                <w:color w:val="auto"/>
                <w:w w:val="91"/>
              </w:rPr>
              <w:t>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060" w:type="dxa"/>
            <w:vAlign w:val="bottom"/>
            <w:gridSpan w:val="4"/>
          </w:tcPr>
          <w:p>
            <w:pPr>
              <w:spacing w:after="0"/>
              <w:rPr>
                <w:sz w:val="20"/>
                <w:szCs w:val="20"/>
                <w:color w:val="auto"/>
              </w:rPr>
            </w:pPr>
            <w:r>
              <w:rPr>
                <w:rFonts w:ascii="Arial" w:cs="Arial" w:eastAsia="Arial" w:hAnsi="Arial"/>
                <w:sz w:val="13"/>
                <w:szCs w:val="13"/>
                <w:color w:val="auto"/>
                <w:w w:val="94"/>
              </w:rPr>
              <w:t>  Middle Name:   </w:t>
            </w:r>
          </w:p>
        </w:tc>
        <w:tc>
          <w:tcPr>
            <w:tcW w:w="140" w:type="dxa"/>
            <w:vAlign w:val="bottom"/>
            <w:gridSpan w:val="2"/>
          </w:tcPr>
          <w:p>
            <w:pPr>
              <w:ind w:left="40"/>
              <w:spacing w:after="0"/>
              <w:rPr>
                <w:sz w:val="20"/>
                <w:szCs w:val="20"/>
                <w:color w:val="auto"/>
              </w:rPr>
            </w:pPr>
            <w:r>
              <w:rPr>
                <w:rFonts w:ascii="Arial" w:cs="Arial" w:eastAsia="Arial" w:hAnsi="Arial"/>
                <w:sz w:val="11"/>
                <w:szCs w:val="11"/>
                <w:color w:val="auto"/>
                <w:w w:val="72"/>
              </w:rPr>
              <w:t> </w:t>
            </w:r>
          </w:p>
        </w:tc>
        <w:tc>
          <w:tcPr>
            <w:tcW w:w="120" w:type="dxa"/>
            <w:vAlign w:val="bottom"/>
          </w:tcPr>
          <w:p>
            <w:pPr>
              <w:jc w:val="right"/>
              <w:ind w:right="28"/>
              <w:spacing w:after="0"/>
              <w:rPr>
                <w:sz w:val="20"/>
                <w:szCs w:val="20"/>
                <w:color w:val="auto"/>
              </w:rPr>
            </w:pPr>
            <w:r>
              <w:rPr>
                <w:rFonts w:ascii="Arial" w:cs="Arial" w:eastAsia="Arial" w:hAnsi="Arial"/>
                <w:sz w:val="4"/>
                <w:szCs w:val="4"/>
                <w:color w:val="auto"/>
                <w:w w:val="98"/>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Pr>
          <w:p>
            <w:pPr>
              <w:jc w:val="right"/>
              <w:ind w:right="21"/>
              <w:spacing w:after="0"/>
              <w:rPr>
                <w:sz w:val="20"/>
                <w:szCs w:val="20"/>
                <w:color w:val="auto"/>
              </w:rPr>
            </w:pPr>
            <w:r>
              <w:rPr>
                <w:rFonts w:ascii="Arial" w:cs="Arial" w:eastAsia="Arial" w:hAnsi="Arial"/>
                <w:sz w:val="8"/>
                <w:szCs w:val="8"/>
                <w:color w:val="auto"/>
                <w:w w:val="74"/>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Pr>
          <w:p>
            <w:pPr>
              <w:jc w:val="right"/>
              <w:ind w:right="21"/>
              <w:spacing w:after="0"/>
              <w:rPr>
                <w:sz w:val="20"/>
                <w:szCs w:val="20"/>
                <w:color w:val="auto"/>
              </w:rPr>
            </w:pPr>
            <w:r>
              <w:rPr>
                <w:rFonts w:ascii="Arial" w:cs="Arial" w:eastAsia="Arial" w:hAnsi="Arial"/>
                <w:sz w:val="8"/>
                <w:szCs w:val="8"/>
                <w:color w:val="auto"/>
                <w:w w:val="74"/>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 xml:space="preserve">     </w:t>
            </w:r>
          </w:p>
        </w:tc>
        <w:tc>
          <w:tcPr>
            <w:tcW w:w="1780" w:type="dxa"/>
            <w:vAlign w:val="bottom"/>
            <w:gridSpan w:val="3"/>
          </w:tcPr>
          <w:p>
            <w:pPr>
              <w:ind w:left="20"/>
              <w:spacing w:after="0"/>
              <w:rPr>
                <w:sz w:val="20"/>
                <w:szCs w:val="20"/>
                <w:color w:val="auto"/>
              </w:rPr>
            </w:pPr>
            <w:r>
              <w:rPr>
                <w:rFonts w:ascii="Arial" w:cs="Arial" w:eastAsia="Arial" w:hAnsi="Arial"/>
                <w:sz w:val="13"/>
                <w:szCs w:val="13"/>
                <w:color w:val="auto"/>
                <w:w w:val="99"/>
              </w:rPr>
              <w:t>State License I.D. Number:  </w:t>
            </w:r>
          </w:p>
        </w:tc>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220" w:type="dxa"/>
            <w:vAlign w:val="bottom"/>
          </w:tcPr>
          <w:p>
            <w:pPr>
              <w:jc w:val="center"/>
              <w:spacing w:after="0"/>
              <w:rPr>
                <w:sz w:val="20"/>
                <w:szCs w:val="20"/>
                <w:color w:val="auto"/>
              </w:rPr>
            </w:pPr>
            <w:r>
              <w:rPr>
                <w:rFonts w:ascii="Arial" w:cs="Arial" w:eastAsia="Arial" w:hAnsi="Arial"/>
                <w:sz w:val="13"/>
                <w:szCs w:val="13"/>
                <w:color w:val="auto"/>
              </w:rPr>
              <w:t xml:space="preserve">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80" w:type="dxa"/>
            <w:vAlign w:val="bottom"/>
          </w:tcPr>
          <w:p>
            <w:pPr>
              <w:jc w:val="center"/>
              <w:spacing w:after="0"/>
              <w:rPr>
                <w:sz w:val="20"/>
                <w:szCs w:val="20"/>
                <w:color w:val="auto"/>
              </w:rPr>
            </w:pPr>
            <w:r>
              <w:rPr>
                <w:rFonts w:ascii="Arial" w:cs="Arial" w:eastAsia="Arial" w:hAnsi="Arial"/>
                <w:sz w:val="4"/>
                <w:szCs w:val="4"/>
                <w:color w:val="auto"/>
                <w:w w:val="98"/>
              </w:rPr>
              <w:t> </w:t>
            </w:r>
          </w:p>
        </w:tc>
        <w:tc>
          <w:tcPr>
            <w:tcW w:w="80" w:type="dxa"/>
            <w:vAlign w:val="bottom"/>
          </w:tcPr>
          <w:p>
            <w:pPr>
              <w:ind w:left="2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80" w:type="dxa"/>
            <w:vAlign w:val="bottom"/>
          </w:tcPr>
          <w:p>
            <w:pPr>
              <w:jc w:val="center"/>
              <w:spacing w:after="0"/>
              <w:rPr>
                <w:sz w:val="20"/>
                <w:szCs w:val="20"/>
                <w:color w:val="auto"/>
              </w:rPr>
            </w:pPr>
            <w:r>
              <w:rPr>
                <w:rFonts w:ascii="Arial" w:cs="Arial" w:eastAsia="Arial" w:hAnsi="Arial"/>
                <w:sz w:val="4"/>
                <w:szCs w:val="4"/>
                <w:color w:val="auto"/>
                <w:w w:val="98"/>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80" w:type="dxa"/>
            <w:vAlign w:val="bottom"/>
          </w:tcPr>
          <w:p>
            <w:pPr>
              <w:ind w:left="2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220" w:type="dxa"/>
            <w:vAlign w:val="bottom"/>
          </w:tcPr>
          <w:p>
            <w:pPr>
              <w:jc w:val="right"/>
              <w:ind w:right="14"/>
              <w:spacing w:after="0"/>
              <w:rPr>
                <w:sz w:val="20"/>
                <w:szCs w:val="20"/>
                <w:color w:val="auto"/>
              </w:rPr>
            </w:pPr>
            <w:r>
              <w:rPr>
                <w:rFonts w:ascii="Arial" w:cs="Arial" w:eastAsia="Arial" w:hAnsi="Arial"/>
                <w:sz w:val="13"/>
                <w:szCs w:val="13"/>
                <w:color w:val="auto"/>
                <w:w w:val="76"/>
              </w:rPr>
              <w:t>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060" w:type="dxa"/>
            <w:vAlign w:val="bottom"/>
            <w:gridSpan w:val="4"/>
          </w:tcPr>
          <w:p>
            <w:pPr>
              <w:spacing w:after="0"/>
              <w:rPr>
                <w:sz w:val="20"/>
                <w:szCs w:val="20"/>
                <w:color w:val="auto"/>
              </w:rPr>
            </w:pPr>
            <w:r>
              <w:rPr>
                <w:rFonts w:ascii="Arial" w:cs="Arial" w:eastAsia="Arial" w:hAnsi="Arial"/>
                <w:sz w:val="13"/>
                <w:szCs w:val="13"/>
                <w:color w:val="auto"/>
              </w:rPr>
              <w:t xml:space="preserve">  Last Name:      </w:t>
            </w:r>
          </w:p>
        </w:tc>
        <w:tc>
          <w:tcPr>
            <w:tcW w:w="140" w:type="dxa"/>
            <w:vAlign w:val="bottom"/>
            <w:gridSpan w:val="2"/>
          </w:tcPr>
          <w:p>
            <w:pPr>
              <w:ind w:left="20"/>
              <w:spacing w:after="0"/>
              <w:rPr>
                <w:sz w:val="20"/>
                <w:szCs w:val="20"/>
                <w:color w:val="auto"/>
              </w:rPr>
            </w:pPr>
            <w:r>
              <w:rPr>
                <w:rFonts w:ascii="Arial" w:cs="Arial" w:eastAsia="Arial" w:hAnsi="Arial"/>
                <w:sz w:val="13"/>
                <w:szCs w:val="13"/>
                <w:color w:val="auto"/>
                <w:w w:val="76"/>
              </w:rPr>
              <w:t> </w:t>
            </w:r>
          </w:p>
        </w:tc>
        <w:tc>
          <w:tcPr>
            <w:tcW w:w="120" w:type="dxa"/>
            <w:vAlign w:val="bottom"/>
          </w:tcPr>
          <w:p>
            <w:pPr>
              <w:jc w:val="right"/>
              <w:ind w:right="28"/>
              <w:spacing w:after="0"/>
              <w:rPr>
                <w:sz w:val="20"/>
                <w:szCs w:val="20"/>
                <w:color w:val="auto"/>
              </w:rPr>
            </w:pPr>
            <w:r>
              <w:rPr>
                <w:rFonts w:ascii="Arial" w:cs="Arial" w:eastAsia="Arial" w:hAnsi="Arial"/>
                <w:sz w:val="4"/>
                <w:szCs w:val="4"/>
                <w:color w:val="auto"/>
                <w:w w:val="98"/>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Pr>
          <w:p>
            <w:pPr>
              <w:jc w:val="right"/>
              <w:ind w:right="41"/>
              <w:spacing w:after="0"/>
              <w:rPr>
                <w:sz w:val="20"/>
                <w:szCs w:val="20"/>
                <w:color w:val="auto"/>
              </w:rPr>
            </w:pPr>
            <w:r>
              <w:rPr>
                <w:rFonts w:ascii="Arial" w:cs="Arial" w:eastAsia="Arial" w:hAnsi="Arial"/>
                <w:sz w:val="4"/>
                <w:szCs w:val="4"/>
                <w:color w:val="auto"/>
                <w:w w:val="98"/>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Pr>
          <w:p>
            <w:pPr>
              <w:jc w:val="right"/>
              <w:ind w:right="41"/>
              <w:spacing w:after="0"/>
              <w:rPr>
                <w:sz w:val="20"/>
                <w:szCs w:val="20"/>
                <w:color w:val="auto"/>
              </w:rPr>
            </w:pPr>
            <w:r>
              <w:rPr>
                <w:rFonts w:ascii="Arial" w:cs="Arial" w:eastAsia="Arial" w:hAnsi="Arial"/>
                <w:sz w:val="4"/>
                <w:szCs w:val="4"/>
                <w:color w:val="auto"/>
                <w:w w:val="98"/>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240" w:type="dxa"/>
            <w:vAlign w:val="bottom"/>
            <w:gridSpan w:val="2"/>
          </w:tcPr>
          <w:p>
            <w:pPr>
              <w:jc w:val="right"/>
              <w:ind w:right="180"/>
              <w:spacing w:after="0"/>
              <w:rPr>
                <w:sz w:val="20"/>
                <w:szCs w:val="20"/>
                <w:color w:val="auto"/>
              </w:rPr>
            </w:pPr>
            <w:r>
              <w:rPr>
                <w:rFonts w:ascii="Arial" w:cs="Arial" w:eastAsia="Arial" w:hAnsi="Arial"/>
                <w:sz w:val="4"/>
                <w:szCs w:val="4"/>
                <w:color w:val="auto"/>
                <w:w w:val="98"/>
              </w:rPr>
              <w:t> </w:t>
            </w:r>
          </w:p>
        </w:tc>
        <w:tc>
          <w:tcPr>
            <w:tcW w:w="1780" w:type="dxa"/>
            <w:vAlign w:val="bottom"/>
            <w:gridSpan w:val="3"/>
          </w:tcPr>
          <w:p>
            <w:pPr>
              <w:ind w:left="20"/>
              <w:spacing w:after="0"/>
              <w:rPr>
                <w:sz w:val="20"/>
                <w:szCs w:val="20"/>
                <w:color w:val="auto"/>
              </w:rPr>
            </w:pPr>
            <w:r>
              <w:rPr>
                <w:rFonts w:ascii="Arial" w:cs="Arial" w:eastAsia="Arial" w:hAnsi="Arial"/>
                <w:sz w:val="13"/>
                <w:szCs w:val="13"/>
                <w:color w:val="auto"/>
              </w:rPr>
              <w:t xml:space="preserve">Client Account Number:        </w:t>
            </w:r>
          </w:p>
        </w:tc>
        <w:tc>
          <w:tcPr>
            <w:tcW w:w="100" w:type="dxa"/>
            <w:vAlign w:val="bottom"/>
          </w:tcPr>
          <w:p>
            <w:pPr>
              <w:ind w:left="60"/>
              <w:spacing w:after="0"/>
              <w:rPr>
                <w:sz w:val="20"/>
                <w:szCs w:val="20"/>
                <w:color w:val="auto"/>
              </w:rPr>
            </w:pPr>
            <w:r>
              <w:rPr>
                <w:rFonts w:ascii="Arial" w:cs="Arial" w:eastAsia="Arial" w:hAnsi="Arial"/>
                <w:sz w:val="2"/>
                <w:szCs w:val="2"/>
                <w:color w:val="auto"/>
                <w:w w:val="97"/>
              </w:rPr>
              <w:t> </w:t>
            </w:r>
          </w:p>
        </w:tc>
        <w:tc>
          <w:tcPr>
            <w:tcW w:w="220" w:type="dxa"/>
            <w:vAlign w:val="bottom"/>
          </w:tcPr>
          <w:p>
            <w:pPr>
              <w:jc w:val="center"/>
              <w:spacing w:after="0"/>
              <w:rPr>
                <w:sz w:val="20"/>
                <w:szCs w:val="20"/>
                <w:color w:val="auto"/>
              </w:rPr>
            </w:pPr>
            <w:r>
              <w:rPr>
                <w:rFonts w:ascii="Arial" w:cs="Arial" w:eastAsia="Arial" w:hAnsi="Arial"/>
                <w:sz w:val="2"/>
                <w:szCs w:val="2"/>
                <w:color w:val="auto"/>
                <w:w w:val="97"/>
              </w:rPr>
              <w:t> </w:t>
            </w:r>
          </w:p>
        </w:tc>
        <w:tc>
          <w:tcPr>
            <w:tcW w:w="140" w:type="dxa"/>
            <w:vAlign w:val="bottom"/>
          </w:tcPr>
          <w:p>
            <w:pPr>
              <w:spacing w:after="0"/>
              <w:rPr>
                <w:sz w:val="20"/>
                <w:szCs w:val="20"/>
                <w:color w:val="auto"/>
              </w:rPr>
            </w:pPr>
            <w:r>
              <w:rPr>
                <w:rFonts w:ascii="Arial" w:cs="Arial" w:eastAsia="Arial" w:hAnsi="Arial"/>
                <w:sz w:val="13"/>
                <w:szCs w:val="13"/>
                <w:color w:val="auto"/>
                <w:w w:val="91"/>
              </w:rPr>
              <w:t> </w:t>
            </w: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140" w:type="dxa"/>
            <w:vAlign w:val="bottom"/>
          </w:tcPr>
          <w:p>
            <w:pPr>
              <w:spacing w:after="0"/>
              <w:rPr>
                <w:sz w:val="20"/>
                <w:szCs w:val="20"/>
                <w:color w:val="auto"/>
              </w:rPr>
            </w:pPr>
            <w:r>
              <w:rPr>
                <w:rFonts w:ascii="Arial" w:cs="Arial" w:eastAsia="Arial" w:hAnsi="Arial"/>
                <w:sz w:val="13"/>
                <w:szCs w:val="13"/>
                <w:color w:val="auto"/>
                <w:w w:val="91"/>
              </w:rPr>
              <w:t> </w:t>
            </w:r>
          </w:p>
        </w:tc>
        <w:tc>
          <w:tcPr>
            <w:tcW w:w="180" w:type="dxa"/>
            <w:vAlign w:val="bottom"/>
          </w:tcPr>
          <w:p>
            <w:pPr>
              <w:jc w:val="center"/>
              <w:spacing w:after="0"/>
              <w:rPr>
                <w:sz w:val="20"/>
                <w:szCs w:val="20"/>
                <w:color w:val="auto"/>
              </w:rPr>
            </w:pPr>
            <w:r>
              <w:rPr>
                <w:rFonts w:ascii="Arial" w:cs="Arial" w:eastAsia="Arial" w:hAnsi="Arial"/>
                <w:sz w:val="13"/>
                <w:szCs w:val="13"/>
                <w:color w:val="auto"/>
              </w:rPr>
              <w:t xml:space="preserve">    </w:t>
            </w:r>
          </w:p>
        </w:tc>
        <w:tc>
          <w:tcPr>
            <w:tcW w:w="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3"/>
                <w:szCs w:val="13"/>
                <w:color w:val="auto"/>
                <w:w w:val="91"/>
              </w:rPr>
              <w:t> </w:t>
            </w:r>
          </w:p>
        </w:tc>
        <w:tc>
          <w:tcPr>
            <w:tcW w:w="180" w:type="dxa"/>
            <w:vAlign w:val="bottom"/>
          </w:tcPr>
          <w:p>
            <w:pPr>
              <w:jc w:val="center"/>
              <w:spacing w:after="0"/>
              <w:rPr>
                <w:sz w:val="20"/>
                <w:szCs w:val="20"/>
                <w:color w:val="auto"/>
              </w:rPr>
            </w:pPr>
            <w:r>
              <w:rPr>
                <w:rFonts w:ascii="Arial" w:cs="Arial" w:eastAsia="Arial" w:hAnsi="Arial"/>
                <w:sz w:val="13"/>
                <w:szCs w:val="13"/>
                <w:color w:val="auto"/>
              </w:rPr>
              <w:t xml:space="preserve">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20" w:type="dxa"/>
            <w:vAlign w:val="bottom"/>
          </w:tcPr>
          <w:p>
            <w:pPr>
              <w:ind w:left="80"/>
              <w:spacing w:after="0"/>
              <w:rPr>
                <w:sz w:val="20"/>
                <w:szCs w:val="20"/>
                <w:color w:val="auto"/>
              </w:rPr>
            </w:pPr>
            <w:r>
              <w:rPr>
                <w:rFonts w:ascii="Arial" w:cs="Arial" w:eastAsia="Arial" w:hAnsi="Arial"/>
                <w:sz w:val="2"/>
                <w:szCs w:val="2"/>
                <w:color w:val="auto"/>
                <w:w w:val="97"/>
              </w:rPr>
              <w:t> </w:t>
            </w:r>
          </w:p>
        </w:tc>
        <w:tc>
          <w:tcPr>
            <w:tcW w:w="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3"/>
                <w:szCs w:val="13"/>
                <w:color w:val="auto"/>
                <w:w w:val="91"/>
              </w:rPr>
              <w:t> </w:t>
            </w: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220" w:type="dxa"/>
            <w:vAlign w:val="bottom"/>
          </w:tcPr>
          <w:p>
            <w:pPr>
              <w:jc w:val="right"/>
              <w:spacing w:after="0"/>
              <w:rPr>
                <w:sz w:val="20"/>
                <w:szCs w:val="20"/>
                <w:color w:val="auto"/>
              </w:rPr>
            </w:pPr>
            <w:r>
              <w:rPr>
                <w:rFonts w:ascii="Arial" w:cs="Arial" w:eastAsia="Arial" w:hAnsi="Arial"/>
                <w:sz w:val="13"/>
                <w:szCs w:val="13"/>
                <w:color w:val="auto"/>
              </w:rPr>
              <w:t xml:space="preserve">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40" w:type="dxa"/>
            <w:vAlign w:val="bottom"/>
            <w:gridSpan w:val="11"/>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060" w:type="dxa"/>
            <w:vAlign w:val="bottom"/>
            <w:gridSpan w:val="4"/>
          </w:tcPr>
          <w:p>
            <w:pPr>
              <w:spacing w:after="0"/>
              <w:rPr>
                <w:sz w:val="20"/>
                <w:szCs w:val="20"/>
                <w:color w:val="auto"/>
              </w:rPr>
            </w:pPr>
            <w:r>
              <w:rPr>
                <w:rFonts w:ascii="Arial" w:cs="Arial" w:eastAsia="Arial" w:hAnsi="Arial"/>
                <w:sz w:val="13"/>
                <w:szCs w:val="13"/>
                <w:color w:val="auto"/>
                <w:w w:val="92"/>
              </w:rPr>
              <w:t>  Name of Firm:   </w:t>
            </w:r>
          </w:p>
        </w:tc>
        <w:tc>
          <w:tcPr>
            <w:tcW w:w="140" w:type="dxa"/>
            <w:vAlign w:val="bottom"/>
            <w:gridSpan w:val="2"/>
          </w:tcPr>
          <w:p>
            <w:pPr>
              <w:ind w:left="60"/>
              <w:spacing w:after="0"/>
              <w:rPr>
                <w:sz w:val="20"/>
                <w:szCs w:val="20"/>
                <w:color w:val="auto"/>
              </w:rPr>
            </w:pPr>
            <w:r>
              <w:rPr>
                <w:rFonts w:ascii="Arial" w:cs="Arial" w:eastAsia="Arial" w:hAnsi="Arial"/>
                <w:sz w:val="8"/>
                <w:szCs w:val="8"/>
                <w:color w:val="auto"/>
                <w:w w:val="74"/>
              </w:rPr>
              <w:t> </w:t>
            </w:r>
          </w:p>
        </w:tc>
        <w:tc>
          <w:tcPr>
            <w:tcW w:w="120" w:type="dxa"/>
            <w:vAlign w:val="bottom"/>
          </w:tcPr>
          <w:p>
            <w:pPr>
              <w:jc w:val="right"/>
              <w:ind w:right="8"/>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jc w:val="right"/>
              <w:ind w:right="1"/>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jc w:val="right"/>
              <w:ind w:right="1"/>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 xml:space="preserve">   </w:t>
            </w:r>
          </w:p>
        </w:tc>
        <w:tc>
          <w:tcPr>
            <w:tcW w:w="3080" w:type="dxa"/>
            <w:vAlign w:val="bottom"/>
            <w:gridSpan w:val="12"/>
          </w:tcPr>
          <w:p>
            <w:pPr>
              <w:ind w:left="20"/>
              <w:spacing w:after="0"/>
              <w:rPr>
                <w:sz w:val="20"/>
                <w:szCs w:val="20"/>
                <w:color w:val="auto"/>
              </w:rPr>
            </w:pPr>
            <w:r>
              <w:rPr>
                <w:rFonts w:ascii="Arial" w:cs="Arial" w:eastAsia="Arial" w:hAnsi="Arial"/>
                <w:sz w:val="13"/>
                <w:szCs w:val="13"/>
                <w:color w:val="auto"/>
              </w:rPr>
              <w:t>Commission Percentage: ___________________%</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gridSpan w:val="5"/>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gridSpan w:val="5"/>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200" w:type="dxa"/>
            <w:vAlign w:val="bottom"/>
            <w:gridSpan w:val="6"/>
          </w:tcPr>
          <w:p>
            <w:pPr>
              <w:spacing w:after="0"/>
              <w:rPr>
                <w:sz w:val="20"/>
                <w:szCs w:val="20"/>
                <w:color w:val="auto"/>
              </w:rPr>
            </w:pPr>
            <w:r>
              <w:rPr>
                <w:rFonts w:ascii="Arial" w:cs="Arial" w:eastAsia="Arial" w:hAnsi="Arial"/>
                <w:sz w:val="13"/>
                <w:szCs w:val="13"/>
                <w:color w:val="auto"/>
                <w:w w:val="92"/>
              </w:rPr>
              <w:t>  Business Phone:   </w:t>
            </w:r>
          </w:p>
        </w:tc>
        <w:tc>
          <w:tcPr>
            <w:tcW w:w="120" w:type="dxa"/>
            <w:vAlign w:val="bottom"/>
          </w:tcPr>
          <w:p>
            <w:pPr>
              <w:jc w:val="right"/>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660" w:type="dxa"/>
            <w:vAlign w:val="bottom"/>
            <w:gridSpan w:val="5"/>
          </w:tcPr>
          <w:p>
            <w:pPr>
              <w:jc w:val="right"/>
              <w:spacing w:after="0"/>
              <w:rPr>
                <w:sz w:val="20"/>
                <w:szCs w:val="20"/>
                <w:color w:val="auto"/>
              </w:rPr>
            </w:pPr>
            <w:r>
              <w:rPr>
                <w:rFonts w:ascii="Arial" w:cs="Arial" w:eastAsia="Arial" w:hAnsi="Arial"/>
                <w:sz w:val="13"/>
                <w:szCs w:val="13"/>
                <w:color w:val="auto"/>
              </w:rPr>
              <w:t xml:space="preserve">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660" w:type="dxa"/>
            <w:vAlign w:val="bottom"/>
            <w:gridSpan w:val="5"/>
          </w:tcPr>
          <w:p>
            <w:pPr>
              <w:ind w:left="60"/>
              <w:spacing w:after="0"/>
              <w:rPr>
                <w:sz w:val="20"/>
                <w:szCs w:val="20"/>
                <w:color w:val="auto"/>
              </w:rPr>
            </w:pPr>
            <w:r>
              <w:rPr>
                <w:rFonts w:ascii="Arial" w:cs="Arial" w:eastAsia="Arial" w:hAnsi="Arial"/>
                <w:sz w:val="13"/>
                <w:szCs w:val="13"/>
                <w:color w:val="auto"/>
              </w:rPr>
              <w:t xml:space="preserve">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    </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780" w:type="dxa"/>
            <w:vAlign w:val="bottom"/>
            <w:gridSpan w:val="14"/>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60" w:type="dxa"/>
            <w:vAlign w:val="bottom"/>
            <w:vMerge w:val="restart"/>
          </w:tcPr>
          <w:p>
            <w:pPr>
              <w:spacing w:after="0"/>
              <w:rPr>
                <w:sz w:val="15"/>
                <w:szCs w:val="15"/>
                <w:color w:val="auto"/>
              </w:rPr>
            </w:pPr>
          </w:p>
        </w:tc>
        <w:tc>
          <w:tcPr>
            <w:tcW w:w="2260" w:type="dxa"/>
            <w:vAlign w:val="bottom"/>
            <w:gridSpan w:val="18"/>
            <w:vMerge w:val="restart"/>
          </w:tcPr>
          <w:p>
            <w:pPr>
              <w:ind w:left="80"/>
              <w:spacing w:after="0"/>
              <w:rPr>
                <w:sz w:val="20"/>
                <w:szCs w:val="20"/>
                <w:color w:val="auto"/>
              </w:rPr>
            </w:pPr>
            <w:r>
              <w:rPr>
                <w:rFonts w:ascii="Arial" w:cs="Arial" w:eastAsia="Arial" w:hAnsi="Arial"/>
                <w:sz w:val="13"/>
                <w:szCs w:val="13"/>
                <w:color w:val="auto"/>
              </w:rPr>
              <w:t>Signature of Primary Representative: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6"/>
            <w:vMerge w:val="restart"/>
          </w:tcPr>
          <w:p>
            <w:pPr>
              <w:ind w:left="80"/>
              <w:spacing w:after="0"/>
              <w:rPr>
                <w:sz w:val="20"/>
                <w:szCs w:val="20"/>
                <w:color w:val="auto"/>
              </w:rPr>
            </w:pPr>
            <w:r>
              <w:rPr>
                <w:rFonts w:ascii="Arial" w:cs="Arial" w:eastAsia="Arial" w:hAnsi="Arial"/>
                <w:sz w:val="13"/>
                <w:szCs w:val="13"/>
                <w:color w:val="auto"/>
              </w:rPr>
              <w:t>Date signed: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660" w:type="dxa"/>
            <w:vAlign w:val="bottom"/>
            <w:vMerge w:val="continue"/>
          </w:tcPr>
          <w:p>
            <w:pPr>
              <w:spacing w:after="0"/>
              <w:rPr>
                <w:sz w:val="14"/>
                <w:szCs w:val="14"/>
                <w:color w:val="auto"/>
              </w:rPr>
            </w:pPr>
          </w:p>
        </w:tc>
        <w:tc>
          <w:tcPr>
            <w:tcW w:w="2260" w:type="dxa"/>
            <w:vAlign w:val="bottom"/>
            <w:gridSpan w:val="18"/>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90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4"/>
        </w:trPr>
        <w:tc>
          <w:tcPr>
            <w:tcW w:w="6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-370840</wp:posOffset>
            </wp:positionV>
            <wp:extent cx="365125" cy="36512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3">
                      <a:extLst>
                        <a:ext uri="{28A0092B-C50C-407E-A947-70E740481C1C}"/>
                      </a:extLst>
                    </a:blip>
                    <a:srcRect/>
                    <a:stretch>
                      <a:fillRect/>
                    </a:stretch>
                  </pic:blipFill>
                  <pic:spPr bwMode="auto">
                    <a:xfrm>
                      <a:off x="0" y="0"/>
                      <a:ext cx="365125" cy="365125"/>
                    </a:xfrm>
                    <a:prstGeom prst="rect">
                      <a:avLst/>
                    </a:prstGeom>
                    <a:noFill/>
                  </pic:spPr>
                </pic:pic>
              </a:graphicData>
            </a:graphic>
          </wp:anchor>
        </w:drawing>
      </w:r>
    </w:p>
    <w:p>
      <w:pPr>
        <w:spacing w:after="0" w:line="275"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Commission Choice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5140325" cy="127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4">
                      <a:extLst>
                        <a:ext uri="{28A0092B-C50C-407E-A947-70E740481C1C}"/>
                      </a:extLst>
                    </a:blip>
                    <a:srcRect/>
                    <a:stretch>
                      <a:fillRect/>
                    </a:stretch>
                  </pic:blipFill>
                  <pic:spPr bwMode="auto">
                    <a:xfrm>
                      <a:off x="0" y="0"/>
                      <a:ext cx="5140325" cy="12700"/>
                    </a:xfrm>
                    <a:prstGeom prst="rect">
                      <a:avLst/>
                    </a:prstGeom>
                    <a:noFill/>
                  </pic:spPr>
                </pic:pic>
              </a:graphicData>
            </a:graphic>
          </wp:anchor>
        </w:drawing>
      </w:r>
    </w:p>
    <w:p>
      <w:pPr>
        <w:spacing w:after="0" w:line="98" w:lineRule="exact"/>
        <w:rPr>
          <w:sz w:val="20"/>
          <w:szCs w:val="20"/>
          <w:color w:val="auto"/>
        </w:rPr>
      </w:pPr>
    </w:p>
    <w:p>
      <w:pPr>
        <w:ind w:left="80"/>
        <w:spacing w:after="0"/>
        <w:rPr>
          <w:sz w:val="20"/>
          <w:szCs w:val="20"/>
          <w:color w:val="auto"/>
        </w:rPr>
      </w:pPr>
      <w:r>
        <w:rPr>
          <w:rFonts w:ascii="Arial" w:cs="Arial" w:eastAsia="Arial" w:hAnsi="Arial"/>
          <w:sz w:val="13"/>
          <w:szCs w:val="13"/>
          <w:color w:val="auto"/>
        </w:rPr>
        <w:t>Choose one. Once selected, this option cannot be changed. Not all options may be available. Please check with your back office.</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0" w:type="dxa"/>
            <w:vAlign w:val="bottom"/>
            <w:gridSpan w:val="6"/>
          </w:tcPr>
          <w:p>
            <w:pPr>
              <w:jc w:val="right"/>
              <w:ind w:right="1"/>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Option A</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6"/>
          </w:tcPr>
          <w:p>
            <w:pPr>
              <w:ind w:left="6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Option B</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80" w:type="dxa"/>
            <w:vAlign w:val="bottom"/>
          </w:tcPr>
          <w:p>
            <w:pPr>
              <w:jc w:val="right"/>
              <w:ind w:right="154"/>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Option C</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1900" w:type="dxa"/>
            <w:vAlign w:val="bottom"/>
            <w:tcBorders>
              <w:bottom w:val="single" w:sz="8" w:color="7F7F7F"/>
            </w:tcBorders>
            <w:gridSpan w:val="14"/>
          </w:tcPr>
          <w:p>
            <w:pPr>
              <w:ind w:left="80"/>
              <w:spacing w:after="0"/>
              <w:rPr>
                <w:sz w:val="20"/>
                <w:szCs w:val="20"/>
                <w:color w:val="auto"/>
              </w:rPr>
            </w:pPr>
            <w:r>
              <w:rPr>
                <w:rFonts w:ascii="Arial" w:cs="Arial" w:eastAsia="Arial" w:hAnsi="Arial"/>
                <w:sz w:val="13"/>
                <w:szCs w:val="13"/>
                <w:b w:val="1"/>
                <w:bCs w:val="1"/>
                <w:color w:val="auto"/>
              </w:rPr>
              <w:t>Additional Representative(s)</w:t>
            </w:r>
          </w:p>
        </w:tc>
        <w:tc>
          <w:tcPr>
            <w:tcW w:w="100" w:type="dxa"/>
            <w:vAlign w:val="bottom"/>
            <w:tcBorders>
              <w:bottom w:val="single" w:sz="8" w:color="7F7F7F"/>
            </w:tcBorders>
          </w:tcPr>
          <w:p>
            <w:pPr>
              <w:spacing w:after="0"/>
              <w:rPr>
                <w:sz w:val="24"/>
                <w:szCs w:val="24"/>
                <w:color w:val="auto"/>
              </w:rPr>
            </w:pPr>
          </w:p>
        </w:tc>
        <w:tc>
          <w:tcPr>
            <w:tcW w:w="120" w:type="dxa"/>
            <w:vAlign w:val="bottom"/>
            <w:tcBorders>
              <w:bottom w:val="single" w:sz="8" w:color="7F7F7F"/>
            </w:tcBorders>
          </w:tcPr>
          <w:p>
            <w:pPr>
              <w:spacing w:after="0"/>
              <w:rPr>
                <w:sz w:val="24"/>
                <w:szCs w:val="24"/>
                <w:color w:val="auto"/>
              </w:rPr>
            </w:pPr>
          </w:p>
        </w:tc>
        <w:tc>
          <w:tcPr>
            <w:tcW w:w="140" w:type="dxa"/>
            <w:vAlign w:val="bottom"/>
            <w:tcBorders>
              <w:bottom w:val="single" w:sz="8" w:color="7F7F7F"/>
            </w:tcBorders>
          </w:tcPr>
          <w:p>
            <w:pPr>
              <w:spacing w:after="0"/>
              <w:rPr>
                <w:sz w:val="24"/>
                <w:szCs w:val="24"/>
                <w:color w:val="auto"/>
              </w:rPr>
            </w:pPr>
          </w:p>
        </w:tc>
        <w:tc>
          <w:tcPr>
            <w:tcW w:w="140" w:type="dxa"/>
            <w:vAlign w:val="bottom"/>
            <w:tcBorders>
              <w:bottom w:val="single" w:sz="8" w:color="7F7F7F"/>
            </w:tcBorders>
          </w:tcPr>
          <w:p>
            <w:pPr>
              <w:spacing w:after="0"/>
              <w:rPr>
                <w:sz w:val="24"/>
                <w:szCs w:val="24"/>
                <w:color w:val="auto"/>
              </w:rPr>
            </w:pPr>
          </w:p>
        </w:tc>
        <w:tc>
          <w:tcPr>
            <w:tcW w:w="120" w:type="dxa"/>
            <w:vAlign w:val="bottom"/>
            <w:tcBorders>
              <w:bottom w:val="single" w:sz="8" w:color="7F7F7F"/>
            </w:tcBorders>
          </w:tcPr>
          <w:p>
            <w:pPr>
              <w:spacing w:after="0"/>
              <w:rPr>
                <w:sz w:val="24"/>
                <w:szCs w:val="24"/>
                <w:color w:val="auto"/>
              </w:rPr>
            </w:pPr>
          </w:p>
        </w:tc>
        <w:tc>
          <w:tcPr>
            <w:tcW w:w="140" w:type="dxa"/>
            <w:vAlign w:val="bottom"/>
            <w:tcBorders>
              <w:bottom w:val="single" w:sz="8" w:color="7F7F7F"/>
            </w:tcBorders>
          </w:tcPr>
          <w:p>
            <w:pPr>
              <w:spacing w:after="0"/>
              <w:rPr>
                <w:sz w:val="24"/>
                <w:szCs w:val="24"/>
                <w:color w:val="auto"/>
              </w:rPr>
            </w:pPr>
          </w:p>
        </w:tc>
        <w:tc>
          <w:tcPr>
            <w:tcW w:w="120" w:type="dxa"/>
            <w:vAlign w:val="bottom"/>
            <w:tcBorders>
              <w:bottom w:val="single" w:sz="8" w:color="7F7F7F"/>
            </w:tcBorders>
          </w:tcPr>
          <w:p>
            <w:pPr>
              <w:spacing w:after="0"/>
              <w:rPr>
                <w:sz w:val="24"/>
                <w:szCs w:val="24"/>
                <w:color w:val="auto"/>
              </w:rPr>
            </w:pPr>
          </w:p>
        </w:tc>
        <w:tc>
          <w:tcPr>
            <w:tcW w:w="140" w:type="dxa"/>
            <w:vAlign w:val="bottom"/>
            <w:tcBorders>
              <w:bottom w:val="single" w:sz="8" w:color="7F7F7F"/>
            </w:tcBorders>
          </w:tcPr>
          <w:p>
            <w:pPr>
              <w:spacing w:after="0"/>
              <w:rPr>
                <w:sz w:val="24"/>
                <w:szCs w:val="24"/>
                <w:color w:val="auto"/>
              </w:rPr>
            </w:pPr>
          </w:p>
        </w:tc>
        <w:tc>
          <w:tcPr>
            <w:tcW w:w="140" w:type="dxa"/>
            <w:vAlign w:val="bottom"/>
            <w:tcBorders>
              <w:bottom w:val="single" w:sz="8" w:color="7F7F7F"/>
            </w:tcBorders>
          </w:tcPr>
          <w:p>
            <w:pPr>
              <w:spacing w:after="0"/>
              <w:rPr>
                <w:sz w:val="24"/>
                <w:szCs w:val="24"/>
                <w:color w:val="auto"/>
              </w:rPr>
            </w:pPr>
          </w:p>
        </w:tc>
        <w:tc>
          <w:tcPr>
            <w:tcW w:w="120" w:type="dxa"/>
            <w:vAlign w:val="bottom"/>
            <w:tcBorders>
              <w:bottom w:val="single" w:sz="8" w:color="7F7F7F"/>
            </w:tcBorders>
          </w:tcPr>
          <w:p>
            <w:pPr>
              <w:spacing w:after="0"/>
              <w:rPr>
                <w:sz w:val="24"/>
                <w:szCs w:val="24"/>
                <w:color w:val="auto"/>
              </w:rPr>
            </w:pPr>
          </w:p>
        </w:tc>
        <w:tc>
          <w:tcPr>
            <w:tcW w:w="160" w:type="dxa"/>
            <w:vAlign w:val="bottom"/>
            <w:tcBorders>
              <w:bottom w:val="single" w:sz="8" w:color="7F7F7F"/>
            </w:tcBorders>
          </w:tcPr>
          <w:p>
            <w:pPr>
              <w:spacing w:after="0"/>
              <w:rPr>
                <w:sz w:val="24"/>
                <w:szCs w:val="24"/>
                <w:color w:val="auto"/>
              </w:rPr>
            </w:pPr>
          </w:p>
        </w:tc>
        <w:tc>
          <w:tcPr>
            <w:tcW w:w="120" w:type="dxa"/>
            <w:vAlign w:val="bottom"/>
            <w:tcBorders>
              <w:bottom w:val="single" w:sz="8" w:color="7F7F7F"/>
            </w:tcBorders>
          </w:tcPr>
          <w:p>
            <w:pPr>
              <w:spacing w:after="0"/>
              <w:rPr>
                <w:sz w:val="24"/>
                <w:szCs w:val="24"/>
                <w:color w:val="auto"/>
              </w:rPr>
            </w:pPr>
          </w:p>
        </w:tc>
        <w:tc>
          <w:tcPr>
            <w:tcW w:w="140" w:type="dxa"/>
            <w:vAlign w:val="bottom"/>
            <w:tcBorders>
              <w:bottom w:val="single" w:sz="8" w:color="7F7F7F"/>
            </w:tcBorders>
          </w:tcPr>
          <w:p>
            <w:pPr>
              <w:spacing w:after="0"/>
              <w:rPr>
                <w:sz w:val="24"/>
                <w:szCs w:val="24"/>
                <w:color w:val="auto"/>
              </w:rPr>
            </w:pPr>
          </w:p>
        </w:tc>
        <w:tc>
          <w:tcPr>
            <w:tcW w:w="140" w:type="dxa"/>
            <w:vAlign w:val="bottom"/>
            <w:tcBorders>
              <w:bottom w:val="single" w:sz="8" w:color="7F7F7F"/>
            </w:tcBorders>
          </w:tcPr>
          <w:p>
            <w:pPr>
              <w:spacing w:after="0"/>
              <w:rPr>
                <w:sz w:val="24"/>
                <w:szCs w:val="24"/>
                <w:color w:val="auto"/>
              </w:rPr>
            </w:pPr>
          </w:p>
        </w:tc>
        <w:tc>
          <w:tcPr>
            <w:tcW w:w="160" w:type="dxa"/>
            <w:vAlign w:val="bottom"/>
            <w:tcBorders>
              <w:bottom w:val="single" w:sz="8" w:color="7F7F7F"/>
            </w:tcBorders>
          </w:tcPr>
          <w:p>
            <w:pPr>
              <w:spacing w:after="0"/>
              <w:rPr>
                <w:sz w:val="24"/>
                <w:szCs w:val="24"/>
                <w:color w:val="auto"/>
              </w:rPr>
            </w:pPr>
          </w:p>
        </w:tc>
        <w:tc>
          <w:tcPr>
            <w:tcW w:w="240" w:type="dxa"/>
            <w:vAlign w:val="bottom"/>
            <w:tcBorders>
              <w:bottom w:val="single" w:sz="8" w:color="7F7F7F"/>
            </w:tcBorders>
          </w:tcPr>
          <w:p>
            <w:pPr>
              <w:spacing w:after="0"/>
              <w:rPr>
                <w:sz w:val="24"/>
                <w:szCs w:val="24"/>
                <w:color w:val="auto"/>
              </w:rPr>
            </w:pPr>
          </w:p>
        </w:tc>
        <w:tc>
          <w:tcPr>
            <w:tcW w:w="2380" w:type="dxa"/>
            <w:vAlign w:val="bottom"/>
            <w:tcBorders>
              <w:bottom w:val="single" w:sz="8" w:color="7F7F7F"/>
            </w:tcBorders>
          </w:tcPr>
          <w:p>
            <w:pPr>
              <w:spacing w:after="0"/>
              <w:rPr>
                <w:sz w:val="24"/>
                <w:szCs w:val="24"/>
                <w:color w:val="auto"/>
              </w:rPr>
            </w:pPr>
          </w:p>
        </w:tc>
        <w:tc>
          <w:tcPr>
            <w:tcW w:w="1580" w:type="dxa"/>
            <w:vAlign w:val="bottom"/>
            <w:tcBorders>
              <w:bottom w:val="single" w:sz="8" w:color="7F7F7F"/>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740" w:type="dxa"/>
            <w:vAlign w:val="bottom"/>
            <w:gridSpan w:val="13"/>
            <w:vMerge w:val="restart"/>
          </w:tcPr>
          <w:p>
            <w:pPr>
              <w:spacing w:after="0"/>
              <w:rPr>
                <w:sz w:val="20"/>
                <w:szCs w:val="20"/>
                <w:color w:val="auto"/>
              </w:rPr>
            </w:pPr>
            <w:r>
              <w:rPr>
                <w:rFonts w:ascii="Arial" w:cs="Arial" w:eastAsia="Arial" w:hAnsi="Arial"/>
                <w:sz w:val="13"/>
                <w:szCs w:val="13"/>
                <w:b w:val="1"/>
                <w:bCs w:val="1"/>
                <w:color w:val="auto"/>
              </w:rPr>
              <w:t>         Representative Name: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gridSpan w:val="2"/>
          </w:tcPr>
          <w:p>
            <w:pPr>
              <w:jc w:val="right"/>
              <w:ind w:right="634"/>
              <w:spacing w:after="0"/>
              <w:rPr>
                <w:sz w:val="20"/>
                <w:szCs w:val="20"/>
                <w:color w:val="auto"/>
              </w:rPr>
            </w:pPr>
            <w:r>
              <w:rPr>
                <w:rFonts w:ascii="Arial" w:cs="Arial" w:eastAsia="Arial" w:hAnsi="Arial"/>
                <w:sz w:val="13"/>
                <w:szCs w:val="13"/>
                <w:b w:val="1"/>
                <w:bCs w:val="1"/>
                <w:color w:val="auto"/>
              </w:rPr>
              <w:t>National Producer Number</w:t>
            </w:r>
          </w:p>
        </w:tc>
        <w:tc>
          <w:tcPr>
            <w:tcW w:w="1580" w:type="dxa"/>
            <w:vAlign w:val="bottom"/>
          </w:tcPr>
          <w:p>
            <w:pPr>
              <w:ind w:left="240"/>
              <w:spacing w:after="0"/>
              <w:rPr>
                <w:sz w:val="20"/>
                <w:szCs w:val="20"/>
                <w:color w:val="auto"/>
              </w:rPr>
            </w:pPr>
            <w:r>
              <w:rPr>
                <w:rFonts w:ascii="Arial" w:cs="Arial" w:eastAsia="Arial" w:hAnsi="Arial"/>
                <w:sz w:val="13"/>
                <w:szCs w:val="13"/>
                <w:b w:val="1"/>
                <w:bCs w:val="1"/>
                <w:color w:val="auto"/>
              </w:rPr>
              <w:t>Commission</w:t>
            </w:r>
          </w:p>
        </w:tc>
        <w:tc>
          <w:tcPr>
            <w:tcW w:w="0" w:type="dxa"/>
            <w:vAlign w:val="bottom"/>
          </w:tcPr>
          <w:p>
            <w:pPr>
              <w:spacing w:after="0"/>
              <w:rPr>
                <w:sz w:val="1"/>
                <w:szCs w:val="1"/>
                <w:color w:val="auto"/>
              </w:rPr>
            </w:pPr>
          </w:p>
        </w:tc>
      </w:tr>
      <w:tr>
        <w:trPr>
          <w:trHeight w:val="110"/>
        </w:trPr>
        <w:tc>
          <w:tcPr>
            <w:tcW w:w="1740" w:type="dxa"/>
            <w:vAlign w:val="bottom"/>
            <w:gridSpan w:val="13"/>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20" w:type="dxa"/>
            <w:vAlign w:val="bottom"/>
            <w:gridSpan w:val="2"/>
            <w:vMerge w:val="restart"/>
          </w:tcPr>
          <w:p>
            <w:pPr>
              <w:jc w:val="right"/>
              <w:ind w:right="1894"/>
              <w:spacing w:after="0"/>
              <w:rPr>
                <w:sz w:val="20"/>
                <w:szCs w:val="20"/>
                <w:color w:val="auto"/>
              </w:rPr>
            </w:pPr>
            <w:r>
              <w:rPr>
                <w:rFonts w:ascii="Arial" w:cs="Arial" w:eastAsia="Arial" w:hAnsi="Arial"/>
                <w:sz w:val="13"/>
                <w:szCs w:val="13"/>
                <w:b w:val="1"/>
                <w:bCs w:val="1"/>
                <w:color w:val="auto"/>
              </w:rPr>
              <w:t>   (NPN):</w:t>
            </w:r>
          </w:p>
        </w:tc>
        <w:tc>
          <w:tcPr>
            <w:tcW w:w="158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   Percentage:</w:t>
            </w:r>
          </w:p>
        </w:tc>
        <w:tc>
          <w:tcPr>
            <w:tcW w:w="0" w:type="dxa"/>
            <w:vAlign w:val="bottom"/>
          </w:tcPr>
          <w:p>
            <w:pPr>
              <w:spacing w:after="0"/>
              <w:rPr>
                <w:sz w:val="1"/>
                <w:szCs w:val="1"/>
                <w:color w:val="auto"/>
              </w:rPr>
            </w:pPr>
          </w:p>
        </w:tc>
      </w:tr>
      <w:tr>
        <w:trPr>
          <w:trHeight w:val="79"/>
        </w:trPr>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20" w:type="dxa"/>
            <w:vAlign w:val="bottom"/>
            <w:gridSpan w:val="2"/>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60" w:type="dxa"/>
            <w:vAlign w:val="bottom"/>
          </w:tcPr>
          <w:p>
            <w:pPr>
              <w:spacing w:after="0"/>
              <w:rPr>
                <w:sz w:val="20"/>
                <w:szCs w:val="20"/>
                <w:color w:val="auto"/>
              </w:rPr>
            </w:pPr>
            <w:r>
              <w:rPr>
                <w:rFonts w:ascii="Arial" w:cs="Arial" w:eastAsia="Arial" w:hAnsi="Arial"/>
                <w:sz w:val="13"/>
                <w:szCs w:val="13"/>
                <w:color w:val="auto"/>
              </w:rPr>
              <w:t xml:space="preserve">  1) </w:t>
            </w:r>
          </w:p>
        </w:tc>
        <w:tc>
          <w:tcPr>
            <w:tcW w:w="140" w:type="dxa"/>
            <w:vAlign w:val="bottom"/>
            <w:gridSpan w:val="2"/>
          </w:tcPr>
          <w:p>
            <w:pPr>
              <w:ind w:left="60"/>
              <w:spacing w:after="0"/>
              <w:rPr>
                <w:sz w:val="20"/>
                <w:szCs w:val="20"/>
                <w:color w:val="auto"/>
              </w:rPr>
            </w:pPr>
            <w:r>
              <w:rPr>
                <w:rFonts w:ascii="Arial" w:cs="Arial" w:eastAsia="Arial" w:hAnsi="Arial"/>
                <w:sz w:val="7"/>
                <w:szCs w:val="7"/>
                <w:color w:val="auto"/>
                <w:w w:val="78"/>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20" w:type="dxa"/>
            <w:vAlign w:val="bottom"/>
          </w:tcPr>
          <w:p>
            <w:pPr>
              <w:jc w:val="right"/>
              <w:ind w:right="1"/>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60" w:type="dxa"/>
            <w:vAlign w:val="bottom"/>
          </w:tcPr>
          <w:p>
            <w:pPr>
              <w:ind w:left="40"/>
              <w:spacing w:after="0"/>
              <w:rPr>
                <w:sz w:val="20"/>
                <w:szCs w:val="20"/>
                <w:color w:val="auto"/>
              </w:rPr>
            </w:pPr>
            <w:r>
              <w:rPr>
                <w:rFonts w:ascii="Arial" w:cs="Arial" w:eastAsia="Arial" w:hAnsi="Arial"/>
                <w:sz w:val="13"/>
                <w:szCs w:val="13"/>
                <w:color w:val="auto"/>
                <w:w w:val="76"/>
              </w:rPr>
              <w:t> </w:t>
            </w:r>
          </w:p>
        </w:tc>
        <w:tc>
          <w:tcPr>
            <w:tcW w:w="100" w:type="dxa"/>
            <w:vAlign w:val="bottom"/>
          </w:tcPr>
          <w:p>
            <w:pPr>
              <w:ind w:left="20"/>
              <w:spacing w:after="0"/>
              <w:rPr>
                <w:sz w:val="20"/>
                <w:szCs w:val="20"/>
                <w:color w:val="auto"/>
              </w:rPr>
            </w:pPr>
            <w:r>
              <w:rPr>
                <w:rFonts w:ascii="Arial" w:cs="Arial" w:eastAsia="Arial" w:hAnsi="Arial"/>
                <w:sz w:val="8"/>
                <w:szCs w:val="8"/>
                <w:color w:val="auto"/>
                <w:w w:val="74"/>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20"/>
              <w:spacing w:after="0"/>
              <w:rPr>
                <w:sz w:val="20"/>
                <w:szCs w:val="20"/>
                <w:color w:val="auto"/>
              </w:rPr>
            </w:pPr>
            <w:r>
              <w:rPr>
                <w:rFonts w:ascii="Arial" w:cs="Arial" w:eastAsia="Arial" w:hAnsi="Arial"/>
                <w:sz w:val="13"/>
                <w:szCs w:val="13"/>
                <w:color w:val="auto"/>
                <w:w w:val="76"/>
              </w:rPr>
              <w:t> </w:t>
            </w:r>
          </w:p>
        </w:tc>
        <w:tc>
          <w:tcPr>
            <w:tcW w:w="2780" w:type="dxa"/>
            <w:vAlign w:val="bottom"/>
            <w:gridSpan w:val="3"/>
          </w:tcPr>
          <w:p>
            <w:pPr>
              <w:jc w:val="right"/>
              <w:ind w:right="2654"/>
              <w:spacing w:after="0"/>
              <w:rPr>
                <w:sz w:val="20"/>
                <w:szCs w:val="20"/>
                <w:color w:val="auto"/>
              </w:rPr>
            </w:pPr>
            <w:r>
              <w:rPr>
                <w:rFonts w:ascii="Arial" w:cs="Arial" w:eastAsia="Arial" w:hAnsi="Arial"/>
                <w:sz w:val="4"/>
                <w:szCs w:val="4"/>
                <w:color w:val="auto"/>
                <w:w w:val="98"/>
              </w:rPr>
              <w:t> </w:t>
            </w:r>
          </w:p>
        </w:tc>
        <w:tc>
          <w:tcPr>
            <w:tcW w:w="1580" w:type="dxa"/>
            <w:vAlign w:val="bottom"/>
          </w:tcPr>
          <w:p>
            <w:pPr>
              <w:ind w:left="240"/>
              <w:spacing w:after="0"/>
              <w:rPr>
                <w:sz w:val="20"/>
                <w:szCs w:val="20"/>
                <w:color w:val="auto"/>
              </w:rPr>
            </w:pPr>
            <w:r>
              <w:rPr>
                <w:rFonts w:ascii="Arial" w:cs="Arial" w:eastAsia="Arial" w:hAnsi="Arial"/>
                <w:sz w:val="13"/>
                <w:szCs w:val="13"/>
                <w:color w:val="auto"/>
              </w:rPr>
              <w:t>____________%</w:t>
            </w:r>
          </w:p>
        </w:tc>
        <w:tc>
          <w:tcPr>
            <w:tcW w:w="0" w:type="dxa"/>
            <w:vAlign w:val="bottom"/>
          </w:tcPr>
          <w:p>
            <w:pPr>
              <w:spacing w:after="0"/>
              <w:rPr>
                <w:sz w:val="1"/>
                <w:szCs w:val="1"/>
                <w:color w:val="auto"/>
              </w:rPr>
            </w:pPr>
          </w:p>
        </w:tc>
      </w:tr>
      <w:tr>
        <w:trPr>
          <w:trHeight w:val="30"/>
        </w:trPr>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380" w:type="dxa"/>
            <w:vAlign w:val="bottom"/>
            <w:shd w:val="clear" w:color="auto" w:fill="000000"/>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260" w:type="dxa"/>
            <w:vAlign w:val="bottom"/>
          </w:tcPr>
          <w:p>
            <w:pPr>
              <w:spacing w:after="0"/>
              <w:rPr>
                <w:sz w:val="20"/>
                <w:szCs w:val="20"/>
                <w:color w:val="auto"/>
              </w:rPr>
            </w:pPr>
            <w:r>
              <w:rPr>
                <w:rFonts w:ascii="Arial" w:cs="Arial" w:eastAsia="Arial" w:hAnsi="Arial"/>
                <w:sz w:val="13"/>
                <w:szCs w:val="13"/>
                <w:color w:val="auto"/>
              </w:rPr>
              <w:t xml:space="preserve">  2) </w:t>
            </w:r>
          </w:p>
        </w:tc>
        <w:tc>
          <w:tcPr>
            <w:tcW w:w="140" w:type="dxa"/>
            <w:vAlign w:val="bottom"/>
            <w:gridSpan w:val="2"/>
          </w:tcPr>
          <w:p>
            <w:pPr>
              <w:ind w:left="60"/>
              <w:spacing w:after="0"/>
              <w:rPr>
                <w:sz w:val="20"/>
                <w:szCs w:val="20"/>
                <w:color w:val="auto"/>
              </w:rPr>
            </w:pPr>
            <w:r>
              <w:rPr>
                <w:rFonts w:ascii="Arial" w:cs="Arial" w:eastAsia="Arial" w:hAnsi="Arial"/>
                <w:sz w:val="7"/>
                <w:szCs w:val="7"/>
                <w:color w:val="auto"/>
                <w:w w:val="78"/>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20" w:type="dxa"/>
            <w:vAlign w:val="bottom"/>
          </w:tcPr>
          <w:p>
            <w:pPr>
              <w:jc w:val="right"/>
              <w:ind w:right="1"/>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60" w:type="dxa"/>
            <w:vAlign w:val="bottom"/>
          </w:tcPr>
          <w:p>
            <w:pPr>
              <w:ind w:left="40"/>
              <w:spacing w:after="0"/>
              <w:rPr>
                <w:sz w:val="20"/>
                <w:szCs w:val="20"/>
                <w:color w:val="auto"/>
              </w:rPr>
            </w:pPr>
            <w:r>
              <w:rPr>
                <w:rFonts w:ascii="Arial" w:cs="Arial" w:eastAsia="Arial" w:hAnsi="Arial"/>
                <w:sz w:val="13"/>
                <w:szCs w:val="13"/>
                <w:color w:val="auto"/>
                <w:w w:val="76"/>
              </w:rPr>
              <w:t> </w:t>
            </w:r>
          </w:p>
        </w:tc>
        <w:tc>
          <w:tcPr>
            <w:tcW w:w="100" w:type="dxa"/>
            <w:vAlign w:val="bottom"/>
          </w:tcPr>
          <w:p>
            <w:pPr>
              <w:ind w:left="20"/>
              <w:spacing w:after="0"/>
              <w:rPr>
                <w:sz w:val="20"/>
                <w:szCs w:val="20"/>
                <w:color w:val="auto"/>
              </w:rPr>
            </w:pPr>
            <w:r>
              <w:rPr>
                <w:rFonts w:ascii="Arial" w:cs="Arial" w:eastAsia="Arial" w:hAnsi="Arial"/>
                <w:sz w:val="8"/>
                <w:szCs w:val="8"/>
                <w:color w:val="auto"/>
                <w:w w:val="74"/>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60" w:type="dxa"/>
            <w:vAlign w:val="bottom"/>
          </w:tcPr>
          <w:p>
            <w:pPr>
              <w:ind w:left="60"/>
              <w:spacing w:after="0"/>
              <w:rPr>
                <w:sz w:val="20"/>
                <w:szCs w:val="20"/>
                <w:color w:val="auto"/>
              </w:rPr>
            </w:pPr>
            <w:r>
              <w:rPr>
                <w:rFonts w:ascii="Arial" w:cs="Arial" w:eastAsia="Arial" w:hAnsi="Arial"/>
                <w:sz w:val="8"/>
                <w:szCs w:val="8"/>
                <w:color w:val="auto"/>
                <w:w w:val="77"/>
              </w:rPr>
              <w:t xml:space="preserve">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2780" w:type="dxa"/>
            <w:vAlign w:val="bottom"/>
            <w:gridSpan w:val="3"/>
          </w:tcPr>
          <w:p>
            <w:pPr>
              <w:jc w:val="right"/>
              <w:ind w:right="2614"/>
              <w:spacing w:after="0"/>
              <w:rPr>
                <w:sz w:val="20"/>
                <w:szCs w:val="20"/>
                <w:color w:val="auto"/>
              </w:rPr>
            </w:pPr>
            <w:r>
              <w:rPr>
                <w:rFonts w:ascii="Arial" w:cs="Arial" w:eastAsia="Arial" w:hAnsi="Arial"/>
                <w:sz w:val="11"/>
                <w:szCs w:val="11"/>
                <w:color w:val="auto"/>
                <w:w w:val="72"/>
              </w:rPr>
              <w:t> </w:t>
            </w:r>
          </w:p>
        </w:tc>
        <w:tc>
          <w:tcPr>
            <w:tcW w:w="1580" w:type="dxa"/>
            <w:vAlign w:val="bottom"/>
          </w:tcPr>
          <w:p>
            <w:pPr>
              <w:ind w:left="240"/>
              <w:spacing w:after="0"/>
              <w:rPr>
                <w:sz w:val="20"/>
                <w:szCs w:val="20"/>
                <w:color w:val="auto"/>
              </w:rPr>
            </w:pPr>
            <w:r>
              <w:rPr>
                <w:rFonts w:ascii="Arial" w:cs="Arial" w:eastAsia="Arial" w:hAnsi="Arial"/>
                <w:sz w:val="13"/>
                <w:szCs w:val="13"/>
                <w:color w:val="auto"/>
              </w:rPr>
              <w:t>____________%</w:t>
            </w:r>
          </w:p>
        </w:tc>
        <w:tc>
          <w:tcPr>
            <w:tcW w:w="0" w:type="dxa"/>
            <w:vAlign w:val="bottom"/>
          </w:tcPr>
          <w:p>
            <w:pPr>
              <w:spacing w:after="0"/>
              <w:rPr>
                <w:sz w:val="1"/>
                <w:szCs w:val="1"/>
                <w:color w:val="auto"/>
              </w:rPr>
            </w:pPr>
          </w:p>
        </w:tc>
      </w:tr>
      <w:tr>
        <w:trPr>
          <w:trHeight w:val="30"/>
        </w:trPr>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2380" w:type="dxa"/>
            <w:vAlign w:val="bottom"/>
            <w:shd w:val="clear" w:color="auto" w:fill="000000"/>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260" w:type="dxa"/>
            <w:vAlign w:val="bottom"/>
          </w:tcPr>
          <w:p>
            <w:pPr>
              <w:spacing w:after="0"/>
              <w:rPr>
                <w:sz w:val="20"/>
                <w:szCs w:val="20"/>
                <w:color w:val="auto"/>
              </w:rPr>
            </w:pPr>
            <w:r>
              <w:rPr>
                <w:rFonts w:ascii="Arial" w:cs="Arial" w:eastAsia="Arial" w:hAnsi="Arial"/>
                <w:sz w:val="13"/>
                <w:szCs w:val="13"/>
                <w:color w:val="auto"/>
              </w:rPr>
              <w:t xml:space="preserve">  3) </w:t>
            </w:r>
          </w:p>
        </w:tc>
        <w:tc>
          <w:tcPr>
            <w:tcW w:w="140" w:type="dxa"/>
            <w:vAlign w:val="bottom"/>
            <w:gridSpan w:val="2"/>
          </w:tcPr>
          <w:p>
            <w:pPr>
              <w:ind w:left="60"/>
              <w:spacing w:after="0"/>
              <w:rPr>
                <w:sz w:val="20"/>
                <w:szCs w:val="20"/>
                <w:color w:val="auto"/>
              </w:rPr>
            </w:pPr>
            <w:r>
              <w:rPr>
                <w:rFonts w:ascii="Arial" w:cs="Arial" w:eastAsia="Arial" w:hAnsi="Arial"/>
                <w:sz w:val="7"/>
                <w:szCs w:val="7"/>
                <w:color w:val="auto"/>
                <w:w w:val="78"/>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20" w:type="dxa"/>
            <w:vAlign w:val="bottom"/>
          </w:tcPr>
          <w:p>
            <w:pPr>
              <w:jc w:val="right"/>
              <w:ind w:right="1"/>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60" w:type="dxa"/>
            <w:vAlign w:val="bottom"/>
          </w:tcPr>
          <w:p>
            <w:pPr>
              <w:ind w:left="40"/>
              <w:spacing w:after="0"/>
              <w:rPr>
                <w:sz w:val="20"/>
                <w:szCs w:val="20"/>
                <w:color w:val="auto"/>
              </w:rPr>
            </w:pPr>
            <w:r>
              <w:rPr>
                <w:rFonts w:ascii="Arial" w:cs="Arial" w:eastAsia="Arial" w:hAnsi="Arial"/>
                <w:sz w:val="13"/>
                <w:szCs w:val="13"/>
                <w:color w:val="auto"/>
                <w:w w:val="76"/>
              </w:rPr>
              <w:t> </w:t>
            </w:r>
          </w:p>
        </w:tc>
        <w:tc>
          <w:tcPr>
            <w:tcW w:w="100" w:type="dxa"/>
            <w:vAlign w:val="bottom"/>
          </w:tcPr>
          <w:p>
            <w:pPr>
              <w:ind w:left="20"/>
              <w:spacing w:after="0"/>
              <w:rPr>
                <w:sz w:val="20"/>
                <w:szCs w:val="20"/>
                <w:color w:val="auto"/>
              </w:rPr>
            </w:pPr>
            <w:r>
              <w:rPr>
                <w:rFonts w:ascii="Arial" w:cs="Arial" w:eastAsia="Arial" w:hAnsi="Arial"/>
                <w:sz w:val="8"/>
                <w:szCs w:val="8"/>
                <w:color w:val="auto"/>
                <w:w w:val="74"/>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60" w:type="dxa"/>
            <w:vAlign w:val="bottom"/>
          </w:tcPr>
          <w:p>
            <w:pPr>
              <w:ind w:left="60"/>
              <w:spacing w:after="0"/>
              <w:rPr>
                <w:sz w:val="20"/>
                <w:szCs w:val="20"/>
                <w:color w:val="auto"/>
              </w:rPr>
            </w:pPr>
            <w:r>
              <w:rPr>
                <w:rFonts w:ascii="Arial" w:cs="Arial" w:eastAsia="Arial" w:hAnsi="Arial"/>
                <w:sz w:val="8"/>
                <w:szCs w:val="8"/>
                <w:color w:val="auto"/>
                <w:w w:val="77"/>
              </w:rPr>
              <w:t xml:space="preserve">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80"/>
              <w:spacing w:after="0"/>
              <w:rPr>
                <w:sz w:val="20"/>
                <w:szCs w:val="20"/>
                <w:color w:val="auto"/>
              </w:rPr>
            </w:pPr>
            <w:r>
              <w:rPr>
                <w:rFonts w:ascii="Arial" w:cs="Arial" w:eastAsia="Arial" w:hAnsi="Arial"/>
                <w:sz w:val="4"/>
                <w:szCs w:val="4"/>
                <w:color w:val="auto"/>
                <w:w w:val="98"/>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2780" w:type="dxa"/>
            <w:vAlign w:val="bottom"/>
            <w:gridSpan w:val="3"/>
          </w:tcPr>
          <w:p>
            <w:pPr>
              <w:jc w:val="right"/>
              <w:ind w:right="2614"/>
              <w:spacing w:after="0"/>
              <w:rPr>
                <w:sz w:val="20"/>
                <w:szCs w:val="20"/>
                <w:color w:val="auto"/>
              </w:rPr>
            </w:pPr>
            <w:r>
              <w:rPr>
                <w:rFonts w:ascii="Arial" w:cs="Arial" w:eastAsia="Arial" w:hAnsi="Arial"/>
                <w:sz w:val="11"/>
                <w:szCs w:val="11"/>
                <w:color w:val="auto"/>
                <w:w w:val="72"/>
              </w:rPr>
              <w:t> </w:t>
            </w:r>
          </w:p>
        </w:tc>
        <w:tc>
          <w:tcPr>
            <w:tcW w:w="1580" w:type="dxa"/>
            <w:vAlign w:val="bottom"/>
          </w:tcPr>
          <w:p>
            <w:pPr>
              <w:ind w:left="240"/>
              <w:spacing w:after="0"/>
              <w:rPr>
                <w:sz w:val="20"/>
                <w:szCs w:val="20"/>
                <w:color w:val="auto"/>
              </w:rPr>
            </w:pPr>
            <w:r>
              <w:rPr>
                <w:rFonts w:ascii="Arial" w:cs="Arial" w:eastAsia="Arial" w:hAnsi="Arial"/>
                <w:sz w:val="13"/>
                <w:szCs w:val="13"/>
                <w:color w:val="auto"/>
              </w:rPr>
              <w:t>____________%</w:t>
            </w:r>
          </w:p>
        </w:tc>
        <w:tc>
          <w:tcPr>
            <w:tcW w:w="0" w:type="dxa"/>
            <w:vAlign w:val="bottom"/>
          </w:tcPr>
          <w:p>
            <w:pPr>
              <w:spacing w:after="0"/>
              <w:rPr>
                <w:sz w:val="1"/>
                <w:szCs w:val="1"/>
                <w:color w:val="auto"/>
              </w:rPr>
            </w:pPr>
          </w:p>
        </w:tc>
      </w:tr>
      <w:tr>
        <w:trPr>
          <w:trHeight w:val="30"/>
        </w:trPr>
        <w:tc>
          <w:tcPr>
            <w:tcW w:w="320" w:type="dxa"/>
            <w:vAlign w:val="bottom"/>
            <w:gridSpan w:val="2"/>
          </w:tcPr>
          <w:p>
            <w:pPr>
              <w:spacing w:after="0"/>
              <w:rPr>
                <w:sz w:val="2"/>
                <w:szCs w:val="2"/>
                <w:color w:val="auto"/>
              </w:rPr>
            </w:pPr>
          </w:p>
        </w:tc>
        <w:tc>
          <w:tcPr>
            <w:tcW w:w="1020" w:type="dxa"/>
            <w:vAlign w:val="bottom"/>
            <w:gridSpan w:val="8"/>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2380" w:type="dxa"/>
            <w:vAlign w:val="bottom"/>
            <w:shd w:val="clear" w:color="auto" w:fill="000000"/>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0"/>
        </w:trPr>
        <w:tc>
          <w:tcPr>
            <w:tcW w:w="1340" w:type="dxa"/>
            <w:vAlign w:val="bottom"/>
            <w:gridSpan w:val="10"/>
          </w:tcPr>
          <w:p>
            <w:pPr>
              <w:spacing w:after="0"/>
              <w:rPr>
                <w:sz w:val="20"/>
                <w:szCs w:val="20"/>
                <w:color w:val="auto"/>
              </w:rPr>
            </w:pPr>
            <w:r>
              <w:rPr>
                <w:rFonts w:ascii="Arial" w:cs="Arial" w:eastAsia="Arial" w:hAnsi="Arial"/>
                <w:sz w:val="13"/>
                <w:szCs w:val="13"/>
                <w:color w:val="auto"/>
              </w:rPr>
              <w:t>SLS2-APP-NY (07/24)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gridSpan w:val="3"/>
          </w:tcPr>
          <w:p>
            <w:pPr>
              <w:jc w:val="right"/>
              <w:ind w:right="1894"/>
              <w:spacing w:after="0"/>
              <w:rPr>
                <w:sz w:val="20"/>
                <w:szCs w:val="20"/>
                <w:color w:val="auto"/>
              </w:rPr>
            </w:pPr>
            <w:r>
              <w:rPr>
                <w:rFonts w:ascii="Arial" w:cs="Arial" w:eastAsia="Arial" w:hAnsi="Arial"/>
                <w:sz w:val="13"/>
                <w:szCs w:val="13"/>
                <w:color w:val="auto"/>
              </w:rPr>
              <w:t>Page 8 of 8</w:t>
            </w:r>
          </w:p>
        </w:tc>
        <w:tc>
          <w:tcPr>
            <w:tcW w:w="1580" w:type="dxa"/>
            <w:vAlign w:val="bottom"/>
          </w:tcPr>
          <w:p>
            <w:pPr>
              <w:ind w:left="320"/>
              <w:spacing w:after="0"/>
              <w:rPr>
                <w:sz w:val="20"/>
                <w:szCs w:val="20"/>
                <w:color w:val="auto"/>
              </w:rPr>
            </w:pPr>
            <w:r>
              <w:rPr>
                <w:rFonts w:ascii="Arial" w:cs="Arial" w:eastAsia="Arial" w:hAnsi="Arial"/>
                <w:sz w:val="13"/>
                <w:szCs w:val="13"/>
                <w:color w:val="auto"/>
              </w:rPr>
              <w:t xml:space="preserve">BSL2-6-NY (07/24) </w:t>
            </w:r>
          </w:p>
        </w:tc>
        <w:tc>
          <w:tcPr>
            <w:tcW w:w="0" w:type="dxa"/>
            <w:vAlign w:val="bottom"/>
          </w:tcPr>
          <w:p>
            <w:pPr>
              <w:spacing w:after="0"/>
              <w:rPr>
                <w:sz w:val="1"/>
                <w:szCs w:val="1"/>
                <w:color w:val="auto"/>
              </w:rPr>
            </w:pPr>
          </w:p>
        </w:tc>
      </w:tr>
    </w:tbl>
    <w:p>
      <w:pPr>
        <w:sectPr>
          <w:pgSz w:w="11900" w:h="16838" w:orient="portrait"/>
          <w:cols w:equalWidth="0" w:num="1">
            <w:col w:w="10159"/>
          </w:cols>
          <w:pgMar w:left="300" w:top="232" w:right="1440" w:bottom="1440" w:gutter="0" w:footer="0" w:header="0"/>
        </w:sectPr>
      </w:pPr>
    </w:p>
    <w:bookmarkStart w:id="131" w:name="page132"/>
    <w:bookmarkEnd w:id="131"/>
    <w:p>
      <w:pPr>
        <w:spacing w:after="0" w:line="1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5297805" cy="14478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5">
                      <a:clrChange>
                        <a:clrFrom>
                          <a:srgbClr val="FFFFFF"/>
                        </a:clrFrom>
                        <a:clrTo>
                          <a:srgbClr val="FFFFFF">
                            <a:alpha val="0"/>
                          </a:srgbClr>
                        </a:clrTo>
                      </a:clrChange>
                      <a:extLst>
                        <a:ext uri="{28A0092B-C50C-407E-A947-70E740481C1C}"/>
                      </a:extLst>
                    </a:blip>
                    <a:srcRect/>
                    <a:stretch>
                      <a:fillRect/>
                    </a:stretch>
                  </pic:blipFill>
                  <pic:spPr bwMode="auto">
                    <a:xfrm>
                      <a:off x="0" y="0"/>
                      <a:ext cx="5297805" cy="144780"/>
                    </a:xfrm>
                    <a:prstGeom prst="rect">
                      <a:avLst/>
                    </a:prstGeom>
                    <a:noFill/>
                  </pic:spPr>
                </pic:pic>
              </a:graphicData>
            </a:graphic>
          </wp:anchor>
        </w:drawing>
        <w:drawing>
          <wp:anchor simplePos="0" relativeHeight="251657728" behindDoc="1" locked="0" layoutInCell="0" allowOverlap="1">
            <wp:simplePos x="0" y="0"/>
            <wp:positionH relativeFrom="page">
              <wp:posOffset>340995</wp:posOffset>
            </wp:positionH>
            <wp:positionV relativeFrom="page">
              <wp:posOffset>403860</wp:posOffset>
            </wp:positionV>
            <wp:extent cx="1348105" cy="34671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6">
                      <a:clrChange>
                        <a:clrFrom>
                          <a:srgbClr val="FFFFFF"/>
                        </a:clrFrom>
                        <a:clrTo>
                          <a:srgbClr val="FFFFFF">
                            <a:alpha val="0"/>
                          </a:srgbClr>
                        </a:clrTo>
                      </a:clrChange>
                      <a:extLst>
                        <a:ext uri="{28A0092B-C50C-407E-A947-70E740481C1C}"/>
                      </a:extLst>
                    </a:blip>
                    <a:srcRect/>
                    <a:stretch>
                      <a:fillRect/>
                    </a:stretch>
                  </pic:blipFill>
                  <pic:spPr bwMode="auto">
                    <a:xfrm>
                      <a:off x="0" y="0"/>
                      <a:ext cx="1348105" cy="346710"/>
                    </a:xfrm>
                    <a:prstGeom prst="rect">
                      <a:avLst/>
                    </a:prstGeom>
                    <a:noFill/>
                  </pic:spPr>
                </pic:pic>
              </a:graphicData>
            </a:graphic>
          </wp:anchor>
        </w:drawing>
      </w:r>
    </w:p>
    <w:p>
      <w:pPr>
        <w:ind w:left="321"/>
        <w:spacing w:after="0"/>
        <w:rPr>
          <w:sz w:val="20"/>
          <w:szCs w:val="20"/>
          <w:color w:val="auto"/>
        </w:rPr>
      </w:pPr>
      <w:r>
        <w:rPr>
          <w:rFonts w:ascii="Times New Roman" w:cs="Times New Roman" w:eastAsia="Times New Roman" w:hAnsi="Times New Roman"/>
          <w:sz w:val="12"/>
          <w:szCs w:val="12"/>
          <w:b w:val="1"/>
          <w:bCs w:val="1"/>
          <w:color w:val="auto"/>
        </w:rPr>
        <w:t>Nancy H. Badeer</w:t>
      </w:r>
    </w:p>
    <w:p>
      <w:pPr>
        <w:spacing w:after="0" w:line="20" w:lineRule="exact"/>
        <w:rPr>
          <w:sz w:val="20"/>
          <w:szCs w:val="20"/>
          <w:color w:val="auto"/>
        </w:rPr>
      </w:pPr>
    </w:p>
    <w:p>
      <w:pPr>
        <w:ind w:left="321"/>
        <w:spacing w:after="0"/>
        <w:rPr>
          <w:sz w:val="20"/>
          <w:szCs w:val="20"/>
          <w:color w:val="auto"/>
        </w:rPr>
      </w:pPr>
      <w:r>
        <w:rPr>
          <w:rFonts w:ascii="Times New Roman" w:cs="Times New Roman" w:eastAsia="Times New Roman" w:hAnsi="Times New Roman"/>
          <w:sz w:val="12"/>
          <w:szCs w:val="12"/>
          <w:b w:val="1"/>
          <w:bCs w:val="1"/>
          <w:color w:val="auto"/>
        </w:rPr>
        <w:t>Head of Insurance Products Law</w:t>
      </w:r>
    </w:p>
    <w:p>
      <w:pPr>
        <w:spacing w:after="0" w:line="11" w:lineRule="exact"/>
        <w:rPr>
          <w:sz w:val="20"/>
          <w:szCs w:val="20"/>
          <w:color w:val="auto"/>
        </w:rPr>
      </w:pPr>
    </w:p>
    <w:p>
      <w:pPr>
        <w:ind w:left="321"/>
        <w:spacing w:after="0"/>
        <w:rPr>
          <w:sz w:val="20"/>
          <w:szCs w:val="20"/>
          <w:color w:val="auto"/>
        </w:rPr>
      </w:pPr>
      <w:r>
        <w:rPr>
          <w:rFonts w:ascii="Times New Roman" w:cs="Times New Roman" w:eastAsia="Times New Roman" w:hAnsi="Times New Roman"/>
          <w:sz w:val="12"/>
          <w:szCs w:val="12"/>
          <w:color w:val="auto"/>
        </w:rPr>
        <w:t>Associate General Counsel</w:t>
      </w:r>
    </w:p>
    <w:p>
      <w:pPr>
        <w:spacing w:after="0" w:line="11" w:lineRule="exact"/>
        <w:rPr>
          <w:sz w:val="20"/>
          <w:szCs w:val="20"/>
          <w:color w:val="auto"/>
        </w:rPr>
      </w:pPr>
    </w:p>
    <w:p>
      <w:pPr>
        <w:ind w:left="321"/>
        <w:spacing w:after="0"/>
        <w:rPr>
          <w:sz w:val="20"/>
          <w:szCs w:val="20"/>
          <w:color w:val="auto"/>
        </w:rPr>
      </w:pPr>
      <w:r>
        <w:rPr>
          <w:rFonts w:ascii="Times New Roman" w:cs="Times New Roman" w:eastAsia="Times New Roman" w:hAnsi="Times New Roman"/>
          <w:sz w:val="12"/>
          <w:szCs w:val="12"/>
          <w:color w:val="auto"/>
        </w:rPr>
        <w:t>285 Madison Avenue</w:t>
      </w:r>
    </w:p>
    <w:p>
      <w:pPr>
        <w:spacing w:after="0" w:line="11" w:lineRule="exact"/>
        <w:rPr>
          <w:sz w:val="20"/>
          <w:szCs w:val="20"/>
          <w:color w:val="auto"/>
        </w:rPr>
      </w:pPr>
    </w:p>
    <w:p>
      <w:pPr>
        <w:ind w:left="321"/>
        <w:spacing w:after="0"/>
        <w:rPr>
          <w:sz w:val="20"/>
          <w:szCs w:val="20"/>
          <w:color w:val="auto"/>
        </w:rPr>
      </w:pPr>
      <w:r>
        <w:rPr>
          <w:rFonts w:ascii="Times New Roman" w:cs="Times New Roman" w:eastAsia="Times New Roman" w:hAnsi="Times New Roman"/>
          <w:sz w:val="12"/>
          <w:szCs w:val="12"/>
          <w:color w:val="auto"/>
        </w:rPr>
        <w:t>New York, NY 10017</w:t>
      </w:r>
    </w:p>
    <w:p>
      <w:pPr>
        <w:spacing w:after="0" w:line="11" w:lineRule="exact"/>
        <w:rPr>
          <w:sz w:val="20"/>
          <w:szCs w:val="20"/>
          <w:color w:val="auto"/>
        </w:rPr>
      </w:pPr>
    </w:p>
    <w:p>
      <w:pPr>
        <w:ind w:left="321"/>
        <w:spacing w:after="0"/>
        <w:rPr>
          <w:sz w:val="20"/>
          <w:szCs w:val="20"/>
          <w:color w:val="auto"/>
        </w:rPr>
      </w:pPr>
      <w:r>
        <w:rPr>
          <w:rFonts w:ascii="Times New Roman" w:cs="Times New Roman" w:eastAsia="Times New Roman" w:hAnsi="Times New Roman"/>
          <w:sz w:val="12"/>
          <w:szCs w:val="12"/>
          <w:color w:val="auto"/>
        </w:rPr>
        <w:t>T: 980-949-3600</w:t>
      </w:r>
    </w:p>
    <w:p>
      <w:pPr>
        <w:spacing w:after="0" w:line="160" w:lineRule="exact"/>
        <w:rPr>
          <w:sz w:val="20"/>
          <w:szCs w:val="20"/>
          <w:color w:val="auto"/>
        </w:rPr>
      </w:pPr>
    </w:p>
    <w:p>
      <w:pPr>
        <w:ind w:left="721"/>
        <w:spacing w:after="0"/>
        <w:rPr>
          <w:sz w:val="20"/>
          <w:szCs w:val="20"/>
          <w:color w:val="auto"/>
        </w:rPr>
      </w:pPr>
      <w:r>
        <w:rPr>
          <w:rFonts w:ascii="Times New Roman" w:cs="Times New Roman" w:eastAsia="Times New Roman" w:hAnsi="Times New Roman"/>
          <w:sz w:val="13"/>
          <w:szCs w:val="13"/>
          <w:color w:val="auto"/>
        </w:rPr>
        <w:t>April 21, 2025</w:t>
      </w:r>
    </w:p>
    <w:p>
      <w:pPr>
        <w:spacing w:after="0" w:line="168" w:lineRule="exact"/>
        <w:rPr>
          <w:sz w:val="20"/>
          <w:szCs w:val="20"/>
          <w:color w:val="auto"/>
        </w:rPr>
      </w:pPr>
    </w:p>
    <w:p>
      <w:pPr>
        <w:ind w:left="721"/>
        <w:spacing w:after="0"/>
        <w:rPr>
          <w:sz w:val="20"/>
          <w:szCs w:val="20"/>
          <w:color w:val="auto"/>
        </w:rPr>
      </w:pPr>
      <w:r>
        <w:rPr>
          <w:rFonts w:ascii="Times New Roman" w:cs="Times New Roman" w:eastAsia="Times New Roman" w:hAnsi="Times New Roman"/>
          <w:sz w:val="13"/>
          <w:szCs w:val="13"/>
          <w:color w:val="auto"/>
        </w:rPr>
        <w:t>Board of Directors</w:t>
      </w:r>
    </w:p>
    <w:p>
      <w:pPr>
        <w:spacing w:after="0" w:line="22" w:lineRule="exact"/>
        <w:rPr>
          <w:sz w:val="20"/>
          <w:szCs w:val="20"/>
          <w:color w:val="auto"/>
        </w:rPr>
      </w:pPr>
    </w:p>
    <w:p>
      <w:pPr>
        <w:ind w:left="721"/>
        <w:spacing w:after="0"/>
        <w:rPr>
          <w:sz w:val="20"/>
          <w:szCs w:val="20"/>
          <w:color w:val="auto"/>
        </w:rPr>
      </w:pPr>
      <w:r>
        <w:rPr>
          <w:rFonts w:ascii="Times New Roman" w:cs="Times New Roman" w:eastAsia="Times New Roman" w:hAnsi="Times New Roman"/>
          <w:sz w:val="13"/>
          <w:szCs w:val="13"/>
          <w:color w:val="auto"/>
        </w:rPr>
        <w:t>Brighthouse Life Insurance Company of NY</w:t>
      </w:r>
    </w:p>
    <w:p>
      <w:pPr>
        <w:spacing w:after="0" w:line="9" w:lineRule="exact"/>
        <w:rPr>
          <w:sz w:val="20"/>
          <w:szCs w:val="20"/>
          <w:color w:val="auto"/>
        </w:rPr>
      </w:pPr>
    </w:p>
    <w:p>
      <w:pPr>
        <w:ind w:left="721"/>
        <w:spacing w:after="0"/>
        <w:rPr>
          <w:sz w:val="20"/>
          <w:szCs w:val="20"/>
          <w:color w:val="auto"/>
        </w:rPr>
      </w:pPr>
      <w:r>
        <w:rPr>
          <w:rFonts w:ascii="Times New Roman" w:cs="Times New Roman" w:eastAsia="Times New Roman" w:hAnsi="Times New Roman"/>
          <w:sz w:val="13"/>
          <w:szCs w:val="13"/>
          <w:color w:val="auto"/>
        </w:rPr>
        <w:t>285 Madison Avenue</w:t>
      </w:r>
    </w:p>
    <w:p>
      <w:pPr>
        <w:spacing w:after="0" w:line="9" w:lineRule="exact"/>
        <w:rPr>
          <w:sz w:val="20"/>
          <w:szCs w:val="20"/>
          <w:color w:val="auto"/>
        </w:rPr>
      </w:pPr>
    </w:p>
    <w:p>
      <w:pPr>
        <w:ind w:left="721"/>
        <w:spacing w:after="0"/>
        <w:rPr>
          <w:sz w:val="20"/>
          <w:szCs w:val="20"/>
          <w:color w:val="auto"/>
        </w:rPr>
      </w:pPr>
      <w:r>
        <w:rPr>
          <w:rFonts w:ascii="Times New Roman" w:cs="Times New Roman" w:eastAsia="Times New Roman" w:hAnsi="Times New Roman"/>
          <w:sz w:val="13"/>
          <w:szCs w:val="13"/>
          <w:color w:val="auto"/>
        </w:rPr>
        <w:t>New York, NY 10017</w:t>
      </w:r>
    </w:p>
    <w:p>
      <w:pPr>
        <w:sectPr>
          <w:pgSz w:w="11900" w:h="16838" w:orient="portrait"/>
          <w:cols w:equalWidth="0" w:num="1">
            <w:col w:w="10160"/>
          </w:cols>
          <w:pgMar w:left="299" w:top="1440" w:right="1440" w:bottom="1440" w:gutter="0" w:footer="0" w:header="0"/>
        </w:sectPr>
      </w:pPr>
    </w:p>
    <w:p>
      <w:pPr>
        <w:spacing w:after="0" w:line="175" w:lineRule="exact"/>
        <w:rPr>
          <w:sz w:val="20"/>
          <w:szCs w:val="20"/>
          <w:color w:val="auto"/>
        </w:rPr>
      </w:pPr>
    </w:p>
    <w:p>
      <w:pPr>
        <w:ind w:left="721"/>
        <w:spacing w:after="0"/>
        <w:rPr>
          <w:sz w:val="20"/>
          <w:szCs w:val="20"/>
          <w:color w:val="auto"/>
        </w:rPr>
      </w:pPr>
      <w:r>
        <w:rPr>
          <w:rFonts w:ascii="Times New Roman" w:cs="Times New Roman" w:eastAsia="Times New Roman" w:hAnsi="Times New Roman"/>
          <w:sz w:val="12"/>
          <w:szCs w:val="12"/>
          <w:color w:val="auto"/>
        </w:rPr>
        <w:t>Re: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Opinion of Counsel</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Post-Effective Amendment No. 1 to the Registration Statement on Form N-4</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Brighthouse Life Insurance Company of NY</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File No. 333-279315</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Brighthouse Shield</w:t>
      </w:r>
      <w:r>
        <w:rPr>
          <w:rFonts w:ascii="Times New Roman" w:cs="Times New Roman" w:eastAsia="Times New Roman" w:hAnsi="Times New Roman"/>
          <w:sz w:val="9"/>
          <w:szCs w:val="9"/>
          <w:color w:val="auto"/>
        </w:rPr>
        <w:t>®</w:t>
      </w:r>
      <w:r>
        <w:rPr>
          <w:rFonts w:ascii="Times New Roman" w:cs="Times New Roman" w:eastAsia="Times New Roman" w:hAnsi="Times New Roman"/>
          <w:sz w:val="13"/>
          <w:szCs w:val="13"/>
          <w:color w:val="auto"/>
        </w:rPr>
        <w:t xml:space="preserve"> Level II 6-Year Annuity</w:t>
      </w:r>
    </w:p>
    <w:p>
      <w:pPr>
        <w:spacing w:after="0" w:line="155" w:lineRule="exact"/>
        <w:rPr>
          <w:sz w:val="20"/>
          <w:szCs w:val="20"/>
          <w:color w:val="auto"/>
        </w:rPr>
      </w:pPr>
    </w:p>
    <w:p>
      <w:pPr>
        <w:sectPr>
          <w:pgSz w:w="11900" w:h="16838" w:orient="portrait"/>
          <w:cols w:equalWidth="0" w:num="2">
            <w:col w:w="901" w:space="540"/>
            <w:col w:w="8719"/>
          </w:cols>
          <w:pgMar w:left="299" w:top="1440" w:right="1440" w:bottom="1440" w:gutter="0" w:footer="0" w:header="0"/>
          <w:type w:val="continuous"/>
        </w:sectPr>
      </w:pPr>
    </w:p>
    <w:p>
      <w:pPr>
        <w:ind w:left="721"/>
        <w:spacing w:after="0"/>
        <w:rPr>
          <w:sz w:val="20"/>
          <w:szCs w:val="20"/>
          <w:color w:val="auto"/>
        </w:rPr>
      </w:pPr>
      <w:r>
        <w:rPr>
          <w:rFonts w:ascii="Times New Roman" w:cs="Times New Roman" w:eastAsia="Times New Roman" w:hAnsi="Times New Roman"/>
          <w:sz w:val="13"/>
          <w:szCs w:val="13"/>
          <w:color w:val="auto"/>
        </w:rPr>
        <w:t>Ladies and Gentlemen:</w:t>
      </w:r>
    </w:p>
    <w:p>
      <w:pPr>
        <w:spacing w:after="0" w:line="168" w:lineRule="exact"/>
        <w:rPr>
          <w:sz w:val="20"/>
          <w:szCs w:val="20"/>
          <w:color w:val="auto"/>
        </w:rPr>
      </w:pPr>
    </w:p>
    <w:p>
      <w:pPr>
        <w:ind w:left="721" w:right="2299"/>
        <w:spacing w:after="0" w:line="263" w:lineRule="auto"/>
        <w:rPr>
          <w:sz w:val="20"/>
          <w:szCs w:val="20"/>
          <w:color w:val="auto"/>
        </w:rPr>
      </w:pPr>
      <w:r>
        <w:rPr>
          <w:rFonts w:ascii="Times New Roman" w:cs="Times New Roman" w:eastAsia="Times New Roman" w:hAnsi="Times New Roman"/>
          <w:sz w:val="13"/>
          <w:szCs w:val="13"/>
          <w:color w:val="auto"/>
        </w:rPr>
        <w:t>I am Head of Insurance Products Law and an Associate General Counsel in the Legal and Compliance Department and provide legal counsel to Brighthouse Life Insurance Company of NY. This opinion is furnished in connection with the proposed offering of a certain single premium deferred index-linked annuity contract (the “Contract”) issued by Brighthouse Life Insurance Company of NY (“Company”) under Post-Effective Amendment No. 1 to Registration Statement on Form N-4, File No. 333-279315, filed on April 21, 2025 (the “Registration Statement”) and described therein, filed by the Company under the Securities Act of 1933, as amended.</w:t>
      </w:r>
    </w:p>
    <w:p>
      <w:pPr>
        <w:spacing w:after="0" w:line="133" w:lineRule="exact"/>
        <w:rPr>
          <w:sz w:val="20"/>
          <w:szCs w:val="20"/>
          <w:color w:val="auto"/>
        </w:rPr>
      </w:pPr>
    </w:p>
    <w:p>
      <w:pPr>
        <w:ind w:left="721" w:right="2079"/>
        <w:spacing w:after="0" w:line="290" w:lineRule="auto"/>
        <w:rPr>
          <w:sz w:val="20"/>
          <w:szCs w:val="20"/>
          <w:color w:val="auto"/>
        </w:rPr>
      </w:pPr>
      <w:r>
        <w:rPr>
          <w:rFonts w:ascii="Times New Roman" w:cs="Times New Roman" w:eastAsia="Times New Roman" w:hAnsi="Times New Roman"/>
          <w:sz w:val="13"/>
          <w:szCs w:val="13"/>
          <w:color w:val="auto"/>
        </w:rPr>
        <w:t>I have made such examination of law and examined such records of the Company and other documents as in my judgment are necessary or appropriate to render the opinion expressed below.</w:t>
      </w:r>
    </w:p>
    <w:p>
      <w:pPr>
        <w:spacing w:after="0" w:line="115" w:lineRule="exact"/>
        <w:rPr>
          <w:sz w:val="20"/>
          <w:szCs w:val="20"/>
          <w:color w:val="auto"/>
        </w:rPr>
      </w:pPr>
    </w:p>
    <w:p>
      <w:pPr>
        <w:ind w:left="721"/>
        <w:spacing w:after="0"/>
        <w:rPr>
          <w:sz w:val="20"/>
          <w:szCs w:val="20"/>
          <w:color w:val="auto"/>
        </w:rPr>
      </w:pPr>
      <w:r>
        <w:rPr>
          <w:rFonts w:ascii="Times New Roman" w:cs="Times New Roman" w:eastAsia="Times New Roman" w:hAnsi="Times New Roman"/>
          <w:sz w:val="13"/>
          <w:szCs w:val="13"/>
          <w:color w:val="auto"/>
        </w:rPr>
        <w:t>I am of the following opinions:</w:t>
      </w:r>
    </w:p>
    <w:p>
      <w:pPr>
        <w:spacing w:after="0" w:line="168" w:lineRule="exact"/>
        <w:rPr>
          <w:sz w:val="20"/>
          <w:szCs w:val="20"/>
          <w:color w:val="auto"/>
        </w:rPr>
      </w:pPr>
    </w:p>
    <w:tbl>
      <w:tblPr>
        <w:tblLayout w:type="fixed"/>
        <w:tblInd w:w="721" w:type="dxa"/>
        <w:tblCellMar>
          <w:top w:w="0" w:type="dxa"/>
          <w:left w:w="0" w:type="dxa"/>
          <w:bottom w:w="0" w:type="dxa"/>
          <w:right w:w="0" w:type="dxa"/>
        </w:tblCellMar>
      </w:tblPr>
      <w:tr>
        <w:trPr>
          <w:trHeight w:val="159"/>
        </w:trPr>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w w:val="70"/>
              </w:rPr>
              <w:t>1. 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6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The Company is duly organized and existing under the laws of the State of New York and has been duly authorized to do</w:t>
            </w:r>
          </w:p>
        </w:tc>
      </w:tr>
      <w:tr>
        <w:trPr>
          <w:trHeight w:val="172"/>
        </w:trPr>
        <w:tc>
          <w:tcPr>
            <w:tcW w:w="718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business and to issue annuity contracts by the New York Department of Financial Services.</w:t>
            </w:r>
          </w:p>
        </w:tc>
      </w:tr>
      <w:tr>
        <w:trPr>
          <w:trHeight w:val="317"/>
        </w:trPr>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w w:val="70"/>
              </w:rPr>
              <w:t>2. 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6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The Contract covered by the above Registration Statement, and all amendments relating thereto, when delivered and when the</w:t>
            </w:r>
          </w:p>
        </w:tc>
      </w:tr>
    </w:tbl>
    <w:p>
      <w:pPr>
        <w:ind w:left="721" w:right="2079"/>
        <w:spacing w:after="0" w:line="259" w:lineRule="auto"/>
        <w:rPr>
          <w:sz w:val="20"/>
          <w:szCs w:val="20"/>
          <w:color w:val="auto"/>
        </w:rPr>
      </w:pPr>
      <w:r>
        <w:rPr>
          <w:rFonts w:ascii="Times New Roman" w:cs="Times New Roman" w:eastAsia="Times New Roman" w:hAnsi="Times New Roman"/>
          <w:sz w:val="13"/>
          <w:szCs w:val="13"/>
          <w:color w:val="auto"/>
        </w:rPr>
        <w:t>first purchase payment made by an owner all in accordance with the prospectus (the “Prospectus”) included in the Registration Statement and in compliance with the applicable local law, will be a legal and binding obligation of the Company in accordance with its terms. Owners of Contracts, as such, will not be subject to any deductions and charges by the Company other than those described in the Contract and as referred to in the Prospectus.</w:t>
      </w:r>
    </w:p>
    <w:p>
      <w:pPr>
        <w:spacing w:after="0" w:line="135" w:lineRule="exact"/>
        <w:rPr>
          <w:sz w:val="20"/>
          <w:szCs w:val="20"/>
          <w:color w:val="auto"/>
        </w:rPr>
      </w:pPr>
    </w:p>
    <w:p>
      <w:pPr>
        <w:ind w:left="721"/>
        <w:spacing w:after="0"/>
        <w:rPr>
          <w:sz w:val="20"/>
          <w:szCs w:val="20"/>
          <w:color w:val="auto"/>
        </w:rPr>
      </w:pPr>
      <w:r>
        <w:rPr>
          <w:rFonts w:ascii="Times New Roman" w:cs="Times New Roman" w:eastAsia="Times New Roman" w:hAnsi="Times New Roman"/>
          <w:sz w:val="13"/>
          <w:szCs w:val="13"/>
          <w:color w:val="auto"/>
        </w:rPr>
        <w:t>I hereby consent to the use of this opinion letter, or a copy thereof, as an exhibit to the Registration Statement.</w:t>
      </w:r>
    </w:p>
    <w:p>
      <w:pPr>
        <w:spacing w:after="0" w:line="168" w:lineRule="exact"/>
        <w:rPr>
          <w:sz w:val="20"/>
          <w:szCs w:val="20"/>
          <w:color w:val="auto"/>
        </w:rPr>
      </w:pPr>
    </w:p>
    <w:p>
      <w:pPr>
        <w:ind w:left="721"/>
        <w:spacing w:after="0"/>
        <w:rPr>
          <w:sz w:val="20"/>
          <w:szCs w:val="20"/>
          <w:color w:val="auto"/>
        </w:rPr>
      </w:pPr>
      <w:r>
        <w:rPr>
          <w:rFonts w:ascii="Times New Roman" w:cs="Times New Roman" w:eastAsia="Times New Roman" w:hAnsi="Times New Roman"/>
          <w:sz w:val="13"/>
          <w:szCs w:val="13"/>
          <w:color w:val="auto"/>
        </w:rPr>
        <w:t>Sincerely,</w:t>
      </w:r>
    </w:p>
    <w:p>
      <w:pPr>
        <w:spacing w:after="0" w:line="376" w:lineRule="exact"/>
        <w:rPr>
          <w:sz w:val="20"/>
          <w:szCs w:val="20"/>
          <w:color w:val="auto"/>
        </w:rPr>
      </w:pPr>
    </w:p>
    <w:p>
      <w:pPr>
        <w:ind w:left="741" w:right="8359" w:hanging="741"/>
        <w:spacing w:after="0" w:line="281" w:lineRule="auto"/>
        <w:tabs>
          <w:tab w:leader="none" w:pos="139"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/s/ Nancy H. Badeer Nancy H. Badeer</w:t>
      </w:r>
    </w:p>
    <w:p>
      <w:pPr>
        <w:ind w:left="741" w:right="7699"/>
        <w:spacing w:after="0" w:line="26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Head of Insurance Products Law Associate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-325755</wp:posOffset>
            </wp:positionV>
            <wp:extent cx="1335405" cy="63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7">
                      <a:extLst>
                        <a:ext uri="{28A0092B-C50C-407E-A947-70E740481C1C}"/>
                      </a:extLst>
                    </a:blip>
                    <a:srcRect/>
                    <a:stretch>
                      <a:fillRect/>
                    </a:stretch>
                  </pic:blipFill>
                  <pic:spPr bwMode="auto">
                    <a:xfrm>
                      <a:off x="0" y="0"/>
                      <a:ext cx="1335405" cy="6350"/>
                    </a:xfrm>
                    <a:prstGeom prst="rect">
                      <a:avLst/>
                    </a:prstGeom>
                    <a:noFill/>
                  </pic:spPr>
                </pic:pic>
              </a:graphicData>
            </a:graphic>
          </wp:anchor>
        </w:drawing>
      </w:r>
    </w:p>
    <w:p>
      <w:pPr>
        <w:sectPr>
          <w:pgSz w:w="11900" w:h="16838" w:orient="portrait"/>
          <w:cols w:equalWidth="0" w:num="1">
            <w:col w:w="10160"/>
          </w:cols>
          <w:pgMar w:left="299" w:top="1440" w:right="1440" w:bottom="144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13"/>
          <w:szCs w:val="13"/>
          <w:b w:val="1"/>
          <w:bCs w:val="1"/>
          <w:color w:val="auto"/>
        </w:rPr>
        <w:t>CONSENT OF INDEPENDENT AUDITOR</w:t>
      </w:r>
    </w:p>
    <w:p>
      <w:pPr>
        <w:spacing w:after="0" w:line="71" w:lineRule="exact"/>
        <w:rPr>
          <w:sz w:val="20"/>
          <w:szCs w:val="20"/>
          <w:color w:val="auto"/>
        </w:rPr>
      </w:pPr>
    </w:p>
    <w:p>
      <w:pPr>
        <w:ind w:right="3039"/>
        <w:spacing w:after="0" w:line="263" w:lineRule="auto"/>
        <w:rPr>
          <w:sz w:val="20"/>
          <w:szCs w:val="20"/>
          <w:color w:val="auto"/>
        </w:rPr>
      </w:pPr>
      <w:r>
        <w:rPr>
          <w:rFonts w:ascii="Times New Roman" w:cs="Times New Roman" w:eastAsia="Times New Roman" w:hAnsi="Times New Roman"/>
          <w:sz w:val="13"/>
          <w:szCs w:val="13"/>
          <w:color w:val="auto"/>
        </w:rPr>
        <w:t>We consent to the incorporation by reference in this Post-Effective Amendment to Registration Statement File No. 333-279315 on Form N-4 of our report dated April 4, 2025, relating to the statutory-basis financial statements of Brighthouse Life Insurance Company of NY, appearing in form N-VPFS of Brighthouse Life Insurance Company of NY for the year ended December 31, 2024. We also consent to the reference to us under the heading “Independent Auditor” in the Statement of Additional Information, which is part of such Registration Statement.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DELOITTE &amp; TOUCHE LLP</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Charlotte, North Carolina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April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5070475</wp:posOffset>
            </wp:positionV>
            <wp:extent cx="719391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8">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9919"/>
          </w:cols>
          <w:pgMar w:left="540" w:top="551" w:right="1440" w:bottom="1440" w:gutter="0" w:footer="0" w:header="0"/>
        </w:sectPr>
      </w:pPr>
    </w:p>
    <w:bookmarkStart w:id="133" w:name="page134"/>
    <w:bookmarkEnd w:id="133"/>
    <w:p>
      <w:pPr>
        <w:ind w:left="4"/>
        <w:spacing w:after="0"/>
        <w:rPr>
          <w:sz w:val="20"/>
          <w:szCs w:val="20"/>
          <w:color w:val="auto"/>
        </w:rPr>
      </w:pPr>
      <w:r>
        <w:rPr>
          <w:sz w:val="1"/>
          <w:szCs w:val="1"/>
          <w:color w:val="auto"/>
        </w:rPr>
        <w:drawing>
          <wp:inline distT="0" distB="0" distL="0" distR="0">
            <wp:extent cx="1234440" cy="295910"/>
            <wp:effectExtent l="0" t="0" r="0" b="0"/>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9">
                      <a:extLst>
                        <a:ext uri="{28A0092B-C50C-407E-A947-70E740481C1C}"/>
                      </a:extLst>
                    </a:blip>
                    <a:srcRect/>
                    <a:stretch>
                      <a:fillRect/>
                    </a:stretch>
                  </pic:blipFill>
                  <pic:spPr bwMode="auto">
                    <a:xfrm>
                      <a:off x="0" y="0"/>
                      <a:ext cx="1234440" cy="295910"/>
                    </a:xfrm>
                    <a:prstGeom prst="rect">
                      <a:avLst/>
                    </a:prstGeom>
                    <a:noFill/>
                    <a:ln>
                      <a:noFill/>
                    </a:ln>
                  </pic:spPr>
                </pic:pic>
              </a:graphicData>
            </a:graphic>
          </wp:inline>
        </w:drawing>
      </w:r>
      <w:r>
        <w:rPr>
          <w:rFonts w:ascii="Times New Roman" w:cs="Times New Roman" w:eastAsia="Times New Roman" w:hAnsi="Times New Roman"/>
          <w:sz w:val="17"/>
          <w:szCs w:val="17"/>
          <w:color w:val="auto"/>
        </w:rPr>
        <w:t>  </w:t>
      </w:r>
    </w:p>
    <w:p>
      <w:pPr>
        <w:jc w:val="center"/>
        <w:ind w:right="2656"/>
        <w:spacing w:after="0" w:line="224" w:lineRule="auto"/>
        <w:rPr>
          <w:sz w:val="20"/>
          <w:szCs w:val="20"/>
          <w:color w:val="auto"/>
        </w:rPr>
      </w:pPr>
      <w:r>
        <w:rPr>
          <w:rFonts w:ascii="Times New Roman" w:cs="Times New Roman" w:eastAsia="Times New Roman" w:hAnsi="Times New Roman"/>
          <w:sz w:val="24"/>
          <w:szCs w:val="24"/>
          <w:b w:val="1"/>
          <w:bCs w:val="1"/>
          <w:color w:val="auto"/>
        </w:rPr>
        <w:t>Brighthouse Shield</w:t>
      </w:r>
      <w:r>
        <w:rPr>
          <w:rFonts w:ascii="Times New Roman" w:cs="Times New Roman" w:eastAsia="Times New Roman" w:hAnsi="Times New Roman"/>
          <w:sz w:val="30"/>
          <w:szCs w:val="30"/>
          <w:b w:val="1"/>
          <w:bCs w:val="1"/>
          <w:color w:val="auto"/>
          <w:vertAlign w:val="superscript"/>
        </w:rPr>
        <w:t>®</w:t>
      </w:r>
      <w:r>
        <w:rPr>
          <w:rFonts w:ascii="Times New Roman" w:cs="Times New Roman" w:eastAsia="Times New Roman" w:hAnsi="Times New Roman"/>
          <w:sz w:val="24"/>
          <w:szCs w:val="24"/>
          <w:b w:val="1"/>
          <w:bCs w:val="1"/>
          <w:color w:val="auto"/>
        </w:rPr>
        <w:t xml:space="preserve"> Level II 6-Year Annuity</w:t>
      </w:r>
    </w:p>
    <w:p>
      <w:pPr>
        <w:spacing w:after="0" w:line="1" w:lineRule="exact"/>
        <w:rPr>
          <w:sz w:val="20"/>
          <w:szCs w:val="20"/>
          <w:color w:val="auto"/>
        </w:rPr>
      </w:pPr>
    </w:p>
    <w:p>
      <w:pPr>
        <w:jc w:val="center"/>
        <w:ind w:right="2656"/>
        <w:spacing w:after="0"/>
        <w:rPr>
          <w:sz w:val="20"/>
          <w:szCs w:val="20"/>
          <w:color w:val="auto"/>
        </w:rPr>
      </w:pPr>
      <w:r>
        <w:rPr>
          <w:rFonts w:ascii="Times New Roman" w:cs="Times New Roman" w:eastAsia="Times New Roman" w:hAnsi="Times New Roman"/>
          <w:sz w:val="15"/>
          <w:szCs w:val="15"/>
          <w:b w:val="1"/>
          <w:bCs w:val="1"/>
          <w:color w:val="auto"/>
        </w:rPr>
        <w:t>Issued by</w:t>
      </w:r>
    </w:p>
    <w:p>
      <w:pPr>
        <w:spacing w:after="0" w:line="1" w:lineRule="exact"/>
        <w:rPr>
          <w:sz w:val="20"/>
          <w:szCs w:val="20"/>
          <w:color w:val="auto"/>
        </w:rPr>
      </w:pPr>
    </w:p>
    <w:p>
      <w:pPr>
        <w:jc w:val="center"/>
        <w:ind w:right="2696"/>
        <w:spacing w:after="0"/>
        <w:rPr>
          <w:sz w:val="20"/>
          <w:szCs w:val="20"/>
          <w:color w:val="auto"/>
        </w:rPr>
      </w:pPr>
      <w:r>
        <w:rPr>
          <w:rFonts w:ascii="Times New Roman" w:cs="Times New Roman" w:eastAsia="Times New Roman" w:hAnsi="Times New Roman"/>
          <w:sz w:val="17"/>
          <w:szCs w:val="17"/>
          <w:b w:val="1"/>
          <w:bCs w:val="1"/>
          <w:color w:val="auto"/>
        </w:rPr>
        <w:t>BRIGHTHOUSE LIFE INSURANCE COMPANY OF NY</w:t>
      </w:r>
    </w:p>
    <w:p>
      <w:pPr>
        <w:spacing w:after="0" w:line="4" w:lineRule="exact"/>
        <w:rPr>
          <w:sz w:val="20"/>
          <w:szCs w:val="20"/>
          <w:color w:val="auto"/>
        </w:rPr>
      </w:pPr>
    </w:p>
    <w:p>
      <w:pPr>
        <w:jc w:val="center"/>
        <w:ind w:right="2696"/>
        <w:spacing w:after="0"/>
        <w:rPr>
          <w:sz w:val="20"/>
          <w:szCs w:val="20"/>
          <w:color w:val="auto"/>
        </w:rPr>
      </w:pPr>
      <w:r>
        <w:rPr>
          <w:rFonts w:ascii="Times New Roman" w:cs="Times New Roman" w:eastAsia="Times New Roman" w:hAnsi="Times New Roman"/>
          <w:sz w:val="17"/>
          <w:szCs w:val="17"/>
          <w:b w:val="1"/>
          <w:bCs w:val="1"/>
          <w:color w:val="auto"/>
        </w:rPr>
        <w:t> </w:t>
      </w:r>
    </w:p>
    <w:p>
      <w:pPr>
        <w:jc w:val="center"/>
        <w:ind w:right="2656"/>
        <w:spacing w:after="0" w:line="230" w:lineRule="auto"/>
        <w:rPr>
          <w:sz w:val="20"/>
          <w:szCs w:val="20"/>
          <w:color w:val="auto"/>
        </w:rPr>
      </w:pPr>
      <w:r>
        <w:rPr>
          <w:rFonts w:ascii="Times New Roman" w:cs="Times New Roman" w:eastAsia="Times New Roman" w:hAnsi="Times New Roman"/>
          <w:sz w:val="24"/>
          <w:szCs w:val="24"/>
          <w:b w:val="1"/>
          <w:bCs w:val="1"/>
          <w:color w:val="auto"/>
        </w:rPr>
        <w:t>Summary Prospectus for New Investors</w:t>
      </w:r>
    </w:p>
    <w:p>
      <w:pPr>
        <w:jc w:val="center"/>
        <w:ind w:right="2656"/>
        <w:spacing w:after="0"/>
        <w:rPr>
          <w:sz w:val="20"/>
          <w:szCs w:val="20"/>
          <w:color w:val="auto"/>
        </w:rPr>
      </w:pPr>
      <w:r>
        <w:rPr>
          <w:rFonts w:ascii="Times New Roman" w:cs="Times New Roman" w:eastAsia="Times New Roman" w:hAnsi="Times New Roman"/>
          <w:sz w:val="15"/>
          <w:szCs w:val="15"/>
          <w:b w:val="1"/>
          <w:bCs w:val="1"/>
          <w:color w:val="auto"/>
        </w:rPr>
        <w:t>April 28, 2025</w:t>
      </w:r>
    </w:p>
    <w:p>
      <w:pPr>
        <w:spacing w:after="0" w:line="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7"/>
          <w:szCs w:val="17"/>
          <w:b w:val="1"/>
          <w:bCs w:val="1"/>
          <w:color w:val="auto"/>
        </w:rPr>
        <w:t>An individual single premium deferred index-linked annuity contract</w:t>
      </w:r>
    </w:p>
    <w:p>
      <w:pPr>
        <w:spacing w:after="0" w:line="63" w:lineRule="exact"/>
        <w:rPr>
          <w:sz w:val="20"/>
          <w:szCs w:val="20"/>
          <w:color w:val="auto"/>
        </w:rPr>
      </w:pPr>
    </w:p>
    <w:p>
      <w:pPr>
        <w:jc w:val="both"/>
        <w:ind w:left="4" w:right="2659" w:firstLine="264"/>
        <w:spacing w:after="0" w:line="250" w:lineRule="auto"/>
        <w:rPr>
          <w:sz w:val="20"/>
          <w:szCs w:val="20"/>
          <w:color w:val="auto"/>
        </w:rPr>
      </w:pPr>
      <w:r>
        <w:rPr>
          <w:rFonts w:ascii="Times New Roman" w:cs="Times New Roman" w:eastAsia="Times New Roman" w:hAnsi="Times New Roman"/>
          <w:sz w:val="13"/>
          <w:szCs w:val="13"/>
          <w:color w:val="auto"/>
        </w:rPr>
        <w:t>This Summary Prospectus summarizes key features of the Brighthouse Shield</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Level II 6-Year Annuity contract (the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or “contract”), an individual single premium deferred index-linked annuity contract, issued by Brighthouse Life Insurance Company of NY (“BLNY”, the “Company”, or “we” or “us”). Before you invest, you should also review the prospectus for the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which contains more information about the </w:t>
      </w:r>
      <w:r>
        <w:rPr>
          <w:rFonts w:ascii="Times New Roman" w:cs="Times New Roman" w:eastAsia="Times New Roman" w:hAnsi="Times New Roman"/>
          <w:sz w:val="13"/>
          <w:szCs w:val="13"/>
          <w:u w:val="single" w:color="auto"/>
          <w:color w:val="auto"/>
        </w:rPr>
        <w:t>Contract’s</w:t>
      </w:r>
      <w:r>
        <w:rPr>
          <w:rFonts w:ascii="Times New Roman" w:cs="Times New Roman" w:eastAsia="Times New Roman" w:hAnsi="Times New Roman"/>
          <w:sz w:val="13"/>
          <w:szCs w:val="13"/>
          <w:color w:val="auto"/>
        </w:rPr>
        <w:t xml:space="preserve"> features, benefits, and risks. You can find this document and other information about the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online at https://dfinview.com/BHF/PUFT/BHF246?site=BHF1. You can also obtain this information at no cost by calling</w:t>
      </w:r>
    </w:p>
    <w:p>
      <w:pPr>
        <w:spacing w:after="0" w:line="2" w:lineRule="exact"/>
        <w:rPr>
          <w:sz w:val="20"/>
          <w:szCs w:val="20"/>
          <w:color w:val="auto"/>
        </w:rPr>
      </w:pPr>
    </w:p>
    <w:p>
      <w:pPr>
        <w:ind w:left="324" w:hanging="324"/>
        <w:spacing w:after="0"/>
        <w:tabs>
          <w:tab w:leader="none" w:pos="324"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243-1932 or by sending an email request to rcg@brighthousefinancial.com. </w:t>
      </w:r>
    </w:p>
    <w:p>
      <w:pPr>
        <w:spacing w:after="0" w:line="85" w:lineRule="exact"/>
        <w:rPr>
          <w:rFonts w:ascii="Times New Roman" w:cs="Times New Roman" w:eastAsia="Times New Roman" w:hAnsi="Times New Roman"/>
          <w:sz w:val="13"/>
          <w:szCs w:val="13"/>
          <w:color w:val="auto"/>
        </w:rPr>
      </w:pPr>
    </w:p>
    <w:p>
      <w:pPr>
        <w:ind w:left="2984"/>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 * * * * * * * * * *</w:t>
      </w:r>
    </w:p>
    <w:p>
      <w:pPr>
        <w:spacing w:after="0" w:line="106" w:lineRule="exact"/>
        <w:rPr>
          <w:sz w:val="20"/>
          <w:szCs w:val="20"/>
          <w:color w:val="auto"/>
        </w:rPr>
      </w:pPr>
    </w:p>
    <w:p>
      <w:pPr>
        <w:jc w:val="both"/>
        <w:ind w:left="4" w:right="2659" w:firstLine="264"/>
        <w:spacing w:after="0" w:line="262" w:lineRule="auto"/>
        <w:rPr>
          <w:sz w:val="20"/>
          <w:szCs w:val="20"/>
          <w:color w:val="auto"/>
        </w:rPr>
      </w:pPr>
      <w:r>
        <w:rPr>
          <w:rFonts w:ascii="Times New Roman" w:cs="Times New Roman" w:eastAsia="Times New Roman" w:hAnsi="Times New Roman"/>
          <w:sz w:val="13"/>
          <w:szCs w:val="13"/>
          <w:b w:val="1"/>
          <w:bCs w:val="1"/>
          <w:color w:val="auto"/>
        </w:rPr>
        <w:t xml:space="preserve">You may cancel the </w:t>
      </w:r>
      <w:r>
        <w:rPr>
          <w:rFonts w:ascii="Times New Roman" w:cs="Times New Roman" w:eastAsia="Times New Roman" w:hAnsi="Times New Roman"/>
          <w:sz w:val="13"/>
          <w:szCs w:val="13"/>
          <w:b w:val="1"/>
          <w:bCs w:val="1"/>
          <w:u w:val="single" w:color="auto"/>
          <w:color w:val="auto"/>
        </w:rPr>
        <w:t>Contract</w:t>
      </w:r>
      <w:r>
        <w:rPr>
          <w:rFonts w:ascii="Times New Roman" w:cs="Times New Roman" w:eastAsia="Times New Roman" w:hAnsi="Times New Roman"/>
          <w:sz w:val="13"/>
          <w:szCs w:val="13"/>
          <w:b w:val="1"/>
          <w:bCs w:val="1"/>
          <w:color w:val="auto"/>
        </w:rPr>
        <w:t xml:space="preserve"> within 10 days after receiving it without paying fees or penalties by mailing or delivering the </w:t>
      </w:r>
      <w:r>
        <w:rPr>
          <w:rFonts w:ascii="Times New Roman" w:cs="Times New Roman" w:eastAsia="Times New Roman" w:hAnsi="Times New Roman"/>
          <w:sz w:val="13"/>
          <w:szCs w:val="13"/>
          <w:b w:val="1"/>
          <w:bCs w:val="1"/>
          <w:u w:val="single" w:color="auto"/>
          <w:color w:val="auto"/>
        </w:rPr>
        <w:t>Contract</w:t>
      </w:r>
      <w:r>
        <w:rPr>
          <w:rFonts w:ascii="Times New Roman" w:cs="Times New Roman" w:eastAsia="Times New Roman" w:hAnsi="Times New Roman"/>
          <w:sz w:val="13"/>
          <w:szCs w:val="13"/>
          <w:b w:val="1"/>
          <w:bCs w:val="1"/>
          <w:color w:val="auto"/>
        </w:rPr>
        <w:t xml:space="preserve"> to either us or the financial professional who sold it. Upon cancellation, you will receive (i) whatever your Contract is worth on the day that we receive your cancellation request (although we will apply an Interim Value calculation), plus (ii) the sum of all fees, taxes and charges deducted from the Purchase Payment during the Free Look period. You should review this prospectus, or consult with your financial professional, for additional information about the specific cancellation terms that apply.</w:t>
      </w:r>
      <w:r>
        <w:rPr>
          <w:rFonts w:ascii="Times New Roman" w:cs="Times New Roman" w:eastAsia="Times New Roman" w:hAnsi="Times New Roman"/>
          <w:sz w:val="13"/>
          <w:szCs w:val="13"/>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1202690</wp:posOffset>
            </wp:positionH>
            <wp:positionV relativeFrom="paragraph">
              <wp:posOffset>-529590</wp:posOffset>
            </wp:positionV>
            <wp:extent cx="25400" cy="63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0">
                      <a:extLst>
                        <a:ext uri="{28A0092B-C50C-407E-A947-70E740481C1C}"/>
                      </a:extLst>
                    </a:blip>
                    <a:srcRect/>
                    <a:stretch>
                      <a:fillRect/>
                    </a:stretch>
                  </pic:blipFill>
                  <pic:spPr bwMode="auto">
                    <a:xfrm>
                      <a:off x="0" y="0"/>
                      <a:ext cx="25400" cy="6350"/>
                    </a:xfrm>
                    <a:prstGeom prst="rect">
                      <a:avLst/>
                    </a:prstGeom>
                    <a:noFill/>
                  </pic:spPr>
                </pic:pic>
              </a:graphicData>
            </a:graphic>
          </wp:anchor>
        </w:drawing>
      </w:r>
    </w:p>
    <w:p>
      <w:pPr>
        <w:spacing w:after="0" w:line="44" w:lineRule="exact"/>
        <w:rPr>
          <w:sz w:val="20"/>
          <w:szCs w:val="20"/>
          <w:color w:val="auto"/>
        </w:rPr>
      </w:pPr>
    </w:p>
    <w:p>
      <w:pPr>
        <w:jc w:val="center"/>
        <w:ind w:right="2656"/>
        <w:spacing w:after="0"/>
        <w:rPr>
          <w:sz w:val="20"/>
          <w:szCs w:val="20"/>
          <w:color w:val="auto"/>
        </w:rPr>
      </w:pPr>
      <w:r>
        <w:rPr>
          <w:rFonts w:ascii="Times New Roman" w:cs="Times New Roman" w:eastAsia="Times New Roman" w:hAnsi="Times New Roman"/>
          <w:sz w:val="13"/>
          <w:szCs w:val="13"/>
          <w:color w:val="auto"/>
        </w:rPr>
        <w:t>* * * * * * * * * * * *</w:t>
      </w:r>
    </w:p>
    <w:p>
      <w:pPr>
        <w:spacing w:after="0" w:line="108" w:lineRule="exact"/>
        <w:rPr>
          <w:sz w:val="20"/>
          <w:szCs w:val="20"/>
          <w:color w:val="auto"/>
        </w:rPr>
      </w:pPr>
    </w:p>
    <w:p>
      <w:pPr>
        <w:jc w:val="both"/>
        <w:ind w:left="4" w:right="2659" w:firstLine="264"/>
        <w:spacing w:after="0" w:line="290" w:lineRule="auto"/>
        <w:rPr>
          <w:sz w:val="20"/>
          <w:szCs w:val="20"/>
          <w:color w:val="auto"/>
        </w:rPr>
      </w:pPr>
      <w:r>
        <w:rPr>
          <w:rFonts w:ascii="Times New Roman" w:cs="Times New Roman" w:eastAsia="Times New Roman" w:hAnsi="Times New Roman"/>
          <w:sz w:val="13"/>
          <w:szCs w:val="13"/>
          <w:color w:val="auto"/>
        </w:rPr>
        <w:t>Additional general information about certain investment products, including index-linked annuities, has been prepared by the Securities and Exchange Commission’s staff and is available at Investor.gov.</w:t>
      </w:r>
    </w:p>
    <w:p>
      <w:pPr>
        <w:spacing w:after="0" w:line="34" w:lineRule="exact"/>
        <w:rPr>
          <w:sz w:val="20"/>
          <w:szCs w:val="20"/>
          <w:color w:val="auto"/>
        </w:rPr>
      </w:pPr>
    </w:p>
    <w:p>
      <w:pPr>
        <w:jc w:val="both"/>
        <w:ind w:left="4" w:right="2659" w:firstLine="264"/>
        <w:spacing w:after="0" w:line="293" w:lineRule="auto"/>
        <w:rPr>
          <w:sz w:val="20"/>
          <w:szCs w:val="20"/>
          <w:color w:val="auto"/>
        </w:rPr>
      </w:pPr>
      <w:r>
        <w:rPr>
          <w:rFonts w:ascii="Times New Roman" w:cs="Times New Roman" w:eastAsia="Times New Roman" w:hAnsi="Times New Roman"/>
          <w:sz w:val="13"/>
          <w:szCs w:val="13"/>
          <w:b w:val="1"/>
          <w:bCs w:val="1"/>
          <w:color w:val="auto"/>
        </w:rPr>
        <w:t>The Securities and Exchange Commission has not approved or disapproved these securities or determined if this prospectus is accurate or complete.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544"/>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9803"/>
          </w:cols>
          <w:pgMar w:left="656" w:top="602" w:right="1440" w:bottom="1440" w:gutter="0" w:footer="0" w:header="0"/>
        </w:sectPr>
      </w:pPr>
    </w:p>
    <w:bookmarkStart w:id="134" w:name="page135"/>
    <w:bookmarkEnd w:id="134"/>
    <w:p>
      <w:pPr>
        <w:ind w:left="2880"/>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1">
                      <a:extLst>
                        <a:ext uri="{28A0092B-C50C-407E-A947-70E740481C1C}"/>
                      </a:extLst>
                    </a:blip>
                    <a:srcRect/>
                    <a:stretch>
                      <a:fillRect/>
                    </a:stretch>
                  </pic:blipFill>
                  <pic:spPr bwMode="auto">
                    <a:xfrm>
                      <a:off x="0" y="0"/>
                      <a:ext cx="7193915" cy="38100"/>
                    </a:xfrm>
                    <a:prstGeom prst="rect">
                      <a:avLst/>
                    </a:prstGeom>
                    <a:noFill/>
                  </pic:spPr>
                </pic:pic>
              </a:graphicData>
            </a:graphic>
          </wp:anchor>
        </w:drawing>
        <w:t>Table of Contents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6100" w:type="dxa"/>
            <w:vAlign w:val="bottom"/>
            <w:gridSpan w:val="9"/>
            <w:shd w:val="clear" w:color="auto" w:fill="F0FFFF"/>
          </w:tcPr>
          <w:p>
            <w:pPr>
              <w:spacing w:after="0"/>
              <w:rPr>
                <w:sz w:val="20"/>
                <w:szCs w:val="20"/>
                <w:color w:val="auto"/>
              </w:rPr>
            </w:pPr>
            <w:r>
              <w:rPr>
                <w:rFonts w:ascii="Times New Roman" w:cs="Times New Roman" w:eastAsia="Times New Roman" w:hAnsi="Times New Roman"/>
                <w:sz w:val="15"/>
                <w:szCs w:val="15"/>
                <w:color w:val="0000EE"/>
              </w:rPr>
              <w:t>SPECIAL TERMS</w:t>
            </w:r>
          </w:p>
        </w:tc>
        <w:tc>
          <w:tcPr>
            <w:tcW w:w="10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5"/>
                <w:szCs w:val="15"/>
                <w:color w:val="auto"/>
              </w:rPr>
              <w:t>3</w:t>
            </w:r>
          </w:p>
        </w:tc>
      </w:tr>
      <w:tr>
        <w:trPr>
          <w:trHeight w:val="30"/>
        </w:trPr>
        <w:tc>
          <w:tcPr>
            <w:tcW w:w="1100" w:type="dxa"/>
            <w:vAlign w:val="bottom"/>
            <w:shd w:val="clear" w:color="auto" w:fill="0000EE"/>
          </w:tcPr>
          <w:p>
            <w:pPr>
              <w:spacing w:after="0"/>
              <w:rPr>
                <w:sz w:val="2"/>
                <w:szCs w:val="2"/>
                <w:color w:val="auto"/>
              </w:rPr>
            </w:pPr>
          </w:p>
        </w:tc>
        <w:tc>
          <w:tcPr>
            <w:tcW w:w="600" w:type="dxa"/>
            <w:vAlign w:val="bottom"/>
            <w:shd w:val="clear" w:color="auto" w:fill="F0FFFF"/>
          </w:tcPr>
          <w:p>
            <w:pPr>
              <w:spacing w:after="0"/>
              <w:rPr>
                <w:sz w:val="2"/>
                <w:szCs w:val="2"/>
                <w:color w:val="auto"/>
              </w:rPr>
            </w:pPr>
          </w:p>
        </w:tc>
        <w:tc>
          <w:tcPr>
            <w:tcW w:w="420" w:type="dxa"/>
            <w:vAlign w:val="bottom"/>
            <w:shd w:val="clear" w:color="auto" w:fill="F0FFFF"/>
          </w:tcPr>
          <w:p>
            <w:pPr>
              <w:spacing w:after="0"/>
              <w:rPr>
                <w:sz w:val="2"/>
                <w:szCs w:val="2"/>
                <w:color w:val="auto"/>
              </w:rPr>
            </w:pPr>
          </w:p>
        </w:tc>
        <w:tc>
          <w:tcPr>
            <w:tcW w:w="740" w:type="dxa"/>
            <w:vAlign w:val="bottom"/>
            <w:shd w:val="clear" w:color="auto" w:fill="F0FFFF"/>
          </w:tcPr>
          <w:p>
            <w:pPr>
              <w:spacing w:after="0"/>
              <w:rPr>
                <w:sz w:val="2"/>
                <w:szCs w:val="2"/>
                <w:color w:val="auto"/>
              </w:rPr>
            </w:pPr>
          </w:p>
        </w:tc>
        <w:tc>
          <w:tcPr>
            <w:tcW w:w="320" w:type="dxa"/>
            <w:vAlign w:val="bottom"/>
            <w:shd w:val="clear" w:color="auto" w:fill="F0FFFF"/>
          </w:tcPr>
          <w:p>
            <w:pPr>
              <w:spacing w:after="0"/>
              <w:rPr>
                <w:sz w:val="2"/>
                <w:szCs w:val="2"/>
                <w:color w:val="auto"/>
              </w:rPr>
            </w:pPr>
          </w:p>
        </w:tc>
        <w:tc>
          <w:tcPr>
            <w:tcW w:w="680" w:type="dxa"/>
            <w:vAlign w:val="bottom"/>
            <w:shd w:val="clear" w:color="auto" w:fill="F0FFFF"/>
          </w:tcPr>
          <w:p>
            <w:pPr>
              <w:spacing w:after="0"/>
              <w:rPr>
                <w:sz w:val="2"/>
                <w:szCs w:val="2"/>
                <w:color w:val="auto"/>
              </w:rPr>
            </w:pPr>
          </w:p>
        </w:tc>
        <w:tc>
          <w:tcPr>
            <w:tcW w:w="1080" w:type="dxa"/>
            <w:vAlign w:val="bottom"/>
            <w:shd w:val="clear" w:color="auto" w:fill="F0FFFF"/>
          </w:tcPr>
          <w:p>
            <w:pPr>
              <w:spacing w:after="0"/>
              <w:rPr>
                <w:sz w:val="2"/>
                <w:szCs w:val="2"/>
                <w:color w:val="auto"/>
              </w:rPr>
            </w:pPr>
          </w:p>
        </w:tc>
        <w:tc>
          <w:tcPr>
            <w:tcW w:w="340" w:type="dxa"/>
            <w:vAlign w:val="bottom"/>
            <w:shd w:val="clear" w:color="auto" w:fill="F0FFFF"/>
          </w:tcPr>
          <w:p>
            <w:pPr>
              <w:spacing w:after="0"/>
              <w:rPr>
                <w:sz w:val="2"/>
                <w:szCs w:val="2"/>
                <w:color w:val="auto"/>
              </w:rPr>
            </w:pPr>
          </w:p>
        </w:tc>
        <w:tc>
          <w:tcPr>
            <w:tcW w:w="820" w:type="dxa"/>
            <w:vAlign w:val="bottom"/>
            <w:shd w:val="clear" w:color="auto" w:fill="F0FFFF"/>
          </w:tcPr>
          <w:p>
            <w:pPr>
              <w:spacing w:after="0"/>
              <w:rPr>
                <w:sz w:val="2"/>
                <w:szCs w:val="2"/>
                <w:color w:val="auto"/>
              </w:rPr>
            </w:pPr>
          </w:p>
        </w:tc>
        <w:tc>
          <w:tcPr>
            <w:tcW w:w="1040" w:type="dxa"/>
            <w:vAlign w:val="bottom"/>
            <w:shd w:val="clear" w:color="auto" w:fill="F0FFFF"/>
          </w:tcPr>
          <w:p>
            <w:pPr>
              <w:spacing w:after="0"/>
              <w:rPr>
                <w:sz w:val="2"/>
                <w:szCs w:val="2"/>
                <w:color w:val="auto"/>
              </w:rPr>
            </w:pPr>
          </w:p>
        </w:tc>
      </w:tr>
      <w:tr>
        <w:trPr>
          <w:trHeight w:val="278"/>
        </w:trPr>
        <w:tc>
          <w:tcPr>
            <w:tcW w:w="6100" w:type="dxa"/>
            <w:vAlign w:val="bottom"/>
            <w:gridSpan w:val="9"/>
          </w:tcPr>
          <w:p>
            <w:pPr>
              <w:spacing w:after="0"/>
              <w:rPr>
                <w:sz w:val="20"/>
                <w:szCs w:val="20"/>
                <w:color w:val="auto"/>
              </w:rPr>
            </w:pPr>
            <w:r>
              <w:rPr>
                <w:rFonts w:ascii="Times New Roman" w:cs="Times New Roman" w:eastAsia="Times New Roman" w:hAnsi="Times New Roman"/>
                <w:sz w:val="15"/>
                <w:szCs w:val="15"/>
                <w:color w:val="0000EE"/>
              </w:rPr>
              <w:t>OVERVIEW OF THE CONTRACT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r>
      <w:tr>
        <w:trPr>
          <w:trHeight w:val="30"/>
        </w:trPr>
        <w:tc>
          <w:tcPr>
            <w:tcW w:w="110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8"/>
        </w:trPr>
        <w:tc>
          <w:tcPr>
            <w:tcW w:w="5280" w:type="dxa"/>
            <w:vAlign w:val="bottom"/>
            <w:tcBorders>
              <w:bottom w:val="single" w:sz="8" w:color="0000EE"/>
            </w:tcBorders>
            <w:gridSpan w:val="8"/>
            <w:shd w:val="clear" w:color="auto" w:fill="F0FFFF"/>
          </w:tcPr>
          <w:p>
            <w:pPr>
              <w:spacing w:after="0"/>
              <w:rPr>
                <w:sz w:val="20"/>
                <w:szCs w:val="20"/>
                <w:color w:val="auto"/>
              </w:rPr>
            </w:pPr>
            <w:r>
              <w:rPr>
                <w:rFonts w:ascii="Times New Roman" w:cs="Times New Roman" w:eastAsia="Times New Roman" w:hAnsi="Times New Roman"/>
                <w:sz w:val="15"/>
                <w:szCs w:val="15"/>
                <w:color w:val="0000EE"/>
                <w:w w:val="95"/>
              </w:rPr>
              <w:t>IMPORTANT INFORMATION YOU SHOULD CONSIDER ABOUT THE CONTRACT</w:t>
            </w:r>
          </w:p>
        </w:tc>
        <w:tc>
          <w:tcPr>
            <w:tcW w:w="820" w:type="dxa"/>
            <w:vAlign w:val="bottom"/>
            <w:tcBorders>
              <w:bottom w:val="single" w:sz="8" w:color="F0FFFF"/>
            </w:tcBorders>
            <w:shd w:val="clear" w:color="auto" w:fill="F0FFFF"/>
          </w:tcPr>
          <w:p>
            <w:pPr>
              <w:spacing w:after="0"/>
              <w:rPr>
                <w:sz w:val="24"/>
                <w:szCs w:val="24"/>
                <w:color w:val="auto"/>
              </w:rPr>
            </w:pPr>
          </w:p>
        </w:tc>
        <w:tc>
          <w:tcPr>
            <w:tcW w:w="104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5"/>
                <w:szCs w:val="15"/>
                <w:color w:val="auto"/>
              </w:rPr>
              <w:t>9</w:t>
            </w:r>
          </w:p>
        </w:tc>
      </w:tr>
      <w:tr>
        <w:trPr>
          <w:trHeight w:val="288"/>
        </w:trPr>
        <w:tc>
          <w:tcPr>
            <w:tcW w:w="6100" w:type="dxa"/>
            <w:vAlign w:val="bottom"/>
            <w:gridSpan w:val="9"/>
          </w:tcPr>
          <w:p>
            <w:pPr>
              <w:spacing w:after="0"/>
              <w:rPr>
                <w:sz w:val="20"/>
                <w:szCs w:val="20"/>
                <w:color w:val="auto"/>
              </w:rPr>
            </w:pPr>
            <w:r>
              <w:rPr>
                <w:rFonts w:ascii="Times New Roman" w:cs="Times New Roman" w:eastAsia="Times New Roman" w:hAnsi="Times New Roman"/>
                <w:sz w:val="15"/>
                <w:szCs w:val="15"/>
                <w:color w:val="0000EE"/>
              </w:rPr>
              <w:t>BENEFITS AVAILABLE UNDER THE CONTRACT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r>
      <w:tr>
        <w:trPr>
          <w:trHeight w:val="278"/>
        </w:trPr>
        <w:tc>
          <w:tcPr>
            <w:tcW w:w="3180" w:type="dxa"/>
            <w:vAlign w:val="bottom"/>
            <w:tcBorders>
              <w:top w:val="single" w:sz="8" w:color="0000EE"/>
            </w:tcBorders>
            <w:gridSpan w:val="5"/>
            <w:shd w:val="clear" w:color="auto" w:fill="F0FFFF"/>
          </w:tcPr>
          <w:p>
            <w:pPr>
              <w:spacing w:after="0"/>
              <w:rPr>
                <w:sz w:val="20"/>
                <w:szCs w:val="20"/>
                <w:color w:val="auto"/>
              </w:rPr>
            </w:pPr>
            <w:r>
              <w:rPr>
                <w:rFonts w:ascii="Times New Roman" w:cs="Times New Roman" w:eastAsia="Times New Roman" w:hAnsi="Times New Roman"/>
                <w:sz w:val="15"/>
                <w:szCs w:val="15"/>
                <w:color w:val="0000EE"/>
              </w:rPr>
              <w:t>BUYING THE CONTRACT</w:t>
            </w:r>
          </w:p>
        </w:tc>
        <w:tc>
          <w:tcPr>
            <w:tcW w:w="2920" w:type="dxa"/>
            <w:vAlign w:val="bottom"/>
            <w:gridSpan w:val="4"/>
            <w:shd w:val="clear" w:color="auto" w:fill="F0FFFF"/>
          </w:tcPr>
          <w:p>
            <w:pPr>
              <w:spacing w:after="0"/>
              <w:rPr>
                <w:sz w:val="24"/>
                <w:szCs w:val="24"/>
                <w:color w:val="auto"/>
              </w:rPr>
            </w:pPr>
          </w:p>
        </w:tc>
        <w:tc>
          <w:tcPr>
            <w:tcW w:w="10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5"/>
                <w:szCs w:val="15"/>
                <w:color w:val="auto"/>
              </w:rPr>
              <w:t>15</w:t>
            </w:r>
          </w:p>
        </w:tc>
      </w:tr>
      <w:tr>
        <w:trPr>
          <w:trHeight w:val="30"/>
        </w:trPr>
        <w:tc>
          <w:tcPr>
            <w:tcW w:w="110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420" w:type="dxa"/>
            <w:vAlign w:val="bottom"/>
            <w:shd w:val="clear" w:color="auto" w:fill="F0FFFF"/>
          </w:tcPr>
          <w:p>
            <w:pPr>
              <w:spacing w:after="0"/>
              <w:rPr>
                <w:sz w:val="2"/>
                <w:szCs w:val="2"/>
                <w:color w:val="auto"/>
              </w:rPr>
            </w:pPr>
          </w:p>
        </w:tc>
        <w:tc>
          <w:tcPr>
            <w:tcW w:w="740" w:type="dxa"/>
            <w:vAlign w:val="bottom"/>
            <w:shd w:val="clear" w:color="auto" w:fill="F0FFFF"/>
          </w:tcPr>
          <w:p>
            <w:pPr>
              <w:spacing w:after="0"/>
              <w:rPr>
                <w:sz w:val="2"/>
                <w:szCs w:val="2"/>
                <w:color w:val="auto"/>
              </w:rPr>
            </w:pPr>
          </w:p>
        </w:tc>
        <w:tc>
          <w:tcPr>
            <w:tcW w:w="320" w:type="dxa"/>
            <w:vAlign w:val="bottom"/>
            <w:shd w:val="clear" w:color="auto" w:fill="F0FFFF"/>
          </w:tcPr>
          <w:p>
            <w:pPr>
              <w:spacing w:after="0"/>
              <w:rPr>
                <w:sz w:val="2"/>
                <w:szCs w:val="2"/>
                <w:color w:val="auto"/>
              </w:rPr>
            </w:pPr>
          </w:p>
        </w:tc>
        <w:tc>
          <w:tcPr>
            <w:tcW w:w="680" w:type="dxa"/>
            <w:vAlign w:val="bottom"/>
            <w:shd w:val="clear" w:color="auto" w:fill="F0FFFF"/>
          </w:tcPr>
          <w:p>
            <w:pPr>
              <w:spacing w:after="0"/>
              <w:rPr>
                <w:sz w:val="2"/>
                <w:szCs w:val="2"/>
                <w:color w:val="auto"/>
              </w:rPr>
            </w:pPr>
          </w:p>
        </w:tc>
        <w:tc>
          <w:tcPr>
            <w:tcW w:w="1080" w:type="dxa"/>
            <w:vAlign w:val="bottom"/>
            <w:shd w:val="clear" w:color="auto" w:fill="F0FFFF"/>
          </w:tcPr>
          <w:p>
            <w:pPr>
              <w:spacing w:after="0"/>
              <w:rPr>
                <w:sz w:val="2"/>
                <w:szCs w:val="2"/>
                <w:color w:val="auto"/>
              </w:rPr>
            </w:pPr>
          </w:p>
        </w:tc>
        <w:tc>
          <w:tcPr>
            <w:tcW w:w="340" w:type="dxa"/>
            <w:vAlign w:val="bottom"/>
            <w:shd w:val="clear" w:color="auto" w:fill="F0FFFF"/>
          </w:tcPr>
          <w:p>
            <w:pPr>
              <w:spacing w:after="0"/>
              <w:rPr>
                <w:sz w:val="2"/>
                <w:szCs w:val="2"/>
                <w:color w:val="auto"/>
              </w:rPr>
            </w:pPr>
          </w:p>
        </w:tc>
        <w:tc>
          <w:tcPr>
            <w:tcW w:w="820" w:type="dxa"/>
            <w:vAlign w:val="bottom"/>
            <w:shd w:val="clear" w:color="auto" w:fill="F0FFFF"/>
          </w:tcPr>
          <w:p>
            <w:pPr>
              <w:spacing w:after="0"/>
              <w:rPr>
                <w:sz w:val="2"/>
                <w:szCs w:val="2"/>
                <w:color w:val="auto"/>
              </w:rPr>
            </w:pPr>
          </w:p>
        </w:tc>
        <w:tc>
          <w:tcPr>
            <w:tcW w:w="1040" w:type="dxa"/>
            <w:vAlign w:val="bottom"/>
            <w:shd w:val="clear" w:color="auto" w:fill="F0FFFF"/>
          </w:tcPr>
          <w:p>
            <w:pPr>
              <w:spacing w:after="0"/>
              <w:rPr>
                <w:sz w:val="2"/>
                <w:szCs w:val="2"/>
                <w:color w:val="auto"/>
              </w:rPr>
            </w:pPr>
          </w:p>
        </w:tc>
      </w:tr>
      <w:tr>
        <w:trPr>
          <w:trHeight w:val="288"/>
        </w:trPr>
        <w:tc>
          <w:tcPr>
            <w:tcW w:w="49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5"/>
                <w:szCs w:val="15"/>
                <w:color w:val="0000EE"/>
                <w:w w:val="96"/>
              </w:rPr>
              <w:t>MAKING WITHDRAWALS: ACCESSING THE MONEY IN YOUR CONTRACT</w:t>
            </w:r>
          </w:p>
        </w:tc>
        <w:tc>
          <w:tcPr>
            <w:tcW w:w="1160" w:type="dxa"/>
            <w:vAlign w:val="bottom"/>
            <w:gridSpan w:val="2"/>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288"/>
        </w:trPr>
        <w:tc>
          <w:tcPr>
            <w:tcW w:w="2860" w:type="dxa"/>
            <w:vAlign w:val="bottom"/>
            <w:tcBorders>
              <w:bottom w:val="single" w:sz="8" w:color="0000EE"/>
            </w:tcBorders>
            <w:gridSpan w:val="4"/>
            <w:shd w:val="clear" w:color="auto" w:fill="F0FFFF"/>
          </w:tcPr>
          <w:p>
            <w:pPr>
              <w:spacing w:after="0"/>
              <w:rPr>
                <w:sz w:val="20"/>
                <w:szCs w:val="20"/>
                <w:color w:val="auto"/>
              </w:rPr>
            </w:pPr>
            <w:r>
              <w:rPr>
                <w:rFonts w:ascii="Times New Roman" w:cs="Times New Roman" w:eastAsia="Times New Roman" w:hAnsi="Times New Roman"/>
                <w:sz w:val="15"/>
                <w:szCs w:val="15"/>
                <w:color w:val="0000EE"/>
                <w:w w:val="95"/>
              </w:rPr>
              <w:t>ADDITIONAL INFORMATION ABOUT FEES</w:t>
            </w:r>
          </w:p>
        </w:tc>
        <w:tc>
          <w:tcPr>
            <w:tcW w:w="3240" w:type="dxa"/>
            <w:vAlign w:val="bottom"/>
            <w:tcBorders>
              <w:bottom w:val="single" w:sz="8" w:color="F0FFFF"/>
            </w:tcBorders>
            <w:gridSpan w:val="5"/>
            <w:shd w:val="clear" w:color="auto" w:fill="F0FFFF"/>
          </w:tcPr>
          <w:p>
            <w:pPr>
              <w:spacing w:after="0"/>
              <w:rPr>
                <w:sz w:val="24"/>
                <w:szCs w:val="24"/>
                <w:color w:val="auto"/>
              </w:rPr>
            </w:pPr>
          </w:p>
        </w:tc>
        <w:tc>
          <w:tcPr>
            <w:tcW w:w="104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238"/>
        </w:trPr>
        <w:tc>
          <w:tcPr>
            <w:tcW w:w="6100" w:type="dxa"/>
            <w:vAlign w:val="bottom"/>
            <w:gridSpan w:val="9"/>
          </w:tcPr>
          <w:p>
            <w:pPr>
              <w:spacing w:after="0"/>
              <w:rPr>
                <w:sz w:val="20"/>
                <w:szCs w:val="20"/>
                <w:color w:val="auto"/>
              </w:rPr>
            </w:pPr>
            <w:r>
              <w:rPr>
                <w:rFonts w:ascii="Times New Roman" w:cs="Times New Roman" w:eastAsia="Times New Roman" w:hAnsi="Times New Roman"/>
                <w:sz w:val="15"/>
                <w:szCs w:val="15"/>
                <w:color w:val="0000EE"/>
              </w:rPr>
              <w:t>Appendix A — Investment Options Available Under The Contract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A-1</w:t>
            </w:r>
          </w:p>
        </w:tc>
      </w:tr>
      <w:tr>
        <w:trPr>
          <w:trHeight w:val="20"/>
        </w:trPr>
        <w:tc>
          <w:tcPr>
            <w:tcW w:w="1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799"/>
          </w:cols>
          <w:pgMar w:left="660" w:top="1141" w:right="1440" w:bottom="1440" w:gutter="0" w:footer="0" w:header="0"/>
        </w:sectPr>
      </w:pPr>
    </w:p>
    <w:bookmarkStart w:id="135" w:name="page136"/>
    <w:bookmarkEnd w:id="135"/>
    <w:p>
      <w:pPr>
        <w:ind w:left="302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2">
                      <a:extLst>
                        <a:ext uri="{28A0092B-C50C-407E-A947-70E740481C1C}"/>
                      </a:extLst>
                    </a:blip>
                    <a:srcRect/>
                    <a:stretch>
                      <a:fillRect/>
                    </a:stretch>
                  </pic:blipFill>
                  <pic:spPr bwMode="auto">
                    <a:xfrm>
                      <a:off x="0" y="0"/>
                      <a:ext cx="7193915" cy="38100"/>
                    </a:xfrm>
                    <a:prstGeom prst="rect">
                      <a:avLst/>
                    </a:prstGeom>
                    <a:noFill/>
                  </pic:spPr>
                </pic:pic>
              </a:graphicData>
            </a:graphic>
          </wp:anchor>
        </w:drawing>
        <w:t>SPECIAL TERMS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this summary prospectus, the following capitalized terms have the indicated meanings:</w:t>
      </w:r>
    </w:p>
    <w:p>
      <w:pPr>
        <w:spacing w:after="0" w:line="87" w:lineRule="exact"/>
        <w:rPr>
          <w:sz w:val="20"/>
          <w:szCs w:val="20"/>
          <w:color w:val="auto"/>
        </w:rPr>
      </w:pPr>
    </w:p>
    <w:p>
      <w:pPr>
        <w:jc w:val="both"/>
        <w:ind w:right="2659"/>
        <w:spacing w:after="0" w:line="293" w:lineRule="auto"/>
        <w:rPr>
          <w:sz w:val="20"/>
          <w:szCs w:val="20"/>
          <w:color w:val="auto"/>
        </w:rPr>
      </w:pPr>
      <w:r>
        <w:rPr>
          <w:rFonts w:ascii="Times New Roman" w:cs="Times New Roman" w:eastAsia="Times New Roman" w:hAnsi="Times New Roman"/>
          <w:sz w:val="13"/>
          <w:szCs w:val="13"/>
          <w:b w:val="1"/>
          <w:bCs w:val="1"/>
          <w:color w:val="auto"/>
        </w:rPr>
        <w:t>Account Value.</w:t>
      </w:r>
      <w:r>
        <w:rPr>
          <w:rFonts w:ascii="Times New Roman" w:cs="Times New Roman" w:eastAsia="Times New Roman" w:hAnsi="Times New Roman"/>
          <w:sz w:val="13"/>
          <w:szCs w:val="13"/>
          <w:color w:val="auto"/>
        </w:rPr>
        <w:t xml:space="preserve">  The total of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Fixed Account Value</w:t>
      </w:r>
      <w:r>
        <w:rPr>
          <w:rFonts w:ascii="Times New Roman" w:cs="Times New Roman" w:eastAsia="Times New Roman" w:hAnsi="Times New Roman"/>
          <w:sz w:val="13"/>
          <w:szCs w:val="13"/>
          <w:color w:val="auto"/>
        </w:rPr>
        <w:t>, the value of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Shield Option(s)</w:t>
      </w:r>
      <w:r>
        <w:rPr>
          <w:rFonts w:ascii="Times New Roman" w:cs="Times New Roman" w:eastAsia="Times New Roman" w:hAnsi="Times New Roman"/>
          <w:sz w:val="13"/>
          <w:szCs w:val="13"/>
          <w:color w:val="auto"/>
        </w:rPr>
        <w:t>, and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Holding Account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value under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during the </w:t>
      </w:r>
      <w:r>
        <w:rPr>
          <w:rFonts w:ascii="Times New Roman" w:cs="Times New Roman" w:eastAsia="Times New Roman" w:hAnsi="Times New Roman"/>
          <w:sz w:val="13"/>
          <w:szCs w:val="13"/>
          <w:u w:val="single" w:color="auto"/>
          <w:color w:val="auto"/>
        </w:rPr>
        <w:t>Accumulation Period</w:t>
      </w:r>
      <w:r>
        <w:rPr>
          <w:rFonts w:ascii="Times New Roman" w:cs="Times New Roman" w:eastAsia="Times New Roman" w:hAnsi="Times New Roman"/>
          <w:sz w:val="13"/>
          <w:szCs w:val="13"/>
          <w:color w:val="auto"/>
        </w:rPr>
        <w: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Accumulation Period.</w:t>
      </w:r>
      <w:r>
        <w:rPr>
          <w:rFonts w:ascii="Times New Roman" w:cs="Times New Roman" w:eastAsia="Times New Roman" w:hAnsi="Times New Roman"/>
          <w:sz w:val="13"/>
          <w:szCs w:val="13"/>
          <w:color w:val="auto"/>
        </w:rPr>
        <w:t xml:space="preserve">   The period prior to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Annuity Date</w:t>
      </w:r>
      <w:r>
        <w:rPr>
          <w:rFonts w:ascii="Times New Roman" w:cs="Times New Roman" w:eastAsia="Times New Roman" w:hAnsi="Times New Roman"/>
          <w:sz w:val="13"/>
          <w:szCs w:val="13"/>
          <w:color w:val="auto"/>
        </w:rPr>
        <w:t>.</w:t>
      </w:r>
    </w:p>
    <w:p>
      <w:pPr>
        <w:spacing w:after="0" w:line="99" w:lineRule="exact"/>
        <w:rPr>
          <w:sz w:val="20"/>
          <w:szCs w:val="20"/>
          <w:color w:val="auto"/>
        </w:rPr>
      </w:pPr>
    </w:p>
    <w:p>
      <w:pPr>
        <w:jc w:val="both"/>
        <w:ind w:right="2659"/>
        <w:spacing w:after="0" w:line="274" w:lineRule="auto"/>
        <w:rPr>
          <w:sz w:val="20"/>
          <w:szCs w:val="20"/>
          <w:color w:val="auto"/>
        </w:rPr>
      </w:pPr>
      <w:r>
        <w:rPr>
          <w:rFonts w:ascii="Times New Roman" w:cs="Times New Roman" w:eastAsia="Times New Roman" w:hAnsi="Times New Roman"/>
          <w:sz w:val="13"/>
          <w:szCs w:val="13"/>
          <w:b w:val="1"/>
          <w:bCs w:val="1"/>
          <w:color w:val="auto"/>
        </w:rPr>
        <w:t>Allocation Option.</w:t>
      </w:r>
      <w:r>
        <w:rPr>
          <w:rFonts w:ascii="Times New Roman" w:cs="Times New Roman" w:eastAsia="Times New Roman" w:hAnsi="Times New Roman"/>
          <w:sz w:val="13"/>
          <w:szCs w:val="13"/>
          <w:color w:val="auto"/>
        </w:rPr>
        <w:t xml:space="preserve">  Includes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Shield Option(s)</w:t>
      </w:r>
      <w:r>
        <w:rPr>
          <w:rFonts w:ascii="Times New Roman" w:cs="Times New Roman" w:eastAsia="Times New Roman" w:hAnsi="Times New Roman"/>
          <w:sz w:val="13"/>
          <w:szCs w:val="13"/>
          <w:color w:val="auto"/>
        </w:rPr>
        <w:t>,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Fixed Account</w:t>
      </w:r>
      <w:r>
        <w:rPr>
          <w:rFonts w:ascii="Times New Roman" w:cs="Times New Roman" w:eastAsia="Times New Roman" w:hAnsi="Times New Roman"/>
          <w:sz w:val="13"/>
          <w:szCs w:val="13"/>
          <w:color w:val="auto"/>
        </w:rPr>
        <w:t>,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Holding Account</w:t>
      </w:r>
      <w:r>
        <w:rPr>
          <w:rFonts w:ascii="Times New Roman" w:cs="Times New Roman" w:eastAsia="Times New Roman" w:hAnsi="Times New Roman"/>
          <w:sz w:val="13"/>
          <w:szCs w:val="13"/>
          <w:color w:val="auto"/>
        </w:rPr>
        <w:t>.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Holding Account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is not an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allocation option that you can allocate your </w:t>
      </w:r>
      <w:r>
        <w:rPr>
          <w:rFonts w:ascii="Times New Roman" w:cs="Times New Roman" w:eastAsia="Times New Roman" w:hAnsi="Times New Roman"/>
          <w:sz w:val="13"/>
          <w:szCs w:val="13"/>
          <w:u w:val="single" w:color="auto"/>
          <w:color w:val="auto"/>
        </w:rPr>
        <w:t>Purchase Payment</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Account Value</w:t>
      </w:r>
      <w:r>
        <w:rPr>
          <w:rFonts w:ascii="Times New Roman" w:cs="Times New Roman" w:eastAsia="Times New Roman" w:hAnsi="Times New Roman"/>
          <w:sz w:val="13"/>
          <w:szCs w:val="13"/>
          <w:color w:val="auto"/>
        </w:rPr>
        <w:t xml:space="preserve"> into and there are only certain circumstances where we will transfer amounts to the </w:t>
      </w:r>
      <w:r>
        <w:rPr>
          <w:rFonts w:ascii="Times New Roman" w:cs="Times New Roman" w:eastAsia="Times New Roman" w:hAnsi="Times New Roman"/>
          <w:sz w:val="13"/>
          <w:szCs w:val="13"/>
          <w:u w:val="single" w:color="auto"/>
          <w:color w:val="auto"/>
        </w:rPr>
        <w:t>Holding Account</w:t>
      </w:r>
      <w:r>
        <w:rPr>
          <w:rFonts w:ascii="Times New Roman" w:cs="Times New Roman" w:eastAsia="Times New Roman" w:hAnsi="Times New Roman"/>
          <w:sz w:val="13"/>
          <w:szCs w:val="13"/>
          <w:color w:val="auto"/>
        </w:rPr>
        <w:t xml:space="preserve">. See </w:t>
      </w:r>
      <w:r>
        <w:rPr>
          <w:rFonts w:ascii="Times New Roman" w:cs="Times New Roman" w:eastAsia="Times New Roman" w:hAnsi="Times New Roman"/>
          <w:sz w:val="13"/>
          <w:szCs w:val="13"/>
          <w:u w:val="single" w:color="auto"/>
          <w:color w:val="auto"/>
        </w:rPr>
        <w:t>“HOLDING ACCOUNT.”</w:t>
      </w:r>
    </w:p>
    <w:p>
      <w:pPr>
        <w:spacing w:after="0" w:line="44" w:lineRule="exact"/>
        <w:rPr>
          <w:sz w:val="20"/>
          <w:szCs w:val="20"/>
          <w:color w:val="auto"/>
        </w:rPr>
      </w:pPr>
    </w:p>
    <w:p>
      <w:pPr>
        <w:jc w:val="both"/>
        <w:ind w:right="2659"/>
        <w:spacing w:after="0" w:line="293" w:lineRule="auto"/>
        <w:rPr>
          <w:sz w:val="20"/>
          <w:szCs w:val="20"/>
          <w:color w:val="auto"/>
        </w:rPr>
      </w:pPr>
      <w:r>
        <w:rPr>
          <w:rFonts w:ascii="Times New Roman" w:cs="Times New Roman" w:eastAsia="Times New Roman" w:hAnsi="Times New Roman"/>
          <w:sz w:val="13"/>
          <w:szCs w:val="13"/>
          <w:b w:val="1"/>
          <w:bCs w:val="1"/>
          <w:color w:val="auto"/>
        </w:rPr>
        <w:t>Annuitant.</w:t>
      </w:r>
      <w:r>
        <w:rPr>
          <w:rFonts w:ascii="Times New Roman" w:cs="Times New Roman" w:eastAsia="Times New Roman" w:hAnsi="Times New Roman"/>
          <w:sz w:val="13"/>
          <w:szCs w:val="13"/>
          <w:color w:val="auto"/>
        </w:rPr>
        <w:t xml:space="preserve">  The natural person(s) listed on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Contract Schedule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on whose life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Annuity Payments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are based. Any reference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Annuitant</w:t>
      </w:r>
      <w:r>
        <w:rPr>
          <w:rFonts w:ascii="Times New Roman" w:cs="Times New Roman" w:eastAsia="Times New Roman" w:hAnsi="Times New Roman"/>
          <w:sz w:val="13"/>
          <w:szCs w:val="13"/>
          <w:color w:val="auto"/>
        </w:rPr>
        <w:t xml:space="preserve"> will also include any Joint Annuitant under an Annuity Option.</w:t>
      </w:r>
    </w:p>
    <w:p>
      <w:pPr>
        <w:spacing w:after="0" w:line="42" w:lineRule="exact"/>
        <w:rPr>
          <w:sz w:val="20"/>
          <w:szCs w:val="20"/>
          <w:color w:val="auto"/>
        </w:rPr>
      </w:pPr>
    </w:p>
    <w:p>
      <w:pPr>
        <w:jc w:val="both"/>
        <w:ind w:right="2659"/>
        <w:spacing w:after="0" w:line="282" w:lineRule="auto"/>
        <w:rPr>
          <w:sz w:val="20"/>
          <w:szCs w:val="20"/>
          <w:color w:val="auto"/>
        </w:rPr>
      </w:pPr>
      <w:r>
        <w:rPr>
          <w:rFonts w:ascii="Times New Roman" w:cs="Times New Roman" w:eastAsia="Times New Roman" w:hAnsi="Times New Roman"/>
          <w:sz w:val="13"/>
          <w:szCs w:val="13"/>
          <w:b w:val="1"/>
          <w:bCs w:val="1"/>
          <w:color w:val="auto"/>
        </w:rPr>
        <w:t>Annuity Date.</w:t>
      </w:r>
      <w:r>
        <w:rPr>
          <w:rFonts w:ascii="Times New Roman" w:cs="Times New Roman" w:eastAsia="Times New Roman" w:hAnsi="Times New Roman"/>
          <w:sz w:val="13"/>
          <w:szCs w:val="13"/>
          <w:color w:val="auto"/>
        </w:rPr>
        <w:t xml:space="preserve">  A date on which you choose to begin receiving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Annuity Payments</w:t>
      </w:r>
      <w:r>
        <w:rPr>
          <w:rFonts w:ascii="Times New Roman" w:cs="Times New Roman" w:eastAsia="Times New Roman" w:hAnsi="Times New Roman"/>
          <w:sz w:val="13"/>
          <w:szCs w:val="13"/>
          <w:color w:val="auto"/>
        </w:rPr>
        <w:t>. If we agree, you may change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Annuity Date</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subject to certain requirements. If you do not choose an </w:t>
      </w:r>
      <w:r>
        <w:rPr>
          <w:rFonts w:ascii="Times New Roman" w:cs="Times New Roman" w:eastAsia="Times New Roman" w:hAnsi="Times New Roman"/>
          <w:sz w:val="13"/>
          <w:szCs w:val="13"/>
          <w:u w:val="single" w:color="auto"/>
          <w:color w:val="auto"/>
        </w:rPr>
        <w:t>Annuity Date</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u w:val="single" w:color="auto"/>
          <w:color w:val="auto"/>
        </w:rPr>
        <w:t>Annuity Date</w:t>
      </w:r>
      <w:r>
        <w:rPr>
          <w:rFonts w:ascii="Times New Roman" w:cs="Times New Roman" w:eastAsia="Times New Roman" w:hAnsi="Times New Roman"/>
          <w:sz w:val="13"/>
          <w:szCs w:val="13"/>
          <w:color w:val="auto"/>
        </w:rPr>
        <w:t xml:space="preserve"> will be the </w:t>
      </w:r>
      <w:r>
        <w:rPr>
          <w:rFonts w:ascii="Times New Roman" w:cs="Times New Roman" w:eastAsia="Times New Roman" w:hAnsi="Times New Roman"/>
          <w:sz w:val="13"/>
          <w:szCs w:val="13"/>
          <w:u w:val="single" w:color="auto"/>
          <w:color w:val="auto"/>
        </w:rPr>
        <w:t>Annuity Date</w:t>
      </w:r>
      <w:r>
        <w:rPr>
          <w:rFonts w:ascii="Times New Roman" w:cs="Times New Roman" w:eastAsia="Times New Roman" w:hAnsi="Times New Roman"/>
          <w:sz w:val="13"/>
          <w:szCs w:val="13"/>
          <w:color w:val="auto"/>
        </w:rPr>
        <w:t xml:space="preserve"> indicated on the </w:t>
      </w:r>
      <w:r>
        <w:rPr>
          <w:rFonts w:ascii="Times New Roman" w:cs="Times New Roman" w:eastAsia="Times New Roman" w:hAnsi="Times New Roman"/>
          <w:sz w:val="13"/>
          <w:szCs w:val="13"/>
          <w:u w:val="single" w:color="auto"/>
          <w:color w:val="auto"/>
        </w:rPr>
        <w:t>Contract Schedule</w:t>
      </w:r>
      <w:r>
        <w:rPr>
          <w:rFonts w:ascii="Times New Roman" w:cs="Times New Roman" w:eastAsia="Times New Roman" w:hAnsi="Times New Roman"/>
          <w:sz w:val="13"/>
          <w:szCs w:val="13"/>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3053080</wp:posOffset>
            </wp:positionH>
            <wp:positionV relativeFrom="paragraph">
              <wp:posOffset>-135890</wp:posOffset>
            </wp:positionV>
            <wp:extent cx="31750" cy="63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3">
                      <a:extLst>
                        <a:ext uri="{28A0092B-C50C-407E-A947-70E740481C1C}"/>
                      </a:extLst>
                    </a:blip>
                    <a:srcRect/>
                    <a:stretch>
                      <a:fillRect/>
                    </a:stretch>
                  </pic:blipFill>
                  <pic:spPr bwMode="auto">
                    <a:xfrm>
                      <a:off x="0" y="0"/>
                      <a:ext cx="31750" cy="635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-135890</wp:posOffset>
            </wp:positionV>
            <wp:extent cx="31750" cy="63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4">
                      <a:extLst>
                        <a:ext uri="{28A0092B-C50C-407E-A947-70E740481C1C}"/>
                      </a:extLst>
                    </a:blip>
                    <a:srcRect/>
                    <a:stretch>
                      <a:fillRect/>
                    </a:stretch>
                  </pic:blipFill>
                  <pic:spPr bwMode="auto">
                    <a:xfrm>
                      <a:off x="0" y="0"/>
                      <a:ext cx="31750" cy="635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Annuity Payments.</w:t>
      </w:r>
      <w:r>
        <w:rPr>
          <w:rFonts w:ascii="Times New Roman" w:cs="Times New Roman" w:eastAsia="Times New Roman" w:hAnsi="Times New Roman"/>
          <w:sz w:val="13"/>
          <w:szCs w:val="13"/>
          <w:color w:val="auto"/>
        </w:rPr>
        <w:t xml:space="preserve">   A series of payments made by us during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Annuity Period</w:t>
      </w:r>
      <w:r>
        <w:rPr>
          <w:rFonts w:ascii="Times New Roman" w:cs="Times New Roman" w:eastAsia="Times New Roman" w:hAnsi="Times New Roman"/>
          <w:sz w:val="13"/>
          <w:szCs w:val="13"/>
          <w:color w:val="auto"/>
        </w:rPr>
        <w:t>, which we guarantee as to dollar amount.</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Annuity Period.</w:t>
      </w:r>
      <w:r>
        <w:rPr>
          <w:rFonts w:ascii="Times New Roman" w:cs="Times New Roman" w:eastAsia="Times New Roman" w:hAnsi="Times New Roman"/>
          <w:sz w:val="13"/>
          <w:szCs w:val="13"/>
          <w:color w:val="auto"/>
        </w:rPr>
        <w:t xml:space="preserve">   A period starting on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Annuity Date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during which</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Annuity Payments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are payable.</w:t>
      </w:r>
    </w:p>
    <w:p>
      <w:pPr>
        <w:spacing w:after="0" w:line="89" w:lineRule="exact"/>
        <w:rPr>
          <w:sz w:val="20"/>
          <w:szCs w:val="20"/>
          <w:color w:val="auto"/>
        </w:rPr>
      </w:pPr>
    </w:p>
    <w:p>
      <w:pPr>
        <w:jc w:val="both"/>
        <w:ind w:right="2659"/>
        <w:spacing w:after="0" w:line="267" w:lineRule="auto"/>
        <w:rPr>
          <w:sz w:val="20"/>
          <w:szCs w:val="20"/>
          <w:color w:val="auto"/>
        </w:rPr>
      </w:pPr>
      <w:r>
        <w:rPr>
          <w:rFonts w:ascii="Times New Roman" w:cs="Times New Roman" w:eastAsia="Times New Roman" w:hAnsi="Times New Roman"/>
          <w:sz w:val="13"/>
          <w:szCs w:val="13"/>
          <w:b w:val="1"/>
          <w:bCs w:val="1"/>
          <w:color w:val="auto"/>
        </w:rPr>
        <w:t>Business Day.</w:t>
      </w:r>
      <w:r>
        <w:rPr>
          <w:rFonts w:ascii="Times New Roman" w:cs="Times New Roman" w:eastAsia="Times New Roman" w:hAnsi="Times New Roman"/>
          <w:sz w:val="13"/>
          <w:szCs w:val="13"/>
          <w:color w:val="auto"/>
        </w:rPr>
        <w:t xml:space="preserve">  Our “business day” is generally any day the New York Stock Exchange (NYSE) is open for regular trading. For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purposes of receipt of </w:t>
      </w:r>
      <w:r>
        <w:rPr>
          <w:rFonts w:ascii="Times New Roman" w:cs="Times New Roman" w:eastAsia="Times New Roman" w:hAnsi="Times New Roman"/>
          <w:sz w:val="13"/>
          <w:szCs w:val="13"/>
          <w:u w:val="single" w:color="auto"/>
          <w:color w:val="auto"/>
        </w:rPr>
        <w:t>Notice</w:t>
      </w:r>
      <w:r>
        <w:rPr>
          <w:rFonts w:ascii="Times New Roman" w:cs="Times New Roman" w:eastAsia="Times New Roman" w:hAnsi="Times New Roman"/>
          <w:sz w:val="13"/>
          <w:szCs w:val="13"/>
          <w:color w:val="auto"/>
        </w:rPr>
        <w:t xml:space="preserve"> for administrative requests and transactions, a </w:t>
      </w:r>
      <w:r>
        <w:rPr>
          <w:rFonts w:ascii="Times New Roman" w:cs="Times New Roman" w:eastAsia="Times New Roman" w:hAnsi="Times New Roman"/>
          <w:sz w:val="13"/>
          <w:szCs w:val="13"/>
          <w:u w:val="single" w:color="auto"/>
          <w:color w:val="auto"/>
        </w:rPr>
        <w:t>Business Day</w:t>
      </w:r>
      <w:r>
        <w:rPr>
          <w:rFonts w:ascii="Times New Roman" w:cs="Times New Roman" w:eastAsia="Times New Roman" w:hAnsi="Times New Roman"/>
          <w:sz w:val="13"/>
          <w:szCs w:val="13"/>
          <w:color w:val="auto"/>
        </w:rPr>
        <w:t xml:space="preserve"> ends at the earlier of 4:00 PM Eastern Standard Time or when the NYSE closes. If the SEC determines the existence of emergency conditions on any day, and consequently, the NYSE does not open, then that day is not a </w:t>
      </w:r>
      <w:r>
        <w:rPr>
          <w:rFonts w:ascii="Times New Roman" w:cs="Times New Roman" w:eastAsia="Times New Roman" w:hAnsi="Times New Roman"/>
          <w:sz w:val="13"/>
          <w:szCs w:val="13"/>
          <w:u w:val="single" w:color="auto"/>
          <w:color w:val="auto"/>
        </w:rPr>
        <w:t>Business Day</w:t>
      </w:r>
      <w:r>
        <w:rPr>
          <w:rFonts w:ascii="Times New Roman" w:cs="Times New Roman" w:eastAsia="Times New Roman" w:hAnsi="Times New Roman"/>
          <w:sz w:val="13"/>
          <w:szCs w:val="13"/>
          <w:color w:val="auto"/>
        </w:rPr>
        <w:t>.</w:t>
      </w:r>
    </w:p>
    <w:p>
      <w:pPr>
        <w:spacing w:after="0" w:line="49" w:lineRule="exact"/>
        <w:rPr>
          <w:sz w:val="20"/>
          <w:szCs w:val="20"/>
          <w:color w:val="auto"/>
        </w:rPr>
      </w:pPr>
    </w:p>
    <w:p>
      <w:pPr>
        <w:jc w:val="both"/>
        <w:ind w:right="2659"/>
        <w:spacing w:after="0" w:line="293" w:lineRule="auto"/>
        <w:rPr>
          <w:sz w:val="20"/>
          <w:szCs w:val="20"/>
          <w:color w:val="auto"/>
        </w:rPr>
      </w:pPr>
      <w:r>
        <w:rPr>
          <w:rFonts w:ascii="Times New Roman" w:cs="Times New Roman" w:eastAsia="Times New Roman" w:hAnsi="Times New Roman"/>
          <w:sz w:val="13"/>
          <w:szCs w:val="13"/>
          <w:b w:val="1"/>
          <w:bCs w:val="1"/>
          <w:color w:val="auto"/>
        </w:rPr>
        <w:t xml:space="preserve">Cap Rate. </w:t>
      </w:r>
      <w:r>
        <w:rPr>
          <w:rFonts w:ascii="Times New Roman" w:cs="Times New Roman" w:eastAsia="Times New Roman" w:hAnsi="Times New Roman"/>
          <w:sz w:val="13"/>
          <w:szCs w:val="13"/>
          <w:color w:val="auto"/>
        </w:rPr>
        <w:t>The maximum rate that may be credited at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Term End Date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based 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Index Performance</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The </w:t>
      </w:r>
      <w:r>
        <w:rPr>
          <w:rFonts w:ascii="Times New Roman" w:cs="Times New Roman" w:eastAsia="Times New Roman" w:hAnsi="Times New Roman"/>
          <w:sz w:val="13"/>
          <w:szCs w:val="13"/>
          <w:b w:val="1"/>
          <w:bCs w:val="1"/>
          <w:u w:val="single" w:color="auto"/>
          <w:color w:val="auto"/>
        </w:rPr>
        <w:t>Cap Rate</w:t>
      </w:r>
      <w:r>
        <w:rPr>
          <w:rFonts w:ascii="Times New Roman" w:cs="Times New Roman" w:eastAsia="Times New Roman" w:hAnsi="Times New Roman"/>
          <w:sz w:val="13"/>
          <w:szCs w:val="13"/>
          <w:b w:val="1"/>
          <w:bCs w:val="1"/>
          <w:color w:val="auto"/>
        </w:rPr>
        <w:t xml:space="preserve"> may vary between </w:t>
      </w:r>
      <w:r>
        <w:rPr>
          <w:rFonts w:ascii="Times New Roman" w:cs="Times New Roman" w:eastAsia="Times New Roman" w:hAnsi="Times New Roman"/>
          <w:sz w:val="13"/>
          <w:szCs w:val="13"/>
          <w:b w:val="1"/>
          <w:bCs w:val="1"/>
          <w:u w:val="single" w:color="auto"/>
          <w:color w:val="auto"/>
        </w:rPr>
        <w:t>Shield Options</w:t>
      </w:r>
      <w:r>
        <w:rPr>
          <w:rFonts w:ascii="Times New Roman" w:cs="Times New Roman" w:eastAsia="Times New Roman" w:hAnsi="Times New Roman"/>
          <w:sz w:val="13"/>
          <w:szCs w:val="13"/>
          <w:b w:val="1"/>
          <w:bCs w:val="1"/>
          <w:color w:val="auto"/>
        </w:rPr>
        <w:t xml:space="preserve"> and, unless you have a </w:t>
      </w:r>
      <w:r>
        <w:rPr>
          <w:rFonts w:ascii="Times New Roman" w:cs="Times New Roman" w:eastAsia="Times New Roman" w:hAnsi="Times New Roman"/>
          <w:sz w:val="13"/>
          <w:szCs w:val="13"/>
          <w:b w:val="1"/>
          <w:bCs w:val="1"/>
          <w:u w:val="single" w:color="auto"/>
          <w:color w:val="auto"/>
        </w:rPr>
        <w:t>Shield Option</w:t>
      </w:r>
      <w:r>
        <w:rPr>
          <w:rFonts w:ascii="Times New Roman" w:cs="Times New Roman" w:eastAsia="Times New Roman" w:hAnsi="Times New Roman"/>
          <w:sz w:val="13"/>
          <w:szCs w:val="13"/>
          <w:b w:val="1"/>
          <w:bCs w:val="1"/>
          <w:color w:val="auto"/>
        </w:rPr>
        <w:t xml:space="preserve"> with a 1-year </w:t>
      </w:r>
      <w:r>
        <w:rPr>
          <w:rFonts w:ascii="Times New Roman" w:cs="Times New Roman" w:eastAsia="Times New Roman" w:hAnsi="Times New Roman"/>
          <w:sz w:val="13"/>
          <w:szCs w:val="13"/>
          <w:b w:val="1"/>
          <w:bCs w:val="1"/>
          <w:u w:val="single" w:color="auto"/>
          <w:color w:val="auto"/>
        </w:rPr>
        <w:t>Term</w:t>
      </w:r>
      <w:r>
        <w:rPr>
          <w:rFonts w:ascii="Times New Roman" w:cs="Times New Roman" w:eastAsia="Times New Roman" w:hAnsi="Times New Roman"/>
          <w:sz w:val="13"/>
          <w:szCs w:val="13"/>
          <w:b w:val="1"/>
          <w:bCs w:val="1"/>
          <w:color w:val="auto"/>
        </w:rPr>
        <w:t>, is not an annual rate.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Contract.</w:t>
      </w:r>
      <w:r>
        <w:rPr>
          <w:rFonts w:ascii="Times New Roman" w:cs="Times New Roman" w:eastAsia="Times New Roman" w:hAnsi="Times New Roman"/>
          <w:sz w:val="13"/>
          <w:szCs w:val="13"/>
          <w:color w:val="auto"/>
        </w:rPr>
        <w:t xml:space="preserve">   The legal agreement between you and BLNY. It contains relevant provisions of your deferred annuity.</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Contract Anniversary.</w:t>
      </w:r>
      <w:r>
        <w:rPr>
          <w:rFonts w:ascii="Times New Roman" w:cs="Times New Roman" w:eastAsia="Times New Roman" w:hAnsi="Times New Roman"/>
          <w:sz w:val="13"/>
          <w:szCs w:val="13"/>
          <w:color w:val="auto"/>
        </w:rPr>
        <w:t xml:space="preserve">   An anniversary of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Issue Date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Contract Schedule.</w:t>
      </w:r>
      <w:r>
        <w:rPr>
          <w:rFonts w:ascii="Times New Roman" w:cs="Times New Roman" w:eastAsia="Times New Roman" w:hAnsi="Times New Roman"/>
          <w:sz w:val="13"/>
          <w:szCs w:val="13"/>
          <w:color w:val="auto"/>
        </w:rPr>
        <w:t xml:space="preserve">   The schedule attached to your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Contract Year.</w:t>
      </w:r>
      <w:r>
        <w:rPr>
          <w:rFonts w:ascii="Times New Roman" w:cs="Times New Roman" w:eastAsia="Times New Roman" w:hAnsi="Times New Roman"/>
          <w:sz w:val="13"/>
          <w:szCs w:val="13"/>
          <w:color w:val="auto"/>
        </w:rPr>
        <w:t xml:space="preserve">   A one-year period starting on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Issue Date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and on each</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Contract Anniversary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thereafter.</w:t>
      </w:r>
    </w:p>
    <w:p>
      <w:pPr>
        <w:spacing w:after="0" w:line="89" w:lineRule="exact"/>
        <w:rPr>
          <w:sz w:val="20"/>
          <w:szCs w:val="20"/>
          <w:color w:val="auto"/>
        </w:rPr>
      </w:pPr>
    </w:p>
    <w:p>
      <w:pPr>
        <w:jc w:val="both"/>
        <w:ind w:right="2659"/>
        <w:spacing w:after="0" w:line="274" w:lineRule="auto"/>
        <w:rPr>
          <w:sz w:val="20"/>
          <w:szCs w:val="20"/>
          <w:color w:val="auto"/>
        </w:rPr>
      </w:pPr>
      <w:r>
        <w:rPr>
          <w:rFonts w:ascii="Times New Roman" w:cs="Times New Roman" w:eastAsia="Times New Roman" w:hAnsi="Times New Roman"/>
          <w:sz w:val="13"/>
          <w:szCs w:val="13"/>
          <w:b w:val="1"/>
          <w:bCs w:val="1"/>
          <w:color w:val="auto"/>
        </w:rPr>
        <w:t xml:space="preserve">Edge Rate. </w:t>
      </w:r>
      <w:r>
        <w:rPr>
          <w:rFonts w:ascii="Times New Roman" w:cs="Times New Roman" w:eastAsia="Times New Roman" w:hAnsi="Times New Roman"/>
          <w:sz w:val="13"/>
          <w:szCs w:val="13"/>
          <w:color w:val="auto"/>
        </w:rPr>
        <w:t>The rate credited at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Term End Date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if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Index Performance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is equal to or greater than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Shield Rate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The </w:t>
      </w:r>
      <w:r>
        <w:rPr>
          <w:rFonts w:ascii="Times New Roman" w:cs="Times New Roman" w:eastAsia="Times New Roman" w:hAnsi="Times New Roman"/>
          <w:sz w:val="13"/>
          <w:szCs w:val="13"/>
          <w:b w:val="1"/>
          <w:bCs w:val="1"/>
          <w:u w:val="single" w:color="auto"/>
          <w:color w:val="auto"/>
        </w:rPr>
        <w:t>Edge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b w:val="1"/>
          <w:bCs w:val="1"/>
          <w:u w:val="single" w:color="auto"/>
          <w:color w:val="auto"/>
        </w:rPr>
        <w:t>Rate</w:t>
      </w:r>
      <w:r>
        <w:rPr>
          <w:rFonts w:ascii="Times New Roman" w:cs="Times New Roman" w:eastAsia="Times New Roman" w:hAnsi="Times New Roman"/>
          <w:sz w:val="13"/>
          <w:szCs w:val="13"/>
          <w:b w:val="1"/>
          <w:bCs w:val="1"/>
          <w:color w:val="auto"/>
        </w:rPr>
        <w:t xml:space="preserve"> may vary between </w:t>
      </w:r>
      <w:r>
        <w:rPr>
          <w:rFonts w:ascii="Times New Roman" w:cs="Times New Roman" w:eastAsia="Times New Roman" w:hAnsi="Times New Roman"/>
          <w:sz w:val="13"/>
          <w:szCs w:val="13"/>
          <w:b w:val="1"/>
          <w:bCs w:val="1"/>
          <w:u w:val="single" w:color="auto"/>
          <w:color w:val="auto"/>
        </w:rPr>
        <w:t>Shield Options</w:t>
      </w:r>
      <w:r>
        <w:rPr>
          <w:rFonts w:ascii="Times New Roman" w:cs="Times New Roman" w:eastAsia="Times New Roman" w:hAnsi="Times New Roman"/>
          <w:sz w:val="13"/>
          <w:szCs w:val="13"/>
          <w:b w:val="1"/>
          <w:bCs w:val="1"/>
          <w:color w:val="auto"/>
        </w:rPr>
        <w:t xml:space="preserve"> and, unless you have a </w:t>
      </w:r>
      <w:r>
        <w:rPr>
          <w:rFonts w:ascii="Times New Roman" w:cs="Times New Roman" w:eastAsia="Times New Roman" w:hAnsi="Times New Roman"/>
          <w:sz w:val="13"/>
          <w:szCs w:val="13"/>
          <w:b w:val="1"/>
          <w:bCs w:val="1"/>
          <w:u w:val="single" w:color="auto"/>
          <w:color w:val="auto"/>
        </w:rPr>
        <w:t>Shield Option</w:t>
      </w:r>
      <w:r>
        <w:rPr>
          <w:rFonts w:ascii="Times New Roman" w:cs="Times New Roman" w:eastAsia="Times New Roman" w:hAnsi="Times New Roman"/>
          <w:sz w:val="13"/>
          <w:szCs w:val="13"/>
          <w:b w:val="1"/>
          <w:bCs w:val="1"/>
          <w:color w:val="auto"/>
        </w:rPr>
        <w:t xml:space="preserve"> with a 1-year </w:t>
      </w:r>
      <w:r>
        <w:rPr>
          <w:rFonts w:ascii="Times New Roman" w:cs="Times New Roman" w:eastAsia="Times New Roman" w:hAnsi="Times New Roman"/>
          <w:sz w:val="13"/>
          <w:szCs w:val="13"/>
          <w:b w:val="1"/>
          <w:bCs w:val="1"/>
          <w:u w:val="single" w:color="auto"/>
          <w:color w:val="auto"/>
        </w:rPr>
        <w:t>Term</w:t>
      </w:r>
      <w:r>
        <w:rPr>
          <w:rFonts w:ascii="Times New Roman" w:cs="Times New Roman" w:eastAsia="Times New Roman" w:hAnsi="Times New Roman"/>
          <w:sz w:val="13"/>
          <w:szCs w:val="13"/>
          <w:b w:val="1"/>
          <w:bCs w:val="1"/>
          <w:color w:val="auto"/>
        </w:rPr>
        <w:t xml:space="preserve">, it is not an annual rate. </w:t>
      </w:r>
      <w:r>
        <w:rPr>
          <w:rFonts w:ascii="Times New Roman" w:cs="Times New Roman" w:eastAsia="Times New Roman" w:hAnsi="Times New Roman"/>
          <w:sz w:val="13"/>
          <w:szCs w:val="13"/>
          <w:color w:val="auto"/>
        </w:rPr>
        <w:t>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with an </w:t>
      </w:r>
      <w:r>
        <w:rPr>
          <w:rFonts w:ascii="Times New Roman" w:cs="Times New Roman" w:eastAsia="Times New Roman" w:hAnsi="Times New Roman"/>
          <w:sz w:val="13"/>
          <w:szCs w:val="13"/>
          <w:u w:val="single" w:color="auto"/>
          <w:color w:val="auto"/>
        </w:rPr>
        <w:t>Edge Rate</w:t>
      </w:r>
      <w:r>
        <w:rPr>
          <w:rFonts w:ascii="Times New Roman" w:cs="Times New Roman" w:eastAsia="Times New Roman" w:hAnsi="Times New Roman"/>
          <w:sz w:val="13"/>
          <w:szCs w:val="13"/>
          <w:color w:val="auto"/>
        </w:rPr>
        <w:t xml:space="preserve"> may also be referred to as a “Shield Option with Step Rate Edge” in the prospectus.</w:t>
      </w:r>
    </w:p>
    <w:p>
      <w:pPr>
        <w:spacing w:after="0" w:line="44" w:lineRule="exact"/>
        <w:rPr>
          <w:sz w:val="20"/>
          <w:szCs w:val="20"/>
          <w:color w:val="auto"/>
        </w:rPr>
      </w:pPr>
    </w:p>
    <w:p>
      <w:pPr>
        <w:jc w:val="both"/>
        <w:ind w:right="2659"/>
        <w:spacing w:after="0" w:line="274" w:lineRule="auto"/>
        <w:rPr>
          <w:sz w:val="20"/>
          <w:szCs w:val="20"/>
          <w:color w:val="auto"/>
        </w:rPr>
      </w:pPr>
      <w:r>
        <w:rPr>
          <w:rFonts w:ascii="Times New Roman" w:cs="Times New Roman" w:eastAsia="Times New Roman" w:hAnsi="Times New Roman"/>
          <w:sz w:val="13"/>
          <w:szCs w:val="13"/>
          <w:b w:val="1"/>
          <w:bCs w:val="1"/>
          <w:color w:val="auto"/>
        </w:rPr>
        <w:t>Fixed Account.</w:t>
      </w:r>
      <w:r>
        <w:rPr>
          <w:rFonts w:ascii="Times New Roman" w:cs="Times New Roman" w:eastAsia="Times New Roman" w:hAnsi="Times New Roman"/>
          <w:sz w:val="13"/>
          <w:szCs w:val="13"/>
          <w:color w:val="auto"/>
        </w:rPr>
        <w:t xml:space="preserve">  An account, if available, that consists of all of the assets under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other than those in the Separate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Account or </w:t>
      </w:r>
      <w:r>
        <w:rPr>
          <w:rFonts w:ascii="Times New Roman" w:cs="Times New Roman" w:eastAsia="Times New Roman" w:hAnsi="Times New Roman"/>
          <w:sz w:val="13"/>
          <w:szCs w:val="13"/>
          <w:u w:val="single" w:color="auto"/>
          <w:color w:val="auto"/>
        </w:rPr>
        <w:t>Holding Account</w:t>
      </w:r>
      <w:r>
        <w:rPr>
          <w:rFonts w:ascii="Times New Roman" w:cs="Times New Roman" w:eastAsia="Times New Roman" w:hAnsi="Times New Roman"/>
          <w:sz w:val="13"/>
          <w:szCs w:val="13"/>
          <w:color w:val="auto"/>
        </w:rPr>
        <w:t xml:space="preserve"> . You may allocate your </w:t>
      </w:r>
      <w:r>
        <w:rPr>
          <w:rFonts w:ascii="Times New Roman" w:cs="Times New Roman" w:eastAsia="Times New Roman" w:hAnsi="Times New Roman"/>
          <w:sz w:val="13"/>
          <w:szCs w:val="13"/>
          <w:u w:val="single" w:color="auto"/>
          <w:color w:val="auto"/>
        </w:rPr>
        <w:t>Purchase Payment</w:t>
      </w:r>
      <w:r>
        <w:rPr>
          <w:rFonts w:ascii="Times New Roman" w:cs="Times New Roman" w:eastAsia="Times New Roman" w:hAnsi="Times New Roman"/>
          <w:sz w:val="13"/>
          <w:szCs w:val="13"/>
          <w:color w:val="auto"/>
        </w:rPr>
        <w:t xml:space="preserve"> to the </w:t>
      </w:r>
      <w:r>
        <w:rPr>
          <w:rFonts w:ascii="Times New Roman" w:cs="Times New Roman" w:eastAsia="Times New Roman" w:hAnsi="Times New Roman"/>
          <w:sz w:val="13"/>
          <w:szCs w:val="13"/>
          <w:u w:val="single" w:color="auto"/>
          <w:color w:val="auto"/>
        </w:rPr>
        <w:t>Fixed Account</w:t>
      </w:r>
      <w:r>
        <w:rPr>
          <w:rFonts w:ascii="Times New Roman" w:cs="Times New Roman" w:eastAsia="Times New Roman" w:hAnsi="Times New Roman"/>
          <w:sz w:val="13"/>
          <w:szCs w:val="13"/>
          <w:color w:val="auto"/>
        </w:rPr>
        <w:t xml:space="preserve">, and you may make a transfer into or out of the </w:t>
      </w:r>
      <w:r>
        <w:rPr>
          <w:rFonts w:ascii="Times New Roman" w:cs="Times New Roman" w:eastAsia="Times New Roman" w:hAnsi="Times New Roman"/>
          <w:sz w:val="13"/>
          <w:szCs w:val="13"/>
          <w:u w:val="single" w:color="auto"/>
          <w:color w:val="auto"/>
        </w:rPr>
        <w:t>Fixed Account</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u w:val="single" w:color="auto"/>
          <w:color w:val="auto"/>
        </w:rPr>
        <w:t>Fixed Account</w:t>
      </w:r>
      <w:r>
        <w:rPr>
          <w:rFonts w:ascii="Times New Roman" w:cs="Times New Roman" w:eastAsia="Times New Roman" w:hAnsi="Times New Roman"/>
          <w:sz w:val="13"/>
          <w:szCs w:val="13"/>
          <w:color w:val="auto"/>
        </w:rPr>
        <w:t xml:space="preserve"> is part of the General Account assets of BLNY.</w:t>
      </w:r>
    </w:p>
    <w:p>
      <w:pPr>
        <w:spacing w:after="0" w:line="44" w:lineRule="exact"/>
        <w:rPr>
          <w:sz w:val="20"/>
          <w:szCs w:val="20"/>
          <w:color w:val="auto"/>
        </w:rPr>
      </w:pPr>
    </w:p>
    <w:p>
      <w:pPr>
        <w:jc w:val="both"/>
        <w:ind w:right="2659"/>
        <w:spacing w:after="0" w:line="282" w:lineRule="auto"/>
        <w:rPr>
          <w:sz w:val="20"/>
          <w:szCs w:val="20"/>
          <w:color w:val="auto"/>
        </w:rPr>
      </w:pPr>
      <w:r>
        <w:rPr>
          <w:rFonts w:ascii="Times New Roman" w:cs="Times New Roman" w:eastAsia="Times New Roman" w:hAnsi="Times New Roman"/>
          <w:sz w:val="13"/>
          <w:szCs w:val="13"/>
          <w:b w:val="1"/>
          <w:bCs w:val="1"/>
          <w:color w:val="auto"/>
        </w:rPr>
        <w:t>Fixed Account Term.</w:t>
      </w:r>
      <w:r>
        <w:rPr>
          <w:rFonts w:ascii="Times New Roman" w:cs="Times New Roman" w:eastAsia="Times New Roman" w:hAnsi="Times New Roman"/>
          <w:sz w:val="13"/>
          <w:szCs w:val="13"/>
          <w:color w:val="auto"/>
        </w:rPr>
        <w:t xml:space="preserve">  The length of time over which the current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Fixed Account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interest rate is guaranteed. No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Fixed Account Term</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will extend beyond the </w:t>
      </w:r>
      <w:r>
        <w:rPr>
          <w:rFonts w:ascii="Times New Roman" w:cs="Times New Roman" w:eastAsia="Times New Roman" w:hAnsi="Times New Roman"/>
          <w:sz w:val="13"/>
          <w:szCs w:val="13"/>
          <w:u w:val="single" w:color="auto"/>
          <w:color w:val="auto"/>
        </w:rPr>
        <w:t>Annuity Date</w:t>
      </w:r>
      <w:r>
        <w:rPr>
          <w:rFonts w:ascii="Times New Roman" w:cs="Times New Roman" w:eastAsia="Times New Roman" w:hAnsi="Times New Roman"/>
          <w:sz w:val="13"/>
          <w:szCs w:val="13"/>
          <w:color w:val="auto"/>
        </w:rPr>
        <w:t xml:space="preserve">. The minimum </w:t>
      </w:r>
      <w:r>
        <w:rPr>
          <w:rFonts w:ascii="Times New Roman" w:cs="Times New Roman" w:eastAsia="Times New Roman" w:hAnsi="Times New Roman"/>
          <w:sz w:val="13"/>
          <w:szCs w:val="13"/>
          <w:u w:val="single" w:color="auto"/>
          <w:color w:val="auto"/>
        </w:rPr>
        <w:t>Fixed Account Term</w:t>
      </w:r>
      <w:r>
        <w:rPr>
          <w:rFonts w:ascii="Times New Roman" w:cs="Times New Roman" w:eastAsia="Times New Roman" w:hAnsi="Times New Roman"/>
          <w:sz w:val="13"/>
          <w:szCs w:val="13"/>
          <w:color w:val="auto"/>
        </w:rPr>
        <w:t xml:space="preserve"> depends on the date your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is issued but will not be less than one (1)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2493645</wp:posOffset>
            </wp:positionH>
            <wp:positionV relativeFrom="paragraph">
              <wp:posOffset>-135890</wp:posOffset>
            </wp:positionV>
            <wp:extent cx="25400" cy="63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5">
                      <a:extLst>
                        <a:ext uri="{28A0092B-C50C-407E-A947-70E740481C1C}"/>
                      </a:extLst>
                    </a:blip>
                    <a:srcRect/>
                    <a:stretch>
                      <a:fillRect/>
                    </a:stretch>
                  </pic:blipFill>
                  <pic:spPr bwMode="auto">
                    <a:xfrm>
                      <a:off x="0" y="0"/>
                      <a:ext cx="25400" cy="6350"/>
                    </a:xfrm>
                    <a:prstGeom prst="rect">
                      <a:avLst/>
                    </a:prstGeom>
                    <a:noFill/>
                  </pic:spPr>
                </pic:pic>
              </a:graphicData>
            </a:graphic>
          </wp:anchor>
        </w:drawing>
        <w:drawing>
          <wp:anchor simplePos="0" relativeHeight="251657728" behindDoc="1" locked="0" layoutInCell="0" allowOverlap="1">
            <wp:simplePos x="0" y="0"/>
            <wp:positionH relativeFrom="column">
              <wp:posOffset>3687445</wp:posOffset>
            </wp:positionH>
            <wp:positionV relativeFrom="paragraph">
              <wp:posOffset>-135890</wp:posOffset>
            </wp:positionV>
            <wp:extent cx="25400" cy="63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6">
                      <a:extLst>
                        <a:ext uri="{28A0092B-C50C-407E-A947-70E740481C1C}"/>
                      </a:extLst>
                    </a:blip>
                    <a:srcRect/>
                    <a:stretch>
                      <a:fillRect/>
                    </a:stretch>
                  </pic:blipFill>
                  <pic:spPr bwMode="auto">
                    <a:xfrm>
                      <a:off x="0" y="0"/>
                      <a:ext cx="25400" cy="635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Fixed Account Term End Date.</w:t>
      </w:r>
      <w:r>
        <w:rPr>
          <w:rFonts w:ascii="Times New Roman" w:cs="Times New Roman" w:eastAsia="Times New Roman" w:hAnsi="Times New Roman"/>
          <w:sz w:val="13"/>
          <w:szCs w:val="13"/>
          <w:color w:val="auto"/>
        </w:rPr>
        <w:t xml:space="preserve">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Contract Anniversary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on which 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Fixed Account Term</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ends.</w:t>
      </w:r>
    </w:p>
    <w:p>
      <w:pPr>
        <w:spacing w:after="0" w:line="89" w:lineRule="exact"/>
        <w:rPr>
          <w:sz w:val="20"/>
          <w:szCs w:val="20"/>
          <w:color w:val="auto"/>
        </w:rPr>
      </w:pPr>
    </w:p>
    <w:p>
      <w:pPr>
        <w:jc w:val="both"/>
        <w:ind w:right="2659"/>
        <w:spacing w:after="0" w:line="267" w:lineRule="auto"/>
        <w:rPr>
          <w:sz w:val="20"/>
          <w:szCs w:val="20"/>
          <w:color w:val="auto"/>
        </w:rPr>
      </w:pPr>
      <w:r>
        <w:rPr>
          <w:rFonts w:ascii="Times New Roman" w:cs="Times New Roman" w:eastAsia="Times New Roman" w:hAnsi="Times New Roman"/>
          <w:sz w:val="13"/>
          <w:szCs w:val="13"/>
          <w:b w:val="1"/>
          <w:bCs w:val="1"/>
          <w:color w:val="auto"/>
        </w:rPr>
        <w:t xml:space="preserve">Fixed Account Value. </w:t>
      </w:r>
      <w:r>
        <w:rPr>
          <w:rFonts w:ascii="Times New Roman" w:cs="Times New Roman" w:eastAsia="Times New Roman" w:hAnsi="Times New Roman"/>
          <w:sz w:val="13"/>
          <w:szCs w:val="13"/>
          <w:color w:val="auto"/>
        </w:rPr>
        <w:t>The initial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Fixed Account Value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is the amount of your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Purchase Payment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initially allocated to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Fixed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Account</w:t>
      </w:r>
      <w:r>
        <w:rPr>
          <w:rFonts w:ascii="Times New Roman" w:cs="Times New Roman" w:eastAsia="Times New Roman" w:hAnsi="Times New Roman"/>
          <w:sz w:val="13"/>
          <w:szCs w:val="13"/>
          <w:color w:val="auto"/>
        </w:rPr>
        <w:t xml:space="preserve">. Thereafter, the </w:t>
      </w:r>
      <w:r>
        <w:rPr>
          <w:rFonts w:ascii="Times New Roman" w:cs="Times New Roman" w:eastAsia="Times New Roman" w:hAnsi="Times New Roman"/>
          <w:sz w:val="13"/>
          <w:szCs w:val="13"/>
          <w:u w:val="single" w:color="auto"/>
          <w:color w:val="auto"/>
        </w:rPr>
        <w:t>Fixed Account Value</w:t>
      </w:r>
      <w:r>
        <w:rPr>
          <w:rFonts w:ascii="Times New Roman" w:cs="Times New Roman" w:eastAsia="Times New Roman" w:hAnsi="Times New Roman"/>
          <w:sz w:val="13"/>
          <w:szCs w:val="13"/>
          <w:color w:val="auto"/>
        </w:rPr>
        <w:t xml:space="preserve"> equals: (a) the initial </w:t>
      </w:r>
      <w:r>
        <w:rPr>
          <w:rFonts w:ascii="Times New Roman" w:cs="Times New Roman" w:eastAsia="Times New Roman" w:hAnsi="Times New Roman"/>
          <w:sz w:val="13"/>
          <w:szCs w:val="13"/>
          <w:u w:val="single" w:color="auto"/>
          <w:color w:val="auto"/>
        </w:rPr>
        <w:t>Fixed Account Value</w:t>
      </w:r>
      <w:r>
        <w:rPr>
          <w:rFonts w:ascii="Times New Roman" w:cs="Times New Roman" w:eastAsia="Times New Roman" w:hAnsi="Times New Roman"/>
          <w:sz w:val="13"/>
          <w:szCs w:val="13"/>
          <w:color w:val="auto"/>
        </w:rPr>
        <w:t xml:space="preserve"> or the </w:t>
      </w:r>
      <w:r>
        <w:rPr>
          <w:rFonts w:ascii="Times New Roman" w:cs="Times New Roman" w:eastAsia="Times New Roman" w:hAnsi="Times New Roman"/>
          <w:sz w:val="13"/>
          <w:szCs w:val="13"/>
          <w:u w:val="single" w:color="auto"/>
          <w:color w:val="auto"/>
        </w:rPr>
        <w:t>Fixed Account Value</w:t>
      </w:r>
      <w:r>
        <w:rPr>
          <w:rFonts w:ascii="Times New Roman" w:cs="Times New Roman" w:eastAsia="Times New Roman" w:hAnsi="Times New Roman"/>
          <w:sz w:val="13"/>
          <w:szCs w:val="13"/>
          <w:color w:val="auto"/>
        </w:rPr>
        <w:t xml:space="preserve"> on the most recent </w:t>
      </w:r>
      <w:r>
        <w:rPr>
          <w:rFonts w:ascii="Times New Roman" w:cs="Times New Roman" w:eastAsia="Times New Roman" w:hAnsi="Times New Roman"/>
          <w:sz w:val="13"/>
          <w:szCs w:val="13"/>
          <w:u w:val="single" w:color="auto"/>
          <w:color w:val="auto"/>
        </w:rPr>
        <w:t>Contract Anniversary</w:t>
      </w:r>
      <w:r>
        <w:rPr>
          <w:rFonts w:ascii="Times New Roman" w:cs="Times New Roman" w:eastAsia="Times New Roman" w:hAnsi="Times New Roman"/>
          <w:sz w:val="13"/>
          <w:szCs w:val="13"/>
          <w:color w:val="auto"/>
        </w:rPr>
        <w:t xml:space="preserve">, including any transfers, whichever is applicable; plus (b) any interest credited by us; less (c) the amount of any withdrawals (including any applicable </w:t>
      </w:r>
      <w:r>
        <w:rPr>
          <w:rFonts w:ascii="Times New Roman" w:cs="Times New Roman" w:eastAsia="Times New Roman" w:hAnsi="Times New Roman"/>
          <w:sz w:val="13"/>
          <w:szCs w:val="13"/>
          <w:u w:val="single" w:color="auto"/>
          <w:color w:val="auto"/>
        </w:rPr>
        <w:t>Withdrawal Charges</w:t>
      </w:r>
      <w:r>
        <w:rPr>
          <w:rFonts w:ascii="Times New Roman" w:cs="Times New Roman" w:eastAsia="Times New Roman" w:hAnsi="Times New Roman"/>
          <w:sz w:val="13"/>
          <w:szCs w:val="13"/>
          <w:color w:val="auto"/>
        </w:rPr>
        <w:t xml:space="preserve">); and less (d) any </w:t>
      </w:r>
      <w:r>
        <w:rPr>
          <w:rFonts w:ascii="Times New Roman" w:cs="Times New Roman" w:eastAsia="Times New Roman" w:hAnsi="Times New Roman"/>
          <w:sz w:val="13"/>
          <w:szCs w:val="13"/>
          <w:u w:val="single" w:color="auto"/>
          <w:color w:val="auto"/>
        </w:rPr>
        <w:t>Premium Tax</w:t>
      </w:r>
      <w:r>
        <w:rPr>
          <w:rFonts w:ascii="Times New Roman" w:cs="Times New Roman" w:eastAsia="Times New Roman" w:hAnsi="Times New Roman"/>
          <w:sz w:val="13"/>
          <w:szCs w:val="13"/>
          <w:color w:val="auto"/>
        </w:rPr>
        <w:t xml:space="preserve"> or other taxes, if applicable.</w:t>
      </w:r>
    </w:p>
    <w:p>
      <w:pPr>
        <w:spacing w:after="0" w:line="49" w:lineRule="exact"/>
        <w:rPr>
          <w:sz w:val="20"/>
          <w:szCs w:val="20"/>
          <w:color w:val="auto"/>
        </w:rPr>
      </w:pPr>
    </w:p>
    <w:p>
      <w:pPr>
        <w:jc w:val="both"/>
        <w:ind w:right="2659"/>
        <w:spacing w:after="0" w:line="267" w:lineRule="auto"/>
        <w:rPr>
          <w:sz w:val="20"/>
          <w:szCs w:val="20"/>
          <w:color w:val="auto"/>
        </w:rPr>
      </w:pPr>
      <w:r>
        <w:rPr>
          <w:rFonts w:ascii="Times New Roman" w:cs="Times New Roman" w:eastAsia="Times New Roman" w:hAnsi="Times New Roman"/>
          <w:sz w:val="13"/>
          <w:szCs w:val="13"/>
          <w:b w:val="1"/>
          <w:bCs w:val="1"/>
          <w:color w:val="auto"/>
        </w:rPr>
        <w:t xml:space="preserve">Free Withdrawal Amount. </w:t>
      </w:r>
      <w:r>
        <w:rPr>
          <w:rFonts w:ascii="Times New Roman" w:cs="Times New Roman" w:eastAsia="Times New Roman" w:hAnsi="Times New Roman"/>
          <w:sz w:val="13"/>
          <w:szCs w:val="13"/>
          <w:color w:val="auto"/>
        </w:rPr>
        <w:t>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Free Withdrawal Amount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 the first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Contract Year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is zero. Thereafter,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Free Withdrawal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Amount</w:t>
      </w:r>
      <w:r>
        <w:rPr>
          <w:rFonts w:ascii="Times New Roman" w:cs="Times New Roman" w:eastAsia="Times New Roman" w:hAnsi="Times New Roman"/>
          <w:sz w:val="13"/>
          <w:szCs w:val="13"/>
          <w:color w:val="auto"/>
        </w:rPr>
        <w:t xml:space="preserve"> each </w:t>
      </w:r>
      <w:r>
        <w:rPr>
          <w:rFonts w:ascii="Times New Roman" w:cs="Times New Roman" w:eastAsia="Times New Roman" w:hAnsi="Times New Roman"/>
          <w:sz w:val="13"/>
          <w:szCs w:val="13"/>
          <w:u w:val="single" w:color="auto"/>
          <w:color w:val="auto"/>
        </w:rPr>
        <w:t>Contract Year</w:t>
      </w:r>
      <w:r>
        <w:rPr>
          <w:rFonts w:ascii="Times New Roman" w:cs="Times New Roman" w:eastAsia="Times New Roman" w:hAnsi="Times New Roman"/>
          <w:sz w:val="13"/>
          <w:szCs w:val="13"/>
          <w:color w:val="auto"/>
        </w:rPr>
        <w:t xml:space="preserve"> is equal to 10% of your </w:t>
      </w:r>
      <w:r>
        <w:rPr>
          <w:rFonts w:ascii="Times New Roman" w:cs="Times New Roman" w:eastAsia="Times New Roman" w:hAnsi="Times New Roman"/>
          <w:sz w:val="13"/>
          <w:szCs w:val="13"/>
          <w:u w:val="single" w:color="auto"/>
          <w:color w:val="auto"/>
        </w:rPr>
        <w:t>Account Value</w:t>
      </w:r>
      <w:r>
        <w:rPr>
          <w:rFonts w:ascii="Times New Roman" w:cs="Times New Roman" w:eastAsia="Times New Roman" w:hAnsi="Times New Roman"/>
          <w:sz w:val="13"/>
          <w:szCs w:val="13"/>
          <w:color w:val="auto"/>
        </w:rPr>
        <w:t xml:space="preserve"> as of the prior </w:t>
      </w:r>
      <w:r>
        <w:rPr>
          <w:rFonts w:ascii="Times New Roman" w:cs="Times New Roman" w:eastAsia="Times New Roman" w:hAnsi="Times New Roman"/>
          <w:sz w:val="13"/>
          <w:szCs w:val="13"/>
          <w:u w:val="single" w:color="auto"/>
          <w:color w:val="auto"/>
        </w:rPr>
        <w:t>Contract Anniversary</w:t>
      </w:r>
      <w:r>
        <w:rPr>
          <w:rFonts w:ascii="Times New Roman" w:cs="Times New Roman" w:eastAsia="Times New Roman" w:hAnsi="Times New Roman"/>
          <w:sz w:val="13"/>
          <w:szCs w:val="13"/>
          <w:color w:val="auto"/>
        </w:rPr>
        <w:t xml:space="preserve"> , less the total amount withdrawn from the </w:t>
      </w:r>
      <w:r>
        <w:rPr>
          <w:rFonts w:ascii="Times New Roman" w:cs="Times New Roman" w:eastAsia="Times New Roman" w:hAnsi="Times New Roman"/>
          <w:sz w:val="13"/>
          <w:szCs w:val="13"/>
          <w:u w:val="single" w:color="auto"/>
          <w:color w:val="auto"/>
        </w:rPr>
        <w:t>Account Value</w:t>
      </w:r>
      <w:r>
        <w:rPr>
          <w:rFonts w:ascii="Times New Roman" w:cs="Times New Roman" w:eastAsia="Times New Roman" w:hAnsi="Times New Roman"/>
          <w:sz w:val="13"/>
          <w:szCs w:val="13"/>
          <w:color w:val="auto"/>
        </w:rPr>
        <w:t xml:space="preserve"> in the current </w:t>
      </w:r>
      <w:r>
        <w:rPr>
          <w:rFonts w:ascii="Times New Roman" w:cs="Times New Roman" w:eastAsia="Times New Roman" w:hAnsi="Times New Roman"/>
          <w:sz w:val="13"/>
          <w:szCs w:val="13"/>
          <w:u w:val="single" w:color="auto"/>
          <w:color w:val="auto"/>
        </w:rPr>
        <w:t>Contract Year</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u w:val="single" w:color="auto"/>
          <w:color w:val="auto"/>
        </w:rPr>
        <w:t>Free Withdrawal Amount</w:t>
      </w:r>
      <w:r>
        <w:rPr>
          <w:rFonts w:ascii="Times New Roman" w:cs="Times New Roman" w:eastAsia="Times New Roman" w:hAnsi="Times New Roman"/>
          <w:sz w:val="13"/>
          <w:szCs w:val="13"/>
          <w:color w:val="auto"/>
        </w:rPr>
        <w:t xml:space="preserve"> is non-cumulative and is not carried over to other </w:t>
      </w:r>
      <w:r>
        <w:rPr>
          <w:rFonts w:ascii="Times New Roman" w:cs="Times New Roman" w:eastAsia="Times New Roman" w:hAnsi="Times New Roman"/>
          <w:sz w:val="13"/>
          <w:szCs w:val="13"/>
          <w:u w:val="single" w:color="auto"/>
          <w:color w:val="auto"/>
        </w:rPr>
        <w:t>Contract Years</w:t>
      </w:r>
      <w:r>
        <w:rPr>
          <w:rFonts w:ascii="Times New Roman" w:cs="Times New Roman" w:eastAsia="Times New Roman" w:hAnsi="Times New Roman"/>
          <w:sz w:val="13"/>
          <w:szCs w:val="13"/>
          <w:color w:val="auto"/>
        </w:rPr>
        <w:t>.</w:t>
      </w:r>
    </w:p>
    <w:p>
      <w:pPr>
        <w:spacing w:after="0" w:line="59" w:lineRule="exact"/>
        <w:rPr>
          <w:sz w:val="20"/>
          <w:szCs w:val="20"/>
          <w:color w:val="auto"/>
        </w:rPr>
      </w:pPr>
    </w:p>
    <w:p>
      <w:pPr>
        <w:jc w:val="both"/>
        <w:ind w:right="2659"/>
        <w:spacing w:after="0" w:line="260" w:lineRule="auto"/>
        <w:rPr>
          <w:sz w:val="20"/>
          <w:szCs w:val="20"/>
          <w:color w:val="auto"/>
        </w:rPr>
      </w:pPr>
      <w:r>
        <w:rPr>
          <w:rFonts w:ascii="Times New Roman" w:cs="Times New Roman" w:eastAsia="Times New Roman" w:hAnsi="Times New Roman"/>
          <w:sz w:val="13"/>
          <w:szCs w:val="13"/>
          <w:b w:val="1"/>
          <w:bCs w:val="1"/>
          <w:color w:val="auto"/>
        </w:rPr>
        <w:t>Good Order.</w:t>
      </w:r>
      <w:r>
        <w:rPr>
          <w:rFonts w:ascii="Times New Roman" w:cs="Times New Roman" w:eastAsia="Times New Roman" w:hAnsi="Times New Roman"/>
          <w:sz w:val="13"/>
          <w:szCs w:val="13"/>
          <w:color w:val="auto"/>
        </w:rPr>
        <w:t xml:space="preserve">  A request or transaction generally is considered in “</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Good Order</w:t>
      </w:r>
      <w:r>
        <w:rPr>
          <w:rFonts w:ascii="Times New Roman" w:cs="Times New Roman" w:eastAsia="Times New Roman" w:hAnsi="Times New Roman"/>
          <w:sz w:val="13"/>
          <w:szCs w:val="13"/>
          <w:color w:val="auto"/>
        </w:rPr>
        <w:t>” if it complies with our administrative procedures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and the required information is complete and accurate. A request or transaction may be rejected or delayed if not in </w:t>
      </w:r>
      <w:r>
        <w:rPr>
          <w:rFonts w:ascii="Times New Roman" w:cs="Times New Roman" w:eastAsia="Times New Roman" w:hAnsi="Times New Roman"/>
          <w:sz w:val="13"/>
          <w:szCs w:val="13"/>
          <w:u w:val="single" w:color="auto"/>
          <w:color w:val="auto"/>
        </w:rPr>
        <w:t>Good Order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Good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Order</w:t>
      </w:r>
      <w:r>
        <w:rPr>
          <w:rFonts w:ascii="Times New Roman" w:cs="Times New Roman" w:eastAsia="Times New Roman" w:hAnsi="Times New Roman"/>
          <w:sz w:val="13"/>
          <w:szCs w:val="13"/>
          <w:color w:val="auto"/>
        </w:rPr>
        <w:t xml:space="preserve"> generally means the actual receipt by us of the instructions relating to the requested transaction in writing (or, when permitted, by telephone) along with all forms, information and supporting legal documentation necessary to effect the transaction. This information and documentation generally includes to the extent applicable to the transaction: your completed application; your contract number; the transaction amount (in dollars or percentage terms); the names and allocations to and/or from the </w:t>
      </w:r>
      <w:r>
        <w:rPr>
          <w:rFonts w:ascii="Times New Roman" w:cs="Times New Roman" w:eastAsia="Times New Roman" w:hAnsi="Times New Roman"/>
          <w:sz w:val="13"/>
          <w:szCs w:val="13"/>
          <w:u w:val="single" w:color="auto"/>
          <w:color w:val="auto"/>
        </w:rPr>
        <w:t>Shield Options</w:t>
      </w:r>
      <w:r>
        <w:rPr>
          <w:rFonts w:ascii="Times New Roman" w:cs="Times New Roman" w:eastAsia="Times New Roman" w:hAnsi="Times New Roman"/>
          <w:sz w:val="13"/>
          <w:szCs w:val="13"/>
          <w:color w:val="auto"/>
        </w:rPr>
        <w:t xml:space="preserve">, or the </w:t>
      </w:r>
      <w:r>
        <w:rPr>
          <w:rFonts w:ascii="Times New Roman" w:cs="Times New Roman" w:eastAsia="Times New Roman" w:hAnsi="Times New Roman"/>
          <w:sz w:val="13"/>
          <w:szCs w:val="13"/>
          <w:u w:val="single" w:color="auto"/>
          <w:color w:val="auto"/>
        </w:rPr>
        <w:t>Fixed Account</w:t>
      </w:r>
      <w:r>
        <w:rPr>
          <w:rFonts w:ascii="Times New Roman" w:cs="Times New Roman" w:eastAsia="Times New Roman" w:hAnsi="Times New Roman"/>
          <w:sz w:val="13"/>
          <w:szCs w:val="13"/>
          <w:color w:val="auto"/>
        </w:rPr>
        <w:t xml:space="preserve"> if applicable, affected by the requested transaction; the signatures of all </w:t>
      </w:r>
      <w:r>
        <w:rPr>
          <w:rFonts w:ascii="Times New Roman" w:cs="Times New Roman" w:eastAsia="Times New Roman" w:hAnsi="Times New Roman"/>
          <w:sz w:val="13"/>
          <w:szCs w:val="13"/>
          <w:u w:val="single" w:color="auto"/>
          <w:color w:val="auto"/>
        </w:rPr>
        <w:t>Contract Owners</w:t>
      </w:r>
      <w:r>
        <w:rPr>
          <w:rFonts w:ascii="Times New Roman" w:cs="Times New Roman" w:eastAsia="Times New Roman" w:hAnsi="Times New Roman"/>
          <w:sz w:val="13"/>
          <w:szCs w:val="13"/>
          <w:color w:val="auto"/>
        </w:rPr>
        <w:t xml:space="preserve"> (exactly as indicated on the contract), if necessary; Social Security Number or Tax I.D.; and any other information or supporting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-730885</wp:posOffset>
            </wp:positionV>
            <wp:extent cx="31750" cy="63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7">
                      <a:extLst>
                        <a:ext uri="{28A0092B-C50C-407E-A947-70E740481C1C}"/>
                      </a:extLst>
                    </a:blip>
                    <a:srcRect/>
                    <a:stretch>
                      <a:fillRect/>
                    </a:stretch>
                  </pic:blipFill>
                  <pic:spPr bwMode="auto">
                    <a:xfrm>
                      <a:off x="0" y="0"/>
                      <a:ext cx="31750" cy="6350"/>
                    </a:xfrm>
                    <a:prstGeom prst="rect">
                      <a:avLst/>
                    </a:prstGeom>
                    <a:noFill/>
                  </pic:spPr>
                </pic:pic>
              </a:graphicData>
            </a:graphic>
          </wp:anchor>
        </w:drawing>
      </w:r>
    </w:p>
    <w:p>
      <w:pPr>
        <w:spacing w:after="0" w:line="11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799"/>
          </w:cols>
          <w:pgMar w:left="660" w:top="1166" w:right="1440" w:bottom="1440" w:gutter="0" w:footer="0" w:header="0"/>
        </w:sectPr>
      </w:pPr>
    </w:p>
    <w:bookmarkStart w:id="136" w:name="page137"/>
    <w:bookmarkEnd w:id="136"/>
    <w:p>
      <w:pPr>
        <w:jc w:val="both"/>
        <w:ind w:right="2659"/>
        <w:spacing w:after="0" w:line="26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8">
                      <a:extLst>
                        <a:ext uri="{28A0092B-C50C-407E-A947-70E740481C1C}"/>
                      </a:extLst>
                    </a:blip>
                    <a:srcRect/>
                    <a:stretch>
                      <a:fillRect/>
                    </a:stretch>
                  </pic:blipFill>
                  <pic:spPr bwMode="auto">
                    <a:xfrm>
                      <a:off x="0" y="0"/>
                      <a:ext cx="7193915" cy="38100"/>
                    </a:xfrm>
                    <a:prstGeom prst="rect">
                      <a:avLst/>
                    </a:prstGeom>
                    <a:noFill/>
                  </pic:spPr>
                </pic:pic>
              </a:graphicData>
            </a:graphic>
          </wp:anchor>
        </w:drawing>
        <w:t xml:space="preserve">documentation that we may require, including any spousal or </w:t>
      </w:r>
      <w:r>
        <w:rPr>
          <w:rFonts w:ascii="Times New Roman" w:cs="Times New Roman" w:eastAsia="Times New Roman" w:hAnsi="Times New Roman"/>
          <w:sz w:val="13"/>
          <w:szCs w:val="13"/>
          <w:u w:val="single" w:color="auto"/>
          <w:color w:val="auto"/>
        </w:rPr>
        <w:t>Joint Owner’s</w:t>
      </w:r>
      <w:r>
        <w:rPr>
          <w:rFonts w:ascii="Times New Roman" w:cs="Times New Roman" w:eastAsia="Times New Roman" w:hAnsi="Times New Roman"/>
          <w:sz w:val="13"/>
          <w:szCs w:val="13"/>
          <w:color w:val="auto"/>
        </w:rPr>
        <w:t xml:space="preserve"> consents. With respect to </w:t>
      </w:r>
      <w:r>
        <w:rPr>
          <w:rFonts w:ascii="Times New Roman" w:cs="Times New Roman" w:eastAsia="Times New Roman" w:hAnsi="Times New Roman"/>
          <w:sz w:val="13"/>
          <w:szCs w:val="13"/>
          <w:u w:val="single" w:color="auto"/>
          <w:color w:val="auto"/>
        </w:rPr>
        <w:t>Purchase Payments</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u w:val="single" w:color="auto"/>
          <w:color w:val="auto"/>
        </w:rPr>
        <w:t>Good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Order</w:t>
      </w:r>
      <w:r>
        <w:rPr>
          <w:rFonts w:ascii="Times New Roman" w:cs="Times New Roman" w:eastAsia="Times New Roman" w:hAnsi="Times New Roman"/>
          <w:sz w:val="13"/>
          <w:szCs w:val="13"/>
          <w:color w:val="auto"/>
        </w:rPr>
        <w:t xml:space="preserve"> also generally includes receipt by us of sufficient funds to effect the purchase. We may, in our sole discretion, determine whether any particular transaction request is in </w:t>
      </w:r>
      <w:r>
        <w:rPr>
          <w:rFonts w:ascii="Times New Roman" w:cs="Times New Roman" w:eastAsia="Times New Roman" w:hAnsi="Times New Roman"/>
          <w:sz w:val="13"/>
          <w:szCs w:val="13"/>
          <w:u w:val="single" w:color="auto"/>
          <w:color w:val="auto"/>
        </w:rPr>
        <w:t>Good Order</w:t>
      </w:r>
      <w:r>
        <w:rPr>
          <w:rFonts w:ascii="Times New Roman" w:cs="Times New Roman" w:eastAsia="Times New Roman" w:hAnsi="Times New Roman"/>
          <w:sz w:val="13"/>
          <w:szCs w:val="13"/>
          <w:color w:val="auto"/>
        </w:rPr>
        <w:t xml:space="preserve">, and we reserve the right to change or waive any </w:t>
      </w:r>
      <w:r>
        <w:rPr>
          <w:rFonts w:ascii="Times New Roman" w:cs="Times New Roman" w:eastAsia="Times New Roman" w:hAnsi="Times New Roman"/>
          <w:sz w:val="13"/>
          <w:szCs w:val="13"/>
          <w:u w:val="single" w:color="auto"/>
          <w:color w:val="auto"/>
        </w:rPr>
        <w:t>Good Order</w:t>
      </w:r>
      <w:r>
        <w:rPr>
          <w:rFonts w:ascii="Times New Roman" w:cs="Times New Roman" w:eastAsia="Times New Roman" w:hAnsi="Times New Roman"/>
          <w:sz w:val="13"/>
          <w:szCs w:val="13"/>
          <w:color w:val="auto"/>
        </w:rPr>
        <w:t xml:space="preserve"> requirement at any time. If you have any questions, you should contact us or your financial professional before submitting the form or request.</w:t>
      </w:r>
    </w:p>
    <w:p>
      <w:pPr>
        <w:spacing w:after="0" w:line="59" w:lineRule="exact"/>
        <w:rPr>
          <w:sz w:val="20"/>
          <w:szCs w:val="20"/>
          <w:color w:val="auto"/>
        </w:rPr>
      </w:pPr>
    </w:p>
    <w:p>
      <w:pPr>
        <w:jc w:val="both"/>
        <w:ind w:right="2659"/>
        <w:spacing w:after="0" w:line="267" w:lineRule="auto"/>
        <w:rPr>
          <w:sz w:val="20"/>
          <w:szCs w:val="20"/>
          <w:color w:val="auto"/>
        </w:rPr>
      </w:pPr>
      <w:r>
        <w:rPr>
          <w:rFonts w:ascii="Times New Roman" w:cs="Times New Roman" w:eastAsia="Times New Roman" w:hAnsi="Times New Roman"/>
          <w:sz w:val="13"/>
          <w:szCs w:val="13"/>
          <w:b w:val="1"/>
          <w:bCs w:val="1"/>
          <w:color w:val="auto"/>
        </w:rPr>
        <w:t>Holding Account.</w:t>
      </w:r>
      <w:r>
        <w:rPr>
          <w:rFonts w:ascii="Times New Roman" w:cs="Times New Roman" w:eastAsia="Times New Roman" w:hAnsi="Times New Roman"/>
          <w:sz w:val="13"/>
          <w:szCs w:val="13"/>
          <w:color w:val="auto"/>
        </w:rPr>
        <w:t xml:space="preserve">  An account that may hold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Account Value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prior to being transferred to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Shield Option(s)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and/or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Fixed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Account</w:t>
      </w:r>
      <w:r>
        <w:rPr>
          <w:rFonts w:ascii="Times New Roman" w:cs="Times New Roman" w:eastAsia="Times New Roman" w:hAnsi="Times New Roman"/>
          <w:sz w:val="13"/>
          <w:szCs w:val="13"/>
          <w:color w:val="auto"/>
        </w:rPr>
        <w:t xml:space="preserve"> in accordance with your allocation instructions. Transfers can only occur on a </w:t>
      </w:r>
      <w:r>
        <w:rPr>
          <w:rFonts w:ascii="Times New Roman" w:cs="Times New Roman" w:eastAsia="Times New Roman" w:hAnsi="Times New Roman"/>
          <w:sz w:val="13"/>
          <w:szCs w:val="13"/>
          <w:u w:val="single" w:color="auto"/>
          <w:color w:val="auto"/>
        </w:rPr>
        <w:t>Contract Anniversary</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u w:val="single" w:color="auto"/>
          <w:color w:val="auto"/>
        </w:rPr>
        <w:t>Holding Account</w:t>
      </w:r>
      <w:r>
        <w:rPr>
          <w:rFonts w:ascii="Times New Roman" w:cs="Times New Roman" w:eastAsia="Times New Roman" w:hAnsi="Times New Roman"/>
          <w:sz w:val="13"/>
          <w:szCs w:val="13"/>
          <w:color w:val="auto"/>
        </w:rPr>
        <w:t xml:space="preserve"> has its own </w:t>
      </w:r>
      <w:r>
        <w:rPr>
          <w:rFonts w:ascii="Times New Roman" w:cs="Times New Roman" w:eastAsia="Times New Roman" w:hAnsi="Times New Roman"/>
          <w:sz w:val="13"/>
          <w:szCs w:val="13"/>
          <w:u w:val="single" w:color="auto"/>
          <w:color w:val="auto"/>
        </w:rPr>
        <w:t>Holding Account</w:t>
      </w:r>
      <w:r>
        <w:rPr>
          <w:rFonts w:ascii="Times New Roman" w:cs="Times New Roman" w:eastAsia="Times New Roman" w:hAnsi="Times New Roman"/>
          <w:sz w:val="13"/>
          <w:szCs w:val="13"/>
          <w:color w:val="auto"/>
        </w:rPr>
        <w:t xml:space="preserve"> interest rate, which is a fixed interest rate, and interest is credited daily at an effective annual rate that we declare periodically. The </w:t>
      </w:r>
      <w:r>
        <w:rPr>
          <w:rFonts w:ascii="Times New Roman" w:cs="Times New Roman" w:eastAsia="Times New Roman" w:hAnsi="Times New Roman"/>
          <w:sz w:val="13"/>
          <w:szCs w:val="13"/>
          <w:u w:val="single" w:color="auto"/>
          <w:color w:val="auto"/>
        </w:rPr>
        <w:t>Holding Account</w:t>
      </w:r>
      <w:r>
        <w:rPr>
          <w:rFonts w:ascii="Times New Roman" w:cs="Times New Roman" w:eastAsia="Times New Roman" w:hAnsi="Times New Roman"/>
          <w:sz w:val="13"/>
          <w:szCs w:val="13"/>
          <w:color w:val="auto"/>
        </w:rPr>
        <w:t xml:space="preserve"> is part of the General Account assets of BLNY.</w:t>
      </w:r>
    </w:p>
    <w:p>
      <w:pPr>
        <w:spacing w:after="0" w:line="49" w:lineRule="exact"/>
        <w:rPr>
          <w:sz w:val="20"/>
          <w:szCs w:val="20"/>
          <w:color w:val="auto"/>
        </w:rPr>
      </w:pPr>
    </w:p>
    <w:p>
      <w:pPr>
        <w:jc w:val="both"/>
        <w:ind w:right="2659"/>
        <w:spacing w:after="0" w:line="274" w:lineRule="auto"/>
        <w:rPr>
          <w:sz w:val="20"/>
          <w:szCs w:val="20"/>
          <w:color w:val="auto"/>
        </w:rPr>
      </w:pPr>
      <w:r>
        <w:rPr>
          <w:rFonts w:ascii="Times New Roman" w:cs="Times New Roman" w:eastAsia="Times New Roman" w:hAnsi="Times New Roman"/>
          <w:sz w:val="13"/>
          <w:szCs w:val="13"/>
          <w:b w:val="1"/>
          <w:bCs w:val="1"/>
          <w:color w:val="auto"/>
        </w:rPr>
        <w:t xml:space="preserve">Index (Indices). </w:t>
      </w:r>
      <w:r>
        <w:rPr>
          <w:rFonts w:ascii="Times New Roman" w:cs="Times New Roman" w:eastAsia="Times New Roman" w:hAnsi="Times New Roman"/>
          <w:sz w:val="13"/>
          <w:szCs w:val="13"/>
          <w:color w:val="auto"/>
        </w:rPr>
        <w:t>The underlying index associated with 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which is used to determine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Index Performance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on 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End Date</w:t>
      </w:r>
      <w:r>
        <w:rPr>
          <w:rFonts w:ascii="Times New Roman" w:cs="Times New Roman" w:eastAsia="Times New Roman" w:hAnsi="Times New Roman"/>
          <w:sz w:val="13"/>
          <w:szCs w:val="13"/>
          <w:color w:val="auto"/>
        </w:rPr>
        <w:t xml:space="preserve">. We currently offer </w:t>
      </w:r>
      <w:r>
        <w:rPr>
          <w:rFonts w:ascii="Times New Roman" w:cs="Times New Roman" w:eastAsia="Times New Roman" w:hAnsi="Times New Roman"/>
          <w:sz w:val="13"/>
          <w:szCs w:val="13"/>
          <w:u w:val="single" w:color="auto"/>
          <w:color w:val="auto"/>
        </w:rPr>
        <w:t>Shield Options</w:t>
      </w:r>
      <w:r>
        <w:rPr>
          <w:rFonts w:ascii="Times New Roman" w:cs="Times New Roman" w:eastAsia="Times New Roman" w:hAnsi="Times New Roman"/>
          <w:sz w:val="13"/>
          <w:szCs w:val="13"/>
          <w:color w:val="auto"/>
        </w:rPr>
        <w:t xml:space="preserve"> with indices based on the performance of securities. In the future we may offer </w:t>
      </w:r>
      <w:r>
        <w:rPr>
          <w:rFonts w:ascii="Times New Roman" w:cs="Times New Roman" w:eastAsia="Times New Roman" w:hAnsi="Times New Roman"/>
          <w:sz w:val="13"/>
          <w:szCs w:val="13"/>
          <w:u w:val="single" w:color="auto"/>
          <w:color w:val="auto"/>
        </w:rPr>
        <w:t>Shield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Options</w:t>
      </w:r>
      <w:r>
        <w:rPr>
          <w:rFonts w:ascii="Times New Roman" w:cs="Times New Roman" w:eastAsia="Times New Roman" w:hAnsi="Times New Roman"/>
          <w:sz w:val="13"/>
          <w:szCs w:val="13"/>
          <w:color w:val="auto"/>
        </w:rPr>
        <w:t xml:space="preserve"> based on other types of </w:t>
      </w:r>
      <w:r>
        <w:rPr>
          <w:rFonts w:ascii="Times New Roman" w:cs="Times New Roman" w:eastAsia="Times New Roman" w:hAnsi="Times New Roman"/>
          <w:sz w:val="13"/>
          <w:szCs w:val="13"/>
          <w:u w:val="single" w:color="auto"/>
          <w:color w:val="auto"/>
        </w:rPr>
        <w:t>Indices</w:t>
      </w:r>
      <w:r>
        <w:rPr>
          <w:rFonts w:ascii="Times New Roman" w:cs="Times New Roman" w:eastAsia="Times New Roman" w:hAnsi="Times New Roman"/>
          <w:sz w:val="13"/>
          <w:szCs w:val="13"/>
          <w:color w:val="auto"/>
        </w:rPr>
        <w:t>. We may also add other indices at our discretion.</w:t>
      </w:r>
    </w:p>
    <w:p>
      <w:pPr>
        <w:spacing w:after="0" w:line="44" w:lineRule="exact"/>
        <w:rPr>
          <w:sz w:val="20"/>
          <w:szCs w:val="20"/>
          <w:color w:val="auto"/>
        </w:rPr>
      </w:pPr>
    </w:p>
    <w:p>
      <w:pPr>
        <w:jc w:val="both"/>
        <w:ind w:right="2659"/>
        <w:spacing w:after="0" w:line="293" w:lineRule="auto"/>
        <w:rPr>
          <w:sz w:val="20"/>
          <w:szCs w:val="20"/>
          <w:color w:val="auto"/>
        </w:rPr>
      </w:pPr>
      <w:r>
        <w:rPr>
          <w:rFonts w:ascii="Times New Roman" w:cs="Times New Roman" w:eastAsia="Times New Roman" w:hAnsi="Times New Roman"/>
          <w:sz w:val="13"/>
          <w:szCs w:val="13"/>
          <w:b w:val="1"/>
          <w:bCs w:val="1"/>
          <w:color w:val="auto"/>
        </w:rPr>
        <w:t>Index Performance.</w:t>
      </w:r>
      <w:r>
        <w:rPr>
          <w:rFonts w:ascii="Times New Roman" w:cs="Times New Roman" w:eastAsia="Times New Roman" w:hAnsi="Times New Roman"/>
          <w:sz w:val="13"/>
          <w:szCs w:val="13"/>
          <w:color w:val="auto"/>
        </w:rPr>
        <w:t xml:space="preserve">  The percentage change in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Index Value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measured from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Term Start Date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to any day, including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End Date</w:t>
      </w:r>
      <w:r>
        <w:rPr>
          <w:rFonts w:ascii="Times New Roman" w:cs="Times New Roman" w:eastAsia="Times New Roman" w:hAnsi="Times New Roman"/>
          <w:sz w:val="13"/>
          <w:szCs w:val="13"/>
          <w:color w:val="auto"/>
        </w:rPr>
        <w:t xml:space="preserve">, within the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Index Performance</w:t>
      </w:r>
      <w:r>
        <w:rPr>
          <w:rFonts w:ascii="Times New Roman" w:cs="Times New Roman" w:eastAsia="Times New Roman" w:hAnsi="Times New Roman"/>
          <w:sz w:val="13"/>
          <w:szCs w:val="13"/>
          <w:color w:val="auto"/>
        </w:rPr>
        <w:t xml:space="preserve"> can be positive, zero or negative.</w:t>
      </w:r>
    </w:p>
    <w:p>
      <w:pPr>
        <w:spacing w:after="0" w:line="32" w:lineRule="exact"/>
        <w:rPr>
          <w:sz w:val="20"/>
          <w:szCs w:val="20"/>
          <w:color w:val="auto"/>
        </w:rPr>
      </w:pPr>
    </w:p>
    <w:p>
      <w:pPr>
        <w:jc w:val="both"/>
        <w:ind w:right="2659"/>
        <w:spacing w:after="0" w:line="274" w:lineRule="auto"/>
        <w:rPr>
          <w:sz w:val="20"/>
          <w:szCs w:val="20"/>
          <w:color w:val="auto"/>
        </w:rPr>
      </w:pPr>
      <w:r>
        <w:rPr>
          <w:rFonts w:ascii="Times New Roman" w:cs="Times New Roman" w:eastAsia="Times New Roman" w:hAnsi="Times New Roman"/>
          <w:sz w:val="13"/>
          <w:szCs w:val="13"/>
          <w:b w:val="1"/>
          <w:bCs w:val="1"/>
          <w:color w:val="auto"/>
        </w:rPr>
        <w:t>Index Value.</w:t>
      </w:r>
      <w:r>
        <w:rPr>
          <w:rFonts w:ascii="Times New Roman" w:cs="Times New Roman" w:eastAsia="Times New Roman" w:hAnsi="Times New Roman"/>
          <w:sz w:val="13"/>
          <w:szCs w:val="13"/>
          <w:color w:val="auto"/>
        </w:rPr>
        <w:t>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Index Value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 an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Index</w:t>
      </w:r>
      <w:r>
        <w:rPr>
          <w:rFonts w:ascii="Times New Roman" w:cs="Times New Roman" w:eastAsia="Times New Roman" w:hAnsi="Times New Roman"/>
          <w:sz w:val="13"/>
          <w:szCs w:val="13"/>
          <w:color w:val="auto"/>
        </w:rPr>
        <w:t>, on 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Business Day</w:t>
      </w:r>
      <w:r>
        <w:rPr>
          <w:rFonts w:ascii="Times New Roman" w:cs="Times New Roman" w:eastAsia="Times New Roman" w:hAnsi="Times New Roman"/>
          <w:sz w:val="13"/>
          <w:szCs w:val="13"/>
          <w:color w:val="auto"/>
        </w:rPr>
        <w:t>, is the published closing value of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Index</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on that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Business Day</w:t>
      </w:r>
      <w:r>
        <w:rPr>
          <w:rFonts w:ascii="Times New Roman" w:cs="Times New Roman" w:eastAsia="Times New Roman" w:hAnsi="Times New Roman"/>
          <w:sz w:val="13"/>
          <w:szCs w:val="13"/>
          <w:color w:val="auto"/>
        </w:rPr>
        <w:t>.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Index Value</w:t>
      </w:r>
      <w:r>
        <w:rPr>
          <w:rFonts w:ascii="Times New Roman" w:cs="Times New Roman" w:eastAsia="Times New Roman" w:hAnsi="Times New Roman"/>
          <w:sz w:val="13"/>
          <w:szCs w:val="13"/>
          <w:color w:val="auto"/>
        </w:rPr>
        <w:t xml:space="preserve"> on any day that is not a </w:t>
      </w:r>
      <w:r>
        <w:rPr>
          <w:rFonts w:ascii="Times New Roman" w:cs="Times New Roman" w:eastAsia="Times New Roman" w:hAnsi="Times New Roman"/>
          <w:sz w:val="13"/>
          <w:szCs w:val="13"/>
          <w:u w:val="single" w:color="auto"/>
          <w:color w:val="auto"/>
        </w:rPr>
        <w:t>Business Day</w:t>
      </w:r>
      <w:r>
        <w:rPr>
          <w:rFonts w:ascii="Times New Roman" w:cs="Times New Roman" w:eastAsia="Times New Roman" w:hAnsi="Times New Roman"/>
          <w:sz w:val="13"/>
          <w:szCs w:val="13"/>
          <w:color w:val="auto"/>
        </w:rPr>
        <w:t xml:space="preserve"> is the value as of the prior </w:t>
      </w:r>
      <w:r>
        <w:rPr>
          <w:rFonts w:ascii="Times New Roman" w:cs="Times New Roman" w:eastAsia="Times New Roman" w:hAnsi="Times New Roman"/>
          <w:sz w:val="13"/>
          <w:szCs w:val="13"/>
          <w:u w:val="single" w:color="auto"/>
          <w:color w:val="auto"/>
        </w:rPr>
        <w:t>Business Day</w:t>
      </w:r>
      <w:r>
        <w:rPr>
          <w:rFonts w:ascii="Times New Roman" w:cs="Times New Roman" w:eastAsia="Times New Roman" w:hAnsi="Times New Roman"/>
          <w:sz w:val="13"/>
          <w:szCs w:val="13"/>
          <w:color w:val="auto"/>
        </w:rPr>
        <w:t xml:space="preserve">. If an </w:t>
      </w:r>
      <w:r>
        <w:rPr>
          <w:rFonts w:ascii="Times New Roman" w:cs="Times New Roman" w:eastAsia="Times New Roman" w:hAnsi="Times New Roman"/>
          <w:sz w:val="13"/>
          <w:szCs w:val="13"/>
          <w:u w:val="single" w:color="auto"/>
          <w:color w:val="auto"/>
        </w:rPr>
        <w:t>Index Value</w:t>
      </w:r>
      <w:r>
        <w:rPr>
          <w:rFonts w:ascii="Times New Roman" w:cs="Times New Roman" w:eastAsia="Times New Roman" w:hAnsi="Times New Roman"/>
          <w:sz w:val="13"/>
          <w:szCs w:val="13"/>
          <w:color w:val="auto"/>
        </w:rPr>
        <w:t xml:space="preserve"> is not published on a </w:t>
      </w:r>
      <w:r>
        <w:rPr>
          <w:rFonts w:ascii="Times New Roman" w:cs="Times New Roman" w:eastAsia="Times New Roman" w:hAnsi="Times New Roman"/>
          <w:sz w:val="13"/>
          <w:szCs w:val="13"/>
          <w:u w:val="single" w:color="auto"/>
          <w:color w:val="auto"/>
        </w:rPr>
        <w:t>Business Day</w:t>
      </w:r>
      <w:r>
        <w:rPr>
          <w:rFonts w:ascii="Times New Roman" w:cs="Times New Roman" w:eastAsia="Times New Roman" w:hAnsi="Times New Roman"/>
          <w:sz w:val="13"/>
          <w:szCs w:val="13"/>
          <w:color w:val="auto"/>
        </w:rPr>
        <w:t xml:space="preserve">, the closing </w:t>
      </w:r>
      <w:r>
        <w:rPr>
          <w:rFonts w:ascii="Times New Roman" w:cs="Times New Roman" w:eastAsia="Times New Roman" w:hAnsi="Times New Roman"/>
          <w:sz w:val="13"/>
          <w:szCs w:val="13"/>
          <w:u w:val="single" w:color="auto"/>
          <w:color w:val="auto"/>
        </w:rPr>
        <w:t>Index Value</w:t>
      </w:r>
      <w:r>
        <w:rPr>
          <w:rFonts w:ascii="Times New Roman" w:cs="Times New Roman" w:eastAsia="Times New Roman" w:hAnsi="Times New Roman"/>
          <w:sz w:val="13"/>
          <w:szCs w:val="13"/>
          <w:color w:val="auto"/>
        </w:rPr>
        <w:t xml:space="preserve"> on the next </w:t>
      </w:r>
      <w:r>
        <w:rPr>
          <w:rFonts w:ascii="Times New Roman" w:cs="Times New Roman" w:eastAsia="Times New Roman" w:hAnsi="Times New Roman"/>
          <w:sz w:val="13"/>
          <w:szCs w:val="13"/>
          <w:u w:val="single" w:color="auto"/>
          <w:color w:val="auto"/>
        </w:rPr>
        <w:t>Business Day</w:t>
      </w:r>
      <w:r>
        <w:rPr>
          <w:rFonts w:ascii="Times New Roman" w:cs="Times New Roman" w:eastAsia="Times New Roman" w:hAnsi="Times New Roman"/>
          <w:sz w:val="13"/>
          <w:szCs w:val="13"/>
          <w:color w:val="auto"/>
        </w:rPr>
        <w:t xml:space="preserve"> in which the </w:t>
      </w:r>
      <w:r>
        <w:rPr>
          <w:rFonts w:ascii="Times New Roman" w:cs="Times New Roman" w:eastAsia="Times New Roman" w:hAnsi="Times New Roman"/>
          <w:sz w:val="13"/>
          <w:szCs w:val="13"/>
          <w:u w:val="single" w:color="auto"/>
          <w:color w:val="auto"/>
        </w:rPr>
        <w:t>Index Value</w:t>
      </w:r>
      <w:r>
        <w:rPr>
          <w:rFonts w:ascii="Times New Roman" w:cs="Times New Roman" w:eastAsia="Times New Roman" w:hAnsi="Times New Roman"/>
          <w:sz w:val="13"/>
          <w:szCs w:val="13"/>
          <w:color w:val="auto"/>
        </w:rPr>
        <w:t xml:space="preserve"> is published will be used.</w:t>
      </w:r>
    </w:p>
    <w:p>
      <w:pPr>
        <w:spacing w:after="0" w:line="44" w:lineRule="exact"/>
        <w:rPr>
          <w:sz w:val="20"/>
          <w:szCs w:val="20"/>
          <w:color w:val="auto"/>
        </w:rPr>
      </w:pPr>
    </w:p>
    <w:p>
      <w:pPr>
        <w:jc w:val="both"/>
        <w:ind w:right="2659"/>
        <w:spacing w:after="0" w:line="268" w:lineRule="auto"/>
        <w:rPr>
          <w:sz w:val="20"/>
          <w:szCs w:val="20"/>
          <w:color w:val="auto"/>
        </w:rPr>
      </w:pPr>
      <w:r>
        <w:rPr>
          <w:rFonts w:ascii="Times New Roman" w:cs="Times New Roman" w:eastAsia="Times New Roman" w:hAnsi="Times New Roman"/>
          <w:sz w:val="13"/>
          <w:szCs w:val="13"/>
          <w:b w:val="1"/>
          <w:bCs w:val="1"/>
          <w:color w:val="auto"/>
        </w:rPr>
        <w:t>Interim Value.</w:t>
      </w:r>
      <w:r>
        <w:rPr>
          <w:rFonts w:ascii="Times New Roman" w:cs="Times New Roman" w:eastAsia="Times New Roman" w:hAnsi="Times New Roman"/>
          <w:sz w:val="13"/>
          <w:szCs w:val="13"/>
          <w:color w:val="auto"/>
        </w:rPr>
        <w:t xml:space="preserve">  For each</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Interim Value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is the value we assign on any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Business Day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other than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Term Start Date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and the </w:t>
      </w:r>
      <w:r>
        <w:rPr>
          <w:rFonts w:ascii="Times New Roman" w:cs="Times New Roman" w:eastAsia="Times New Roman" w:hAnsi="Times New Roman"/>
          <w:sz w:val="13"/>
          <w:szCs w:val="13"/>
          <w:u w:val="single" w:color="auto"/>
          <w:color w:val="auto"/>
        </w:rPr>
        <w:t>Term End Date</w:t>
      </w:r>
      <w:r>
        <w:rPr>
          <w:rFonts w:ascii="Times New Roman" w:cs="Times New Roman" w:eastAsia="Times New Roman" w:hAnsi="Times New Roman"/>
          <w:sz w:val="13"/>
          <w:szCs w:val="13"/>
          <w:color w:val="auto"/>
        </w:rPr>
        <w:t xml:space="preserve">. During the Transfer Period, the </w:t>
      </w:r>
      <w:r>
        <w:rPr>
          <w:rFonts w:ascii="Times New Roman" w:cs="Times New Roman" w:eastAsia="Times New Roman" w:hAnsi="Times New Roman"/>
          <w:sz w:val="13"/>
          <w:szCs w:val="13"/>
          <w:u w:val="single" w:color="auto"/>
          <w:color w:val="auto"/>
        </w:rPr>
        <w:t>Interim Value</w:t>
      </w:r>
      <w:r>
        <w:rPr>
          <w:rFonts w:ascii="Times New Roman" w:cs="Times New Roman" w:eastAsia="Times New Roman" w:hAnsi="Times New Roman"/>
          <w:sz w:val="13"/>
          <w:szCs w:val="13"/>
          <w:color w:val="auto"/>
        </w:rPr>
        <w:t xml:space="preserve"> of each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is equal to the </w:t>
      </w:r>
      <w:r>
        <w:rPr>
          <w:rFonts w:ascii="Times New Roman" w:cs="Times New Roman" w:eastAsia="Times New Roman" w:hAnsi="Times New Roman"/>
          <w:sz w:val="13"/>
          <w:szCs w:val="13"/>
          <w:u w:val="single" w:color="auto"/>
          <w:color w:val="auto"/>
        </w:rPr>
        <w:t>Investment Amount</w:t>
      </w:r>
      <w:r>
        <w:rPr>
          <w:rFonts w:ascii="Times New Roman" w:cs="Times New Roman" w:eastAsia="Times New Roman" w:hAnsi="Times New Roman"/>
          <w:sz w:val="13"/>
          <w:szCs w:val="13"/>
          <w:color w:val="auto"/>
        </w:rPr>
        <w:t xml:space="preserve"> at the </w:t>
      </w:r>
      <w:r>
        <w:rPr>
          <w:rFonts w:ascii="Times New Roman" w:cs="Times New Roman" w:eastAsia="Times New Roman" w:hAnsi="Times New Roman"/>
          <w:sz w:val="13"/>
          <w:szCs w:val="13"/>
          <w:u w:val="single" w:color="auto"/>
          <w:color w:val="auto"/>
        </w:rPr>
        <w:t>Term End Date</w:t>
      </w:r>
      <w:r>
        <w:rPr>
          <w:rFonts w:ascii="Times New Roman" w:cs="Times New Roman" w:eastAsia="Times New Roman" w:hAnsi="Times New Roman"/>
          <w:sz w:val="13"/>
          <w:szCs w:val="13"/>
          <w:color w:val="auto"/>
        </w:rPr>
        <w:t xml:space="preserve"> in that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After the Transfer Period, the </w:t>
      </w:r>
      <w:r>
        <w:rPr>
          <w:rFonts w:ascii="Times New Roman" w:cs="Times New Roman" w:eastAsia="Times New Roman" w:hAnsi="Times New Roman"/>
          <w:sz w:val="13"/>
          <w:szCs w:val="13"/>
          <w:u w:val="single" w:color="auto"/>
          <w:color w:val="auto"/>
        </w:rPr>
        <w:t>Interim Value</w:t>
      </w:r>
      <w:r>
        <w:rPr>
          <w:rFonts w:ascii="Times New Roman" w:cs="Times New Roman" w:eastAsia="Times New Roman" w:hAnsi="Times New Roman"/>
          <w:sz w:val="13"/>
          <w:szCs w:val="13"/>
          <w:color w:val="auto"/>
        </w:rPr>
        <w:t xml:space="preserve"> is a calculated value (as described in the “Interim Value Calculation” section) and is the amount that is available for annuitization, death benefits, withdrawals, Surrenders, and </w:t>
      </w:r>
      <w:r>
        <w:rPr>
          <w:rFonts w:ascii="Times New Roman" w:cs="Times New Roman" w:eastAsia="Times New Roman" w:hAnsi="Times New Roman"/>
          <w:sz w:val="13"/>
          <w:szCs w:val="13"/>
          <w:u w:val="single" w:color="auto"/>
          <w:color w:val="auto"/>
        </w:rPr>
        <w:t>Performance Lock</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4312285</wp:posOffset>
            </wp:positionH>
            <wp:positionV relativeFrom="paragraph">
              <wp:posOffset>-330835</wp:posOffset>
            </wp:positionV>
            <wp:extent cx="25400" cy="635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9">
                      <a:extLst>
                        <a:ext uri="{28A0092B-C50C-407E-A947-70E740481C1C}"/>
                      </a:extLst>
                    </a:blip>
                    <a:srcRect/>
                    <a:stretch>
                      <a:fillRect/>
                    </a:stretch>
                  </pic:blipFill>
                  <pic:spPr bwMode="auto">
                    <a:xfrm>
                      <a:off x="0" y="0"/>
                      <a:ext cx="25400" cy="6350"/>
                    </a:xfrm>
                    <a:prstGeom prst="rect">
                      <a:avLst/>
                    </a:prstGeom>
                    <a:noFill/>
                  </pic:spPr>
                </pic:pic>
              </a:graphicData>
            </a:graphic>
          </wp:anchor>
        </w:drawing>
      </w:r>
    </w:p>
    <w:p>
      <w:pPr>
        <w:spacing w:after="0" w:line="28" w:lineRule="exact"/>
        <w:rPr>
          <w:sz w:val="20"/>
          <w:szCs w:val="20"/>
          <w:color w:val="auto"/>
        </w:rPr>
      </w:pPr>
    </w:p>
    <w:p>
      <w:pPr>
        <w:jc w:val="both"/>
        <w:ind w:right="2659"/>
        <w:spacing w:after="0" w:line="264" w:lineRule="auto"/>
        <w:rPr>
          <w:sz w:val="20"/>
          <w:szCs w:val="20"/>
          <w:color w:val="auto"/>
        </w:rPr>
      </w:pPr>
      <w:r>
        <w:rPr>
          <w:rFonts w:ascii="Times New Roman" w:cs="Times New Roman" w:eastAsia="Times New Roman" w:hAnsi="Times New Roman"/>
          <w:sz w:val="13"/>
          <w:szCs w:val="13"/>
          <w:b w:val="1"/>
          <w:bCs w:val="1"/>
          <w:color w:val="auto"/>
        </w:rPr>
        <w:t>Investment Amount</w:t>
      </w:r>
      <w:r>
        <w:rPr>
          <w:rFonts w:ascii="Times New Roman" w:cs="Times New Roman" w:eastAsia="Times New Roman" w:hAnsi="Times New Roman"/>
          <w:sz w:val="13"/>
          <w:szCs w:val="13"/>
          <w:color w:val="auto"/>
        </w:rPr>
        <w:t>. 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Investment Amount</w:t>
      </w:r>
      <w:r>
        <w:rPr>
          <w:rFonts w:ascii="Times New Roman" w:cs="Times New Roman" w:eastAsia="Times New Roman" w:hAnsi="Times New Roman"/>
          <w:sz w:val="13"/>
          <w:szCs w:val="13"/>
          <w:color w:val="auto"/>
        </w:rPr>
        <w:t>, for any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is the amount that is allocated to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at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Term Start Date</w:t>
      </w:r>
      <w:r>
        <w:rPr>
          <w:rFonts w:ascii="Times New Roman" w:cs="Times New Roman" w:eastAsia="Times New Roman" w:hAnsi="Times New Roman"/>
          <w:sz w:val="13"/>
          <w:szCs w:val="13"/>
          <w:color w:val="auto"/>
        </w:rPr>
        <w:t xml:space="preserve">, reduced proportionately for any withdrawals at the time of such withdrawals (including any applicable Withdrawal Charge) by the same percentage that the withdrawal reduces the </w:t>
      </w:r>
      <w:r>
        <w:rPr>
          <w:rFonts w:ascii="Times New Roman" w:cs="Times New Roman" w:eastAsia="Times New Roman" w:hAnsi="Times New Roman"/>
          <w:sz w:val="13"/>
          <w:szCs w:val="13"/>
          <w:u w:val="single" w:color="auto"/>
          <w:color w:val="auto"/>
        </w:rPr>
        <w:t>Interim Value</w:t>
      </w:r>
      <w:r>
        <w:rPr>
          <w:rFonts w:ascii="Times New Roman" w:cs="Times New Roman" w:eastAsia="Times New Roman" w:hAnsi="Times New Roman"/>
          <w:sz w:val="13"/>
          <w:szCs w:val="13"/>
          <w:color w:val="auto"/>
        </w:rPr>
        <w:t xml:space="preserve"> attributable to that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and then, at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End Date</w:t>
      </w:r>
      <w:r>
        <w:rPr>
          <w:rFonts w:ascii="Times New Roman" w:cs="Times New Roman" w:eastAsia="Times New Roman" w:hAnsi="Times New Roman"/>
          <w:sz w:val="13"/>
          <w:szCs w:val="13"/>
          <w:color w:val="auto"/>
        </w:rPr>
        <w:t xml:space="preserve">, adjusted by the </w:t>
      </w:r>
      <w:r>
        <w:rPr>
          <w:rFonts w:ascii="Times New Roman" w:cs="Times New Roman" w:eastAsia="Times New Roman" w:hAnsi="Times New Roman"/>
          <w:sz w:val="13"/>
          <w:szCs w:val="13"/>
          <w:u w:val="single" w:color="auto"/>
          <w:color w:val="auto"/>
        </w:rPr>
        <w:t>Performance Rate</w:t>
      </w:r>
      <w:r>
        <w:rPr>
          <w:rFonts w:ascii="Times New Roman" w:cs="Times New Roman" w:eastAsia="Times New Roman" w:hAnsi="Times New Roman"/>
          <w:sz w:val="13"/>
          <w:szCs w:val="13"/>
          <w:color w:val="auto"/>
        </w:rPr>
        <w:t xml:space="preserve">. The remaining </w:t>
      </w:r>
      <w:r>
        <w:rPr>
          <w:rFonts w:ascii="Times New Roman" w:cs="Times New Roman" w:eastAsia="Times New Roman" w:hAnsi="Times New Roman"/>
          <w:sz w:val="13"/>
          <w:szCs w:val="13"/>
          <w:u w:val="single" w:color="auto"/>
          <w:color w:val="auto"/>
        </w:rPr>
        <w:t>Investment Amount</w:t>
      </w:r>
      <w:r>
        <w:rPr>
          <w:rFonts w:ascii="Times New Roman" w:cs="Times New Roman" w:eastAsia="Times New Roman" w:hAnsi="Times New Roman"/>
          <w:sz w:val="13"/>
          <w:szCs w:val="13"/>
          <w:color w:val="auto"/>
        </w:rPr>
        <w:t xml:space="preserve"> after a withdrawal will be used as the new </w:t>
      </w:r>
      <w:r>
        <w:rPr>
          <w:rFonts w:ascii="Times New Roman" w:cs="Times New Roman" w:eastAsia="Times New Roman" w:hAnsi="Times New Roman"/>
          <w:sz w:val="13"/>
          <w:szCs w:val="13"/>
          <w:u w:val="single" w:color="auto"/>
          <w:color w:val="auto"/>
        </w:rPr>
        <w:t>Investment Amount</w:t>
      </w:r>
      <w:r>
        <w:rPr>
          <w:rFonts w:ascii="Times New Roman" w:cs="Times New Roman" w:eastAsia="Times New Roman" w:hAnsi="Times New Roman"/>
          <w:sz w:val="13"/>
          <w:szCs w:val="13"/>
          <w:color w:val="auto"/>
        </w:rPr>
        <w:t xml:space="preserve"> for the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color w:val="auto"/>
        </w:rPr>
        <w:t xml:space="preserve"> until the </w:t>
      </w:r>
      <w:r>
        <w:rPr>
          <w:rFonts w:ascii="Times New Roman" w:cs="Times New Roman" w:eastAsia="Times New Roman" w:hAnsi="Times New Roman"/>
          <w:sz w:val="13"/>
          <w:szCs w:val="13"/>
          <w:u w:val="single" w:color="auto"/>
          <w:color w:val="auto"/>
        </w:rPr>
        <w:t>Term End Date</w:t>
      </w:r>
      <w:r>
        <w:rPr>
          <w:rFonts w:ascii="Times New Roman" w:cs="Times New Roman" w:eastAsia="Times New Roman" w:hAnsi="Times New Roman"/>
          <w:sz w:val="13"/>
          <w:szCs w:val="13"/>
          <w:color w:val="auto"/>
        </w:rPr>
        <w:t xml:space="preserve"> or the next </w:t>
      </w:r>
      <w:r>
        <w:rPr>
          <w:rFonts w:ascii="Times New Roman" w:cs="Times New Roman" w:eastAsia="Times New Roman" w:hAnsi="Times New Roman"/>
          <w:sz w:val="13"/>
          <w:szCs w:val="13"/>
          <w:u w:val="single" w:color="auto"/>
          <w:color w:val="auto"/>
        </w:rPr>
        <w:t>Interim Value</w:t>
      </w:r>
      <w:r>
        <w:rPr>
          <w:rFonts w:ascii="Times New Roman" w:cs="Times New Roman" w:eastAsia="Times New Roman" w:hAnsi="Times New Roman"/>
          <w:sz w:val="13"/>
          <w:szCs w:val="13"/>
          <w:color w:val="auto"/>
        </w:rPr>
        <w:t xml:space="preserve"> calculation for that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w:t>
      </w:r>
    </w:p>
    <w:p>
      <w:pPr>
        <w:spacing w:after="0" w:line="5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3"/>
          <w:szCs w:val="13"/>
          <w:b w:val="1"/>
          <w:bCs w:val="1"/>
          <w:color w:val="auto"/>
        </w:rPr>
        <w:t>Issue Date.</w:t>
      </w:r>
      <w:r>
        <w:rPr>
          <w:sz w:val="20"/>
          <w:szCs w:val="20"/>
          <w:color w:val="auto"/>
        </w:rPr>
        <w:tab/>
      </w:r>
      <w:r>
        <w:rPr>
          <w:rFonts w:ascii="Times New Roman" w:cs="Times New Roman" w:eastAsia="Times New Roman" w:hAnsi="Times New Roman"/>
          <w:sz w:val="13"/>
          <w:szCs w:val="13"/>
          <w:color w:val="auto"/>
        </w:rPr>
        <w:t xml:space="preserve">The date the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is issued.</w:t>
      </w:r>
    </w:p>
    <w:p>
      <w:pPr>
        <w:spacing w:after="0" w:line="89" w:lineRule="exact"/>
        <w:rPr>
          <w:sz w:val="20"/>
          <w:szCs w:val="20"/>
          <w:color w:val="auto"/>
        </w:rPr>
      </w:pPr>
    </w:p>
    <w:p>
      <w:pPr>
        <w:ind w:right="3039"/>
        <w:spacing w:after="0" w:line="293" w:lineRule="auto"/>
        <w:rPr>
          <w:sz w:val="20"/>
          <w:szCs w:val="20"/>
          <w:color w:val="auto"/>
        </w:rPr>
      </w:pPr>
      <w:r>
        <w:rPr>
          <w:rFonts w:ascii="Times New Roman" w:cs="Times New Roman" w:eastAsia="Times New Roman" w:hAnsi="Times New Roman"/>
          <w:sz w:val="13"/>
          <w:szCs w:val="13"/>
          <w:b w:val="1"/>
          <w:bCs w:val="1"/>
          <w:color w:val="auto"/>
        </w:rPr>
        <w:t>Joint Owner.</w:t>
      </w:r>
      <w:r>
        <w:rPr>
          <w:rFonts w:ascii="Times New Roman" w:cs="Times New Roman" w:eastAsia="Times New Roman" w:hAnsi="Times New Roman"/>
          <w:sz w:val="13"/>
          <w:szCs w:val="13"/>
          <w:color w:val="auto"/>
        </w:rPr>
        <w:t xml:space="preserve">  If there is more than one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Owner</w:t>
      </w:r>
      <w:r>
        <w:rPr>
          <w:rFonts w:ascii="Times New Roman" w:cs="Times New Roman" w:eastAsia="Times New Roman" w:hAnsi="Times New Roman"/>
          <w:sz w:val="13"/>
          <w:szCs w:val="13"/>
          <w:color w:val="auto"/>
        </w:rPr>
        <w:t>, each</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Owner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will be 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Joint Owner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Joint Owners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are limited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natural persons.</w:t>
      </w:r>
    </w:p>
    <w:p>
      <w:pPr>
        <w:spacing w:after="0" w:line="32" w:lineRule="exact"/>
        <w:rPr>
          <w:sz w:val="20"/>
          <w:szCs w:val="20"/>
          <w:color w:val="auto"/>
        </w:rPr>
      </w:pPr>
    </w:p>
    <w:p>
      <w:pPr>
        <w:jc w:val="both"/>
        <w:ind w:right="2659"/>
        <w:spacing w:after="0" w:line="274" w:lineRule="auto"/>
        <w:rPr>
          <w:sz w:val="20"/>
          <w:szCs w:val="20"/>
          <w:color w:val="auto"/>
        </w:rPr>
      </w:pPr>
      <w:r>
        <w:rPr>
          <w:rFonts w:ascii="Times New Roman" w:cs="Times New Roman" w:eastAsia="Times New Roman" w:hAnsi="Times New Roman"/>
          <w:sz w:val="13"/>
          <w:szCs w:val="13"/>
          <w:b w:val="1"/>
          <w:bCs w:val="1"/>
          <w:color w:val="auto"/>
        </w:rPr>
        <w:t xml:space="preserve">Notice. </w:t>
      </w:r>
      <w:r>
        <w:rPr>
          <w:rFonts w:ascii="Times New Roman" w:cs="Times New Roman" w:eastAsia="Times New Roman" w:hAnsi="Times New Roman"/>
          <w:sz w:val="13"/>
          <w:szCs w:val="13"/>
          <w:color w:val="auto"/>
        </w:rPr>
        <w:t xml:space="preserve">  Any form of communication providing information we need, either in a signed writing or another manner that we approve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in advance. All </w:t>
      </w:r>
      <w:r>
        <w:rPr>
          <w:rFonts w:ascii="Times New Roman" w:cs="Times New Roman" w:eastAsia="Times New Roman" w:hAnsi="Times New Roman"/>
          <w:sz w:val="13"/>
          <w:szCs w:val="13"/>
          <w:u w:val="single" w:color="auto"/>
          <w:color w:val="auto"/>
        </w:rPr>
        <w:t>Notices</w:t>
      </w:r>
      <w:r>
        <w:rPr>
          <w:rFonts w:ascii="Times New Roman" w:cs="Times New Roman" w:eastAsia="Times New Roman" w:hAnsi="Times New Roman"/>
          <w:sz w:val="13"/>
          <w:szCs w:val="13"/>
          <w:color w:val="auto"/>
        </w:rPr>
        <w:t xml:space="preserve"> to us must be sent to our Annuity Service Office and received in </w:t>
      </w:r>
      <w:r>
        <w:rPr>
          <w:rFonts w:ascii="Times New Roman" w:cs="Times New Roman" w:eastAsia="Times New Roman" w:hAnsi="Times New Roman"/>
          <w:sz w:val="13"/>
          <w:szCs w:val="13"/>
          <w:u w:val="single" w:color="auto"/>
          <w:color w:val="auto"/>
        </w:rPr>
        <w:t>Good Order</w:t>
      </w:r>
      <w:r>
        <w:rPr>
          <w:rFonts w:ascii="Times New Roman" w:cs="Times New Roman" w:eastAsia="Times New Roman" w:hAnsi="Times New Roman"/>
          <w:sz w:val="13"/>
          <w:szCs w:val="13"/>
          <w:color w:val="auto"/>
        </w:rPr>
        <w:t xml:space="preserve">. To be effective for a </w:t>
      </w:r>
      <w:r>
        <w:rPr>
          <w:rFonts w:ascii="Times New Roman" w:cs="Times New Roman" w:eastAsia="Times New Roman" w:hAnsi="Times New Roman"/>
          <w:sz w:val="13"/>
          <w:szCs w:val="13"/>
          <w:u w:val="single" w:color="auto"/>
          <w:color w:val="auto"/>
        </w:rPr>
        <w:t>Business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Day</w:t>
      </w:r>
      <w:r>
        <w:rPr>
          <w:rFonts w:ascii="Times New Roman" w:cs="Times New Roman" w:eastAsia="Times New Roman" w:hAnsi="Times New Roman"/>
          <w:sz w:val="13"/>
          <w:szCs w:val="13"/>
          <w:color w:val="auto"/>
        </w:rPr>
        <w:t xml:space="preserve">, a </w:t>
      </w:r>
      <w:r>
        <w:rPr>
          <w:rFonts w:ascii="Times New Roman" w:cs="Times New Roman" w:eastAsia="Times New Roman" w:hAnsi="Times New Roman"/>
          <w:sz w:val="13"/>
          <w:szCs w:val="13"/>
          <w:u w:val="single" w:color="auto"/>
          <w:color w:val="auto"/>
        </w:rPr>
        <w:t>Notice</w:t>
      </w:r>
      <w:r>
        <w:rPr>
          <w:rFonts w:ascii="Times New Roman" w:cs="Times New Roman" w:eastAsia="Times New Roman" w:hAnsi="Times New Roman"/>
          <w:sz w:val="13"/>
          <w:szCs w:val="13"/>
          <w:color w:val="auto"/>
        </w:rPr>
        <w:t xml:space="preserve"> must be received in </w:t>
      </w:r>
      <w:r>
        <w:rPr>
          <w:rFonts w:ascii="Times New Roman" w:cs="Times New Roman" w:eastAsia="Times New Roman" w:hAnsi="Times New Roman"/>
          <w:sz w:val="13"/>
          <w:szCs w:val="13"/>
          <w:u w:val="single" w:color="auto"/>
          <w:color w:val="auto"/>
        </w:rPr>
        <w:t>Good Order</w:t>
      </w:r>
      <w:r>
        <w:rPr>
          <w:rFonts w:ascii="Times New Roman" w:cs="Times New Roman" w:eastAsia="Times New Roman" w:hAnsi="Times New Roman"/>
          <w:sz w:val="13"/>
          <w:szCs w:val="13"/>
          <w:color w:val="auto"/>
        </w:rPr>
        <w:t xml:space="preserve"> prior to the end of that </w:t>
      </w:r>
      <w:r>
        <w:rPr>
          <w:rFonts w:ascii="Times New Roman" w:cs="Times New Roman" w:eastAsia="Times New Roman" w:hAnsi="Times New Roman"/>
          <w:sz w:val="13"/>
          <w:szCs w:val="13"/>
          <w:u w:val="single" w:color="auto"/>
          <w:color w:val="auto"/>
        </w:rPr>
        <w:t>Business Day</w:t>
      </w:r>
      <w:r>
        <w:rPr>
          <w:rFonts w:ascii="Times New Roman" w:cs="Times New Roman" w:eastAsia="Times New Roman" w:hAnsi="Times New Roman"/>
          <w:sz w:val="13"/>
          <w:szCs w:val="13"/>
          <w:color w:val="auto"/>
        </w:rPr>
        <w:t>.</w:t>
      </w:r>
    </w:p>
    <w:p>
      <w:pPr>
        <w:spacing w:after="0" w:line="44" w:lineRule="exact"/>
        <w:rPr>
          <w:sz w:val="20"/>
          <w:szCs w:val="20"/>
          <w:color w:val="auto"/>
        </w:rPr>
      </w:pPr>
    </w:p>
    <w:p>
      <w:pPr>
        <w:jc w:val="both"/>
        <w:ind w:right="2659"/>
        <w:spacing w:after="0" w:line="274" w:lineRule="auto"/>
        <w:rPr>
          <w:sz w:val="20"/>
          <w:szCs w:val="20"/>
          <w:color w:val="auto"/>
        </w:rPr>
      </w:pPr>
      <w:r>
        <w:rPr>
          <w:rFonts w:ascii="Times New Roman" w:cs="Times New Roman" w:eastAsia="Times New Roman" w:hAnsi="Times New Roman"/>
          <w:sz w:val="13"/>
          <w:szCs w:val="13"/>
          <w:b w:val="1"/>
          <w:bCs w:val="1"/>
          <w:color w:val="auto"/>
        </w:rPr>
        <w:t>Owner (“you”, “yours”).</w:t>
      </w:r>
      <w:r>
        <w:rPr>
          <w:rFonts w:ascii="Times New Roman" w:cs="Times New Roman" w:eastAsia="Times New Roman" w:hAnsi="Times New Roman"/>
          <w:sz w:val="13"/>
          <w:szCs w:val="13"/>
          <w:color w:val="auto"/>
        </w:rPr>
        <w:t xml:space="preserve">  The person(s) entitled to the ownership rights under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Subject to our administrative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procedures, we may also permit ownership by a corporation (a type of non-natural person) or certain other legal entities. If </w:t>
      </w:r>
      <w:r>
        <w:rPr>
          <w:rFonts w:ascii="Times New Roman" w:cs="Times New Roman" w:eastAsia="Times New Roman" w:hAnsi="Times New Roman"/>
          <w:sz w:val="13"/>
          <w:szCs w:val="13"/>
          <w:u w:val="single" w:color="auto"/>
          <w:color w:val="auto"/>
        </w:rPr>
        <w:t>Joint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Owners</w:t>
      </w:r>
      <w:r>
        <w:rPr>
          <w:rFonts w:ascii="Times New Roman" w:cs="Times New Roman" w:eastAsia="Times New Roman" w:hAnsi="Times New Roman"/>
          <w:sz w:val="13"/>
          <w:szCs w:val="13"/>
          <w:color w:val="auto"/>
        </w:rPr>
        <w:t xml:space="preserve"> are named, all references to </w:t>
      </w:r>
      <w:r>
        <w:rPr>
          <w:rFonts w:ascii="Times New Roman" w:cs="Times New Roman" w:eastAsia="Times New Roman" w:hAnsi="Times New Roman"/>
          <w:sz w:val="13"/>
          <w:szCs w:val="13"/>
          <w:u w:val="single" w:color="auto"/>
          <w:color w:val="auto"/>
        </w:rPr>
        <w:t>Owner</w:t>
      </w:r>
      <w:r>
        <w:rPr>
          <w:rFonts w:ascii="Times New Roman" w:cs="Times New Roman" w:eastAsia="Times New Roman" w:hAnsi="Times New Roman"/>
          <w:sz w:val="13"/>
          <w:szCs w:val="13"/>
          <w:color w:val="auto"/>
        </w:rPr>
        <w:t xml:space="preserve"> shall mean </w:t>
      </w:r>
      <w:r>
        <w:rPr>
          <w:rFonts w:ascii="Times New Roman" w:cs="Times New Roman" w:eastAsia="Times New Roman" w:hAnsi="Times New Roman"/>
          <w:sz w:val="13"/>
          <w:szCs w:val="13"/>
          <w:u w:val="single" w:color="auto"/>
          <w:color w:val="auto"/>
        </w:rPr>
        <w:t>Joint Owners</w:t>
      </w:r>
      <w:r>
        <w:rPr>
          <w:rFonts w:ascii="Times New Roman" w:cs="Times New Roman" w:eastAsia="Times New Roman" w:hAnsi="Times New Roman"/>
          <w:sz w:val="13"/>
          <w:szCs w:val="13"/>
          <w:color w:val="auto"/>
        </w:rPr>
        <w:t>.</w:t>
      </w:r>
    </w:p>
    <w:p>
      <w:pPr>
        <w:spacing w:after="0" w:line="44" w:lineRule="exact"/>
        <w:rPr>
          <w:sz w:val="20"/>
          <w:szCs w:val="20"/>
          <w:color w:val="auto"/>
        </w:rPr>
      </w:pPr>
    </w:p>
    <w:p>
      <w:pPr>
        <w:jc w:val="both"/>
        <w:ind w:right="2659"/>
        <w:spacing w:after="0" w:line="293" w:lineRule="auto"/>
        <w:rPr>
          <w:sz w:val="20"/>
          <w:szCs w:val="20"/>
          <w:color w:val="auto"/>
        </w:rPr>
      </w:pPr>
      <w:r>
        <w:rPr>
          <w:rFonts w:ascii="Times New Roman" w:cs="Times New Roman" w:eastAsia="Times New Roman" w:hAnsi="Times New Roman"/>
          <w:sz w:val="13"/>
          <w:szCs w:val="13"/>
          <w:b w:val="1"/>
          <w:bCs w:val="1"/>
          <w:color w:val="auto"/>
        </w:rPr>
        <w:t xml:space="preserve">Performance Lock. </w:t>
      </w:r>
      <w:r>
        <w:rPr>
          <w:rFonts w:ascii="Times New Roman" w:cs="Times New Roman" w:eastAsia="Times New Roman" w:hAnsi="Times New Roman"/>
          <w:sz w:val="13"/>
          <w:szCs w:val="13"/>
          <w:color w:val="auto"/>
        </w:rPr>
        <w:t>A feature that allows you the option to lock in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Interim Value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 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and that is automatically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included with your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on the </w:t>
      </w:r>
      <w:r>
        <w:rPr>
          <w:rFonts w:ascii="Times New Roman" w:cs="Times New Roman" w:eastAsia="Times New Roman" w:hAnsi="Times New Roman"/>
          <w:sz w:val="13"/>
          <w:szCs w:val="13"/>
          <w:u w:val="single" w:color="auto"/>
          <w:color w:val="auto"/>
        </w:rPr>
        <w:t>Issue Date</w:t>
      </w:r>
      <w:r>
        <w:rPr>
          <w:rFonts w:ascii="Times New Roman" w:cs="Times New Roman" w:eastAsia="Times New Roman" w:hAnsi="Times New Roman"/>
          <w:sz w:val="13"/>
          <w:szCs w:val="13"/>
          <w:color w:val="auto"/>
        </w:rPr>
        <w:t xml:space="preserve"> for no additional charge.</w:t>
      </w:r>
    </w:p>
    <w:p>
      <w:pPr>
        <w:spacing w:after="0" w:line="42" w:lineRule="exact"/>
        <w:rPr>
          <w:sz w:val="20"/>
          <w:szCs w:val="20"/>
          <w:color w:val="auto"/>
        </w:rPr>
      </w:pPr>
    </w:p>
    <w:p>
      <w:pPr>
        <w:jc w:val="both"/>
        <w:ind w:right="2659"/>
        <w:spacing w:after="0" w:line="282" w:lineRule="auto"/>
        <w:rPr>
          <w:sz w:val="20"/>
          <w:szCs w:val="20"/>
          <w:color w:val="auto"/>
        </w:rPr>
      </w:pPr>
      <w:r>
        <w:rPr>
          <w:rFonts w:ascii="Times New Roman" w:cs="Times New Roman" w:eastAsia="Times New Roman" w:hAnsi="Times New Roman"/>
          <w:sz w:val="13"/>
          <w:szCs w:val="13"/>
          <w:b w:val="1"/>
          <w:bCs w:val="1"/>
          <w:color w:val="auto"/>
        </w:rPr>
        <w:t xml:space="preserve">Performance Lock Value. </w:t>
      </w:r>
      <w:r>
        <w:rPr>
          <w:rFonts w:ascii="Times New Roman" w:cs="Times New Roman" w:eastAsia="Times New Roman" w:hAnsi="Times New Roman"/>
          <w:sz w:val="13"/>
          <w:szCs w:val="13"/>
          <w:color w:val="auto"/>
        </w:rPr>
        <w:t>The value of 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after exercising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Performance Lock</w:t>
      </w:r>
      <w:r>
        <w:rPr>
          <w:rFonts w:ascii="Times New Roman" w:cs="Times New Roman" w:eastAsia="Times New Roman" w:hAnsi="Times New Roman"/>
          <w:sz w:val="13"/>
          <w:szCs w:val="13"/>
          <w:color w:val="auto"/>
        </w:rPr>
        <w:t>.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Performance Lock Value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is equal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to the </w:t>
      </w:r>
      <w:r>
        <w:rPr>
          <w:rFonts w:ascii="Times New Roman" w:cs="Times New Roman" w:eastAsia="Times New Roman" w:hAnsi="Times New Roman"/>
          <w:sz w:val="13"/>
          <w:szCs w:val="13"/>
          <w:u w:val="single" w:color="auto"/>
          <w:color w:val="auto"/>
        </w:rPr>
        <w:t>Interim Value</w:t>
      </w:r>
      <w:r>
        <w:rPr>
          <w:rFonts w:ascii="Times New Roman" w:cs="Times New Roman" w:eastAsia="Times New Roman" w:hAnsi="Times New Roman"/>
          <w:sz w:val="13"/>
          <w:szCs w:val="13"/>
          <w:color w:val="auto"/>
        </w:rPr>
        <w:t xml:space="preserve"> at the end of the </w:t>
      </w:r>
      <w:r>
        <w:rPr>
          <w:rFonts w:ascii="Times New Roman" w:cs="Times New Roman" w:eastAsia="Times New Roman" w:hAnsi="Times New Roman"/>
          <w:sz w:val="13"/>
          <w:szCs w:val="13"/>
          <w:u w:val="single" w:color="auto"/>
          <w:color w:val="auto"/>
        </w:rPr>
        <w:t>Business Day</w:t>
      </w:r>
      <w:r>
        <w:rPr>
          <w:rFonts w:ascii="Times New Roman" w:cs="Times New Roman" w:eastAsia="Times New Roman" w:hAnsi="Times New Roman"/>
          <w:sz w:val="13"/>
          <w:szCs w:val="13"/>
          <w:color w:val="auto"/>
        </w:rPr>
        <w:t xml:space="preserve"> that you exercise </w:t>
      </w:r>
      <w:r>
        <w:rPr>
          <w:rFonts w:ascii="Times New Roman" w:cs="Times New Roman" w:eastAsia="Times New Roman" w:hAnsi="Times New Roman"/>
          <w:sz w:val="13"/>
          <w:szCs w:val="13"/>
          <w:u w:val="single" w:color="auto"/>
          <w:color w:val="auto"/>
        </w:rPr>
        <w:t>Performance Lock</w:t>
      </w:r>
      <w:r>
        <w:rPr>
          <w:rFonts w:ascii="Times New Roman" w:cs="Times New Roman" w:eastAsia="Times New Roman" w:hAnsi="Times New Roman"/>
          <w:sz w:val="13"/>
          <w:szCs w:val="13"/>
          <w:color w:val="auto"/>
        </w:rPr>
        <w:t xml:space="preserve"> , reduced by the dollar amount of any subsequent withdrawals9including any applicable Withdrawal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2015490</wp:posOffset>
            </wp:positionH>
            <wp:positionV relativeFrom="paragraph">
              <wp:posOffset>-242570</wp:posOffset>
            </wp:positionV>
            <wp:extent cx="25400" cy="63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0">
                      <a:extLst>
                        <a:ext uri="{28A0092B-C50C-407E-A947-70E740481C1C}"/>
                      </a:extLst>
                    </a:blip>
                    <a:srcRect/>
                    <a:stretch>
                      <a:fillRect/>
                    </a:stretch>
                  </pic:blipFill>
                  <pic:spPr bwMode="auto">
                    <a:xfrm>
                      <a:off x="0" y="0"/>
                      <a:ext cx="25400" cy="635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-135890</wp:posOffset>
            </wp:positionV>
            <wp:extent cx="38100" cy="63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1">
                      <a:extLst>
                        <a:ext uri="{28A0092B-C50C-407E-A947-70E740481C1C}"/>
                      </a:extLst>
                    </a:blip>
                    <a:srcRect/>
                    <a:stretch>
                      <a:fillRect/>
                    </a:stretch>
                  </pic:blipFill>
                  <pic:spPr bwMode="auto">
                    <a:xfrm>
                      <a:off x="0" y="0"/>
                      <a:ext cx="38100" cy="6350"/>
                    </a:xfrm>
                    <a:prstGeom prst="rect">
                      <a:avLst/>
                    </a:prstGeom>
                    <a:noFill/>
                  </pic:spPr>
                </pic:pic>
              </a:graphicData>
            </a:graphic>
          </wp:anchor>
        </w:drawing>
      </w:r>
    </w:p>
    <w:p>
      <w:pPr>
        <w:spacing w:after="0" w:line="19" w:lineRule="exact"/>
        <w:rPr>
          <w:sz w:val="20"/>
          <w:szCs w:val="20"/>
          <w:color w:val="auto"/>
        </w:rPr>
      </w:pPr>
    </w:p>
    <w:p>
      <w:pPr>
        <w:jc w:val="both"/>
        <w:ind w:right="2659"/>
        <w:spacing w:after="0" w:line="267" w:lineRule="auto"/>
        <w:rPr>
          <w:sz w:val="20"/>
          <w:szCs w:val="20"/>
          <w:color w:val="auto"/>
        </w:rPr>
      </w:pPr>
      <w:r>
        <w:rPr>
          <w:rFonts w:ascii="Times New Roman" w:cs="Times New Roman" w:eastAsia="Times New Roman" w:hAnsi="Times New Roman"/>
          <w:sz w:val="13"/>
          <w:szCs w:val="13"/>
          <w:b w:val="1"/>
          <w:bCs w:val="1"/>
          <w:color w:val="auto"/>
        </w:rPr>
        <w:t>Performance Rate.</w:t>
      </w:r>
      <w:r>
        <w:rPr>
          <w:rFonts w:ascii="Times New Roman" w:cs="Times New Roman" w:eastAsia="Times New Roman" w:hAnsi="Times New Roman"/>
          <w:sz w:val="13"/>
          <w:szCs w:val="13"/>
          <w:color w:val="auto"/>
        </w:rPr>
        <w:t xml:space="preserve">  The rate credited at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Term End Date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and is based on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Index Performance</w:t>
      </w:r>
      <w:r>
        <w:rPr>
          <w:rFonts w:ascii="Times New Roman" w:cs="Times New Roman" w:eastAsia="Times New Roman" w:hAnsi="Times New Roman"/>
          <w:sz w:val="13"/>
          <w:szCs w:val="13"/>
          <w:color w:val="auto"/>
        </w:rPr>
        <w:t>, adjusted for the applicable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Shield Rate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Cap Rate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Step Rate</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Edge Rate</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u w:val="single" w:color="auto"/>
          <w:color w:val="auto"/>
        </w:rPr>
        <w:t>Performance Rate</w:t>
      </w:r>
      <w:r>
        <w:rPr>
          <w:rFonts w:ascii="Times New Roman" w:cs="Times New Roman" w:eastAsia="Times New Roman" w:hAnsi="Times New Roman"/>
          <w:sz w:val="13"/>
          <w:szCs w:val="13"/>
          <w:color w:val="auto"/>
        </w:rPr>
        <w:t xml:space="preserve"> can be positive, zero or negative. At the </w:t>
      </w:r>
      <w:r>
        <w:rPr>
          <w:rFonts w:ascii="Times New Roman" w:cs="Times New Roman" w:eastAsia="Times New Roman" w:hAnsi="Times New Roman"/>
          <w:sz w:val="13"/>
          <w:szCs w:val="13"/>
          <w:u w:val="single" w:color="auto"/>
          <w:color w:val="auto"/>
        </w:rPr>
        <w:t>Term End Date</w:t>
      </w:r>
      <w:r>
        <w:rPr>
          <w:rFonts w:ascii="Times New Roman" w:cs="Times New Roman" w:eastAsia="Times New Roman" w:hAnsi="Times New Roman"/>
          <w:sz w:val="13"/>
          <w:szCs w:val="13"/>
          <w:color w:val="auto"/>
        </w:rPr>
        <w:t xml:space="preserve">, any increase or reduction in the </w:t>
      </w:r>
      <w:r>
        <w:rPr>
          <w:rFonts w:ascii="Times New Roman" w:cs="Times New Roman" w:eastAsia="Times New Roman" w:hAnsi="Times New Roman"/>
          <w:sz w:val="13"/>
          <w:szCs w:val="13"/>
          <w:u w:val="single" w:color="auto"/>
          <w:color w:val="auto"/>
        </w:rPr>
        <w:t>Investment Amount</w:t>
      </w:r>
      <w:r>
        <w:rPr>
          <w:rFonts w:ascii="Times New Roman" w:cs="Times New Roman" w:eastAsia="Times New Roman" w:hAnsi="Times New Roman"/>
          <w:sz w:val="13"/>
          <w:szCs w:val="13"/>
          <w:color w:val="auto"/>
        </w:rPr>
        <w:t xml:space="preserve"> in a particular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is determined by multiplying the </w:t>
      </w:r>
      <w:r>
        <w:rPr>
          <w:rFonts w:ascii="Times New Roman" w:cs="Times New Roman" w:eastAsia="Times New Roman" w:hAnsi="Times New Roman"/>
          <w:sz w:val="13"/>
          <w:szCs w:val="13"/>
          <w:u w:val="single" w:color="auto"/>
          <w:color w:val="auto"/>
        </w:rPr>
        <w:t>Performance Rate</w:t>
      </w:r>
      <w:r>
        <w:rPr>
          <w:rFonts w:ascii="Times New Roman" w:cs="Times New Roman" w:eastAsia="Times New Roman" w:hAnsi="Times New Roman"/>
          <w:sz w:val="13"/>
          <w:szCs w:val="13"/>
          <w:color w:val="auto"/>
        </w:rPr>
        <w:t xml:space="preserve"> by the </w:t>
      </w:r>
      <w:r>
        <w:rPr>
          <w:rFonts w:ascii="Times New Roman" w:cs="Times New Roman" w:eastAsia="Times New Roman" w:hAnsi="Times New Roman"/>
          <w:sz w:val="13"/>
          <w:szCs w:val="13"/>
          <w:u w:val="single" w:color="auto"/>
          <w:color w:val="auto"/>
        </w:rPr>
        <w:t>Investment Amount</w:t>
      </w:r>
      <w:r>
        <w:rPr>
          <w:rFonts w:ascii="Times New Roman" w:cs="Times New Roman" w:eastAsia="Times New Roman" w:hAnsi="Times New Roman"/>
          <w:sz w:val="13"/>
          <w:szCs w:val="13"/>
          <w:color w:val="auto"/>
        </w:rPr>
        <w:t xml:space="preserve"> of the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on the last day of the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color w:val="auto"/>
        </w:rPr>
        <w:t>.</w:t>
      </w:r>
    </w:p>
    <w:p>
      <w:pPr>
        <w:spacing w:after="0" w:line="49" w:lineRule="exact"/>
        <w:rPr>
          <w:sz w:val="20"/>
          <w:szCs w:val="20"/>
          <w:color w:val="auto"/>
        </w:rPr>
      </w:pPr>
    </w:p>
    <w:p>
      <w:pPr>
        <w:jc w:val="both"/>
        <w:ind w:right="2659"/>
        <w:spacing w:after="0" w:line="293" w:lineRule="auto"/>
        <w:rPr>
          <w:sz w:val="20"/>
          <w:szCs w:val="20"/>
          <w:color w:val="auto"/>
        </w:rPr>
      </w:pPr>
      <w:r>
        <w:rPr>
          <w:rFonts w:ascii="Times New Roman" w:cs="Times New Roman" w:eastAsia="Times New Roman" w:hAnsi="Times New Roman"/>
          <w:sz w:val="13"/>
          <w:szCs w:val="13"/>
          <w:b w:val="1"/>
          <w:bCs w:val="1"/>
          <w:color w:val="auto"/>
        </w:rPr>
        <w:t xml:space="preserve">Premium Tax. </w:t>
      </w:r>
      <w:r>
        <w:rPr>
          <w:rFonts w:ascii="Times New Roman" w:cs="Times New Roman" w:eastAsia="Times New Roman" w:hAnsi="Times New Roman"/>
          <w:sz w:val="13"/>
          <w:szCs w:val="13"/>
          <w:color w:val="auto"/>
        </w:rPr>
        <w:t>The amount of tax, if any, charged by the state or municipality. New York state does not currently assess Premium</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Taxes on Purchase Payments.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Purchase Payment.</w:t>
      </w:r>
      <w:r>
        <w:rPr>
          <w:rFonts w:ascii="Times New Roman" w:cs="Times New Roman" w:eastAsia="Times New Roman" w:hAnsi="Times New Roman"/>
          <w:sz w:val="13"/>
          <w:szCs w:val="13"/>
          <w:color w:val="auto"/>
        </w:rPr>
        <w:t xml:space="preserve">   The amount paid to us under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as consideration for the benefits it provides.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Rate Crediting Type.</w:t>
      </w:r>
      <w:r>
        <w:rPr>
          <w:rFonts w:ascii="Times New Roman" w:cs="Times New Roman" w:eastAsia="Times New Roman" w:hAnsi="Times New Roman"/>
          <w:sz w:val="13"/>
          <w:szCs w:val="13"/>
          <w:color w:val="auto"/>
        </w:rPr>
        <w:t xml:space="preserve">   Either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Cap Rate</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Step Rate</w:t>
      </w:r>
      <w:r>
        <w:rPr>
          <w:rFonts w:ascii="Times New Roman" w:cs="Times New Roman" w:eastAsia="Times New Roman" w:hAnsi="Times New Roman"/>
          <w:sz w:val="13"/>
          <w:szCs w:val="13"/>
          <w:color w:val="auto"/>
        </w:rPr>
        <w:t>, 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Step Rate Edge</w:t>
      </w:r>
      <w:r>
        <w:rPr>
          <w:rFonts w:ascii="Times New Roman" w:cs="Times New Roman" w:eastAsia="Times New Roman" w:hAnsi="Times New Roman"/>
          <w:sz w:val="13"/>
          <w:szCs w:val="13"/>
          <w:color w:val="auto"/>
        </w:rPr>
        <w:t>.</w:t>
      </w:r>
    </w:p>
    <w:p>
      <w:pPr>
        <w:spacing w:after="0" w:line="89" w:lineRule="exact"/>
        <w:rPr>
          <w:sz w:val="20"/>
          <w:szCs w:val="20"/>
          <w:color w:val="auto"/>
        </w:rPr>
      </w:pPr>
    </w:p>
    <w:p>
      <w:pPr>
        <w:jc w:val="both"/>
        <w:ind w:right="2659"/>
        <w:spacing w:after="0" w:line="274" w:lineRule="auto"/>
        <w:rPr>
          <w:sz w:val="20"/>
          <w:szCs w:val="20"/>
          <w:color w:val="auto"/>
        </w:rPr>
      </w:pPr>
      <w:r>
        <w:rPr>
          <w:rFonts w:ascii="Times New Roman" w:cs="Times New Roman" w:eastAsia="Times New Roman" w:hAnsi="Times New Roman"/>
          <w:sz w:val="13"/>
          <w:szCs w:val="13"/>
          <w:b w:val="1"/>
          <w:bCs w:val="1"/>
          <w:color w:val="auto"/>
        </w:rPr>
        <w:t xml:space="preserve">Shield 10. </w:t>
      </w:r>
      <w:r>
        <w:rPr>
          <w:rFonts w:ascii="Times New Roman" w:cs="Times New Roman" w:eastAsia="Times New Roman" w:hAnsi="Times New Roman"/>
          <w:sz w:val="13"/>
          <w:szCs w:val="13"/>
          <w:color w:val="auto"/>
        </w:rPr>
        <w:t>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provides downside protection through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Shield 10</w:t>
      </w:r>
      <w:r>
        <w:rPr>
          <w:rFonts w:ascii="Times New Roman" w:cs="Times New Roman" w:eastAsia="Times New Roman" w:hAnsi="Times New Roman"/>
          <w:sz w:val="13"/>
          <w:szCs w:val="13"/>
          <w:color w:val="auto"/>
        </w:rPr>
        <w:t>, which is 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Shield Rate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where negative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Index</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Performance</w:t>
      </w:r>
      <w:r>
        <w:rPr>
          <w:rFonts w:ascii="Times New Roman" w:cs="Times New Roman" w:eastAsia="Times New Roman" w:hAnsi="Times New Roman"/>
          <w:sz w:val="13"/>
          <w:szCs w:val="13"/>
          <w:color w:val="auto"/>
        </w:rPr>
        <w:t xml:space="preserve"> of up to 10% of your </w:t>
      </w:r>
      <w:r>
        <w:rPr>
          <w:rFonts w:ascii="Times New Roman" w:cs="Times New Roman" w:eastAsia="Times New Roman" w:hAnsi="Times New Roman"/>
          <w:sz w:val="13"/>
          <w:szCs w:val="13"/>
          <w:u w:val="single" w:color="auto"/>
          <w:color w:val="auto"/>
        </w:rPr>
        <w:t>Investment Amount</w:t>
      </w:r>
      <w:r>
        <w:rPr>
          <w:rFonts w:ascii="Times New Roman" w:cs="Times New Roman" w:eastAsia="Times New Roman" w:hAnsi="Times New Roman"/>
          <w:sz w:val="13"/>
          <w:szCs w:val="13"/>
          <w:color w:val="auto"/>
        </w:rPr>
        <w:t xml:space="preserve"> is absorbed by us at the </w:t>
      </w:r>
      <w:r>
        <w:rPr>
          <w:rFonts w:ascii="Times New Roman" w:cs="Times New Roman" w:eastAsia="Times New Roman" w:hAnsi="Times New Roman"/>
          <w:sz w:val="13"/>
          <w:szCs w:val="13"/>
          <w:u w:val="single" w:color="auto"/>
          <w:color w:val="auto"/>
        </w:rPr>
        <w:t>Term End Date</w:t>
      </w:r>
      <w:r>
        <w:rPr>
          <w:rFonts w:ascii="Times New Roman" w:cs="Times New Roman" w:eastAsia="Times New Roman" w:hAnsi="Times New Roman"/>
          <w:sz w:val="13"/>
          <w:szCs w:val="13"/>
          <w:color w:val="auto"/>
        </w:rPr>
        <w:t xml:space="preserve">, which would leave you to absorb any remaining negative </w:t>
      </w:r>
      <w:r>
        <w:rPr>
          <w:rFonts w:ascii="Times New Roman" w:cs="Times New Roman" w:eastAsia="Times New Roman" w:hAnsi="Times New Roman"/>
          <w:sz w:val="13"/>
          <w:szCs w:val="13"/>
          <w:u w:val="single" w:color="auto"/>
          <w:color w:val="auto"/>
        </w:rPr>
        <w:t>Index Performance</w:t>
      </w:r>
      <w:r>
        <w:rPr>
          <w:rFonts w:ascii="Times New Roman" w:cs="Times New Roman" w:eastAsia="Times New Roman" w:hAnsi="Times New Roman"/>
          <w:sz w:val="13"/>
          <w:szCs w:val="13"/>
          <w:color w:val="auto"/>
        </w:rPr>
        <w:t xml:space="preserve"> of up to 90% of your </w:t>
      </w:r>
      <w:r>
        <w:rPr>
          <w:rFonts w:ascii="Times New Roman" w:cs="Times New Roman" w:eastAsia="Times New Roman" w:hAnsi="Times New Roman"/>
          <w:sz w:val="13"/>
          <w:szCs w:val="13"/>
          <w:u w:val="single" w:color="auto"/>
          <w:color w:val="auto"/>
        </w:rPr>
        <w:t>Investment Amount</w:t>
      </w:r>
      <w:r>
        <w:rPr>
          <w:rFonts w:ascii="Times New Roman" w:cs="Times New Roman" w:eastAsia="Times New Roman" w:hAnsi="Times New Roman"/>
          <w:sz w:val="13"/>
          <w:szCs w:val="13"/>
          <w:color w:val="auto"/>
        </w:rPr>
        <w:t>.</w:t>
      </w:r>
    </w:p>
    <w:p>
      <w:pPr>
        <w:spacing w:after="0" w:line="12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799"/>
          </w:cols>
          <w:pgMar w:left="660" w:top="1168" w:right="1440" w:bottom="1440" w:gutter="0" w:footer="0" w:header="0"/>
        </w:sectPr>
      </w:pPr>
    </w:p>
    <w:bookmarkStart w:id="137" w:name="page138"/>
    <w:bookmarkEnd w:id="137"/>
    <w:p>
      <w:pPr>
        <w:jc w:val="both"/>
        <w:ind w:right="2659"/>
        <w:spacing w:after="0" w:line="274"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2">
                      <a:extLst>
                        <a:ext uri="{28A0092B-C50C-407E-A947-70E740481C1C}"/>
                      </a:extLst>
                    </a:blip>
                    <a:srcRect/>
                    <a:stretch>
                      <a:fillRect/>
                    </a:stretch>
                  </pic:blipFill>
                  <pic:spPr bwMode="auto">
                    <a:xfrm>
                      <a:off x="0" y="0"/>
                      <a:ext cx="7193915" cy="38100"/>
                    </a:xfrm>
                    <a:prstGeom prst="rect">
                      <a:avLst/>
                    </a:prstGeom>
                    <a:noFill/>
                  </pic:spPr>
                </pic:pic>
              </a:graphicData>
            </a:graphic>
          </wp:anchor>
        </w:drawing>
        <w:t xml:space="preserve">Shield 15. </w:t>
      </w:r>
      <w:r>
        <w:rPr>
          <w:rFonts w:ascii="Times New Roman" w:cs="Times New Roman" w:eastAsia="Times New Roman" w:hAnsi="Times New Roman"/>
          <w:sz w:val="13"/>
          <w:szCs w:val="13"/>
          <w:color w:val="auto"/>
        </w:rPr>
        <w:t>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provides downside protection through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Shield 15</w:t>
      </w:r>
      <w:r>
        <w:rPr>
          <w:rFonts w:ascii="Times New Roman" w:cs="Times New Roman" w:eastAsia="Times New Roman" w:hAnsi="Times New Roman"/>
          <w:sz w:val="13"/>
          <w:szCs w:val="13"/>
          <w:color w:val="auto"/>
        </w:rPr>
        <w:t>, which is 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Shield Rate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where negative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Index</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Performance</w:t>
      </w:r>
      <w:r>
        <w:rPr>
          <w:rFonts w:ascii="Times New Roman" w:cs="Times New Roman" w:eastAsia="Times New Roman" w:hAnsi="Times New Roman"/>
          <w:sz w:val="13"/>
          <w:szCs w:val="13"/>
          <w:color w:val="auto"/>
        </w:rPr>
        <w:t xml:space="preserve"> of up to 15% of your </w:t>
      </w:r>
      <w:r>
        <w:rPr>
          <w:rFonts w:ascii="Times New Roman" w:cs="Times New Roman" w:eastAsia="Times New Roman" w:hAnsi="Times New Roman"/>
          <w:sz w:val="13"/>
          <w:szCs w:val="13"/>
          <w:u w:val="single" w:color="auto"/>
          <w:color w:val="auto"/>
        </w:rPr>
        <w:t>Investment Amount</w:t>
      </w:r>
      <w:r>
        <w:rPr>
          <w:rFonts w:ascii="Times New Roman" w:cs="Times New Roman" w:eastAsia="Times New Roman" w:hAnsi="Times New Roman"/>
          <w:sz w:val="13"/>
          <w:szCs w:val="13"/>
          <w:color w:val="auto"/>
        </w:rPr>
        <w:t xml:space="preserve"> is absorbed by us at the </w:t>
      </w:r>
      <w:r>
        <w:rPr>
          <w:rFonts w:ascii="Times New Roman" w:cs="Times New Roman" w:eastAsia="Times New Roman" w:hAnsi="Times New Roman"/>
          <w:sz w:val="13"/>
          <w:szCs w:val="13"/>
          <w:u w:val="single" w:color="auto"/>
          <w:color w:val="auto"/>
        </w:rPr>
        <w:t>Term End Date</w:t>
      </w:r>
      <w:r>
        <w:rPr>
          <w:rFonts w:ascii="Times New Roman" w:cs="Times New Roman" w:eastAsia="Times New Roman" w:hAnsi="Times New Roman"/>
          <w:sz w:val="13"/>
          <w:szCs w:val="13"/>
          <w:color w:val="auto"/>
        </w:rPr>
        <w:t xml:space="preserve">, which would leave you to absorb any remaining negative </w:t>
      </w:r>
      <w:r>
        <w:rPr>
          <w:rFonts w:ascii="Times New Roman" w:cs="Times New Roman" w:eastAsia="Times New Roman" w:hAnsi="Times New Roman"/>
          <w:sz w:val="13"/>
          <w:szCs w:val="13"/>
          <w:u w:val="single" w:color="auto"/>
          <w:color w:val="auto"/>
        </w:rPr>
        <w:t>Index Performance</w:t>
      </w:r>
      <w:r>
        <w:rPr>
          <w:rFonts w:ascii="Times New Roman" w:cs="Times New Roman" w:eastAsia="Times New Roman" w:hAnsi="Times New Roman"/>
          <w:sz w:val="13"/>
          <w:szCs w:val="13"/>
          <w:color w:val="auto"/>
        </w:rPr>
        <w:t xml:space="preserve"> of up to 85% of your </w:t>
      </w:r>
      <w:r>
        <w:rPr>
          <w:rFonts w:ascii="Times New Roman" w:cs="Times New Roman" w:eastAsia="Times New Roman" w:hAnsi="Times New Roman"/>
          <w:sz w:val="13"/>
          <w:szCs w:val="13"/>
          <w:u w:val="single" w:color="auto"/>
          <w:color w:val="auto"/>
        </w:rPr>
        <w:t>Investment Amount</w:t>
      </w:r>
      <w:r>
        <w:rPr>
          <w:rFonts w:ascii="Times New Roman" w:cs="Times New Roman" w:eastAsia="Times New Roman" w:hAnsi="Times New Roman"/>
          <w:sz w:val="13"/>
          <w:szCs w:val="13"/>
          <w:color w:val="auto"/>
        </w:rPr>
        <w:t>.</w:t>
      </w:r>
    </w:p>
    <w:p>
      <w:pPr>
        <w:spacing w:after="0" w:line="44" w:lineRule="exact"/>
        <w:rPr>
          <w:sz w:val="20"/>
          <w:szCs w:val="20"/>
          <w:color w:val="auto"/>
        </w:rPr>
      </w:pPr>
    </w:p>
    <w:p>
      <w:pPr>
        <w:jc w:val="both"/>
        <w:ind w:right="2659"/>
        <w:spacing w:after="0" w:line="274" w:lineRule="auto"/>
        <w:rPr>
          <w:sz w:val="20"/>
          <w:szCs w:val="20"/>
          <w:color w:val="auto"/>
        </w:rPr>
      </w:pPr>
      <w:r>
        <w:rPr>
          <w:rFonts w:ascii="Times New Roman" w:cs="Times New Roman" w:eastAsia="Times New Roman" w:hAnsi="Times New Roman"/>
          <w:sz w:val="13"/>
          <w:szCs w:val="13"/>
          <w:b w:val="1"/>
          <w:bCs w:val="1"/>
          <w:color w:val="auto"/>
        </w:rPr>
        <w:t xml:space="preserve">Shield 25. </w:t>
      </w:r>
      <w:r>
        <w:rPr>
          <w:rFonts w:ascii="Times New Roman" w:cs="Times New Roman" w:eastAsia="Times New Roman" w:hAnsi="Times New Roman"/>
          <w:sz w:val="13"/>
          <w:szCs w:val="13"/>
          <w:color w:val="auto"/>
        </w:rPr>
        <w:t>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provides downside protection through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Shield 25</w:t>
      </w:r>
      <w:r>
        <w:rPr>
          <w:rFonts w:ascii="Times New Roman" w:cs="Times New Roman" w:eastAsia="Times New Roman" w:hAnsi="Times New Roman"/>
          <w:sz w:val="13"/>
          <w:szCs w:val="13"/>
          <w:color w:val="auto"/>
        </w:rPr>
        <w:t>, which is 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Shield Rate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where negative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Index</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Performance</w:t>
      </w:r>
      <w:r>
        <w:rPr>
          <w:rFonts w:ascii="Times New Roman" w:cs="Times New Roman" w:eastAsia="Times New Roman" w:hAnsi="Times New Roman"/>
          <w:sz w:val="13"/>
          <w:szCs w:val="13"/>
          <w:color w:val="auto"/>
        </w:rPr>
        <w:t xml:space="preserve"> of up to 25% of your </w:t>
      </w:r>
      <w:r>
        <w:rPr>
          <w:rFonts w:ascii="Times New Roman" w:cs="Times New Roman" w:eastAsia="Times New Roman" w:hAnsi="Times New Roman"/>
          <w:sz w:val="13"/>
          <w:szCs w:val="13"/>
          <w:u w:val="single" w:color="auto"/>
          <w:color w:val="auto"/>
        </w:rPr>
        <w:t>Investment Amount</w:t>
      </w:r>
      <w:r>
        <w:rPr>
          <w:rFonts w:ascii="Times New Roman" w:cs="Times New Roman" w:eastAsia="Times New Roman" w:hAnsi="Times New Roman"/>
          <w:sz w:val="13"/>
          <w:szCs w:val="13"/>
          <w:color w:val="auto"/>
        </w:rPr>
        <w:t xml:space="preserve"> is absorbed by us at the </w:t>
      </w:r>
      <w:r>
        <w:rPr>
          <w:rFonts w:ascii="Times New Roman" w:cs="Times New Roman" w:eastAsia="Times New Roman" w:hAnsi="Times New Roman"/>
          <w:sz w:val="13"/>
          <w:szCs w:val="13"/>
          <w:u w:val="single" w:color="auto"/>
          <w:color w:val="auto"/>
        </w:rPr>
        <w:t>Term End Date</w:t>
      </w:r>
      <w:r>
        <w:rPr>
          <w:rFonts w:ascii="Times New Roman" w:cs="Times New Roman" w:eastAsia="Times New Roman" w:hAnsi="Times New Roman"/>
          <w:sz w:val="13"/>
          <w:szCs w:val="13"/>
          <w:color w:val="auto"/>
        </w:rPr>
        <w:t xml:space="preserve">, which would leave you to absorb any remaining negative </w:t>
      </w:r>
      <w:r>
        <w:rPr>
          <w:rFonts w:ascii="Times New Roman" w:cs="Times New Roman" w:eastAsia="Times New Roman" w:hAnsi="Times New Roman"/>
          <w:sz w:val="13"/>
          <w:szCs w:val="13"/>
          <w:u w:val="single" w:color="auto"/>
          <w:color w:val="auto"/>
        </w:rPr>
        <w:t>Index Performance</w:t>
      </w:r>
      <w:r>
        <w:rPr>
          <w:rFonts w:ascii="Times New Roman" w:cs="Times New Roman" w:eastAsia="Times New Roman" w:hAnsi="Times New Roman"/>
          <w:sz w:val="13"/>
          <w:szCs w:val="13"/>
          <w:color w:val="auto"/>
        </w:rPr>
        <w:t xml:space="preserve"> of up to 75% of your </w:t>
      </w:r>
      <w:r>
        <w:rPr>
          <w:rFonts w:ascii="Times New Roman" w:cs="Times New Roman" w:eastAsia="Times New Roman" w:hAnsi="Times New Roman"/>
          <w:sz w:val="13"/>
          <w:szCs w:val="13"/>
          <w:u w:val="single" w:color="auto"/>
          <w:color w:val="auto"/>
        </w:rPr>
        <w:t>Investment Amount</w:t>
      </w:r>
      <w:r>
        <w:rPr>
          <w:rFonts w:ascii="Times New Roman" w:cs="Times New Roman" w:eastAsia="Times New Roman" w:hAnsi="Times New Roman"/>
          <w:sz w:val="13"/>
          <w:szCs w:val="13"/>
          <w:color w:val="auto"/>
        </w:rPr>
        <w:t>.</w:t>
      </w:r>
    </w:p>
    <w:p>
      <w:pPr>
        <w:spacing w:after="0" w:line="44" w:lineRule="exact"/>
        <w:rPr>
          <w:sz w:val="20"/>
          <w:szCs w:val="20"/>
          <w:color w:val="auto"/>
        </w:rPr>
      </w:pPr>
    </w:p>
    <w:p>
      <w:pPr>
        <w:jc w:val="both"/>
        <w:ind w:right="2659"/>
        <w:spacing w:after="0" w:line="273" w:lineRule="auto"/>
        <w:rPr>
          <w:sz w:val="20"/>
          <w:szCs w:val="20"/>
          <w:color w:val="auto"/>
        </w:rPr>
      </w:pPr>
      <w:r>
        <w:rPr>
          <w:rFonts w:ascii="Times New Roman" w:cs="Times New Roman" w:eastAsia="Times New Roman" w:hAnsi="Times New Roman"/>
          <w:sz w:val="13"/>
          <w:szCs w:val="13"/>
          <w:b w:val="1"/>
          <w:bCs w:val="1"/>
          <w:color w:val="auto"/>
        </w:rPr>
        <w:t xml:space="preserve">Shield Rate. </w:t>
      </w:r>
      <w:r>
        <w:rPr>
          <w:rFonts w:ascii="Times New Roman" w:cs="Times New Roman" w:eastAsia="Times New Roman" w:hAnsi="Times New Roman"/>
          <w:sz w:val="13"/>
          <w:szCs w:val="13"/>
          <w:color w:val="auto"/>
        </w:rPr>
        <w:t>A limited buffer where we absorb part of any negative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Index Performance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at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Term End Date</w:t>
      </w:r>
      <w:r>
        <w:rPr>
          <w:rFonts w:ascii="Times New Roman" w:cs="Times New Roman" w:eastAsia="Times New Roman" w:hAnsi="Times New Roman"/>
          <w:sz w:val="13"/>
          <w:szCs w:val="13"/>
          <w:color w:val="auto"/>
        </w:rPr>
        <w:t>. Any negative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Index</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Performance</w:t>
      </w:r>
      <w:r>
        <w:rPr>
          <w:rFonts w:ascii="Times New Roman" w:cs="Times New Roman" w:eastAsia="Times New Roman" w:hAnsi="Times New Roman"/>
          <w:sz w:val="13"/>
          <w:szCs w:val="13"/>
          <w:color w:val="auto"/>
        </w:rPr>
        <w:t xml:space="preserve"> beyond the </w:t>
      </w:r>
      <w:r>
        <w:rPr>
          <w:rFonts w:ascii="Times New Roman" w:cs="Times New Roman" w:eastAsia="Times New Roman" w:hAnsi="Times New Roman"/>
          <w:sz w:val="13"/>
          <w:szCs w:val="13"/>
          <w:u w:val="single" w:color="auto"/>
          <w:color w:val="auto"/>
        </w:rPr>
        <w:t>Shield Rate</w:t>
      </w:r>
      <w:r>
        <w:rPr>
          <w:rFonts w:ascii="Times New Roman" w:cs="Times New Roman" w:eastAsia="Times New Roman" w:hAnsi="Times New Roman"/>
          <w:sz w:val="13"/>
          <w:szCs w:val="13"/>
          <w:color w:val="auto"/>
        </w:rPr>
        <w:t xml:space="preserve"> will reduce the </w:t>
      </w:r>
      <w:r>
        <w:rPr>
          <w:rFonts w:ascii="Times New Roman" w:cs="Times New Roman" w:eastAsia="Times New Roman" w:hAnsi="Times New Roman"/>
          <w:sz w:val="13"/>
          <w:szCs w:val="13"/>
          <w:u w:val="single" w:color="auto"/>
          <w:color w:val="auto"/>
        </w:rPr>
        <w:t>Investment Amount</w:t>
      </w:r>
      <w:r>
        <w:rPr>
          <w:rFonts w:ascii="Times New Roman" w:cs="Times New Roman" w:eastAsia="Times New Roman" w:hAnsi="Times New Roman"/>
          <w:sz w:val="13"/>
          <w:szCs w:val="13"/>
          <w:color w:val="auto"/>
        </w:rPr>
        <w:t xml:space="preserve"> associated with the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The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u w:val="single" w:color="auto"/>
          <w:color w:val="auto"/>
        </w:rPr>
        <w:t>Shield Rate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may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 xml:space="preserve">vary between </w:t>
      </w:r>
      <w:r>
        <w:rPr>
          <w:rFonts w:ascii="Times New Roman" w:cs="Times New Roman" w:eastAsia="Times New Roman" w:hAnsi="Times New Roman"/>
          <w:sz w:val="13"/>
          <w:szCs w:val="13"/>
          <w:b w:val="1"/>
          <w:bCs w:val="1"/>
          <w:u w:val="single" w:color="auto"/>
          <w:color w:val="auto"/>
        </w:rPr>
        <w:t>Shield Options</w:t>
      </w:r>
      <w:r>
        <w:rPr>
          <w:rFonts w:ascii="Times New Roman" w:cs="Times New Roman" w:eastAsia="Times New Roman" w:hAnsi="Times New Roman"/>
          <w:sz w:val="13"/>
          <w:szCs w:val="13"/>
          <w:b w:val="1"/>
          <w:bCs w:val="1"/>
          <w:color w:val="auto"/>
        </w:rPr>
        <w:t xml:space="preserve"> and, unless you have a </w:t>
      </w:r>
      <w:r>
        <w:rPr>
          <w:rFonts w:ascii="Times New Roman" w:cs="Times New Roman" w:eastAsia="Times New Roman" w:hAnsi="Times New Roman"/>
          <w:sz w:val="13"/>
          <w:szCs w:val="13"/>
          <w:b w:val="1"/>
          <w:bCs w:val="1"/>
          <w:u w:val="single" w:color="auto"/>
          <w:color w:val="auto"/>
        </w:rPr>
        <w:t>Shield Option</w:t>
      </w:r>
      <w:r>
        <w:rPr>
          <w:rFonts w:ascii="Times New Roman" w:cs="Times New Roman" w:eastAsia="Times New Roman" w:hAnsi="Times New Roman"/>
          <w:sz w:val="13"/>
          <w:szCs w:val="13"/>
          <w:b w:val="1"/>
          <w:bCs w:val="1"/>
          <w:color w:val="auto"/>
        </w:rPr>
        <w:t xml:space="preserve"> with a 1-year </w:t>
      </w:r>
      <w:r>
        <w:rPr>
          <w:rFonts w:ascii="Times New Roman" w:cs="Times New Roman" w:eastAsia="Times New Roman" w:hAnsi="Times New Roman"/>
          <w:sz w:val="13"/>
          <w:szCs w:val="13"/>
          <w:b w:val="1"/>
          <w:bCs w:val="1"/>
          <w:u w:val="single" w:color="auto"/>
          <w:color w:val="auto"/>
        </w:rPr>
        <w:t>Term</w:t>
      </w:r>
      <w:r>
        <w:rPr>
          <w:rFonts w:ascii="Times New Roman" w:cs="Times New Roman" w:eastAsia="Times New Roman" w:hAnsi="Times New Roman"/>
          <w:sz w:val="13"/>
          <w:szCs w:val="13"/>
          <w:b w:val="1"/>
          <w:bCs w:val="1"/>
          <w:color w:val="auto"/>
        </w:rPr>
        <w:t>, is not an annual rate</w:t>
      </w:r>
      <w:r>
        <w:rPr>
          <w:rFonts w:ascii="Times New Roman" w:cs="Times New Roman" w:eastAsia="Times New Roman" w:hAnsi="Times New Roman"/>
          <w:sz w:val="13"/>
          <w:szCs w:val="13"/>
          <w:color w:val="auto"/>
        </w:rPr>
        <w:t>. We currently offer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the following </w:t>
      </w:r>
      <w:r>
        <w:rPr>
          <w:rFonts w:ascii="Times New Roman" w:cs="Times New Roman" w:eastAsia="Times New Roman" w:hAnsi="Times New Roman"/>
          <w:sz w:val="13"/>
          <w:szCs w:val="13"/>
          <w:u w:val="single" w:color="auto"/>
          <w:color w:val="auto"/>
        </w:rPr>
        <w:t>Shield Rates</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u w:val="single" w:color="auto"/>
          <w:color w:val="auto"/>
        </w:rPr>
        <w:t>Shield 10</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Shield 15</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Shield 25</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-233045</wp:posOffset>
            </wp:positionV>
            <wp:extent cx="31750" cy="635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3">
                      <a:extLst>
                        <a:ext uri="{28A0092B-C50C-407E-A947-70E740481C1C}"/>
                      </a:extLst>
                    </a:blip>
                    <a:srcRect/>
                    <a:stretch>
                      <a:fillRect/>
                    </a:stretch>
                  </pic:blipFill>
                  <pic:spPr bwMode="auto">
                    <a:xfrm>
                      <a:off x="0" y="0"/>
                      <a:ext cx="31750" cy="6350"/>
                    </a:xfrm>
                    <a:prstGeom prst="rect">
                      <a:avLst/>
                    </a:prstGeom>
                    <a:noFill/>
                  </pic:spPr>
                </pic:pic>
              </a:graphicData>
            </a:graphic>
          </wp:anchor>
        </w:drawing>
      </w:r>
    </w:p>
    <w:p>
      <w:pPr>
        <w:spacing w:after="0" w:line="24" w:lineRule="exact"/>
        <w:rPr>
          <w:sz w:val="20"/>
          <w:szCs w:val="20"/>
          <w:color w:val="auto"/>
        </w:rPr>
      </w:pPr>
    </w:p>
    <w:p>
      <w:pPr>
        <w:jc w:val="both"/>
        <w:ind w:right="2659"/>
        <w:spacing w:after="0" w:line="293" w:lineRule="auto"/>
        <w:rPr>
          <w:sz w:val="20"/>
          <w:szCs w:val="20"/>
          <w:color w:val="auto"/>
        </w:rPr>
      </w:pPr>
      <w:r>
        <w:rPr>
          <w:rFonts w:ascii="Times New Roman" w:cs="Times New Roman" w:eastAsia="Times New Roman" w:hAnsi="Times New Roman"/>
          <w:sz w:val="13"/>
          <w:szCs w:val="13"/>
          <w:b w:val="1"/>
          <w:bCs w:val="1"/>
          <w:color w:val="auto"/>
        </w:rPr>
        <w:t xml:space="preserve">Shield Option. </w:t>
      </w:r>
      <w:r>
        <w:rPr>
          <w:rFonts w:ascii="Times New Roman" w:cs="Times New Roman" w:eastAsia="Times New Roman" w:hAnsi="Times New Roman"/>
          <w:sz w:val="13"/>
          <w:szCs w:val="13"/>
          <w:color w:val="auto"/>
        </w:rPr>
        <w:t>You may allocate your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Purchase Payment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or transfer your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Investment Amount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to one or more of the available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Shield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Options</w:t>
      </w:r>
      <w:r>
        <w:rPr>
          <w:rFonts w:ascii="Times New Roman" w:cs="Times New Roman" w:eastAsia="Times New Roman" w:hAnsi="Times New Roman"/>
          <w:sz w:val="13"/>
          <w:szCs w:val="13"/>
          <w:color w:val="auto"/>
        </w:rPr>
        <w:t xml:space="preserve">. Each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offered through this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has an associated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Index</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Shield Rate</w:t>
      </w:r>
      <w:r>
        <w:rPr>
          <w:rFonts w:ascii="Times New Roman" w:cs="Times New Roman" w:eastAsia="Times New Roman" w:hAnsi="Times New Roman"/>
          <w:sz w:val="13"/>
          <w:szCs w:val="13"/>
          <w:color w:val="auto"/>
        </w:rPr>
        <w:t xml:space="preserve"> and a </w:t>
      </w:r>
      <w:r>
        <w:rPr>
          <w:rFonts w:ascii="Times New Roman" w:cs="Times New Roman" w:eastAsia="Times New Roman" w:hAnsi="Times New Roman"/>
          <w:sz w:val="13"/>
          <w:szCs w:val="13"/>
          <w:u w:val="single" w:color="auto"/>
          <w:color w:val="auto"/>
        </w:rPr>
        <w:t>Rate Crediting Type</w:t>
      </w:r>
      <w:r>
        <w:rPr>
          <w:rFonts w:ascii="Times New Roman" w:cs="Times New Roman" w:eastAsia="Times New Roman" w:hAnsi="Times New Roman"/>
          <w:sz w:val="13"/>
          <w:szCs w:val="13"/>
          <w:color w:val="auto"/>
        </w:rPr>
        <w:t>.</w:t>
      </w:r>
    </w:p>
    <w:p>
      <w:pPr>
        <w:spacing w:after="0" w:line="32" w:lineRule="exact"/>
        <w:rPr>
          <w:sz w:val="20"/>
          <w:szCs w:val="20"/>
          <w:color w:val="auto"/>
        </w:rPr>
      </w:pPr>
    </w:p>
    <w:p>
      <w:pPr>
        <w:jc w:val="both"/>
        <w:ind w:right="2659"/>
        <w:spacing w:after="0" w:line="293" w:lineRule="auto"/>
        <w:rPr>
          <w:sz w:val="20"/>
          <w:szCs w:val="20"/>
          <w:color w:val="auto"/>
        </w:rPr>
      </w:pPr>
      <w:r>
        <w:rPr>
          <w:rFonts w:ascii="Times New Roman" w:cs="Times New Roman" w:eastAsia="Times New Roman" w:hAnsi="Times New Roman"/>
          <w:sz w:val="13"/>
          <w:szCs w:val="13"/>
          <w:b w:val="1"/>
          <w:bCs w:val="1"/>
          <w:color w:val="auto"/>
        </w:rPr>
        <w:t xml:space="preserve">Step Rate. </w:t>
      </w:r>
      <w:r>
        <w:rPr>
          <w:rFonts w:ascii="Times New Roman" w:cs="Times New Roman" w:eastAsia="Times New Roman" w:hAnsi="Times New Roman"/>
          <w:sz w:val="13"/>
          <w:szCs w:val="13"/>
          <w:color w:val="auto"/>
        </w:rPr>
        <w:t>The rate credited at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Term End Date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if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Index Performance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is equal to or greater than zero.</w:t>
      </w:r>
      <w:r>
        <w:rPr>
          <w:rFonts w:ascii="Times New Roman" w:cs="Times New Roman" w:eastAsia="Times New Roman" w:hAnsi="Times New Roman"/>
          <w:sz w:val="13"/>
          <w:szCs w:val="13"/>
          <w:b w:val="1"/>
          <w:bCs w:val="1"/>
          <w:color w:val="auto"/>
        </w:rPr>
        <w:t xml:space="preserve"> The </w:t>
      </w:r>
      <w:r>
        <w:rPr>
          <w:rFonts w:ascii="Times New Roman" w:cs="Times New Roman" w:eastAsia="Times New Roman" w:hAnsi="Times New Roman"/>
          <w:sz w:val="13"/>
          <w:szCs w:val="13"/>
          <w:b w:val="1"/>
          <w:bCs w:val="1"/>
          <w:u w:val="single" w:color="auto"/>
          <w:color w:val="auto"/>
        </w:rPr>
        <w:t>Step Rate</w:t>
      </w:r>
      <w:r>
        <w:rPr>
          <w:rFonts w:ascii="Times New Roman" w:cs="Times New Roman" w:eastAsia="Times New Roman" w:hAnsi="Times New Roman"/>
          <w:sz w:val="13"/>
          <w:szCs w:val="13"/>
          <w:b w:val="1"/>
          <w:bCs w:val="1"/>
          <w:color w:val="auto"/>
        </w:rPr>
        <w:t xml:space="preserve"> may vary between </w:t>
      </w:r>
      <w:r>
        <w:rPr>
          <w:rFonts w:ascii="Times New Roman" w:cs="Times New Roman" w:eastAsia="Times New Roman" w:hAnsi="Times New Roman"/>
          <w:sz w:val="13"/>
          <w:szCs w:val="13"/>
          <w:b w:val="1"/>
          <w:bCs w:val="1"/>
          <w:u w:val="single" w:color="auto"/>
          <w:color w:val="auto"/>
        </w:rPr>
        <w:t>Shield Options</w:t>
      </w:r>
      <w:r>
        <w:rPr>
          <w:rFonts w:ascii="Times New Roman" w:cs="Times New Roman" w:eastAsia="Times New Roman" w:hAnsi="Times New Roman"/>
          <w:sz w:val="13"/>
          <w:szCs w:val="13"/>
          <w:b w:val="1"/>
          <w:bCs w:val="1"/>
          <w:color w:val="auto"/>
        </w:rPr>
        <w:t xml:space="preserve"> and, unless you have a </w:t>
      </w:r>
      <w:r>
        <w:rPr>
          <w:rFonts w:ascii="Times New Roman" w:cs="Times New Roman" w:eastAsia="Times New Roman" w:hAnsi="Times New Roman"/>
          <w:sz w:val="13"/>
          <w:szCs w:val="13"/>
          <w:b w:val="1"/>
          <w:bCs w:val="1"/>
          <w:u w:val="single" w:color="auto"/>
          <w:color w:val="auto"/>
        </w:rPr>
        <w:t>Shield Option</w:t>
      </w:r>
      <w:r>
        <w:rPr>
          <w:rFonts w:ascii="Times New Roman" w:cs="Times New Roman" w:eastAsia="Times New Roman" w:hAnsi="Times New Roman"/>
          <w:sz w:val="13"/>
          <w:szCs w:val="13"/>
          <w:b w:val="1"/>
          <w:bCs w:val="1"/>
          <w:color w:val="auto"/>
        </w:rPr>
        <w:t xml:space="preserve"> with a 1-year </w:t>
      </w:r>
      <w:r>
        <w:rPr>
          <w:rFonts w:ascii="Times New Roman" w:cs="Times New Roman" w:eastAsia="Times New Roman" w:hAnsi="Times New Roman"/>
          <w:sz w:val="13"/>
          <w:szCs w:val="13"/>
          <w:b w:val="1"/>
          <w:bCs w:val="1"/>
          <w:u w:val="single" w:color="auto"/>
          <w:color w:val="auto"/>
        </w:rPr>
        <w:t>Term</w:t>
      </w:r>
      <w:r>
        <w:rPr>
          <w:rFonts w:ascii="Times New Roman" w:cs="Times New Roman" w:eastAsia="Times New Roman" w:hAnsi="Times New Roman"/>
          <w:sz w:val="13"/>
          <w:szCs w:val="13"/>
          <w:b w:val="1"/>
          <w:bCs w:val="1"/>
          <w:color w:val="auto"/>
        </w:rPr>
        <w:t>, is not an annual rate.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Surrender.</w:t>
      </w:r>
      <w:r>
        <w:rPr>
          <w:rFonts w:ascii="Times New Roman" w:cs="Times New Roman" w:eastAsia="Times New Roman" w:hAnsi="Times New Roman"/>
          <w:sz w:val="13"/>
          <w:szCs w:val="13"/>
          <w:color w:val="auto"/>
        </w:rPr>
        <w:t xml:space="preserve">   A full withdrawal of your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Account Value</w:t>
      </w:r>
      <w:r>
        <w:rPr>
          <w:rFonts w:ascii="Times New Roman" w:cs="Times New Roman" w:eastAsia="Times New Roman" w:hAnsi="Times New Roman"/>
          <w:sz w:val="13"/>
          <w:szCs w:val="13"/>
          <w:color w:val="auto"/>
        </w:rPr>
        <w:t>.</w:t>
      </w:r>
    </w:p>
    <w:p>
      <w:pPr>
        <w:spacing w:after="0" w:line="89" w:lineRule="exact"/>
        <w:rPr>
          <w:sz w:val="20"/>
          <w:szCs w:val="20"/>
          <w:color w:val="auto"/>
        </w:rPr>
      </w:pPr>
    </w:p>
    <w:p>
      <w:pPr>
        <w:jc w:val="both"/>
        <w:ind w:right="2659"/>
        <w:spacing w:after="0" w:line="293" w:lineRule="auto"/>
        <w:rPr>
          <w:sz w:val="20"/>
          <w:szCs w:val="20"/>
          <w:color w:val="auto"/>
        </w:rPr>
      </w:pPr>
      <w:r>
        <w:rPr>
          <w:rFonts w:ascii="Times New Roman" w:cs="Times New Roman" w:eastAsia="Times New Roman" w:hAnsi="Times New Roman"/>
          <w:sz w:val="13"/>
          <w:szCs w:val="13"/>
          <w:b w:val="1"/>
          <w:bCs w:val="1"/>
          <w:color w:val="auto"/>
        </w:rPr>
        <w:t xml:space="preserve">Term. </w:t>
      </w:r>
      <w:r>
        <w:rPr>
          <w:rFonts w:ascii="Times New Roman" w:cs="Times New Roman" w:eastAsia="Times New Roman" w:hAnsi="Times New Roman"/>
          <w:sz w:val="13"/>
          <w:szCs w:val="13"/>
          <w:color w:val="auto"/>
        </w:rPr>
        <w:t>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is the number of years that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is in effect. We currently offer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Terms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 1 year, 2 years, 3 years or 6</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years. The initial </w:t>
      </w:r>
      <w:r>
        <w:rPr>
          <w:rFonts w:ascii="Times New Roman" w:cs="Times New Roman" w:eastAsia="Times New Roman" w:hAnsi="Times New Roman"/>
          <w:sz w:val="13"/>
          <w:szCs w:val="13"/>
          <w:u w:val="single" w:color="auto"/>
          <w:color w:val="auto"/>
        </w:rPr>
        <w:t>Term(s)</w:t>
      </w:r>
      <w:r>
        <w:rPr>
          <w:rFonts w:ascii="Times New Roman" w:cs="Times New Roman" w:eastAsia="Times New Roman" w:hAnsi="Times New Roman"/>
          <w:sz w:val="13"/>
          <w:szCs w:val="13"/>
          <w:color w:val="auto"/>
        </w:rPr>
        <w:t xml:space="preserve"> begin on the </w:t>
      </w:r>
      <w:r>
        <w:rPr>
          <w:rFonts w:ascii="Times New Roman" w:cs="Times New Roman" w:eastAsia="Times New Roman" w:hAnsi="Times New Roman"/>
          <w:sz w:val="13"/>
          <w:szCs w:val="13"/>
          <w:u w:val="single" w:color="auto"/>
          <w:color w:val="auto"/>
        </w:rPr>
        <w:t>Issue Date</w:t>
      </w:r>
      <w:r>
        <w:rPr>
          <w:rFonts w:ascii="Times New Roman" w:cs="Times New Roman" w:eastAsia="Times New Roman" w:hAnsi="Times New Roman"/>
          <w:sz w:val="13"/>
          <w:szCs w:val="13"/>
          <w:color w:val="auto"/>
        </w:rPr>
        <w: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Term End Date.</w:t>
      </w:r>
      <w:r>
        <w:rPr>
          <w:rFonts w:ascii="Times New Roman" w:cs="Times New Roman" w:eastAsia="Times New Roman" w:hAnsi="Times New Roman"/>
          <w:sz w:val="13"/>
          <w:szCs w:val="13"/>
          <w:color w:val="auto"/>
        </w:rPr>
        <w:t xml:space="preserve">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Contract Anniversary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on which 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ends.</w:t>
      </w:r>
    </w:p>
    <w:p>
      <w:pPr>
        <w:spacing w:after="0" w:line="89" w:lineRule="exact"/>
        <w:rPr>
          <w:sz w:val="20"/>
          <w:szCs w:val="20"/>
          <w:color w:val="auto"/>
        </w:rPr>
      </w:pPr>
    </w:p>
    <w:p>
      <w:pPr>
        <w:jc w:val="both"/>
        <w:ind w:right="2659"/>
        <w:spacing w:after="0" w:line="293" w:lineRule="auto"/>
        <w:rPr>
          <w:sz w:val="20"/>
          <w:szCs w:val="20"/>
          <w:color w:val="auto"/>
        </w:rPr>
      </w:pPr>
      <w:r>
        <w:rPr>
          <w:rFonts w:ascii="Times New Roman" w:cs="Times New Roman" w:eastAsia="Times New Roman" w:hAnsi="Times New Roman"/>
          <w:sz w:val="13"/>
          <w:szCs w:val="13"/>
          <w:b w:val="1"/>
          <w:bCs w:val="1"/>
          <w:color w:val="auto"/>
        </w:rPr>
        <w:t xml:space="preserve">Term Start Date. </w:t>
      </w:r>
      <w:r>
        <w:rPr>
          <w:rFonts w:ascii="Times New Roman" w:cs="Times New Roman" w:eastAsia="Times New Roman" w:hAnsi="Times New Roman"/>
          <w:sz w:val="13"/>
          <w:szCs w:val="13"/>
          <w:color w:val="auto"/>
        </w:rPr>
        <w:t>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Contract Anniversary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on which 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is established. The initial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Term Start Date(s)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begins on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Issue Date</w:t>
      </w:r>
      <w:r>
        <w:rPr>
          <w:rFonts w:ascii="Times New Roman" w:cs="Times New Roman" w:eastAsia="Times New Roman" w:hAnsi="Times New Roman"/>
          <w:sz w:val="13"/>
          <w:szCs w:val="13"/>
          <w:color w:val="auto"/>
        </w:rPr>
        <w:t xml:space="preserve">, and thereafter, will be the </w:t>
      </w:r>
      <w:r>
        <w:rPr>
          <w:rFonts w:ascii="Times New Roman" w:cs="Times New Roman" w:eastAsia="Times New Roman" w:hAnsi="Times New Roman"/>
          <w:sz w:val="13"/>
          <w:szCs w:val="13"/>
          <w:u w:val="single" w:color="auto"/>
          <w:color w:val="auto"/>
        </w:rPr>
        <w:t>Contract Anniversary</w:t>
      </w:r>
      <w:r>
        <w:rPr>
          <w:rFonts w:ascii="Times New Roman" w:cs="Times New Roman" w:eastAsia="Times New Roman" w:hAnsi="Times New Roman"/>
          <w:sz w:val="13"/>
          <w:szCs w:val="13"/>
          <w:color w:val="auto"/>
        </w:rPr>
        <w:t xml:space="preserve"> coinciding with the duration of the current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color w:val="auto"/>
        </w:rPr>
        <w:t xml:space="preserve"> you have selected.</w:t>
      </w:r>
    </w:p>
    <w:p>
      <w:pPr>
        <w:spacing w:after="0" w:line="32" w:lineRule="exact"/>
        <w:rPr>
          <w:sz w:val="20"/>
          <w:szCs w:val="20"/>
          <w:color w:val="auto"/>
        </w:rPr>
      </w:pPr>
    </w:p>
    <w:p>
      <w:pPr>
        <w:jc w:val="both"/>
        <w:ind w:right="2659"/>
        <w:spacing w:after="0" w:line="293" w:lineRule="auto"/>
        <w:rPr>
          <w:sz w:val="20"/>
          <w:szCs w:val="20"/>
          <w:color w:val="auto"/>
        </w:rPr>
      </w:pPr>
      <w:r>
        <w:rPr>
          <w:rFonts w:ascii="Times New Roman" w:cs="Times New Roman" w:eastAsia="Times New Roman" w:hAnsi="Times New Roman"/>
          <w:sz w:val="13"/>
          <w:szCs w:val="13"/>
          <w:b w:val="1"/>
          <w:bCs w:val="1"/>
          <w:color w:val="auto"/>
        </w:rPr>
        <w:t xml:space="preserve">Withdrawal Charge. </w:t>
      </w:r>
      <w:r>
        <w:rPr>
          <w:rFonts w:ascii="Times New Roman" w:cs="Times New Roman" w:eastAsia="Times New Roman" w:hAnsi="Times New Roman"/>
          <w:sz w:val="13"/>
          <w:szCs w:val="13"/>
          <w:color w:val="auto"/>
        </w:rPr>
        <w:t>A charge applied to the percentage of the amount withdrawn from your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Account Value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 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Contract Year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excess of the </w:t>
      </w:r>
      <w:r>
        <w:rPr>
          <w:rFonts w:ascii="Times New Roman" w:cs="Times New Roman" w:eastAsia="Times New Roman" w:hAnsi="Times New Roman"/>
          <w:sz w:val="13"/>
          <w:szCs w:val="13"/>
          <w:u w:val="single" w:color="auto"/>
          <w:color w:val="auto"/>
        </w:rPr>
        <w:t>Free Withdrawal Amount</w:t>
      </w:r>
      <w:r>
        <w:rPr>
          <w:rFonts w:ascii="Times New Roman" w:cs="Times New Roman" w:eastAsia="Times New Roman" w:hAnsi="Times New Roman"/>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799"/>
          </w:cols>
          <w:pgMar w:left="660" w:top="1166" w:right="1440" w:bottom="1440" w:gutter="0" w:footer="0" w:header="0"/>
        </w:sectPr>
      </w:pPr>
    </w:p>
    <w:bookmarkStart w:id="138" w:name="page139"/>
    <w:bookmarkEnd w:id="138"/>
    <w:p>
      <w:pPr>
        <w:ind w:left="25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4">
                      <a:extLst>
                        <a:ext uri="{28A0092B-C50C-407E-A947-70E740481C1C}"/>
                      </a:extLst>
                    </a:blip>
                    <a:srcRect/>
                    <a:stretch>
                      <a:fillRect/>
                    </a:stretch>
                  </pic:blipFill>
                  <pic:spPr bwMode="auto">
                    <a:xfrm>
                      <a:off x="0" y="0"/>
                      <a:ext cx="7193915" cy="38100"/>
                    </a:xfrm>
                    <a:prstGeom prst="rect">
                      <a:avLst/>
                    </a:prstGeom>
                    <a:noFill/>
                  </pic:spPr>
                </pic:pic>
              </a:graphicData>
            </a:graphic>
          </wp:anchor>
        </w:drawing>
        <w:t>OVERVIEW OF THE CONTRACT</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About the Contract</w:t>
      </w:r>
    </w:p>
    <w:p>
      <w:pPr>
        <w:spacing w:after="0" w:line="78" w:lineRule="exact"/>
        <w:rPr>
          <w:sz w:val="20"/>
          <w:szCs w:val="20"/>
          <w:color w:val="auto"/>
        </w:rPr>
      </w:pPr>
    </w:p>
    <w:p>
      <w:pPr>
        <w:jc w:val="both"/>
        <w:ind w:right="2659" w:firstLine="264"/>
        <w:spacing w:after="0" w:line="253" w:lineRule="auto"/>
        <w:rPr>
          <w:sz w:val="20"/>
          <w:szCs w:val="20"/>
          <w:color w:val="auto"/>
        </w:rPr>
      </w:pPr>
      <w:r>
        <w:rPr>
          <w:rFonts w:ascii="Times New Roman" w:cs="Times New Roman" w:eastAsia="Times New Roman" w:hAnsi="Times New Roman"/>
          <w:sz w:val="13"/>
          <w:szCs w:val="13"/>
          <w:color w:val="auto"/>
        </w:rPr>
        <w:t>The Brighthouse Shield</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Level II 6-Year Annuity is an individual single premium deferred index-linked annuity contract (the “Contract”) issued by BLNY, that provides for the potential accumulation of retirement savings on a tax-deferred basis through investment in the </w:t>
      </w:r>
      <w:r>
        <w:rPr>
          <w:rFonts w:ascii="Times New Roman" w:cs="Times New Roman" w:eastAsia="Times New Roman" w:hAnsi="Times New Roman"/>
          <w:sz w:val="13"/>
          <w:szCs w:val="13"/>
          <w:u w:val="single" w:color="auto"/>
          <w:color w:val="auto"/>
        </w:rPr>
        <w:t>Contract’s Allocation Options</w:t>
      </w:r>
      <w:r>
        <w:rPr>
          <w:rFonts w:ascii="Times New Roman" w:cs="Times New Roman" w:eastAsia="Times New Roman" w:hAnsi="Times New Roman"/>
          <w:sz w:val="13"/>
          <w:szCs w:val="13"/>
          <w:color w:val="auto"/>
        </w:rPr>
        <w:t xml:space="preserve">, which include the </w:t>
      </w:r>
      <w:r>
        <w:rPr>
          <w:rFonts w:ascii="Times New Roman" w:cs="Times New Roman" w:eastAsia="Times New Roman" w:hAnsi="Times New Roman"/>
          <w:sz w:val="13"/>
          <w:szCs w:val="13"/>
          <w:u w:val="single" w:color="auto"/>
          <w:color w:val="auto"/>
        </w:rPr>
        <w:t>Shield Options</w:t>
      </w:r>
      <w:r>
        <w:rPr>
          <w:rFonts w:ascii="Times New Roman" w:cs="Times New Roman" w:eastAsia="Times New Roman" w:hAnsi="Times New Roman"/>
          <w:sz w:val="13"/>
          <w:szCs w:val="13"/>
          <w:color w:val="auto"/>
        </w:rPr>
        <w:t xml:space="preserve"> and the </w:t>
      </w:r>
      <w:r>
        <w:rPr>
          <w:rFonts w:ascii="Times New Roman" w:cs="Times New Roman" w:eastAsia="Times New Roman" w:hAnsi="Times New Roman"/>
          <w:sz w:val="13"/>
          <w:szCs w:val="13"/>
          <w:u w:val="single" w:color="auto"/>
          <w:color w:val="auto"/>
        </w:rPr>
        <w:t>Fixed Account</w:t>
      </w:r>
      <w:r>
        <w:rPr>
          <w:rFonts w:ascii="Times New Roman" w:cs="Times New Roman" w:eastAsia="Times New Roman" w:hAnsi="Times New Roman"/>
          <w:sz w:val="13"/>
          <w:szCs w:val="13"/>
          <w:color w:val="auto"/>
        </w:rPr>
        <w:t xml:space="preserve"> (if available). The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is designed generally for an investor who intends to hold the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for a long period of time and then use the </w:t>
      </w:r>
      <w:r>
        <w:rPr>
          <w:rFonts w:ascii="Times New Roman" w:cs="Times New Roman" w:eastAsia="Times New Roman" w:hAnsi="Times New Roman"/>
          <w:sz w:val="13"/>
          <w:szCs w:val="13"/>
          <w:u w:val="single" w:color="auto"/>
          <w:color w:val="auto"/>
        </w:rPr>
        <w:t>Account Value</w:t>
      </w:r>
      <w:r>
        <w:rPr>
          <w:rFonts w:ascii="Times New Roman" w:cs="Times New Roman" w:eastAsia="Times New Roman" w:hAnsi="Times New Roman"/>
          <w:sz w:val="13"/>
          <w:szCs w:val="13"/>
          <w:color w:val="auto"/>
        </w:rPr>
        <w:t xml:space="preserve"> for retirement savings or other long-term investment purposes, and also includes a death benefit which can be used to transfer assets to your beneficiaries. It may not be appropriate for you if you plan to take withdrawals from a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prior to the </w:t>
      </w:r>
      <w:r>
        <w:rPr>
          <w:rFonts w:ascii="Times New Roman" w:cs="Times New Roman" w:eastAsia="Times New Roman" w:hAnsi="Times New Roman"/>
          <w:sz w:val="13"/>
          <w:szCs w:val="13"/>
          <w:u w:val="single" w:color="auto"/>
          <w:color w:val="auto"/>
        </w:rPr>
        <w:t>Term End Date</w:t>
      </w:r>
      <w:r>
        <w:rPr>
          <w:rFonts w:ascii="Times New Roman" w:cs="Times New Roman" w:eastAsia="Times New Roman" w:hAnsi="Times New Roman"/>
          <w:sz w:val="13"/>
          <w:szCs w:val="13"/>
          <w:color w:val="auto"/>
        </w:rPr>
        <w:t xml:space="preserve">, especially if you plan to take ongoing withdrawals such as RMDs and withdrawals taken under the systematic withdrawal program. Before you invest, be sure to ask your financial professional about the </w:t>
      </w:r>
      <w:r>
        <w:rPr>
          <w:rFonts w:ascii="Times New Roman" w:cs="Times New Roman" w:eastAsia="Times New Roman" w:hAnsi="Times New Roman"/>
          <w:sz w:val="13"/>
          <w:szCs w:val="13"/>
          <w:u w:val="single" w:color="auto"/>
          <w:color w:val="auto"/>
        </w:rPr>
        <w:t>Contract’s</w:t>
      </w:r>
      <w:r>
        <w:rPr>
          <w:rFonts w:ascii="Times New Roman" w:cs="Times New Roman" w:eastAsia="Times New Roman" w:hAnsi="Times New Roman"/>
          <w:sz w:val="13"/>
          <w:szCs w:val="13"/>
          <w:color w:val="auto"/>
        </w:rPr>
        <w:t xml:space="preserve"> features, benefits, risks and fees, and whether the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is appropriate for you based on your financial situation and objectives.</w:t>
      </w:r>
    </w:p>
    <w:p>
      <w:pPr>
        <w:spacing w:after="0" w:line="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This version of the Contract is only available in New York state.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Phases of the Contract</w:t>
      </w:r>
    </w:p>
    <w:p>
      <w:pPr>
        <w:spacing w:after="0" w:line="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 xml:space="preserve">The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like all deferred annuity contracts, has two periods: the </w:t>
      </w:r>
      <w:r>
        <w:rPr>
          <w:rFonts w:ascii="Times New Roman" w:cs="Times New Roman" w:eastAsia="Times New Roman" w:hAnsi="Times New Roman"/>
          <w:sz w:val="13"/>
          <w:szCs w:val="13"/>
          <w:u w:val="single" w:color="auto"/>
          <w:color w:val="auto"/>
        </w:rPr>
        <w:t>Accumulation Period</w:t>
      </w:r>
      <w:r>
        <w:rPr>
          <w:rFonts w:ascii="Times New Roman" w:cs="Times New Roman" w:eastAsia="Times New Roman" w:hAnsi="Times New Roman"/>
          <w:sz w:val="13"/>
          <w:szCs w:val="13"/>
          <w:color w:val="auto"/>
        </w:rPr>
        <w:t xml:space="preserve"> and the </w:t>
      </w:r>
      <w:r>
        <w:rPr>
          <w:rFonts w:ascii="Times New Roman" w:cs="Times New Roman" w:eastAsia="Times New Roman" w:hAnsi="Times New Roman"/>
          <w:sz w:val="13"/>
          <w:szCs w:val="13"/>
          <w:u w:val="single" w:color="auto"/>
          <w:color w:val="auto"/>
        </w:rPr>
        <w:t>Annuity Period</w:t>
      </w:r>
      <w:r>
        <w:rPr>
          <w:rFonts w:ascii="Times New Roman" w:cs="Times New Roman" w:eastAsia="Times New Roman" w:hAnsi="Times New Roman"/>
          <w:sz w:val="13"/>
          <w:szCs w:val="13"/>
          <w:color w:val="auto"/>
        </w:rPr>
        <w: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Accumulation Period</w:t>
      </w:r>
    </w:p>
    <w:p>
      <w:pPr>
        <w:spacing w:after="0" w:line="89" w:lineRule="exact"/>
        <w:rPr>
          <w:sz w:val="20"/>
          <w:szCs w:val="20"/>
          <w:color w:val="auto"/>
        </w:rPr>
      </w:pPr>
    </w:p>
    <w:p>
      <w:pPr>
        <w:jc w:val="both"/>
        <w:ind w:right="2659" w:firstLine="264"/>
        <w:spacing w:after="0" w:line="267" w:lineRule="auto"/>
        <w:rPr>
          <w:sz w:val="20"/>
          <w:szCs w:val="20"/>
          <w:color w:val="auto"/>
        </w:rPr>
      </w:pPr>
      <w:r>
        <w:rPr>
          <w:rFonts w:ascii="Times New Roman" w:cs="Times New Roman" w:eastAsia="Times New Roman" w:hAnsi="Times New Roman"/>
          <w:sz w:val="13"/>
          <w:szCs w:val="13"/>
          <w:color w:val="auto"/>
        </w:rPr>
        <w:t xml:space="preserve">During the </w:t>
      </w:r>
      <w:r>
        <w:rPr>
          <w:rFonts w:ascii="Times New Roman" w:cs="Times New Roman" w:eastAsia="Times New Roman" w:hAnsi="Times New Roman"/>
          <w:sz w:val="13"/>
          <w:szCs w:val="13"/>
          <w:u w:val="single" w:color="auto"/>
          <w:color w:val="auto"/>
        </w:rPr>
        <w:t>Accumulation Period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Account Value</w:t>
      </w:r>
      <w:r>
        <w:rPr>
          <w:rFonts w:ascii="Times New Roman" w:cs="Times New Roman" w:eastAsia="Times New Roman" w:hAnsi="Times New Roman"/>
          <w:sz w:val="13"/>
          <w:szCs w:val="13"/>
          <w:color w:val="auto"/>
        </w:rPr>
        <w:t xml:space="preserve"> accumulates on a tax-deferred basis and is taxed as income when you make a withdrawal. If you make a withdrawal or </w:t>
      </w:r>
      <w:r>
        <w:rPr>
          <w:rFonts w:ascii="Times New Roman" w:cs="Times New Roman" w:eastAsia="Times New Roman" w:hAnsi="Times New Roman"/>
          <w:sz w:val="13"/>
          <w:szCs w:val="13"/>
          <w:u w:val="single" w:color="auto"/>
          <w:color w:val="auto"/>
        </w:rPr>
        <w:t>Surrender</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during the </w:t>
      </w:r>
      <w:r>
        <w:rPr>
          <w:rFonts w:ascii="Times New Roman" w:cs="Times New Roman" w:eastAsia="Times New Roman" w:hAnsi="Times New Roman"/>
          <w:sz w:val="13"/>
          <w:szCs w:val="13"/>
          <w:u w:val="single" w:color="auto"/>
          <w:color w:val="auto"/>
        </w:rPr>
        <w:t>Accumulation Period</w:t>
      </w:r>
      <w:r>
        <w:rPr>
          <w:rFonts w:ascii="Times New Roman" w:cs="Times New Roman" w:eastAsia="Times New Roman" w:hAnsi="Times New Roman"/>
          <w:sz w:val="13"/>
          <w:szCs w:val="13"/>
          <w:color w:val="auto"/>
        </w:rPr>
        <w:t xml:space="preserve"> , we may assess a </w:t>
      </w:r>
      <w:r>
        <w:rPr>
          <w:rFonts w:ascii="Times New Roman" w:cs="Times New Roman" w:eastAsia="Times New Roman" w:hAnsi="Times New Roman"/>
          <w:sz w:val="13"/>
          <w:szCs w:val="13"/>
          <w:u w:val="single" w:color="auto"/>
          <w:color w:val="auto"/>
        </w:rPr>
        <w:t>Withdrawal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Charge</w:t>
      </w:r>
      <w:r>
        <w:rPr>
          <w:rFonts w:ascii="Times New Roman" w:cs="Times New Roman" w:eastAsia="Times New Roman" w:hAnsi="Times New Roman"/>
          <w:sz w:val="13"/>
          <w:szCs w:val="13"/>
          <w:color w:val="auto"/>
        </w:rPr>
        <w:t xml:space="preserve"> of up to 7%. Withdrawals (including any applicable </w:t>
      </w:r>
      <w:r>
        <w:rPr>
          <w:rFonts w:ascii="Times New Roman" w:cs="Times New Roman" w:eastAsia="Times New Roman" w:hAnsi="Times New Roman"/>
          <w:sz w:val="13"/>
          <w:szCs w:val="13"/>
          <w:u w:val="single" w:color="auto"/>
          <w:color w:val="auto"/>
        </w:rPr>
        <w:t>Withdrawal Charge</w:t>
      </w:r>
      <w:r>
        <w:rPr>
          <w:rFonts w:ascii="Times New Roman" w:cs="Times New Roman" w:eastAsia="Times New Roman" w:hAnsi="Times New Roman"/>
          <w:sz w:val="13"/>
          <w:szCs w:val="13"/>
          <w:color w:val="auto"/>
        </w:rPr>
        <w:t xml:space="preserve">), depending on the amount and timing, may negatively impact the benefits and guarantees provided by your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 You should carefully consider whether a withdrawal under a particular circumstance will have any negative impact to your benefits or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3420745</wp:posOffset>
            </wp:positionH>
            <wp:positionV relativeFrom="paragraph">
              <wp:posOffset>-330200</wp:posOffset>
            </wp:positionV>
            <wp:extent cx="38100" cy="63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5">
                      <a:extLst>
                        <a:ext uri="{28A0092B-C50C-407E-A947-70E740481C1C}"/>
                      </a:extLst>
                    </a:blip>
                    <a:srcRect/>
                    <a:stretch>
                      <a:fillRect/>
                    </a:stretch>
                  </pic:blipFill>
                  <pic:spPr bwMode="auto">
                    <a:xfrm>
                      <a:off x="0" y="0"/>
                      <a:ext cx="38100" cy="6350"/>
                    </a:xfrm>
                    <a:prstGeom prst="rect">
                      <a:avLst/>
                    </a:prstGeom>
                    <a:noFill/>
                  </pic:spPr>
                </pic:pic>
              </a:graphicData>
            </a:graphic>
          </wp:anchor>
        </w:drawing>
      </w:r>
    </w:p>
    <w:p>
      <w:pPr>
        <w:spacing w:after="0" w:line="29" w:lineRule="exact"/>
        <w:rPr>
          <w:sz w:val="20"/>
          <w:szCs w:val="20"/>
          <w:color w:val="auto"/>
        </w:rPr>
      </w:pPr>
    </w:p>
    <w:p>
      <w:pPr>
        <w:jc w:val="both"/>
        <w:ind w:right="2659" w:firstLine="264"/>
        <w:spacing w:after="0" w:line="282" w:lineRule="auto"/>
        <w:rPr>
          <w:sz w:val="20"/>
          <w:szCs w:val="20"/>
          <w:color w:val="auto"/>
        </w:rPr>
      </w:pPr>
      <w:r>
        <w:rPr>
          <w:rFonts w:ascii="Times New Roman" w:cs="Times New Roman" w:eastAsia="Times New Roman" w:hAnsi="Times New Roman"/>
          <w:sz w:val="13"/>
          <w:szCs w:val="13"/>
          <w:b w:val="1"/>
          <w:bCs w:val="1"/>
          <w:color w:val="auto"/>
        </w:rPr>
        <w:t xml:space="preserve">To help you accumulate assets during the </w:t>
      </w:r>
      <w:r>
        <w:rPr>
          <w:rFonts w:ascii="Times New Roman" w:cs="Times New Roman" w:eastAsia="Times New Roman" w:hAnsi="Times New Roman"/>
          <w:sz w:val="13"/>
          <w:szCs w:val="13"/>
          <w:b w:val="1"/>
          <w:bCs w:val="1"/>
          <w:u w:val="single" w:color="auto"/>
          <w:color w:val="auto"/>
        </w:rPr>
        <w:t>Accumulation Period</w:t>
      </w:r>
      <w:r>
        <w:rPr>
          <w:rFonts w:ascii="Times New Roman" w:cs="Times New Roman" w:eastAsia="Times New Roman" w:hAnsi="Times New Roman"/>
          <w:sz w:val="13"/>
          <w:szCs w:val="13"/>
          <w:b w:val="1"/>
          <w:bCs w:val="1"/>
          <w:color w:val="auto"/>
        </w:rPr>
        <w:t xml:space="preserve">, you can invest your </w:t>
      </w:r>
      <w:r>
        <w:rPr>
          <w:rFonts w:ascii="Times New Roman" w:cs="Times New Roman" w:eastAsia="Times New Roman" w:hAnsi="Times New Roman"/>
          <w:sz w:val="13"/>
          <w:szCs w:val="13"/>
          <w:b w:val="1"/>
          <w:bCs w:val="1"/>
          <w:u w:val="single" w:color="auto"/>
          <w:color w:val="auto"/>
        </w:rPr>
        <w:t>Purchase Payments</w:t>
      </w:r>
      <w:r>
        <w:rPr>
          <w:rFonts w:ascii="Times New Roman" w:cs="Times New Roman" w:eastAsia="Times New Roman" w:hAnsi="Times New Roman"/>
          <w:sz w:val="13"/>
          <w:szCs w:val="13"/>
          <w:b w:val="1"/>
          <w:bCs w:val="1"/>
          <w:color w:val="auto"/>
        </w:rPr>
        <w:t xml:space="preserve"> and </w:t>
      </w:r>
      <w:r>
        <w:rPr>
          <w:rFonts w:ascii="Times New Roman" w:cs="Times New Roman" w:eastAsia="Times New Roman" w:hAnsi="Times New Roman"/>
          <w:sz w:val="13"/>
          <w:szCs w:val="13"/>
          <w:b w:val="1"/>
          <w:bCs w:val="1"/>
          <w:u w:val="single" w:color="auto"/>
          <w:color w:val="auto"/>
        </w:rPr>
        <w:t>Account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b w:val="1"/>
          <w:bCs w:val="1"/>
          <w:u w:val="single" w:color="auto"/>
          <w:color w:val="auto"/>
        </w:rPr>
        <w:t>Value</w:t>
      </w:r>
      <w:r>
        <w:rPr>
          <w:rFonts w:ascii="Times New Roman" w:cs="Times New Roman" w:eastAsia="Times New Roman" w:hAnsi="Times New Roman"/>
          <w:sz w:val="13"/>
          <w:szCs w:val="13"/>
          <w:b w:val="1"/>
          <w:bCs w:val="1"/>
          <w:color w:val="auto"/>
        </w:rPr>
        <w:t xml:space="preserve"> in the </w:t>
      </w:r>
      <w:r>
        <w:rPr>
          <w:rFonts w:ascii="Times New Roman" w:cs="Times New Roman" w:eastAsia="Times New Roman" w:hAnsi="Times New Roman"/>
          <w:sz w:val="13"/>
          <w:szCs w:val="13"/>
          <w:b w:val="1"/>
          <w:bCs w:val="1"/>
          <w:u w:val="single" w:color="auto"/>
          <w:color w:val="auto"/>
        </w:rPr>
        <w:t>Allocation Options</w:t>
      </w:r>
      <w:r>
        <w:rPr>
          <w:rFonts w:ascii="Times New Roman" w:cs="Times New Roman" w:eastAsia="Times New Roman" w:hAnsi="Times New Roman"/>
          <w:sz w:val="13"/>
          <w:szCs w:val="13"/>
          <w:b w:val="1"/>
          <w:bCs w:val="1"/>
          <w:color w:val="auto"/>
        </w:rPr>
        <w:t xml:space="preserve"> under the </w:t>
      </w:r>
      <w:r>
        <w:rPr>
          <w:rFonts w:ascii="Times New Roman" w:cs="Times New Roman" w:eastAsia="Times New Roman" w:hAnsi="Times New Roman"/>
          <w:sz w:val="13"/>
          <w:szCs w:val="13"/>
          <w:b w:val="1"/>
          <w:bCs w:val="1"/>
          <w:u w:val="single" w:color="auto"/>
          <w:color w:val="auto"/>
        </w:rPr>
        <w:t>Contract</w:t>
      </w:r>
      <w:r>
        <w:rPr>
          <w:rFonts w:ascii="Times New Roman" w:cs="Times New Roman" w:eastAsia="Times New Roman" w:hAnsi="Times New Roman"/>
          <w:sz w:val="13"/>
          <w:szCs w:val="13"/>
          <w:b w:val="1"/>
          <w:bCs w:val="1"/>
          <w:color w:val="auto"/>
        </w:rPr>
        <w:t xml:space="preserve">, which are (1) the </w:t>
      </w:r>
      <w:r>
        <w:rPr>
          <w:rFonts w:ascii="Times New Roman" w:cs="Times New Roman" w:eastAsia="Times New Roman" w:hAnsi="Times New Roman"/>
          <w:sz w:val="13"/>
          <w:szCs w:val="13"/>
          <w:b w:val="1"/>
          <w:bCs w:val="1"/>
          <w:u w:val="single" w:color="auto"/>
          <w:color w:val="auto"/>
        </w:rPr>
        <w:t>Fixed Account</w:t>
      </w:r>
      <w:r>
        <w:rPr>
          <w:rFonts w:ascii="Times New Roman" w:cs="Times New Roman" w:eastAsia="Times New Roman" w:hAnsi="Times New Roman"/>
          <w:sz w:val="13"/>
          <w:szCs w:val="13"/>
          <w:b w:val="1"/>
          <w:bCs w:val="1"/>
          <w:color w:val="auto"/>
        </w:rPr>
        <w:t xml:space="preserve"> (if available), and (2) the </w:t>
      </w:r>
      <w:r>
        <w:rPr>
          <w:rFonts w:ascii="Times New Roman" w:cs="Times New Roman" w:eastAsia="Times New Roman" w:hAnsi="Times New Roman"/>
          <w:sz w:val="13"/>
          <w:szCs w:val="13"/>
          <w:b w:val="1"/>
          <w:bCs w:val="1"/>
          <w:u w:val="single" w:color="auto"/>
          <w:color w:val="auto"/>
        </w:rPr>
        <w:t>Shield Options</w:t>
      </w:r>
      <w:r>
        <w:rPr>
          <w:rFonts w:ascii="Times New Roman" w:cs="Times New Roman" w:eastAsia="Times New Roman" w:hAnsi="Times New Roman"/>
          <w:sz w:val="13"/>
          <w:szCs w:val="13"/>
          <w:b w:val="1"/>
          <w:bCs w:val="1"/>
          <w:color w:val="auto"/>
        </w:rPr>
        <w:t>. Additional information about each investment option is provided in Appendix A to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2701925</wp:posOffset>
            </wp:positionH>
            <wp:positionV relativeFrom="paragraph">
              <wp:posOffset>-135890</wp:posOffset>
            </wp:positionV>
            <wp:extent cx="25400" cy="63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6">
                      <a:extLst>
                        <a:ext uri="{28A0092B-C50C-407E-A947-70E740481C1C}"/>
                      </a:extLst>
                    </a:blip>
                    <a:srcRect/>
                    <a:stretch>
                      <a:fillRect/>
                    </a:stretch>
                  </pic:blipFill>
                  <pic:spPr bwMode="auto">
                    <a:xfrm>
                      <a:off x="0" y="0"/>
                      <a:ext cx="25400" cy="6350"/>
                    </a:xfrm>
                    <a:prstGeom prst="rect">
                      <a:avLst/>
                    </a:prstGeom>
                    <a:noFill/>
                  </pic:spPr>
                </pic:pic>
              </a:graphicData>
            </a:graphic>
          </wp:anchor>
        </w:drawing>
      </w:r>
    </w:p>
    <w:p>
      <w:pPr>
        <w:spacing w:after="0" w:line="19" w:lineRule="exact"/>
        <w:rPr>
          <w:sz w:val="20"/>
          <w:szCs w:val="20"/>
          <w:color w:val="auto"/>
        </w:rPr>
      </w:pPr>
    </w:p>
    <w:p>
      <w:pPr>
        <w:jc w:val="both"/>
        <w:ind w:right="2659" w:firstLine="264"/>
        <w:spacing w:after="0" w:line="274" w:lineRule="auto"/>
        <w:rPr>
          <w:sz w:val="20"/>
          <w:szCs w:val="20"/>
          <w:color w:val="auto"/>
        </w:rPr>
      </w:pPr>
      <w:r>
        <w:rPr>
          <w:rFonts w:ascii="Times New Roman" w:cs="Times New Roman" w:eastAsia="Times New Roman" w:hAnsi="Times New Roman"/>
          <w:sz w:val="13"/>
          <w:szCs w:val="13"/>
          <w:b w:val="1"/>
          <w:bCs w:val="1"/>
          <w:color w:val="auto"/>
        </w:rPr>
        <w:t xml:space="preserve">The Fixed Account. </w:t>
      </w:r>
      <w:r>
        <w:rPr>
          <w:rFonts w:ascii="Times New Roman" w:cs="Times New Roman" w:eastAsia="Times New Roman" w:hAnsi="Times New Roman"/>
          <w:sz w:val="13"/>
          <w:szCs w:val="13"/>
          <w:color w:val="auto"/>
        </w:rPr>
        <w:t>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Fixed Account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(if available) guarantees principal and interest. The Minimum Guaranteed Interest Rate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depends on the date your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is issued and will not be less than 1% annually. Unless you allocate your entire </w:t>
      </w:r>
      <w:r>
        <w:rPr>
          <w:rFonts w:ascii="Times New Roman" w:cs="Times New Roman" w:eastAsia="Times New Roman" w:hAnsi="Times New Roman"/>
          <w:sz w:val="13"/>
          <w:szCs w:val="13"/>
          <w:u w:val="single" w:color="auto"/>
          <w:color w:val="auto"/>
        </w:rPr>
        <w:t>Purchase Payment</w:t>
      </w:r>
      <w:r>
        <w:rPr>
          <w:rFonts w:ascii="Times New Roman" w:cs="Times New Roman" w:eastAsia="Times New Roman" w:hAnsi="Times New Roman"/>
          <w:sz w:val="13"/>
          <w:szCs w:val="13"/>
          <w:color w:val="auto"/>
        </w:rPr>
        <w:t xml:space="preserve"> and earnings to the </w:t>
      </w:r>
      <w:r>
        <w:rPr>
          <w:rFonts w:ascii="Times New Roman" w:cs="Times New Roman" w:eastAsia="Times New Roman" w:hAnsi="Times New Roman"/>
          <w:sz w:val="13"/>
          <w:szCs w:val="13"/>
          <w:u w:val="single" w:color="auto"/>
          <w:color w:val="auto"/>
        </w:rPr>
        <w:t>Fixed Account</w:t>
      </w:r>
      <w:r>
        <w:rPr>
          <w:rFonts w:ascii="Times New Roman" w:cs="Times New Roman" w:eastAsia="Times New Roman" w:hAnsi="Times New Roman"/>
          <w:sz w:val="13"/>
          <w:szCs w:val="13"/>
          <w:color w:val="auto"/>
        </w:rPr>
        <w:t xml:space="preserve">, you may lose money by investing in the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w:t>
      </w:r>
    </w:p>
    <w:p>
      <w:pPr>
        <w:spacing w:after="0" w:line="44" w:lineRule="exact"/>
        <w:rPr>
          <w:sz w:val="20"/>
          <w:szCs w:val="20"/>
          <w:color w:val="auto"/>
        </w:rPr>
      </w:pPr>
    </w:p>
    <w:p>
      <w:pPr>
        <w:jc w:val="both"/>
        <w:ind w:right="2659" w:firstLine="264"/>
        <w:spacing w:after="0" w:line="274" w:lineRule="auto"/>
        <w:rPr>
          <w:sz w:val="20"/>
          <w:szCs w:val="20"/>
          <w:color w:val="auto"/>
        </w:rPr>
      </w:pPr>
      <w:r>
        <w:rPr>
          <w:rFonts w:ascii="Times New Roman" w:cs="Times New Roman" w:eastAsia="Times New Roman" w:hAnsi="Times New Roman"/>
          <w:sz w:val="13"/>
          <w:szCs w:val="13"/>
          <w:b w:val="1"/>
          <w:bCs w:val="1"/>
          <w:color w:val="auto"/>
        </w:rPr>
        <w:t xml:space="preserve">The Shield Options. </w:t>
      </w:r>
      <w:r>
        <w:rPr>
          <w:rFonts w:ascii="Times New Roman" w:cs="Times New Roman" w:eastAsia="Times New Roman" w:hAnsi="Times New Roman"/>
          <w:sz w:val="13"/>
          <w:szCs w:val="13"/>
          <w:color w:val="auto"/>
        </w:rPr>
        <w:t>We currently offer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Shield Options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based 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Indices</w:t>
      </w:r>
      <w:r>
        <w:rPr>
          <w:rFonts w:ascii="Times New Roman" w:cs="Times New Roman" w:eastAsia="Times New Roman" w:hAnsi="Times New Roman"/>
          <w:sz w:val="13"/>
          <w:szCs w:val="13"/>
          <w:color w:val="auto"/>
        </w:rPr>
        <w:t>. Each</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has 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 1, 2, 3, or 6 years 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length. The various </w:t>
      </w:r>
      <w:r>
        <w:rPr>
          <w:rFonts w:ascii="Times New Roman" w:cs="Times New Roman" w:eastAsia="Times New Roman" w:hAnsi="Times New Roman"/>
          <w:sz w:val="13"/>
          <w:szCs w:val="13"/>
          <w:u w:val="single" w:color="auto"/>
          <w:color w:val="auto"/>
        </w:rPr>
        <w:t>Shield Options</w:t>
      </w:r>
      <w:r>
        <w:rPr>
          <w:rFonts w:ascii="Times New Roman" w:cs="Times New Roman" w:eastAsia="Times New Roman" w:hAnsi="Times New Roman"/>
          <w:sz w:val="13"/>
          <w:szCs w:val="13"/>
          <w:color w:val="auto"/>
        </w:rPr>
        <w:t xml:space="preserve"> permit Owners to receive interest (positive, negative or zero) at the end of each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color w:val="auto"/>
        </w:rPr>
        <w:t xml:space="preserve"> based on the percentage returns of certain Securities </w:t>
      </w:r>
      <w:r>
        <w:rPr>
          <w:rFonts w:ascii="Times New Roman" w:cs="Times New Roman" w:eastAsia="Times New Roman" w:hAnsi="Times New Roman"/>
          <w:sz w:val="13"/>
          <w:szCs w:val="13"/>
          <w:u w:val="single" w:color="auto"/>
          <w:color w:val="auto"/>
        </w:rPr>
        <w:t>Indices</w:t>
      </w:r>
      <w:r>
        <w:rPr>
          <w:rFonts w:ascii="Times New Roman" w:cs="Times New Roman" w:eastAsia="Times New Roman" w:hAnsi="Times New Roman"/>
          <w:sz w:val="13"/>
          <w:szCs w:val="13"/>
          <w:color w:val="auto"/>
        </w:rPr>
        <w:t xml:space="preserve">. You could lose a significant amount of money if the </w:t>
      </w:r>
      <w:r>
        <w:rPr>
          <w:rFonts w:ascii="Times New Roman" w:cs="Times New Roman" w:eastAsia="Times New Roman" w:hAnsi="Times New Roman"/>
          <w:sz w:val="13"/>
          <w:szCs w:val="13"/>
          <w:u w:val="single" w:color="auto"/>
          <w:color w:val="auto"/>
        </w:rPr>
        <w:t>Index</w:t>
      </w:r>
      <w:r>
        <w:rPr>
          <w:rFonts w:ascii="Times New Roman" w:cs="Times New Roman" w:eastAsia="Times New Roman" w:hAnsi="Times New Roman"/>
          <w:sz w:val="13"/>
          <w:szCs w:val="13"/>
          <w:color w:val="auto"/>
        </w:rPr>
        <w:t xml:space="preserve"> declines in value.</w:t>
      </w:r>
    </w:p>
    <w:p>
      <w:pPr>
        <w:spacing w:after="0" w:line="55" w:lineRule="exact"/>
        <w:rPr>
          <w:sz w:val="20"/>
          <w:szCs w:val="20"/>
          <w:color w:val="auto"/>
        </w:rPr>
      </w:pPr>
    </w:p>
    <w:p>
      <w:pPr>
        <w:jc w:val="both"/>
        <w:ind w:right="2659" w:firstLine="264"/>
        <w:spacing w:after="0" w:line="280" w:lineRule="auto"/>
        <w:rPr>
          <w:sz w:val="20"/>
          <w:szCs w:val="20"/>
          <w:color w:val="auto"/>
        </w:rPr>
      </w:pPr>
      <w:r>
        <w:rPr>
          <w:rFonts w:ascii="Times New Roman" w:cs="Times New Roman" w:eastAsia="Times New Roman" w:hAnsi="Times New Roman"/>
          <w:sz w:val="13"/>
          <w:szCs w:val="13"/>
          <w:color w:val="auto"/>
        </w:rPr>
        <w:t xml:space="preserve">The </w:t>
      </w:r>
      <w:r>
        <w:rPr>
          <w:rFonts w:ascii="Times New Roman" w:cs="Times New Roman" w:eastAsia="Times New Roman" w:hAnsi="Times New Roman"/>
          <w:sz w:val="13"/>
          <w:szCs w:val="13"/>
          <w:u w:val="single" w:color="auto"/>
          <w:color w:val="auto"/>
        </w:rPr>
        <w:t>Shield Options</w:t>
      </w:r>
      <w:r>
        <w:rPr>
          <w:rFonts w:ascii="Times New Roman" w:cs="Times New Roman" w:eastAsia="Times New Roman" w:hAnsi="Times New Roman"/>
          <w:sz w:val="13"/>
          <w:szCs w:val="13"/>
          <w:color w:val="auto"/>
        </w:rPr>
        <w:t xml:space="preserve"> offer guarantees against a specified level of negative interest—guarantees we call </w:t>
      </w:r>
      <w:r>
        <w:rPr>
          <w:rFonts w:ascii="Times New Roman" w:cs="Times New Roman" w:eastAsia="Times New Roman" w:hAnsi="Times New Roman"/>
          <w:sz w:val="13"/>
          <w:szCs w:val="13"/>
          <w:u w:val="single" w:color="auto"/>
          <w:color w:val="auto"/>
        </w:rPr>
        <w:t>“Shield Rates.”</w:t>
      </w:r>
      <w:r>
        <w:rPr>
          <w:rFonts w:ascii="Times New Roman" w:cs="Times New Roman" w:eastAsia="Times New Roman" w:hAnsi="Times New Roman"/>
          <w:sz w:val="13"/>
          <w:szCs w:val="13"/>
          <w:color w:val="auto"/>
        </w:rPr>
        <w:t xml:space="preserve"> We use the </w:t>
      </w:r>
      <w:r>
        <w:rPr>
          <w:rFonts w:ascii="Times New Roman" w:cs="Times New Roman" w:eastAsia="Times New Roman" w:hAnsi="Times New Roman"/>
          <w:sz w:val="13"/>
          <w:szCs w:val="13"/>
          <w:u w:val="single" w:color="auto"/>
          <w:color w:val="auto"/>
        </w:rPr>
        <w:t>Shield Rates</w:t>
      </w:r>
      <w:r>
        <w:rPr>
          <w:rFonts w:ascii="Times New Roman" w:cs="Times New Roman" w:eastAsia="Times New Roman" w:hAnsi="Times New Roman"/>
          <w:sz w:val="13"/>
          <w:szCs w:val="13"/>
          <w:color w:val="auto"/>
        </w:rPr>
        <w:t xml:space="preserve"> to limit the negative </w:t>
      </w:r>
      <w:r>
        <w:rPr>
          <w:rFonts w:ascii="Times New Roman" w:cs="Times New Roman" w:eastAsia="Times New Roman" w:hAnsi="Times New Roman"/>
          <w:sz w:val="13"/>
          <w:szCs w:val="13"/>
          <w:u w:val="single" w:color="auto"/>
          <w:color w:val="auto"/>
        </w:rPr>
        <w:t>Index Performance</w:t>
      </w:r>
      <w:r>
        <w:rPr>
          <w:rFonts w:ascii="Times New Roman" w:cs="Times New Roman" w:eastAsia="Times New Roman" w:hAnsi="Times New Roman"/>
          <w:sz w:val="13"/>
          <w:szCs w:val="13"/>
          <w:color w:val="auto"/>
        </w:rPr>
        <w:t xml:space="preserve"> used in calculating the interest rate credited to a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at the </w:t>
      </w:r>
      <w:r>
        <w:rPr>
          <w:rFonts w:ascii="Times New Roman" w:cs="Times New Roman" w:eastAsia="Times New Roman" w:hAnsi="Times New Roman"/>
          <w:sz w:val="13"/>
          <w:szCs w:val="13"/>
          <w:u w:val="single" w:color="auto"/>
          <w:color w:val="auto"/>
        </w:rPr>
        <w:t>Term End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Date</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u w:val="single" w:color="auto"/>
          <w:color w:val="auto"/>
        </w:rPr>
        <w:t>“Performance Rate”</w:t>
      </w:r>
      <w:r>
        <w:rPr>
          <w:rFonts w:ascii="Times New Roman" w:cs="Times New Roman" w:eastAsia="Times New Roman" w:hAnsi="Times New Roman"/>
          <w:sz w:val="13"/>
          <w:szCs w:val="13"/>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818515</wp:posOffset>
            </wp:positionH>
            <wp:positionV relativeFrom="paragraph">
              <wp:posOffset>-241300</wp:posOffset>
            </wp:positionV>
            <wp:extent cx="25400" cy="635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7">
                      <a:extLst>
                        <a:ext uri="{28A0092B-C50C-407E-A947-70E740481C1C}"/>
                      </a:extLst>
                    </a:blip>
                    <a:srcRect/>
                    <a:stretch>
                      <a:fillRect/>
                    </a:stretch>
                  </pic:blipFill>
                  <pic:spPr bwMode="auto">
                    <a:xfrm>
                      <a:off x="0" y="0"/>
                      <a:ext cx="25400" cy="6350"/>
                    </a:xfrm>
                    <a:prstGeom prst="rect">
                      <a:avLst/>
                    </a:prstGeom>
                    <a:noFill/>
                  </pic:spPr>
                </pic:pic>
              </a:graphicData>
            </a:graphic>
          </wp:anchor>
        </w:drawing>
        <w:drawing>
          <wp:anchor simplePos="0" relativeHeight="251657728" behindDoc="1" locked="0" layoutInCell="0" allowOverlap="1">
            <wp:simplePos x="0" y="0"/>
            <wp:positionH relativeFrom="column">
              <wp:posOffset>1007110</wp:posOffset>
            </wp:positionH>
            <wp:positionV relativeFrom="paragraph">
              <wp:posOffset>-33655</wp:posOffset>
            </wp:positionV>
            <wp:extent cx="25400" cy="635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8">
                      <a:extLst>
                        <a:ext uri="{28A0092B-C50C-407E-A947-70E740481C1C}"/>
                      </a:extLst>
                    </a:blip>
                    <a:srcRect/>
                    <a:stretch>
                      <a:fillRect/>
                    </a:stretch>
                  </pic:blipFill>
                  <pic:spPr bwMode="auto">
                    <a:xfrm>
                      <a:off x="0" y="0"/>
                      <a:ext cx="25400" cy="6350"/>
                    </a:xfrm>
                    <a:prstGeom prst="rect">
                      <a:avLst/>
                    </a:prstGeom>
                    <a:noFill/>
                  </pic:spPr>
                </pic:pic>
              </a:graphicData>
            </a:graphic>
          </wp:anchor>
        </w:drawing>
      </w:r>
    </w:p>
    <w:p>
      <w:pPr>
        <w:spacing w:after="0" w:line="22" w:lineRule="exact"/>
        <w:rPr>
          <w:sz w:val="20"/>
          <w:szCs w:val="20"/>
          <w:color w:val="auto"/>
        </w:rPr>
      </w:pPr>
    </w:p>
    <w:p>
      <w:pPr>
        <w:jc w:val="both"/>
        <w:ind w:right="2659" w:firstLine="264"/>
        <w:spacing w:after="0" w:line="272" w:lineRule="auto"/>
        <w:rPr>
          <w:sz w:val="20"/>
          <w:szCs w:val="20"/>
          <w:color w:val="auto"/>
        </w:rPr>
      </w:pPr>
      <w:r>
        <w:rPr>
          <w:rFonts w:ascii="Times New Roman" w:cs="Times New Roman" w:eastAsia="Times New Roman" w:hAnsi="Times New Roman"/>
          <w:sz w:val="13"/>
          <w:szCs w:val="13"/>
          <w:color w:val="auto"/>
        </w:rPr>
        <w:t xml:space="preserve">The protections specified by the </w:t>
      </w:r>
      <w:r>
        <w:rPr>
          <w:rFonts w:ascii="Times New Roman" w:cs="Times New Roman" w:eastAsia="Times New Roman" w:hAnsi="Times New Roman"/>
          <w:sz w:val="13"/>
          <w:szCs w:val="13"/>
          <w:u w:val="single" w:color="auto"/>
          <w:color w:val="auto"/>
        </w:rPr>
        <w:t>Shield Rate</w:t>
      </w:r>
      <w:r>
        <w:rPr>
          <w:rFonts w:ascii="Times New Roman" w:cs="Times New Roman" w:eastAsia="Times New Roman" w:hAnsi="Times New Roman"/>
          <w:sz w:val="13"/>
          <w:szCs w:val="13"/>
          <w:color w:val="auto"/>
        </w:rPr>
        <w:t xml:space="preserve"> and the level of positive investment experience that can be credited to </w:t>
      </w:r>
      <w:r>
        <w:rPr>
          <w:rFonts w:ascii="Times New Roman" w:cs="Times New Roman" w:eastAsia="Times New Roman" w:hAnsi="Times New Roman"/>
          <w:sz w:val="13"/>
          <w:szCs w:val="13"/>
          <w:u w:val="single" w:color="auto"/>
          <w:color w:val="auto"/>
        </w:rPr>
        <w:t>Account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Value</w:t>
      </w:r>
      <w:r>
        <w:rPr>
          <w:rFonts w:ascii="Times New Roman" w:cs="Times New Roman" w:eastAsia="Times New Roman" w:hAnsi="Times New Roman"/>
          <w:sz w:val="13"/>
          <w:szCs w:val="13"/>
          <w:color w:val="auto"/>
        </w:rPr>
        <w:t xml:space="preserve"> allowed by the </w:t>
      </w:r>
      <w:r>
        <w:rPr>
          <w:rFonts w:ascii="Times New Roman" w:cs="Times New Roman" w:eastAsia="Times New Roman" w:hAnsi="Times New Roman"/>
          <w:sz w:val="13"/>
          <w:szCs w:val="13"/>
          <w:u w:val="single" w:color="auto"/>
          <w:color w:val="auto"/>
        </w:rPr>
        <w:t>Cap Rate</w:t>
      </w:r>
      <w:r>
        <w:rPr>
          <w:rFonts w:ascii="Times New Roman" w:cs="Times New Roman" w:eastAsia="Times New Roman" w:hAnsi="Times New Roman"/>
          <w:sz w:val="13"/>
          <w:szCs w:val="13"/>
          <w:color w:val="auto"/>
        </w:rPr>
        <w:t xml:space="preserve"> or specified by the </w:t>
      </w:r>
      <w:r>
        <w:rPr>
          <w:rFonts w:ascii="Times New Roman" w:cs="Times New Roman" w:eastAsia="Times New Roman" w:hAnsi="Times New Roman"/>
          <w:sz w:val="13"/>
          <w:szCs w:val="13"/>
          <w:u w:val="single" w:color="auto"/>
          <w:color w:val="auto"/>
        </w:rPr>
        <w:t>Step Rate</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Edge Rate</w:t>
      </w:r>
      <w:r>
        <w:rPr>
          <w:rFonts w:ascii="Times New Roman" w:cs="Times New Roman" w:eastAsia="Times New Roman" w:hAnsi="Times New Roman"/>
          <w:sz w:val="13"/>
          <w:szCs w:val="13"/>
          <w:color w:val="auto"/>
        </w:rPr>
        <w:t xml:space="preserve"> are only fully available for the amounts held until the end of the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color w:val="auto"/>
        </w:rPr>
        <w:t>.</w:t>
      </w:r>
    </w:p>
    <w:p>
      <w:pPr>
        <w:spacing w:after="0" w:line="57" w:lineRule="exact"/>
        <w:rPr>
          <w:sz w:val="20"/>
          <w:szCs w:val="20"/>
          <w:color w:val="auto"/>
        </w:rPr>
      </w:pPr>
    </w:p>
    <w:p>
      <w:pPr>
        <w:jc w:val="both"/>
        <w:ind w:right="2659" w:firstLine="264"/>
        <w:spacing w:after="0" w:line="267" w:lineRule="auto"/>
        <w:rPr>
          <w:sz w:val="20"/>
          <w:szCs w:val="20"/>
          <w:color w:val="auto"/>
        </w:rPr>
      </w:pPr>
      <w:r>
        <w:rPr>
          <w:rFonts w:ascii="Times New Roman" w:cs="Times New Roman" w:eastAsia="Times New Roman" w:hAnsi="Times New Roman"/>
          <w:sz w:val="13"/>
          <w:szCs w:val="13"/>
          <w:color w:val="auto"/>
        </w:rPr>
        <w:t xml:space="preserve">We currently offer </w:t>
      </w:r>
      <w:r>
        <w:rPr>
          <w:rFonts w:ascii="Times New Roman" w:cs="Times New Roman" w:eastAsia="Times New Roman" w:hAnsi="Times New Roman"/>
          <w:sz w:val="13"/>
          <w:szCs w:val="13"/>
          <w:u w:val="single" w:color="auto"/>
          <w:color w:val="auto"/>
        </w:rPr>
        <w:t>Shield Rates</w:t>
      </w:r>
      <w:r>
        <w:rPr>
          <w:rFonts w:ascii="Times New Roman" w:cs="Times New Roman" w:eastAsia="Times New Roman" w:hAnsi="Times New Roman"/>
          <w:sz w:val="13"/>
          <w:szCs w:val="13"/>
          <w:color w:val="auto"/>
        </w:rPr>
        <w:t xml:space="preserve"> of 10% (</w:t>
      </w:r>
      <w:r>
        <w:rPr>
          <w:rFonts w:ascii="Times New Roman" w:cs="Times New Roman" w:eastAsia="Times New Roman" w:hAnsi="Times New Roman"/>
          <w:sz w:val="13"/>
          <w:szCs w:val="13"/>
          <w:u w:val="single" w:color="auto"/>
          <w:color w:val="auto"/>
        </w:rPr>
        <w:t>“Shield 10”</w:t>
      </w:r>
      <w:r>
        <w:rPr>
          <w:rFonts w:ascii="Times New Roman" w:cs="Times New Roman" w:eastAsia="Times New Roman" w:hAnsi="Times New Roman"/>
          <w:sz w:val="13"/>
          <w:szCs w:val="13"/>
          <w:color w:val="auto"/>
        </w:rPr>
        <w:t>), 15% (</w:t>
      </w:r>
      <w:r>
        <w:rPr>
          <w:rFonts w:ascii="Times New Roman" w:cs="Times New Roman" w:eastAsia="Times New Roman" w:hAnsi="Times New Roman"/>
          <w:sz w:val="13"/>
          <w:szCs w:val="13"/>
          <w:u w:val="single" w:color="auto"/>
          <w:color w:val="auto"/>
        </w:rPr>
        <w:t>“Shield 15”</w:t>
      </w:r>
      <w:r>
        <w:rPr>
          <w:rFonts w:ascii="Times New Roman" w:cs="Times New Roman" w:eastAsia="Times New Roman" w:hAnsi="Times New Roman"/>
          <w:sz w:val="13"/>
          <w:szCs w:val="13"/>
          <w:color w:val="auto"/>
        </w:rPr>
        <w:t xml:space="preserve">), or 25% ( </w:t>
      </w:r>
      <w:r>
        <w:rPr>
          <w:rFonts w:ascii="Times New Roman" w:cs="Times New Roman" w:eastAsia="Times New Roman" w:hAnsi="Times New Roman"/>
          <w:sz w:val="13"/>
          <w:szCs w:val="13"/>
          <w:u w:val="single" w:color="auto"/>
          <w:color w:val="auto"/>
        </w:rPr>
        <w:t>“Shield 25”</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u w:val="single" w:color="auto"/>
          <w:color w:val="auto"/>
        </w:rPr>
        <w:t>Shield Rate</w:t>
      </w:r>
      <w:r>
        <w:rPr>
          <w:rFonts w:ascii="Times New Roman" w:cs="Times New Roman" w:eastAsia="Times New Roman" w:hAnsi="Times New Roman"/>
          <w:sz w:val="13"/>
          <w:szCs w:val="13"/>
          <w:color w:val="auto"/>
        </w:rPr>
        <w:t xml:space="preserve"> is a limited buffer where we absorb any negative </w:t>
      </w:r>
      <w:r>
        <w:rPr>
          <w:rFonts w:ascii="Times New Roman" w:cs="Times New Roman" w:eastAsia="Times New Roman" w:hAnsi="Times New Roman"/>
          <w:sz w:val="13"/>
          <w:szCs w:val="13"/>
          <w:u w:val="single" w:color="auto"/>
          <w:color w:val="auto"/>
        </w:rPr>
        <w:t>Index Performance</w:t>
      </w:r>
      <w:r>
        <w:rPr>
          <w:rFonts w:ascii="Times New Roman" w:cs="Times New Roman" w:eastAsia="Times New Roman" w:hAnsi="Times New Roman"/>
          <w:sz w:val="13"/>
          <w:szCs w:val="13"/>
          <w:color w:val="auto"/>
        </w:rPr>
        <w:t xml:space="preserve"> on the </w:t>
      </w:r>
      <w:r>
        <w:rPr>
          <w:rFonts w:ascii="Times New Roman" w:cs="Times New Roman" w:eastAsia="Times New Roman" w:hAnsi="Times New Roman"/>
          <w:sz w:val="13"/>
          <w:szCs w:val="13"/>
          <w:u w:val="single" w:color="auto"/>
          <w:color w:val="auto"/>
        </w:rPr>
        <w:t>Term End Date</w:t>
      </w:r>
      <w:r>
        <w:rPr>
          <w:rFonts w:ascii="Times New Roman" w:cs="Times New Roman" w:eastAsia="Times New Roman" w:hAnsi="Times New Roman"/>
          <w:sz w:val="13"/>
          <w:szCs w:val="13"/>
          <w:color w:val="auto"/>
        </w:rPr>
        <w:t xml:space="preserve"> up to the </w:t>
      </w:r>
      <w:r>
        <w:rPr>
          <w:rFonts w:ascii="Times New Roman" w:cs="Times New Roman" w:eastAsia="Times New Roman" w:hAnsi="Times New Roman"/>
          <w:sz w:val="13"/>
          <w:szCs w:val="13"/>
          <w:u w:val="single" w:color="auto"/>
          <w:color w:val="auto"/>
        </w:rPr>
        <w:t>Shield Rate</w:t>
      </w:r>
      <w:r>
        <w:rPr>
          <w:rFonts w:ascii="Times New Roman" w:cs="Times New Roman" w:eastAsia="Times New Roman" w:hAnsi="Times New Roman"/>
          <w:sz w:val="13"/>
          <w:szCs w:val="13"/>
          <w:color w:val="auto"/>
        </w:rPr>
        <w:t xml:space="preserve">. Any negative </w:t>
      </w:r>
      <w:r>
        <w:rPr>
          <w:rFonts w:ascii="Times New Roman" w:cs="Times New Roman" w:eastAsia="Times New Roman" w:hAnsi="Times New Roman"/>
          <w:sz w:val="13"/>
          <w:szCs w:val="13"/>
          <w:u w:val="single" w:color="auto"/>
          <w:color w:val="auto"/>
        </w:rPr>
        <w:t>Index</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Performance</w:t>
      </w:r>
      <w:r>
        <w:rPr>
          <w:rFonts w:ascii="Times New Roman" w:cs="Times New Roman" w:eastAsia="Times New Roman" w:hAnsi="Times New Roman"/>
          <w:sz w:val="13"/>
          <w:szCs w:val="13"/>
          <w:color w:val="auto"/>
        </w:rPr>
        <w:t xml:space="preserve"> beyond the </w:t>
      </w:r>
      <w:r>
        <w:rPr>
          <w:rFonts w:ascii="Times New Roman" w:cs="Times New Roman" w:eastAsia="Times New Roman" w:hAnsi="Times New Roman"/>
          <w:sz w:val="13"/>
          <w:szCs w:val="13"/>
          <w:u w:val="single" w:color="auto"/>
          <w:color w:val="auto"/>
        </w:rPr>
        <w:t>Shield Rate</w:t>
      </w:r>
      <w:r>
        <w:rPr>
          <w:rFonts w:ascii="Times New Roman" w:cs="Times New Roman" w:eastAsia="Times New Roman" w:hAnsi="Times New Roman"/>
          <w:sz w:val="13"/>
          <w:szCs w:val="13"/>
          <w:color w:val="auto"/>
        </w:rPr>
        <w:t xml:space="preserve"> will reduce the </w:t>
      </w:r>
      <w:r>
        <w:rPr>
          <w:rFonts w:ascii="Times New Roman" w:cs="Times New Roman" w:eastAsia="Times New Roman" w:hAnsi="Times New Roman"/>
          <w:sz w:val="13"/>
          <w:szCs w:val="13"/>
          <w:u w:val="single" w:color="auto"/>
          <w:color w:val="auto"/>
        </w:rPr>
        <w:t>Investment Amount</w:t>
      </w:r>
      <w:r>
        <w:rPr>
          <w:rFonts w:ascii="Times New Roman" w:cs="Times New Roman" w:eastAsia="Times New Roman" w:hAnsi="Times New Roman"/>
          <w:sz w:val="13"/>
          <w:szCs w:val="13"/>
          <w:color w:val="auto"/>
        </w:rPr>
        <w:t xml:space="preserve"> associated with the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For example, -15% </w:t>
      </w:r>
      <w:r>
        <w:rPr>
          <w:rFonts w:ascii="Times New Roman" w:cs="Times New Roman" w:eastAsia="Times New Roman" w:hAnsi="Times New Roman"/>
          <w:sz w:val="13"/>
          <w:szCs w:val="13"/>
          <w:u w:val="single" w:color="auto"/>
          <w:color w:val="auto"/>
        </w:rPr>
        <w:t>Index</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Performance</w:t>
      </w:r>
      <w:r>
        <w:rPr>
          <w:rFonts w:ascii="Times New Roman" w:cs="Times New Roman" w:eastAsia="Times New Roman" w:hAnsi="Times New Roman"/>
          <w:sz w:val="13"/>
          <w:szCs w:val="13"/>
          <w:color w:val="auto"/>
        </w:rPr>
        <w:t xml:space="preserve"> with a 10% </w:t>
      </w:r>
      <w:r>
        <w:rPr>
          <w:rFonts w:ascii="Times New Roman" w:cs="Times New Roman" w:eastAsia="Times New Roman" w:hAnsi="Times New Roman"/>
          <w:sz w:val="13"/>
          <w:szCs w:val="13"/>
          <w:u w:val="single" w:color="auto"/>
          <w:color w:val="auto"/>
        </w:rPr>
        <w:t>Shield Rate</w:t>
      </w:r>
      <w:r>
        <w:rPr>
          <w:rFonts w:ascii="Times New Roman" w:cs="Times New Roman" w:eastAsia="Times New Roman" w:hAnsi="Times New Roman"/>
          <w:sz w:val="13"/>
          <w:szCs w:val="13"/>
          <w:color w:val="auto"/>
        </w:rPr>
        <w:t xml:space="preserve"> will result in a -5% </w:t>
      </w:r>
      <w:r>
        <w:rPr>
          <w:rFonts w:ascii="Times New Roman" w:cs="Times New Roman" w:eastAsia="Times New Roman" w:hAnsi="Times New Roman"/>
          <w:sz w:val="13"/>
          <w:szCs w:val="13"/>
          <w:u w:val="single" w:color="auto"/>
          <w:color w:val="auto"/>
        </w:rPr>
        <w:t>Performance Rate</w:t>
      </w:r>
      <w:r>
        <w:rPr>
          <w:rFonts w:ascii="Times New Roman" w:cs="Times New Roman" w:eastAsia="Times New Roman" w:hAnsi="Times New Roman"/>
          <w:sz w:val="13"/>
          <w:szCs w:val="13"/>
          <w:color w:val="auto"/>
        </w:rPr>
        <w:t xml:space="preserve"> (the amount of negative </w:t>
      </w:r>
      <w:r>
        <w:rPr>
          <w:rFonts w:ascii="Times New Roman" w:cs="Times New Roman" w:eastAsia="Times New Roman" w:hAnsi="Times New Roman"/>
          <w:sz w:val="13"/>
          <w:szCs w:val="13"/>
          <w:u w:val="single" w:color="auto"/>
          <w:color w:val="auto"/>
        </w:rPr>
        <w:t>Index Performance</w:t>
      </w:r>
      <w:r>
        <w:rPr>
          <w:rFonts w:ascii="Times New Roman" w:cs="Times New Roman" w:eastAsia="Times New Roman" w:hAnsi="Times New Roman"/>
          <w:sz w:val="13"/>
          <w:szCs w:val="13"/>
          <w:color w:val="auto"/>
        </w:rPr>
        <w:t xml:space="preserve"> that exceeds the </w:t>
      </w:r>
      <w:r>
        <w:rPr>
          <w:rFonts w:ascii="Times New Roman" w:cs="Times New Roman" w:eastAsia="Times New Roman" w:hAnsi="Times New Roman"/>
          <w:sz w:val="13"/>
          <w:szCs w:val="13"/>
          <w:u w:val="single" w:color="auto"/>
          <w:color w:val="auto"/>
        </w:rPr>
        <w:t>Shield Rate</w:t>
      </w:r>
      <w:r>
        <w:rPr>
          <w:rFonts w:ascii="Times New Roman" w:cs="Times New Roman" w:eastAsia="Times New Roman" w:hAnsi="Times New Roman"/>
          <w:sz w:val="13"/>
          <w:szCs w:val="13"/>
          <w:color w:val="auto"/>
        </w:rPr>
        <w:t xml:space="preserve">), meaning that we will reduce the </w:t>
      </w:r>
      <w:r>
        <w:rPr>
          <w:rFonts w:ascii="Times New Roman" w:cs="Times New Roman" w:eastAsia="Times New Roman" w:hAnsi="Times New Roman"/>
          <w:sz w:val="13"/>
          <w:szCs w:val="13"/>
          <w:u w:val="single" w:color="auto"/>
          <w:color w:val="auto"/>
        </w:rPr>
        <w:t>Investment Amount</w:t>
      </w:r>
      <w:r>
        <w:rPr>
          <w:rFonts w:ascii="Times New Roman" w:cs="Times New Roman" w:eastAsia="Times New Roman" w:hAnsi="Times New Roman"/>
          <w:sz w:val="13"/>
          <w:szCs w:val="13"/>
          <w:color w:val="auto"/>
        </w:rPr>
        <w:t xml:space="preserve"> associated with the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by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3052445</wp:posOffset>
            </wp:positionH>
            <wp:positionV relativeFrom="paragraph">
              <wp:posOffset>-437515</wp:posOffset>
            </wp:positionV>
            <wp:extent cx="31750" cy="63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9">
                      <a:extLst>
                        <a:ext uri="{28A0092B-C50C-407E-A947-70E740481C1C}"/>
                      </a:extLst>
                    </a:blip>
                    <a:srcRect/>
                    <a:stretch>
                      <a:fillRect/>
                    </a:stretch>
                  </pic:blipFill>
                  <pic:spPr bwMode="auto">
                    <a:xfrm>
                      <a:off x="0" y="0"/>
                      <a:ext cx="31750" cy="6350"/>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-330200</wp:posOffset>
            </wp:positionV>
            <wp:extent cx="43815" cy="63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0">
                      <a:extLst>
                        <a:ext uri="{28A0092B-C50C-407E-A947-70E740481C1C}"/>
                      </a:extLst>
                    </a:blip>
                    <a:srcRect/>
                    <a:stretch>
                      <a:fillRect/>
                    </a:stretch>
                  </pic:blipFill>
                  <pic:spPr bwMode="auto">
                    <a:xfrm>
                      <a:off x="0" y="0"/>
                      <a:ext cx="43815" cy="6350"/>
                    </a:xfrm>
                    <a:prstGeom prst="rect">
                      <a:avLst/>
                    </a:prstGeom>
                    <a:noFill/>
                  </pic:spPr>
                </pic:pic>
              </a:graphicData>
            </a:graphic>
          </wp:anchor>
        </w:drawing>
      </w:r>
    </w:p>
    <w:p>
      <w:pPr>
        <w:spacing w:after="0" w:line="29" w:lineRule="exact"/>
        <w:rPr>
          <w:sz w:val="20"/>
          <w:szCs w:val="20"/>
          <w:color w:val="auto"/>
        </w:rPr>
      </w:pPr>
    </w:p>
    <w:p>
      <w:pPr>
        <w:jc w:val="both"/>
        <w:ind w:right="2659" w:firstLine="264"/>
        <w:spacing w:after="0" w:line="259" w:lineRule="auto"/>
        <w:rPr>
          <w:sz w:val="20"/>
          <w:szCs w:val="20"/>
          <w:color w:val="auto"/>
        </w:rPr>
      </w:pPr>
      <w:r>
        <w:rPr>
          <w:rFonts w:ascii="Times New Roman" w:cs="Times New Roman" w:eastAsia="Times New Roman" w:hAnsi="Times New Roman"/>
          <w:sz w:val="13"/>
          <w:szCs w:val="13"/>
          <w:b w:val="1"/>
          <w:bCs w:val="1"/>
          <w:color w:val="auto"/>
        </w:rPr>
        <w:t xml:space="preserve">We do not guarantee that there will always be a </w:t>
      </w:r>
      <w:r>
        <w:rPr>
          <w:rFonts w:ascii="Times New Roman" w:cs="Times New Roman" w:eastAsia="Times New Roman" w:hAnsi="Times New Roman"/>
          <w:sz w:val="13"/>
          <w:szCs w:val="13"/>
          <w:b w:val="1"/>
          <w:bCs w:val="1"/>
          <w:u w:val="single" w:color="auto"/>
          <w:color w:val="auto"/>
        </w:rPr>
        <w:t>Shield Option</w:t>
      </w:r>
      <w:r>
        <w:rPr>
          <w:rFonts w:ascii="Times New Roman" w:cs="Times New Roman" w:eastAsia="Times New Roman" w:hAnsi="Times New Roman"/>
          <w:sz w:val="13"/>
          <w:szCs w:val="13"/>
          <w:b w:val="1"/>
          <w:bCs w:val="1"/>
          <w:color w:val="auto"/>
        </w:rPr>
        <w:t xml:space="preserve"> under the </w:t>
      </w:r>
      <w:r>
        <w:rPr>
          <w:rFonts w:ascii="Times New Roman" w:cs="Times New Roman" w:eastAsia="Times New Roman" w:hAnsi="Times New Roman"/>
          <w:sz w:val="13"/>
          <w:szCs w:val="13"/>
          <w:b w:val="1"/>
          <w:bCs w:val="1"/>
          <w:u w:val="single" w:color="auto"/>
          <w:color w:val="auto"/>
        </w:rPr>
        <w:t>Contract</w:t>
      </w:r>
      <w:r>
        <w:rPr>
          <w:rFonts w:ascii="Times New Roman" w:cs="Times New Roman" w:eastAsia="Times New Roman" w:hAnsi="Times New Roman"/>
          <w:sz w:val="13"/>
          <w:szCs w:val="13"/>
          <w:b w:val="1"/>
          <w:bCs w:val="1"/>
          <w:color w:val="auto"/>
        </w:rPr>
        <w:t xml:space="preserve"> that provides this minimum amount of downside protection; however, there will always be at least one </w:t>
      </w:r>
      <w:r>
        <w:rPr>
          <w:rFonts w:ascii="Times New Roman" w:cs="Times New Roman" w:eastAsia="Times New Roman" w:hAnsi="Times New Roman"/>
          <w:sz w:val="13"/>
          <w:szCs w:val="13"/>
          <w:b w:val="1"/>
          <w:bCs w:val="1"/>
          <w:u w:val="single" w:color="auto"/>
          <w:color w:val="auto"/>
        </w:rPr>
        <w:t>Shield Option</w:t>
      </w:r>
      <w:r>
        <w:rPr>
          <w:rFonts w:ascii="Times New Roman" w:cs="Times New Roman" w:eastAsia="Times New Roman" w:hAnsi="Times New Roman"/>
          <w:sz w:val="13"/>
          <w:szCs w:val="13"/>
          <w:b w:val="1"/>
          <w:bCs w:val="1"/>
          <w:color w:val="auto"/>
        </w:rPr>
        <w:t xml:space="preserve"> available, at the </w:t>
      </w:r>
      <w:r>
        <w:rPr>
          <w:rFonts w:ascii="Times New Roman" w:cs="Times New Roman" w:eastAsia="Times New Roman" w:hAnsi="Times New Roman"/>
          <w:sz w:val="13"/>
          <w:szCs w:val="13"/>
          <w:b w:val="1"/>
          <w:bCs w:val="1"/>
          <w:u w:val="single" w:color="auto"/>
          <w:color w:val="auto"/>
        </w:rPr>
        <w:t>Term End Date</w:t>
      </w:r>
      <w:r>
        <w:rPr>
          <w:rFonts w:ascii="Times New Roman" w:cs="Times New Roman" w:eastAsia="Times New Roman" w:hAnsi="Times New Roman"/>
          <w:sz w:val="13"/>
          <w:szCs w:val="13"/>
          <w:b w:val="1"/>
          <w:bCs w:val="1"/>
          <w:color w:val="auto"/>
        </w:rPr>
        <w:t xml:space="preserve">, that offers downside protection, although it may not be substantially similar to one of the currently available </w:t>
      </w:r>
      <w:r>
        <w:rPr>
          <w:rFonts w:ascii="Times New Roman" w:cs="Times New Roman" w:eastAsia="Times New Roman" w:hAnsi="Times New Roman"/>
          <w:sz w:val="13"/>
          <w:szCs w:val="13"/>
          <w:b w:val="1"/>
          <w:bCs w:val="1"/>
          <w:u w:val="single" w:color="auto"/>
          <w:color w:val="auto"/>
        </w:rPr>
        <w:t>Shield Options</w:t>
      </w:r>
      <w:r>
        <w:rPr>
          <w:rFonts w:ascii="Times New Roman" w:cs="Times New Roman" w:eastAsia="Times New Roman" w:hAnsi="Times New Roman"/>
          <w:sz w:val="13"/>
          <w:szCs w:val="13"/>
          <w:b w:val="1"/>
          <w:bCs w:val="1"/>
          <w:color w:val="auto"/>
        </w:rPr>
        <w:t xml:space="preserve">. Consequently, if we were to offer only one </w:t>
      </w:r>
      <w:r>
        <w:rPr>
          <w:rFonts w:ascii="Times New Roman" w:cs="Times New Roman" w:eastAsia="Times New Roman" w:hAnsi="Times New Roman"/>
          <w:sz w:val="13"/>
          <w:szCs w:val="13"/>
          <w:b w:val="1"/>
          <w:bCs w:val="1"/>
          <w:u w:val="single" w:color="auto"/>
          <w:color w:val="auto"/>
        </w:rPr>
        <w:t>Shield Option</w:t>
      </w:r>
      <w:r>
        <w:rPr>
          <w:rFonts w:ascii="Times New Roman" w:cs="Times New Roman" w:eastAsia="Times New Roman" w:hAnsi="Times New Roman"/>
          <w:sz w:val="13"/>
          <w:szCs w:val="13"/>
          <w:b w:val="1"/>
          <w:bCs w:val="1"/>
          <w:color w:val="auto"/>
        </w:rPr>
        <w:t xml:space="preserve">, you would be limited to investing in that one </w:t>
      </w:r>
      <w:r>
        <w:rPr>
          <w:rFonts w:ascii="Times New Roman" w:cs="Times New Roman" w:eastAsia="Times New Roman" w:hAnsi="Times New Roman"/>
          <w:sz w:val="13"/>
          <w:szCs w:val="13"/>
          <w:b w:val="1"/>
          <w:bCs w:val="1"/>
          <w:u w:val="single" w:color="auto"/>
          <w:color w:val="auto"/>
        </w:rPr>
        <w:t>Shield Option</w:t>
      </w:r>
      <w:r>
        <w:rPr>
          <w:rFonts w:ascii="Times New Roman" w:cs="Times New Roman" w:eastAsia="Times New Roman" w:hAnsi="Times New Roman"/>
          <w:sz w:val="13"/>
          <w:szCs w:val="13"/>
          <w:b w:val="1"/>
          <w:bCs w:val="1"/>
          <w:color w:val="auto"/>
        </w:rPr>
        <w:t xml:space="preserve">. If that </w:t>
      </w:r>
      <w:r>
        <w:rPr>
          <w:rFonts w:ascii="Times New Roman" w:cs="Times New Roman" w:eastAsia="Times New Roman" w:hAnsi="Times New Roman"/>
          <w:sz w:val="13"/>
          <w:szCs w:val="13"/>
          <w:b w:val="1"/>
          <w:bCs w:val="1"/>
          <w:u w:val="single" w:color="auto"/>
          <w:color w:val="auto"/>
        </w:rPr>
        <w:t>Shield Option</w:t>
      </w:r>
      <w:r>
        <w:rPr>
          <w:rFonts w:ascii="Times New Roman" w:cs="Times New Roman" w:eastAsia="Times New Roman" w:hAnsi="Times New Roman"/>
          <w:sz w:val="13"/>
          <w:szCs w:val="13"/>
          <w:b w:val="1"/>
          <w:bCs w:val="1"/>
          <w:color w:val="auto"/>
        </w:rPr>
        <w:t xml:space="preserve"> does not meet your investment objectives or financial goals, you could transfer to the </w:t>
      </w:r>
      <w:r>
        <w:rPr>
          <w:rFonts w:ascii="Times New Roman" w:cs="Times New Roman" w:eastAsia="Times New Roman" w:hAnsi="Times New Roman"/>
          <w:sz w:val="13"/>
          <w:szCs w:val="13"/>
          <w:b w:val="1"/>
          <w:bCs w:val="1"/>
          <w:u w:val="single" w:color="auto"/>
          <w:color w:val="auto"/>
        </w:rPr>
        <w:t>Fixed Account</w:t>
      </w:r>
      <w:r>
        <w:rPr>
          <w:rFonts w:ascii="Times New Roman" w:cs="Times New Roman" w:eastAsia="Times New Roman" w:hAnsi="Times New Roman"/>
          <w:sz w:val="13"/>
          <w:szCs w:val="13"/>
          <w:b w:val="1"/>
          <w:bCs w:val="1"/>
          <w:color w:val="auto"/>
        </w:rPr>
        <w:t xml:space="preserve"> (if available at that time and subject to applicable conditions described in the “TRANSFERS” section, including the requirement to remain invested in the </w:t>
      </w:r>
      <w:r>
        <w:rPr>
          <w:rFonts w:ascii="Times New Roman" w:cs="Times New Roman" w:eastAsia="Times New Roman" w:hAnsi="Times New Roman"/>
          <w:sz w:val="13"/>
          <w:szCs w:val="13"/>
          <w:b w:val="1"/>
          <w:bCs w:val="1"/>
          <w:u w:val="single" w:color="auto"/>
          <w:color w:val="auto"/>
        </w:rPr>
        <w:t>Fixed Account</w:t>
      </w:r>
      <w:r>
        <w:rPr>
          <w:rFonts w:ascii="Times New Roman" w:cs="Times New Roman" w:eastAsia="Times New Roman" w:hAnsi="Times New Roman"/>
          <w:sz w:val="13"/>
          <w:szCs w:val="13"/>
          <w:b w:val="1"/>
          <w:bCs w:val="1"/>
          <w:color w:val="auto"/>
        </w:rPr>
        <w:t xml:space="preserve"> until the Fixed Account Term End Date), </w:t>
      </w:r>
      <w:r>
        <w:rPr>
          <w:rFonts w:ascii="Times New Roman" w:cs="Times New Roman" w:eastAsia="Times New Roman" w:hAnsi="Times New Roman"/>
          <w:sz w:val="13"/>
          <w:szCs w:val="13"/>
          <w:b w:val="1"/>
          <w:bCs w:val="1"/>
          <w:u w:val="single" w:color="auto"/>
          <w:color w:val="auto"/>
        </w:rPr>
        <w:t>Surrender</w:t>
      </w:r>
      <w:r>
        <w:rPr>
          <w:rFonts w:ascii="Times New Roman" w:cs="Times New Roman" w:eastAsia="Times New Roman" w:hAnsi="Times New Roman"/>
          <w:sz w:val="13"/>
          <w:szCs w:val="13"/>
          <w:b w:val="1"/>
          <w:bCs w:val="1"/>
          <w:color w:val="auto"/>
        </w:rPr>
        <w:t xml:space="preserve"> your </w:t>
      </w:r>
      <w:r>
        <w:rPr>
          <w:rFonts w:ascii="Times New Roman" w:cs="Times New Roman" w:eastAsia="Times New Roman" w:hAnsi="Times New Roman"/>
          <w:sz w:val="13"/>
          <w:szCs w:val="13"/>
          <w:b w:val="1"/>
          <w:bCs w:val="1"/>
          <w:u w:val="single" w:color="auto"/>
          <w:color w:val="auto"/>
        </w:rPr>
        <w:t>Contract</w:t>
      </w:r>
      <w:r>
        <w:rPr>
          <w:rFonts w:ascii="Times New Roman" w:cs="Times New Roman" w:eastAsia="Times New Roman" w:hAnsi="Times New Roman"/>
          <w:sz w:val="13"/>
          <w:szCs w:val="13"/>
          <w:b w:val="1"/>
          <w:bCs w:val="1"/>
          <w:color w:val="auto"/>
        </w:rPr>
        <w:t xml:space="preserve"> and/or invest in another investment vehicle. If you </w:t>
      </w:r>
      <w:r>
        <w:rPr>
          <w:rFonts w:ascii="Times New Roman" w:cs="Times New Roman" w:eastAsia="Times New Roman" w:hAnsi="Times New Roman"/>
          <w:sz w:val="13"/>
          <w:szCs w:val="13"/>
          <w:b w:val="1"/>
          <w:bCs w:val="1"/>
          <w:u w:val="single" w:color="auto"/>
          <w:color w:val="auto"/>
        </w:rPr>
        <w:t>Surrender</w:t>
      </w:r>
      <w:r>
        <w:rPr>
          <w:rFonts w:ascii="Times New Roman" w:cs="Times New Roman" w:eastAsia="Times New Roman" w:hAnsi="Times New Roman"/>
          <w:sz w:val="13"/>
          <w:szCs w:val="13"/>
          <w:b w:val="1"/>
          <w:bCs w:val="1"/>
          <w:color w:val="auto"/>
        </w:rPr>
        <w:t xml:space="preserve"> your </w:t>
      </w:r>
      <w:r>
        <w:rPr>
          <w:rFonts w:ascii="Times New Roman" w:cs="Times New Roman" w:eastAsia="Times New Roman" w:hAnsi="Times New Roman"/>
          <w:sz w:val="13"/>
          <w:szCs w:val="13"/>
          <w:b w:val="1"/>
          <w:bCs w:val="1"/>
          <w:u w:val="single" w:color="auto"/>
          <w:color w:val="auto"/>
        </w:rPr>
        <w:t>Contract</w:t>
      </w:r>
      <w:r>
        <w:rPr>
          <w:rFonts w:ascii="Times New Roman" w:cs="Times New Roman" w:eastAsia="Times New Roman" w:hAnsi="Times New Roman"/>
          <w:sz w:val="13"/>
          <w:szCs w:val="13"/>
          <w:b w:val="1"/>
          <w:bCs w:val="1"/>
          <w:color w:val="auto"/>
        </w:rPr>
        <w:t xml:space="preserve">, you might incur taxes, tax penalties, or an </w:t>
      </w:r>
      <w:r>
        <w:rPr>
          <w:rFonts w:ascii="Times New Roman" w:cs="Times New Roman" w:eastAsia="Times New Roman" w:hAnsi="Times New Roman"/>
          <w:sz w:val="13"/>
          <w:szCs w:val="13"/>
          <w:b w:val="1"/>
          <w:bCs w:val="1"/>
          <w:u w:val="single" w:color="auto"/>
          <w:color w:val="auto"/>
        </w:rPr>
        <w:t>Interim Value</w:t>
      </w:r>
      <w:r>
        <w:rPr>
          <w:rFonts w:ascii="Times New Roman" w:cs="Times New Roman" w:eastAsia="Times New Roman" w:hAnsi="Times New Roman"/>
          <w:sz w:val="13"/>
          <w:szCs w:val="13"/>
          <w:b w:val="1"/>
          <w:bCs w:val="1"/>
          <w:color w:val="auto"/>
        </w:rPr>
        <w:t xml:space="preserve"> calculation. If you invest in another investment vehicle, that investment may have different features, fees and risks than your </w:t>
      </w:r>
      <w:r>
        <w:rPr>
          <w:rFonts w:ascii="Times New Roman" w:cs="Times New Roman" w:eastAsia="Times New Roman" w:hAnsi="Times New Roman"/>
          <w:sz w:val="13"/>
          <w:szCs w:val="13"/>
          <w:b w:val="1"/>
          <w:bCs w:val="1"/>
          <w:u w:val="single" w:color="auto"/>
          <w:color w:val="auto"/>
        </w:rPr>
        <w:t>Contract</w:t>
      </w:r>
      <w:r>
        <w:rPr>
          <w:rFonts w:ascii="Times New Roman" w:cs="Times New Roman" w:eastAsia="Times New Roman" w:hAnsi="Times New Roman"/>
          <w:sz w:val="13"/>
          <w:szCs w:val="13"/>
          <w:b w:val="1"/>
          <w:bCs w:val="1"/>
          <w:color w:val="auto"/>
        </w:rPr>
        <w:t>.</w:t>
      </w:r>
    </w:p>
    <w:p>
      <w:pPr>
        <w:spacing w:after="0" w:line="14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799"/>
          </w:cols>
          <w:pgMar w:left="660" w:top="1166" w:right="1440" w:bottom="1440" w:gutter="0" w:footer="0" w:header="0"/>
        </w:sectPr>
      </w:pPr>
    </w:p>
    <w:bookmarkStart w:id="139" w:name="page140"/>
    <w:bookmarkEnd w:id="139"/>
    <w:p>
      <w:pPr>
        <w:jc w:val="both"/>
        <w:ind w:right="2659" w:firstLine="264"/>
        <w:spacing w:after="0" w:line="26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1">
                      <a:extLst>
                        <a:ext uri="{28A0092B-C50C-407E-A947-70E740481C1C}"/>
                      </a:extLst>
                    </a:blip>
                    <a:srcRect/>
                    <a:stretch>
                      <a:fillRect/>
                    </a:stretch>
                  </pic:blipFill>
                  <pic:spPr bwMode="auto">
                    <a:xfrm>
                      <a:off x="0" y="0"/>
                      <a:ext cx="7193915" cy="38100"/>
                    </a:xfrm>
                    <a:prstGeom prst="rect">
                      <a:avLst/>
                    </a:prstGeom>
                    <a:noFill/>
                  </pic:spPr>
                </pic:pic>
              </a:graphicData>
            </a:graphic>
          </wp:anchor>
        </w:drawing>
        <w:t xml:space="preserve">Each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also has a </w:t>
      </w:r>
      <w:r>
        <w:rPr>
          <w:rFonts w:ascii="Times New Roman" w:cs="Times New Roman" w:eastAsia="Times New Roman" w:hAnsi="Times New Roman"/>
          <w:sz w:val="13"/>
          <w:szCs w:val="13"/>
          <w:u w:val="single" w:color="auto"/>
          <w:color w:val="auto"/>
        </w:rPr>
        <w:t>Rate Crediting Type</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u w:val="single" w:color="auto"/>
          <w:color w:val="auto"/>
        </w:rPr>
        <w:t>Cap Rate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Step Rate</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Step Rate Edge</w:t>
      </w:r>
      <w:r>
        <w:rPr>
          <w:rFonts w:ascii="Times New Roman" w:cs="Times New Roman" w:eastAsia="Times New Roman" w:hAnsi="Times New Roman"/>
          <w:sz w:val="13"/>
          <w:szCs w:val="13"/>
          <w:color w:val="auto"/>
        </w:rPr>
        <w:t xml:space="preserve"> (each, a </w:t>
      </w:r>
      <w:r>
        <w:rPr>
          <w:rFonts w:ascii="Times New Roman" w:cs="Times New Roman" w:eastAsia="Times New Roman" w:hAnsi="Times New Roman"/>
          <w:sz w:val="13"/>
          <w:szCs w:val="13"/>
          <w:u w:val="single" w:color="auto"/>
          <w:color w:val="auto"/>
        </w:rPr>
        <w:t>“Rate Crediting Type”</w:t>
      </w:r>
      <w:r>
        <w:rPr>
          <w:rFonts w:ascii="Times New Roman" w:cs="Times New Roman" w:eastAsia="Times New Roman" w:hAnsi="Times New Roman"/>
          <w:sz w:val="13"/>
          <w:szCs w:val="13"/>
          <w:color w:val="auto"/>
        </w:rPr>
        <w:t xml:space="preserve">) are the three ways we offer that you can potentially receive positive interest based on the performance of an </w:t>
      </w:r>
      <w:r>
        <w:rPr>
          <w:rFonts w:ascii="Times New Roman" w:cs="Times New Roman" w:eastAsia="Times New Roman" w:hAnsi="Times New Roman"/>
          <w:sz w:val="13"/>
          <w:szCs w:val="13"/>
          <w:u w:val="single" w:color="auto"/>
          <w:color w:val="auto"/>
        </w:rPr>
        <w:t>Index</w:t>
      </w:r>
      <w:r>
        <w:rPr>
          <w:rFonts w:ascii="Times New Roman" w:cs="Times New Roman" w:eastAsia="Times New Roman" w:hAnsi="Times New Roman"/>
          <w:sz w:val="13"/>
          <w:szCs w:val="13"/>
          <w:color w:val="auto"/>
        </w:rPr>
        <w:t xml:space="preserve">. We limit the positive </w:t>
      </w:r>
      <w:r>
        <w:rPr>
          <w:rFonts w:ascii="Times New Roman" w:cs="Times New Roman" w:eastAsia="Times New Roman" w:hAnsi="Times New Roman"/>
          <w:sz w:val="13"/>
          <w:szCs w:val="13"/>
          <w:u w:val="single" w:color="auto"/>
          <w:color w:val="auto"/>
        </w:rPr>
        <w:t>Index Performance</w:t>
      </w:r>
      <w:r>
        <w:rPr>
          <w:rFonts w:ascii="Times New Roman" w:cs="Times New Roman" w:eastAsia="Times New Roman" w:hAnsi="Times New Roman"/>
          <w:sz w:val="13"/>
          <w:szCs w:val="13"/>
          <w:color w:val="auto"/>
        </w:rPr>
        <w:t xml:space="preserve"> used in calculating the interest credited to a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at the </w:t>
      </w:r>
      <w:r>
        <w:rPr>
          <w:rFonts w:ascii="Times New Roman" w:cs="Times New Roman" w:eastAsia="Times New Roman" w:hAnsi="Times New Roman"/>
          <w:sz w:val="13"/>
          <w:szCs w:val="13"/>
          <w:u w:val="single" w:color="auto"/>
          <w:color w:val="auto"/>
        </w:rPr>
        <w:t>Term End Date</w:t>
      </w:r>
      <w:r>
        <w:rPr>
          <w:rFonts w:ascii="Times New Roman" w:cs="Times New Roman" w:eastAsia="Times New Roman" w:hAnsi="Times New Roman"/>
          <w:sz w:val="13"/>
          <w:szCs w:val="13"/>
          <w:color w:val="auto"/>
        </w:rPr>
        <w:t xml:space="preserve"> through the </w:t>
      </w:r>
      <w:r>
        <w:rPr>
          <w:rFonts w:ascii="Times New Roman" w:cs="Times New Roman" w:eastAsia="Times New Roman" w:hAnsi="Times New Roman"/>
          <w:sz w:val="13"/>
          <w:szCs w:val="13"/>
          <w:u w:val="single" w:color="auto"/>
          <w:color w:val="auto"/>
        </w:rPr>
        <w:t>Cap Rate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Step Rate</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Step Rate Edge</w:t>
      </w:r>
      <w:r>
        <w:rPr>
          <w:rFonts w:ascii="Times New Roman" w:cs="Times New Roman" w:eastAsia="Times New Roman" w:hAnsi="Times New Roman"/>
          <w:sz w:val="13"/>
          <w:szCs w:val="13"/>
          <w:color w:val="auto"/>
        </w:rPr>
        <w:t xml:space="preserve">. Positive interest may be credited up to the specified </w:t>
      </w:r>
      <w:r>
        <w:rPr>
          <w:rFonts w:ascii="Times New Roman" w:cs="Times New Roman" w:eastAsia="Times New Roman" w:hAnsi="Times New Roman"/>
          <w:sz w:val="13"/>
          <w:szCs w:val="13"/>
          <w:u w:val="single" w:color="auto"/>
          <w:color w:val="auto"/>
        </w:rPr>
        <w:t>Cap Rate</w:t>
      </w:r>
      <w:r>
        <w:rPr>
          <w:rFonts w:ascii="Times New Roman" w:cs="Times New Roman" w:eastAsia="Times New Roman" w:hAnsi="Times New Roman"/>
          <w:sz w:val="13"/>
          <w:szCs w:val="13"/>
          <w:color w:val="auto"/>
        </w:rPr>
        <w:t xml:space="preserve"> or equal to the specified </w:t>
      </w:r>
      <w:r>
        <w:rPr>
          <w:rFonts w:ascii="Times New Roman" w:cs="Times New Roman" w:eastAsia="Times New Roman" w:hAnsi="Times New Roman"/>
          <w:sz w:val="13"/>
          <w:szCs w:val="13"/>
          <w:u w:val="single" w:color="auto"/>
          <w:color w:val="auto"/>
        </w:rPr>
        <w:t>Step Rate</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Edge Rate</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3193415</wp:posOffset>
            </wp:positionH>
            <wp:positionV relativeFrom="paragraph">
              <wp:posOffset>-26035</wp:posOffset>
            </wp:positionV>
            <wp:extent cx="31750" cy="635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2">
                      <a:extLst>
                        <a:ext uri="{28A0092B-C50C-407E-A947-70E740481C1C}"/>
                      </a:extLst>
                    </a:blip>
                    <a:srcRect/>
                    <a:stretch>
                      <a:fillRect/>
                    </a:stretch>
                  </pic:blipFill>
                  <pic:spPr bwMode="auto">
                    <a:xfrm>
                      <a:off x="0" y="0"/>
                      <a:ext cx="31750" cy="6350"/>
                    </a:xfrm>
                    <a:prstGeom prst="rect">
                      <a:avLst/>
                    </a:prstGeom>
                    <a:noFill/>
                  </pic:spPr>
                </pic:pic>
              </a:graphicData>
            </a:graphic>
          </wp:anchor>
        </w:drawing>
      </w:r>
    </w:p>
    <w:p>
      <w:pPr>
        <w:spacing w:after="0" w:line="203" w:lineRule="exact"/>
        <w:rPr>
          <w:sz w:val="20"/>
          <w:szCs w:val="20"/>
          <w:color w:val="auto"/>
        </w:rPr>
      </w:pPr>
    </w:p>
    <w:p>
      <w:pPr>
        <w:jc w:val="both"/>
        <w:ind w:left="420" w:right="2719" w:hanging="159"/>
        <w:spacing w:after="0" w:line="272" w:lineRule="auto"/>
        <w:tabs>
          <w:tab w:leader="none" w:pos="420"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w:t>
      </w:r>
      <w:r>
        <w:rPr>
          <w:rFonts w:ascii="Times New Roman" w:cs="Times New Roman" w:eastAsia="Times New Roman" w:hAnsi="Times New Roman"/>
          <w:sz w:val="13"/>
          <w:szCs w:val="13"/>
          <w:u w:val="single" w:color="auto"/>
          <w:color w:val="auto"/>
        </w:rPr>
        <w:t>Cap Rate</w:t>
      </w:r>
      <w:r>
        <w:rPr>
          <w:rFonts w:ascii="Times New Roman" w:cs="Times New Roman" w:eastAsia="Times New Roman" w:hAnsi="Times New Roman"/>
          <w:sz w:val="13"/>
          <w:szCs w:val="13"/>
          <w:color w:val="auto"/>
        </w:rPr>
        <w:t xml:space="preserve"> is the maximum rate that may be credited at the </w:t>
      </w:r>
      <w:r>
        <w:rPr>
          <w:rFonts w:ascii="Times New Roman" w:cs="Times New Roman" w:eastAsia="Times New Roman" w:hAnsi="Times New Roman"/>
          <w:sz w:val="13"/>
          <w:szCs w:val="13"/>
          <w:u w:val="single" w:color="auto"/>
          <w:color w:val="auto"/>
        </w:rPr>
        <w:t>Term End Date</w:t>
      </w:r>
      <w:r>
        <w:rPr>
          <w:rFonts w:ascii="Times New Roman" w:cs="Times New Roman" w:eastAsia="Times New Roman" w:hAnsi="Times New Roman"/>
          <w:sz w:val="13"/>
          <w:szCs w:val="13"/>
          <w:color w:val="auto"/>
        </w:rPr>
        <w:t xml:space="preserve"> based on </w:t>
      </w:r>
      <w:r>
        <w:rPr>
          <w:rFonts w:ascii="Times New Roman" w:cs="Times New Roman" w:eastAsia="Times New Roman" w:hAnsi="Times New Roman"/>
          <w:sz w:val="13"/>
          <w:szCs w:val="13"/>
          <w:u w:val="single" w:color="auto"/>
          <w:color w:val="auto"/>
        </w:rPr>
        <w:t>Index Performance</w:t>
      </w:r>
      <w:r>
        <w:rPr>
          <w:rFonts w:ascii="Times New Roman" w:cs="Times New Roman" w:eastAsia="Times New Roman" w:hAnsi="Times New Roman"/>
          <w:sz w:val="13"/>
          <w:szCs w:val="13"/>
          <w:color w:val="auto"/>
        </w:rPr>
        <w:t xml:space="preserve">. For example, if you invest in a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with a 10% </w:t>
      </w:r>
      <w:r>
        <w:rPr>
          <w:rFonts w:ascii="Times New Roman" w:cs="Times New Roman" w:eastAsia="Times New Roman" w:hAnsi="Times New Roman"/>
          <w:sz w:val="13"/>
          <w:szCs w:val="13"/>
          <w:u w:val="single" w:color="auto"/>
          <w:color w:val="auto"/>
        </w:rPr>
        <w:t>Cap Rate</w:t>
      </w:r>
      <w:r>
        <w:rPr>
          <w:rFonts w:ascii="Times New Roman" w:cs="Times New Roman" w:eastAsia="Times New Roman" w:hAnsi="Times New Roman"/>
          <w:sz w:val="13"/>
          <w:szCs w:val="13"/>
          <w:color w:val="auto"/>
        </w:rPr>
        <w:t xml:space="preserve">, and the </w:t>
      </w:r>
      <w:r>
        <w:rPr>
          <w:rFonts w:ascii="Times New Roman" w:cs="Times New Roman" w:eastAsia="Times New Roman" w:hAnsi="Times New Roman"/>
          <w:sz w:val="13"/>
          <w:szCs w:val="13"/>
          <w:u w:val="single" w:color="auto"/>
          <w:color w:val="auto"/>
        </w:rPr>
        <w:t>Index Performance</w:t>
      </w:r>
      <w:r>
        <w:rPr>
          <w:rFonts w:ascii="Times New Roman" w:cs="Times New Roman" w:eastAsia="Times New Roman" w:hAnsi="Times New Roman"/>
          <w:sz w:val="13"/>
          <w:szCs w:val="13"/>
          <w:color w:val="auto"/>
        </w:rPr>
        <w:t xml:space="preserve"> is 15% at the end of the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u w:val="single" w:color="auto"/>
          <w:color w:val="auto"/>
        </w:rPr>
        <w:t>Performance Rate</w:t>
      </w:r>
      <w:r>
        <w:rPr>
          <w:rFonts w:ascii="Times New Roman" w:cs="Times New Roman" w:eastAsia="Times New Roman" w:hAnsi="Times New Roman"/>
          <w:sz w:val="13"/>
          <w:szCs w:val="13"/>
          <w:color w:val="auto"/>
        </w:rPr>
        <w:t xml:space="preserve"> will be 10% (the </w:t>
      </w:r>
      <w:r>
        <w:rPr>
          <w:rFonts w:ascii="Times New Roman" w:cs="Times New Roman" w:eastAsia="Times New Roman" w:hAnsi="Times New Roman"/>
          <w:sz w:val="13"/>
          <w:szCs w:val="13"/>
          <w:u w:val="single" w:color="auto"/>
          <w:color w:val="auto"/>
        </w:rPr>
        <w:t>Index</w:t>
      </w:r>
      <w:r>
        <w:rPr>
          <w:rFonts w:ascii="Times New Roman" w:cs="Times New Roman" w:eastAsia="Times New Roman" w:hAnsi="Times New Roman"/>
          <w:sz w:val="13"/>
          <w:szCs w:val="13"/>
          <w:color w:val="auto"/>
        </w:rPr>
        <w:t xml:space="preserve"> Performance up to the </w:t>
      </w:r>
      <w:r>
        <w:rPr>
          <w:rFonts w:ascii="Times New Roman" w:cs="Times New Roman" w:eastAsia="Times New Roman" w:hAnsi="Times New Roman"/>
          <w:sz w:val="13"/>
          <w:szCs w:val="13"/>
          <w:u w:val="single" w:color="auto"/>
          <w:color w:val="auto"/>
        </w:rPr>
        <w:t>Cap Rate</w:t>
      </w:r>
      <w:r>
        <w:rPr>
          <w:rFonts w:ascii="Times New Roman" w:cs="Times New Roman" w:eastAsia="Times New Roman" w:hAnsi="Times New Roman"/>
          <w:sz w:val="13"/>
          <w:szCs w:val="13"/>
          <w:color w:val="auto"/>
        </w:rPr>
        <w:t xml:space="preserve">), meaning that we will increase the </w:t>
      </w:r>
      <w:r>
        <w:rPr>
          <w:rFonts w:ascii="Times New Roman" w:cs="Times New Roman" w:eastAsia="Times New Roman" w:hAnsi="Times New Roman"/>
          <w:sz w:val="13"/>
          <w:szCs w:val="13"/>
          <w:u w:val="single" w:color="auto"/>
          <w:color w:val="auto"/>
        </w:rPr>
        <w:t>Investment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Amount</w:t>
      </w:r>
      <w:r>
        <w:rPr>
          <w:rFonts w:ascii="Times New Roman" w:cs="Times New Roman" w:eastAsia="Times New Roman" w:hAnsi="Times New Roman"/>
          <w:sz w:val="13"/>
          <w:szCs w:val="13"/>
          <w:color w:val="auto"/>
        </w:rPr>
        <w:t xml:space="preserve"> associated with the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by 10%.</w:t>
      </w:r>
    </w:p>
    <w:p>
      <w:pPr>
        <w:spacing w:after="0" w:line="46" w:lineRule="exact"/>
        <w:rPr>
          <w:rFonts w:ascii="Times New Roman" w:cs="Times New Roman" w:eastAsia="Times New Roman" w:hAnsi="Times New Roman"/>
          <w:sz w:val="13"/>
          <w:szCs w:val="13"/>
          <w:color w:val="auto"/>
        </w:rPr>
      </w:pPr>
    </w:p>
    <w:p>
      <w:pPr>
        <w:jc w:val="both"/>
        <w:ind w:left="420" w:right="2719" w:hanging="159"/>
        <w:spacing w:after="0" w:line="266" w:lineRule="auto"/>
        <w:tabs>
          <w:tab w:leader="none" w:pos="420"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w:t>
      </w:r>
      <w:r>
        <w:rPr>
          <w:rFonts w:ascii="Times New Roman" w:cs="Times New Roman" w:eastAsia="Times New Roman" w:hAnsi="Times New Roman"/>
          <w:sz w:val="13"/>
          <w:szCs w:val="13"/>
          <w:u w:val="single" w:color="auto"/>
          <w:color w:val="auto"/>
        </w:rPr>
        <w:t>Step Rate</w:t>
      </w:r>
      <w:r>
        <w:rPr>
          <w:rFonts w:ascii="Times New Roman" w:cs="Times New Roman" w:eastAsia="Times New Roman" w:hAnsi="Times New Roman"/>
          <w:sz w:val="13"/>
          <w:szCs w:val="13"/>
          <w:color w:val="auto"/>
        </w:rPr>
        <w:t xml:space="preserve"> is the rate credited at the </w:t>
      </w:r>
      <w:r>
        <w:rPr>
          <w:rFonts w:ascii="Times New Roman" w:cs="Times New Roman" w:eastAsia="Times New Roman" w:hAnsi="Times New Roman"/>
          <w:sz w:val="13"/>
          <w:szCs w:val="13"/>
          <w:u w:val="single" w:color="auto"/>
          <w:color w:val="auto"/>
        </w:rPr>
        <w:t>Term End Date</w:t>
      </w:r>
      <w:r>
        <w:rPr>
          <w:rFonts w:ascii="Times New Roman" w:cs="Times New Roman" w:eastAsia="Times New Roman" w:hAnsi="Times New Roman"/>
          <w:sz w:val="13"/>
          <w:szCs w:val="13"/>
          <w:color w:val="auto"/>
        </w:rPr>
        <w:t xml:space="preserve"> if the </w:t>
      </w:r>
      <w:r>
        <w:rPr>
          <w:rFonts w:ascii="Times New Roman" w:cs="Times New Roman" w:eastAsia="Times New Roman" w:hAnsi="Times New Roman"/>
          <w:sz w:val="13"/>
          <w:szCs w:val="13"/>
          <w:u w:val="single" w:color="auto"/>
          <w:color w:val="auto"/>
        </w:rPr>
        <w:t>Index Performance</w:t>
      </w:r>
      <w:r>
        <w:rPr>
          <w:rFonts w:ascii="Times New Roman" w:cs="Times New Roman" w:eastAsia="Times New Roman" w:hAnsi="Times New Roman"/>
          <w:sz w:val="13"/>
          <w:szCs w:val="13"/>
          <w:color w:val="auto"/>
        </w:rPr>
        <w:t xml:space="preserve"> is equal to or greater than zero. For example, if you invest in a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with an 8% </w:t>
      </w:r>
      <w:r>
        <w:rPr>
          <w:rFonts w:ascii="Times New Roman" w:cs="Times New Roman" w:eastAsia="Times New Roman" w:hAnsi="Times New Roman"/>
          <w:sz w:val="13"/>
          <w:szCs w:val="13"/>
          <w:u w:val="single" w:color="auto"/>
          <w:color w:val="auto"/>
        </w:rPr>
        <w:t>Step Rate</w:t>
      </w:r>
      <w:r>
        <w:rPr>
          <w:rFonts w:ascii="Times New Roman" w:cs="Times New Roman" w:eastAsia="Times New Roman" w:hAnsi="Times New Roman"/>
          <w:sz w:val="13"/>
          <w:szCs w:val="13"/>
          <w:color w:val="auto"/>
        </w:rPr>
        <w:t xml:space="preserve">, and the </w:t>
      </w:r>
      <w:r>
        <w:rPr>
          <w:rFonts w:ascii="Times New Roman" w:cs="Times New Roman" w:eastAsia="Times New Roman" w:hAnsi="Times New Roman"/>
          <w:sz w:val="13"/>
          <w:szCs w:val="13"/>
          <w:u w:val="single" w:color="auto"/>
          <w:color w:val="auto"/>
        </w:rPr>
        <w:t>Index Performance</w:t>
      </w:r>
      <w:r>
        <w:rPr>
          <w:rFonts w:ascii="Times New Roman" w:cs="Times New Roman" w:eastAsia="Times New Roman" w:hAnsi="Times New Roman"/>
          <w:sz w:val="13"/>
          <w:szCs w:val="13"/>
          <w:color w:val="auto"/>
        </w:rPr>
        <w:t xml:space="preserve"> is 15% at the end of the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u w:val="single" w:color="auto"/>
          <w:color w:val="auto"/>
        </w:rPr>
        <w:t>Performance Rate</w:t>
      </w:r>
      <w:r>
        <w:rPr>
          <w:rFonts w:ascii="Times New Roman" w:cs="Times New Roman" w:eastAsia="Times New Roman" w:hAnsi="Times New Roman"/>
          <w:sz w:val="13"/>
          <w:szCs w:val="13"/>
          <w:color w:val="auto"/>
        </w:rPr>
        <w:t xml:space="preserve"> will be 8% (the </w:t>
      </w:r>
      <w:r>
        <w:rPr>
          <w:rFonts w:ascii="Times New Roman" w:cs="Times New Roman" w:eastAsia="Times New Roman" w:hAnsi="Times New Roman"/>
          <w:sz w:val="13"/>
          <w:szCs w:val="13"/>
          <w:u w:val="single" w:color="auto"/>
          <w:color w:val="auto"/>
        </w:rPr>
        <w:t>Step Rate</w:t>
      </w:r>
      <w:r>
        <w:rPr>
          <w:rFonts w:ascii="Times New Roman" w:cs="Times New Roman" w:eastAsia="Times New Roman" w:hAnsi="Times New Roman"/>
          <w:sz w:val="13"/>
          <w:szCs w:val="13"/>
          <w:color w:val="auto"/>
        </w:rPr>
        <w:t xml:space="preserve">), meaning that we will increase the </w:t>
      </w:r>
      <w:r>
        <w:rPr>
          <w:rFonts w:ascii="Times New Roman" w:cs="Times New Roman" w:eastAsia="Times New Roman" w:hAnsi="Times New Roman"/>
          <w:sz w:val="13"/>
          <w:szCs w:val="13"/>
          <w:u w:val="single" w:color="auto"/>
          <w:color w:val="auto"/>
        </w:rPr>
        <w:t>Investment Amount</w:t>
      </w:r>
      <w:r>
        <w:rPr>
          <w:rFonts w:ascii="Times New Roman" w:cs="Times New Roman" w:eastAsia="Times New Roman" w:hAnsi="Times New Roman"/>
          <w:sz w:val="13"/>
          <w:szCs w:val="13"/>
          <w:color w:val="auto"/>
        </w:rPr>
        <w:t xml:space="preserve"> associated with the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by 8%.</w:t>
      </w:r>
    </w:p>
    <w:p>
      <w:pPr>
        <w:spacing w:after="0" w:line="61" w:lineRule="exact"/>
        <w:rPr>
          <w:rFonts w:ascii="Times New Roman" w:cs="Times New Roman" w:eastAsia="Times New Roman" w:hAnsi="Times New Roman"/>
          <w:sz w:val="13"/>
          <w:szCs w:val="13"/>
          <w:color w:val="auto"/>
        </w:rPr>
      </w:pPr>
    </w:p>
    <w:p>
      <w:pPr>
        <w:jc w:val="both"/>
        <w:ind w:left="420" w:right="2719" w:hanging="159"/>
        <w:spacing w:after="0" w:line="266" w:lineRule="auto"/>
        <w:tabs>
          <w:tab w:leader="none" w:pos="420"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For </w:t>
      </w:r>
      <w:r>
        <w:rPr>
          <w:rFonts w:ascii="Times New Roman" w:cs="Times New Roman" w:eastAsia="Times New Roman" w:hAnsi="Times New Roman"/>
          <w:sz w:val="13"/>
          <w:szCs w:val="13"/>
          <w:u w:val="single" w:color="auto"/>
          <w:color w:val="auto"/>
        </w:rPr>
        <w:t>Shield Options</w:t>
      </w:r>
      <w:r>
        <w:rPr>
          <w:rFonts w:ascii="Times New Roman" w:cs="Times New Roman" w:eastAsia="Times New Roman" w:hAnsi="Times New Roman"/>
          <w:sz w:val="13"/>
          <w:szCs w:val="13"/>
          <w:color w:val="auto"/>
        </w:rPr>
        <w:t xml:space="preserve"> with </w:t>
      </w:r>
      <w:r>
        <w:rPr>
          <w:rFonts w:ascii="Times New Roman" w:cs="Times New Roman" w:eastAsia="Times New Roman" w:hAnsi="Times New Roman"/>
          <w:sz w:val="13"/>
          <w:szCs w:val="13"/>
          <w:u w:val="single" w:color="auto"/>
          <w:color w:val="auto"/>
        </w:rPr>
        <w:t>Step Rate Edge</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u w:val="single" w:color="auto"/>
          <w:color w:val="auto"/>
        </w:rPr>
        <w:t>Edge Rate</w:t>
      </w:r>
      <w:r>
        <w:rPr>
          <w:rFonts w:ascii="Times New Roman" w:cs="Times New Roman" w:eastAsia="Times New Roman" w:hAnsi="Times New Roman"/>
          <w:sz w:val="13"/>
          <w:szCs w:val="13"/>
          <w:color w:val="auto"/>
        </w:rPr>
        <w:t xml:space="preserve"> is the rate credited at the </w:t>
      </w:r>
      <w:r>
        <w:rPr>
          <w:rFonts w:ascii="Times New Roman" w:cs="Times New Roman" w:eastAsia="Times New Roman" w:hAnsi="Times New Roman"/>
          <w:sz w:val="13"/>
          <w:szCs w:val="13"/>
          <w:u w:val="single" w:color="auto"/>
          <w:color w:val="auto"/>
        </w:rPr>
        <w:t>Term End Date</w:t>
      </w:r>
      <w:r>
        <w:rPr>
          <w:rFonts w:ascii="Times New Roman" w:cs="Times New Roman" w:eastAsia="Times New Roman" w:hAnsi="Times New Roman"/>
          <w:sz w:val="13"/>
          <w:szCs w:val="13"/>
          <w:color w:val="auto"/>
        </w:rPr>
        <w:t xml:space="preserve"> if the </w:t>
      </w:r>
      <w:r>
        <w:rPr>
          <w:rFonts w:ascii="Times New Roman" w:cs="Times New Roman" w:eastAsia="Times New Roman" w:hAnsi="Times New Roman"/>
          <w:sz w:val="13"/>
          <w:szCs w:val="13"/>
          <w:u w:val="single" w:color="auto"/>
          <w:color w:val="auto"/>
        </w:rPr>
        <w:t>Index Performance</w:t>
      </w:r>
      <w:r>
        <w:rPr>
          <w:rFonts w:ascii="Times New Roman" w:cs="Times New Roman" w:eastAsia="Times New Roman" w:hAnsi="Times New Roman"/>
          <w:sz w:val="13"/>
          <w:szCs w:val="13"/>
          <w:color w:val="auto"/>
        </w:rPr>
        <w:t xml:space="preserve"> is equal to or greater than the </w:t>
      </w:r>
      <w:r>
        <w:rPr>
          <w:rFonts w:ascii="Times New Roman" w:cs="Times New Roman" w:eastAsia="Times New Roman" w:hAnsi="Times New Roman"/>
          <w:sz w:val="13"/>
          <w:szCs w:val="13"/>
          <w:u w:val="single" w:color="auto"/>
          <w:color w:val="auto"/>
        </w:rPr>
        <w:t>Shield Rate</w:t>
      </w:r>
      <w:r>
        <w:rPr>
          <w:rFonts w:ascii="Times New Roman" w:cs="Times New Roman" w:eastAsia="Times New Roman" w:hAnsi="Times New Roman"/>
          <w:sz w:val="13"/>
          <w:szCs w:val="13"/>
          <w:color w:val="auto"/>
        </w:rPr>
        <w:t xml:space="preserve">. For example, if you invest in a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with a 10% </w:t>
      </w:r>
      <w:r>
        <w:rPr>
          <w:rFonts w:ascii="Times New Roman" w:cs="Times New Roman" w:eastAsia="Times New Roman" w:hAnsi="Times New Roman"/>
          <w:sz w:val="13"/>
          <w:szCs w:val="13"/>
          <w:u w:val="single" w:color="auto"/>
          <w:color w:val="auto"/>
        </w:rPr>
        <w:t>Shield Rate</w:t>
      </w:r>
      <w:r>
        <w:rPr>
          <w:rFonts w:ascii="Times New Roman" w:cs="Times New Roman" w:eastAsia="Times New Roman" w:hAnsi="Times New Roman"/>
          <w:sz w:val="13"/>
          <w:szCs w:val="13"/>
          <w:color w:val="auto"/>
        </w:rPr>
        <w:t xml:space="preserve"> and a 7% </w:t>
      </w:r>
      <w:r>
        <w:rPr>
          <w:rFonts w:ascii="Times New Roman" w:cs="Times New Roman" w:eastAsia="Times New Roman" w:hAnsi="Times New Roman"/>
          <w:sz w:val="13"/>
          <w:szCs w:val="13"/>
          <w:u w:val="single" w:color="auto"/>
          <w:color w:val="auto"/>
        </w:rPr>
        <w:t>Edge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Rate</w:t>
      </w:r>
      <w:r>
        <w:rPr>
          <w:rFonts w:ascii="Times New Roman" w:cs="Times New Roman" w:eastAsia="Times New Roman" w:hAnsi="Times New Roman"/>
          <w:sz w:val="13"/>
          <w:szCs w:val="13"/>
          <w:color w:val="auto"/>
        </w:rPr>
        <w:t xml:space="preserve">, and the </w:t>
      </w:r>
      <w:r>
        <w:rPr>
          <w:rFonts w:ascii="Times New Roman" w:cs="Times New Roman" w:eastAsia="Times New Roman" w:hAnsi="Times New Roman"/>
          <w:sz w:val="13"/>
          <w:szCs w:val="13"/>
          <w:u w:val="single" w:color="auto"/>
          <w:color w:val="auto"/>
        </w:rPr>
        <w:t>Index</w:t>
      </w:r>
      <w:r>
        <w:rPr>
          <w:rFonts w:ascii="Times New Roman" w:cs="Times New Roman" w:eastAsia="Times New Roman" w:hAnsi="Times New Roman"/>
          <w:sz w:val="13"/>
          <w:szCs w:val="13"/>
          <w:color w:val="auto"/>
        </w:rPr>
        <w:t xml:space="preserve"> Performance at the end of the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color w:val="auto"/>
        </w:rPr>
        <w:t xml:space="preserve"> is 3% (</w:t>
      </w:r>
      <w:r>
        <w:rPr>
          <w:rFonts w:ascii="Times New Roman" w:cs="Times New Roman" w:eastAsia="Times New Roman" w:hAnsi="Times New Roman"/>
          <w:sz w:val="13"/>
          <w:szCs w:val="13"/>
          <w:u w:val="single" w:color="auto"/>
          <w:color w:val="auto"/>
        </w:rPr>
        <w:t>Index Performance</w:t>
      </w:r>
      <w:r>
        <w:rPr>
          <w:rFonts w:ascii="Times New Roman" w:cs="Times New Roman" w:eastAsia="Times New Roman" w:hAnsi="Times New Roman"/>
          <w:sz w:val="13"/>
          <w:szCs w:val="13"/>
          <w:color w:val="auto"/>
        </w:rPr>
        <w:t xml:space="preserve"> greater than the </w:t>
      </w:r>
      <w:r>
        <w:rPr>
          <w:rFonts w:ascii="Times New Roman" w:cs="Times New Roman" w:eastAsia="Times New Roman" w:hAnsi="Times New Roman"/>
          <w:sz w:val="13"/>
          <w:szCs w:val="13"/>
          <w:u w:val="single" w:color="auto"/>
          <w:color w:val="auto"/>
        </w:rPr>
        <w:t>Shield Rate</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u w:val="single" w:color="auto"/>
          <w:color w:val="auto"/>
        </w:rPr>
        <w:t>Performance Rate</w:t>
      </w:r>
      <w:r>
        <w:rPr>
          <w:rFonts w:ascii="Times New Roman" w:cs="Times New Roman" w:eastAsia="Times New Roman" w:hAnsi="Times New Roman"/>
          <w:sz w:val="13"/>
          <w:szCs w:val="13"/>
          <w:color w:val="auto"/>
        </w:rPr>
        <w:t xml:space="preserve"> will equal the </w:t>
      </w:r>
      <w:r>
        <w:rPr>
          <w:rFonts w:ascii="Times New Roman" w:cs="Times New Roman" w:eastAsia="Times New Roman" w:hAnsi="Times New Roman"/>
          <w:sz w:val="13"/>
          <w:szCs w:val="13"/>
          <w:u w:val="single" w:color="auto"/>
          <w:color w:val="auto"/>
        </w:rPr>
        <w:t>Edge Rate</w:t>
      </w:r>
      <w:r>
        <w:rPr>
          <w:rFonts w:ascii="Times New Roman" w:cs="Times New Roman" w:eastAsia="Times New Roman" w:hAnsi="Times New Roman"/>
          <w:sz w:val="13"/>
          <w:szCs w:val="13"/>
          <w:color w:val="auto"/>
        </w:rPr>
        <w:t xml:space="preserve">, or 7%. This means that we will increase the </w:t>
      </w:r>
      <w:r>
        <w:rPr>
          <w:rFonts w:ascii="Times New Roman" w:cs="Times New Roman" w:eastAsia="Times New Roman" w:hAnsi="Times New Roman"/>
          <w:sz w:val="13"/>
          <w:szCs w:val="13"/>
          <w:u w:val="single" w:color="auto"/>
          <w:color w:val="auto"/>
        </w:rPr>
        <w:t>Investment Amount</w:t>
      </w:r>
      <w:r>
        <w:rPr>
          <w:rFonts w:ascii="Times New Roman" w:cs="Times New Roman" w:eastAsia="Times New Roman" w:hAnsi="Times New Roman"/>
          <w:sz w:val="13"/>
          <w:szCs w:val="13"/>
          <w:color w:val="auto"/>
        </w:rPr>
        <w:t xml:space="preserve"> associated with the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by 7%. Similarly, if the </w:t>
      </w:r>
      <w:r>
        <w:rPr>
          <w:rFonts w:ascii="Times New Roman" w:cs="Times New Roman" w:eastAsia="Times New Roman" w:hAnsi="Times New Roman"/>
          <w:sz w:val="13"/>
          <w:szCs w:val="13"/>
          <w:u w:val="single" w:color="auto"/>
          <w:color w:val="auto"/>
        </w:rPr>
        <w:t>Index</w:t>
      </w:r>
      <w:r>
        <w:rPr>
          <w:rFonts w:ascii="Times New Roman" w:cs="Times New Roman" w:eastAsia="Times New Roman" w:hAnsi="Times New Roman"/>
          <w:sz w:val="13"/>
          <w:szCs w:val="13"/>
          <w:color w:val="auto"/>
        </w:rPr>
        <w:t xml:space="preserve"> Performance is -10% ( </w:t>
      </w:r>
      <w:r>
        <w:rPr>
          <w:rFonts w:ascii="Times New Roman" w:cs="Times New Roman" w:eastAsia="Times New Roman" w:hAnsi="Times New Roman"/>
          <w:sz w:val="13"/>
          <w:szCs w:val="13"/>
          <w:u w:val="single" w:color="auto"/>
          <w:color w:val="auto"/>
        </w:rPr>
        <w:t>Index Performance</w:t>
      </w:r>
      <w:r>
        <w:rPr>
          <w:rFonts w:ascii="Times New Roman" w:cs="Times New Roman" w:eastAsia="Times New Roman" w:hAnsi="Times New Roman"/>
          <w:sz w:val="13"/>
          <w:szCs w:val="13"/>
          <w:color w:val="auto"/>
        </w:rPr>
        <w:t xml:space="preserve"> equal to the </w:t>
      </w:r>
      <w:r>
        <w:rPr>
          <w:rFonts w:ascii="Times New Roman" w:cs="Times New Roman" w:eastAsia="Times New Roman" w:hAnsi="Times New Roman"/>
          <w:sz w:val="13"/>
          <w:szCs w:val="13"/>
          <w:u w:val="single" w:color="auto"/>
          <w:color w:val="auto"/>
        </w:rPr>
        <w:t>Shield Rate</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u w:val="single" w:color="auto"/>
          <w:color w:val="auto"/>
        </w:rPr>
        <w:t>Performance Rate</w:t>
      </w:r>
      <w:r>
        <w:rPr>
          <w:rFonts w:ascii="Times New Roman" w:cs="Times New Roman" w:eastAsia="Times New Roman" w:hAnsi="Times New Roman"/>
          <w:sz w:val="13"/>
          <w:szCs w:val="13"/>
          <w:color w:val="auto"/>
        </w:rPr>
        <w:t xml:space="preserve"> will also equal the </w:t>
      </w:r>
      <w:r>
        <w:rPr>
          <w:rFonts w:ascii="Times New Roman" w:cs="Times New Roman" w:eastAsia="Times New Roman" w:hAnsi="Times New Roman"/>
          <w:sz w:val="13"/>
          <w:szCs w:val="13"/>
          <w:u w:val="single" w:color="auto"/>
          <w:color w:val="auto"/>
        </w:rPr>
        <w:t>Edge Rate</w:t>
      </w:r>
      <w:r>
        <w:rPr>
          <w:rFonts w:ascii="Times New Roman" w:cs="Times New Roman" w:eastAsia="Times New Roman" w:hAnsi="Times New Roman"/>
          <w:sz w:val="13"/>
          <w:szCs w:val="13"/>
          <w:color w:val="auto"/>
        </w:rPr>
        <w:t xml:space="preserve">, or 7%. On the other hand, if the </w:t>
      </w:r>
      <w:r>
        <w:rPr>
          <w:rFonts w:ascii="Times New Roman" w:cs="Times New Roman" w:eastAsia="Times New Roman" w:hAnsi="Times New Roman"/>
          <w:sz w:val="13"/>
          <w:szCs w:val="13"/>
          <w:u w:val="single" w:color="auto"/>
          <w:color w:val="auto"/>
        </w:rPr>
        <w:t>Index Performance</w:t>
      </w:r>
      <w:r>
        <w:rPr>
          <w:rFonts w:ascii="Times New Roman" w:cs="Times New Roman" w:eastAsia="Times New Roman" w:hAnsi="Times New Roman"/>
          <w:sz w:val="13"/>
          <w:szCs w:val="13"/>
          <w:color w:val="auto"/>
        </w:rPr>
        <w:t xml:space="preserve"> is -15% (</w:t>
      </w:r>
      <w:r>
        <w:rPr>
          <w:rFonts w:ascii="Times New Roman" w:cs="Times New Roman" w:eastAsia="Times New Roman" w:hAnsi="Times New Roman"/>
          <w:sz w:val="13"/>
          <w:szCs w:val="13"/>
          <w:u w:val="single" w:color="auto"/>
          <w:color w:val="auto"/>
        </w:rPr>
        <w:t>Index</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Performance</w:t>
      </w:r>
      <w:r>
        <w:rPr>
          <w:rFonts w:ascii="Times New Roman" w:cs="Times New Roman" w:eastAsia="Times New Roman" w:hAnsi="Times New Roman"/>
          <w:sz w:val="13"/>
          <w:szCs w:val="13"/>
          <w:color w:val="auto"/>
        </w:rPr>
        <w:t xml:space="preserve"> less than the </w:t>
      </w:r>
      <w:r>
        <w:rPr>
          <w:rFonts w:ascii="Times New Roman" w:cs="Times New Roman" w:eastAsia="Times New Roman" w:hAnsi="Times New Roman"/>
          <w:sz w:val="13"/>
          <w:szCs w:val="13"/>
          <w:u w:val="single" w:color="auto"/>
          <w:color w:val="auto"/>
        </w:rPr>
        <w:t>Shield Rate</w:t>
      </w:r>
      <w:r>
        <w:rPr>
          <w:rFonts w:ascii="Times New Roman" w:cs="Times New Roman" w:eastAsia="Times New Roman" w:hAnsi="Times New Roman"/>
          <w:sz w:val="13"/>
          <w:szCs w:val="13"/>
          <w:color w:val="auto"/>
        </w:rPr>
        <w:t xml:space="preserve"> ), the </w:t>
      </w:r>
      <w:r>
        <w:rPr>
          <w:rFonts w:ascii="Times New Roman" w:cs="Times New Roman" w:eastAsia="Times New Roman" w:hAnsi="Times New Roman"/>
          <w:sz w:val="13"/>
          <w:szCs w:val="13"/>
          <w:u w:val="single" w:color="auto"/>
          <w:color w:val="auto"/>
        </w:rPr>
        <w:t>Performance Rate</w:t>
      </w:r>
      <w:r>
        <w:rPr>
          <w:rFonts w:ascii="Times New Roman" w:cs="Times New Roman" w:eastAsia="Times New Roman" w:hAnsi="Times New Roman"/>
          <w:sz w:val="13"/>
          <w:szCs w:val="13"/>
          <w:color w:val="auto"/>
        </w:rPr>
        <w:t xml:space="preserve"> will equal -5% (the negative </w:t>
      </w:r>
      <w:r>
        <w:rPr>
          <w:rFonts w:ascii="Times New Roman" w:cs="Times New Roman" w:eastAsia="Times New Roman" w:hAnsi="Times New Roman"/>
          <w:sz w:val="13"/>
          <w:szCs w:val="13"/>
          <w:u w:val="single" w:color="auto"/>
          <w:color w:val="auto"/>
        </w:rPr>
        <w:t>Index Performance</w:t>
      </w:r>
      <w:r>
        <w:rPr>
          <w:rFonts w:ascii="Times New Roman" w:cs="Times New Roman" w:eastAsia="Times New Roman" w:hAnsi="Times New Roman"/>
          <w:sz w:val="13"/>
          <w:szCs w:val="13"/>
          <w:color w:val="auto"/>
        </w:rPr>
        <w:t xml:space="preserve"> in excess of the </w:t>
      </w:r>
      <w:r>
        <w:rPr>
          <w:rFonts w:ascii="Times New Roman" w:cs="Times New Roman" w:eastAsia="Times New Roman" w:hAnsi="Times New Roman"/>
          <w:sz w:val="13"/>
          <w:szCs w:val="13"/>
          <w:u w:val="single" w:color="auto"/>
          <w:color w:val="auto"/>
        </w:rPr>
        <w:t>Shield Rate</w:t>
      </w:r>
      <w:r>
        <w:rPr>
          <w:rFonts w:ascii="Times New Roman" w:cs="Times New Roman" w:eastAsia="Times New Roman" w:hAnsi="Times New Roman"/>
          <w:sz w:val="13"/>
          <w:szCs w:val="13"/>
          <w:color w:val="auto"/>
        </w:rPr>
        <w:t xml:space="preserve">). This means that we will decrease the </w:t>
      </w:r>
      <w:r>
        <w:rPr>
          <w:rFonts w:ascii="Times New Roman" w:cs="Times New Roman" w:eastAsia="Times New Roman" w:hAnsi="Times New Roman"/>
          <w:sz w:val="13"/>
          <w:szCs w:val="13"/>
          <w:u w:val="single" w:color="auto"/>
          <w:color w:val="auto"/>
        </w:rPr>
        <w:t>Investment Amount</w:t>
      </w:r>
      <w:r>
        <w:rPr>
          <w:rFonts w:ascii="Times New Roman" w:cs="Times New Roman" w:eastAsia="Times New Roman" w:hAnsi="Times New Roman"/>
          <w:sz w:val="13"/>
          <w:szCs w:val="13"/>
          <w:color w:val="auto"/>
        </w:rPr>
        <w:t xml:space="preserve"> associated with the </w:t>
      </w:r>
      <w:r>
        <w:rPr>
          <w:rFonts w:ascii="Times New Roman" w:cs="Times New Roman" w:eastAsia="Times New Roman" w:hAnsi="Times New Roman"/>
          <w:sz w:val="13"/>
          <w:szCs w:val="13"/>
          <w:u w:val="single" w:color="auto"/>
          <w:color w:val="auto"/>
        </w:rPr>
        <w:t>Shield</w:t>
      </w:r>
      <w:r>
        <w:rPr>
          <w:rFonts w:ascii="Times New Roman" w:cs="Times New Roman" w:eastAsia="Times New Roman" w:hAnsi="Times New Roman"/>
          <w:sz w:val="13"/>
          <w:szCs w:val="13"/>
          <w:color w:val="auto"/>
        </w:rPr>
        <w:t xml:space="preserve"> Option by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1691005</wp:posOffset>
            </wp:positionH>
            <wp:positionV relativeFrom="paragraph">
              <wp:posOffset>-1362075</wp:posOffset>
            </wp:positionV>
            <wp:extent cx="25400" cy="635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3">
                      <a:extLst>
                        <a:ext uri="{28A0092B-C50C-407E-A947-70E740481C1C}"/>
                      </a:extLst>
                    </a:blip>
                    <a:srcRect/>
                    <a:stretch>
                      <a:fillRect/>
                    </a:stretch>
                  </pic:blipFill>
                  <pic:spPr bwMode="auto">
                    <a:xfrm>
                      <a:off x="0" y="0"/>
                      <a:ext cx="25400" cy="6350"/>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-643890</wp:posOffset>
            </wp:positionV>
            <wp:extent cx="25400" cy="63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4">
                      <a:extLst>
                        <a:ext uri="{28A0092B-C50C-407E-A947-70E740481C1C}"/>
                      </a:extLst>
                    </a:blip>
                    <a:srcRect/>
                    <a:stretch>
                      <a:fillRect/>
                    </a:stretch>
                  </pic:blipFill>
                  <pic:spPr bwMode="auto">
                    <a:xfrm>
                      <a:off x="0" y="0"/>
                      <a:ext cx="25400" cy="6350"/>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-335280</wp:posOffset>
            </wp:positionV>
            <wp:extent cx="31750" cy="63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5">
                      <a:extLst>
                        <a:ext uri="{28A0092B-C50C-407E-A947-70E740481C1C}"/>
                      </a:extLst>
                    </a:blip>
                    <a:srcRect/>
                    <a:stretch>
                      <a:fillRect/>
                    </a:stretch>
                  </pic:blipFill>
                  <pic:spPr bwMode="auto">
                    <a:xfrm>
                      <a:off x="0" y="0"/>
                      <a:ext cx="31750" cy="6350"/>
                    </a:xfrm>
                    <a:prstGeom prst="rect">
                      <a:avLst/>
                    </a:prstGeom>
                    <a:noFill/>
                  </pic:spPr>
                </pic:pic>
              </a:graphicData>
            </a:graphic>
          </wp:anchor>
        </w:drawing>
        <w:drawing>
          <wp:anchor simplePos="0" relativeHeight="251657728" behindDoc="1" locked="0" layoutInCell="0" allowOverlap="1">
            <wp:simplePos x="0" y="0"/>
            <wp:positionH relativeFrom="column">
              <wp:posOffset>2751455</wp:posOffset>
            </wp:positionH>
            <wp:positionV relativeFrom="paragraph">
              <wp:posOffset>-335280</wp:posOffset>
            </wp:positionV>
            <wp:extent cx="31750" cy="63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6">
                      <a:extLst>
                        <a:ext uri="{28A0092B-C50C-407E-A947-70E740481C1C}"/>
                      </a:extLst>
                    </a:blip>
                    <a:srcRect/>
                    <a:stretch>
                      <a:fillRect/>
                    </a:stretch>
                  </pic:blipFill>
                  <pic:spPr bwMode="auto">
                    <a:xfrm>
                      <a:off x="0" y="0"/>
                      <a:ext cx="31750" cy="6350"/>
                    </a:xfrm>
                    <a:prstGeom prst="rect">
                      <a:avLst/>
                    </a:prstGeom>
                    <a:noFill/>
                  </pic:spPr>
                </pic:pic>
              </a:graphicData>
            </a:graphic>
          </wp:anchor>
        </w:drawing>
        <w:drawing>
          <wp:anchor simplePos="0" relativeHeight="251657728" behindDoc="1" locked="0" layoutInCell="0" allowOverlap="1">
            <wp:simplePos x="0" y="0"/>
            <wp:positionH relativeFrom="column">
              <wp:posOffset>3906520</wp:posOffset>
            </wp:positionH>
            <wp:positionV relativeFrom="paragraph">
              <wp:posOffset>-227965</wp:posOffset>
            </wp:positionV>
            <wp:extent cx="43815" cy="63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7">
                      <a:extLst>
                        <a:ext uri="{28A0092B-C50C-407E-A947-70E740481C1C}"/>
                      </a:extLst>
                    </a:blip>
                    <a:srcRect/>
                    <a:stretch>
                      <a:fillRect/>
                    </a:stretch>
                  </pic:blipFill>
                  <pic:spPr bwMode="auto">
                    <a:xfrm>
                      <a:off x="0" y="0"/>
                      <a:ext cx="43815" cy="6350"/>
                    </a:xfrm>
                    <a:prstGeom prst="rect">
                      <a:avLst/>
                    </a:prstGeom>
                    <a:noFill/>
                  </pic:spPr>
                </pic:pic>
              </a:graphicData>
            </a:graphic>
          </wp:anchor>
        </w:drawing>
      </w:r>
    </w:p>
    <w:p>
      <w:pPr>
        <w:spacing w:after="0" w:line="43" w:lineRule="exact"/>
        <w:rPr>
          <w:sz w:val="20"/>
          <w:szCs w:val="20"/>
          <w:color w:val="auto"/>
        </w:rPr>
      </w:pPr>
    </w:p>
    <w:p>
      <w:pPr>
        <w:jc w:val="both"/>
        <w:ind w:right="2659" w:firstLine="264"/>
        <w:spacing w:after="0" w:line="280" w:lineRule="auto"/>
        <w:rPr>
          <w:sz w:val="20"/>
          <w:szCs w:val="20"/>
          <w:color w:val="auto"/>
        </w:rPr>
      </w:pPr>
      <w:r>
        <w:rPr>
          <w:rFonts w:ascii="Times New Roman" w:cs="Times New Roman" w:eastAsia="Times New Roman" w:hAnsi="Times New Roman"/>
          <w:sz w:val="13"/>
          <w:szCs w:val="13"/>
          <w:u w:val="single" w:color="auto"/>
          <w:color w:val="auto"/>
        </w:rPr>
        <w:t>Shield Options</w:t>
      </w:r>
      <w:r>
        <w:rPr>
          <w:rFonts w:ascii="Times New Roman" w:cs="Times New Roman" w:eastAsia="Times New Roman" w:hAnsi="Times New Roman"/>
          <w:sz w:val="13"/>
          <w:szCs w:val="13"/>
          <w:color w:val="auto"/>
        </w:rPr>
        <w:t xml:space="preserve"> with a </w:t>
      </w:r>
      <w:r>
        <w:rPr>
          <w:rFonts w:ascii="Times New Roman" w:cs="Times New Roman" w:eastAsia="Times New Roman" w:hAnsi="Times New Roman"/>
          <w:sz w:val="13"/>
          <w:szCs w:val="13"/>
          <w:u w:val="single" w:color="auto"/>
          <w:color w:val="auto"/>
        </w:rPr>
        <w:t>Cap Rate</w:t>
      </w:r>
      <w:r>
        <w:rPr>
          <w:rFonts w:ascii="Times New Roman" w:cs="Times New Roman" w:eastAsia="Times New Roman" w:hAnsi="Times New Roman"/>
          <w:sz w:val="13"/>
          <w:szCs w:val="13"/>
          <w:color w:val="auto"/>
        </w:rPr>
        <w:t xml:space="preserve"> are described in the </w:t>
      </w:r>
      <w:r>
        <w:rPr>
          <w:rFonts w:ascii="Times New Roman" w:cs="Times New Roman" w:eastAsia="Times New Roman" w:hAnsi="Times New Roman"/>
          <w:sz w:val="13"/>
          <w:szCs w:val="13"/>
          <w:u w:val="single" w:color="auto"/>
          <w:color w:val="auto"/>
        </w:rPr>
        <w:t>Cap Rate Shield Option</w:t>
      </w:r>
      <w:r>
        <w:rPr>
          <w:rFonts w:ascii="Times New Roman" w:cs="Times New Roman" w:eastAsia="Times New Roman" w:hAnsi="Times New Roman"/>
          <w:sz w:val="13"/>
          <w:szCs w:val="13"/>
          <w:color w:val="auto"/>
        </w:rPr>
        <w:t xml:space="preserve"> Rider attached to your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Shield Options</w:t>
      </w:r>
      <w:r>
        <w:rPr>
          <w:rFonts w:ascii="Times New Roman" w:cs="Times New Roman" w:eastAsia="Times New Roman" w:hAnsi="Times New Roman"/>
          <w:sz w:val="13"/>
          <w:szCs w:val="13"/>
          <w:color w:val="auto"/>
        </w:rPr>
        <w:t xml:space="preserve"> with a </w:t>
      </w:r>
      <w:r>
        <w:rPr>
          <w:rFonts w:ascii="Times New Roman" w:cs="Times New Roman" w:eastAsia="Times New Roman" w:hAnsi="Times New Roman"/>
          <w:sz w:val="13"/>
          <w:szCs w:val="13"/>
          <w:u w:val="single" w:color="auto"/>
          <w:color w:val="auto"/>
        </w:rPr>
        <w:t>Step Rate</w:t>
      </w:r>
      <w:r>
        <w:rPr>
          <w:rFonts w:ascii="Times New Roman" w:cs="Times New Roman" w:eastAsia="Times New Roman" w:hAnsi="Times New Roman"/>
          <w:sz w:val="13"/>
          <w:szCs w:val="13"/>
          <w:color w:val="auto"/>
        </w:rPr>
        <w:t xml:space="preserve"> are described in the </w:t>
      </w:r>
      <w:r>
        <w:rPr>
          <w:rFonts w:ascii="Times New Roman" w:cs="Times New Roman" w:eastAsia="Times New Roman" w:hAnsi="Times New Roman"/>
          <w:sz w:val="13"/>
          <w:szCs w:val="13"/>
          <w:u w:val="single" w:color="auto"/>
          <w:color w:val="auto"/>
        </w:rPr>
        <w:t>Step Rate Shield Option</w:t>
      </w:r>
      <w:r>
        <w:rPr>
          <w:rFonts w:ascii="Times New Roman" w:cs="Times New Roman" w:eastAsia="Times New Roman" w:hAnsi="Times New Roman"/>
          <w:sz w:val="13"/>
          <w:szCs w:val="13"/>
          <w:color w:val="auto"/>
        </w:rPr>
        <w:t xml:space="preserve"> Rider attached to your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u w:val="single" w:color="auto"/>
          <w:color w:val="auto"/>
        </w:rPr>
        <w:t>Shield Options</w:t>
      </w:r>
      <w:r>
        <w:rPr>
          <w:rFonts w:ascii="Times New Roman" w:cs="Times New Roman" w:eastAsia="Times New Roman" w:hAnsi="Times New Roman"/>
          <w:sz w:val="13"/>
          <w:szCs w:val="13"/>
          <w:color w:val="auto"/>
        </w:rPr>
        <w:t xml:space="preserve"> with </w:t>
      </w:r>
      <w:r>
        <w:rPr>
          <w:rFonts w:ascii="Times New Roman" w:cs="Times New Roman" w:eastAsia="Times New Roman" w:hAnsi="Times New Roman"/>
          <w:sz w:val="13"/>
          <w:szCs w:val="13"/>
          <w:u w:val="single" w:color="auto"/>
          <w:color w:val="auto"/>
        </w:rPr>
        <w:t>Step Rate Edge</w:t>
      </w:r>
      <w:r>
        <w:rPr>
          <w:rFonts w:ascii="Times New Roman" w:cs="Times New Roman" w:eastAsia="Times New Roman" w:hAnsi="Times New Roman"/>
          <w:sz w:val="13"/>
          <w:szCs w:val="13"/>
          <w:color w:val="auto"/>
        </w:rPr>
        <w:t xml:space="preserve"> are described in the </w:t>
      </w:r>
      <w:r>
        <w:rPr>
          <w:rFonts w:ascii="Times New Roman" w:cs="Times New Roman" w:eastAsia="Times New Roman" w:hAnsi="Times New Roman"/>
          <w:sz w:val="13"/>
          <w:szCs w:val="13"/>
          <w:u w:val="single" w:color="auto"/>
          <w:color w:val="auto"/>
        </w:rPr>
        <w:t>Step Rate Edge Shield Option</w:t>
      </w:r>
      <w:r>
        <w:rPr>
          <w:rFonts w:ascii="Times New Roman" w:cs="Times New Roman" w:eastAsia="Times New Roman" w:hAnsi="Times New Roman"/>
          <w:sz w:val="13"/>
          <w:szCs w:val="13"/>
          <w:color w:val="auto"/>
        </w:rPr>
        <w:t xml:space="preserve"> Rider attached to your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-134620</wp:posOffset>
            </wp:positionV>
            <wp:extent cx="31750" cy="63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8">
                      <a:extLst>
                        <a:ext uri="{28A0092B-C50C-407E-A947-70E740481C1C}"/>
                      </a:extLst>
                    </a:blip>
                    <a:srcRect/>
                    <a:stretch>
                      <a:fillRect/>
                    </a:stretch>
                  </pic:blipFill>
                  <pic:spPr bwMode="auto">
                    <a:xfrm>
                      <a:off x="0" y="0"/>
                      <a:ext cx="31750" cy="6350"/>
                    </a:xfrm>
                    <a:prstGeom prst="rect">
                      <a:avLst/>
                    </a:prstGeom>
                    <a:noFill/>
                  </pic:spPr>
                </pic:pic>
              </a:graphicData>
            </a:graphic>
          </wp:anchor>
        </w:drawing>
      </w:r>
    </w:p>
    <w:p>
      <w:pPr>
        <w:spacing w:after="0" w:line="22" w:lineRule="exact"/>
        <w:rPr>
          <w:sz w:val="20"/>
          <w:szCs w:val="20"/>
          <w:color w:val="auto"/>
        </w:rPr>
      </w:pPr>
    </w:p>
    <w:p>
      <w:pPr>
        <w:jc w:val="both"/>
        <w:ind w:right="2659" w:firstLine="264"/>
        <w:spacing w:after="0" w:line="273" w:lineRule="auto"/>
        <w:rPr>
          <w:sz w:val="20"/>
          <w:szCs w:val="20"/>
          <w:color w:val="auto"/>
        </w:rPr>
      </w:pPr>
      <w:r>
        <w:rPr>
          <w:rFonts w:ascii="Times New Roman" w:cs="Times New Roman" w:eastAsia="Times New Roman" w:hAnsi="Times New Roman"/>
          <w:sz w:val="13"/>
          <w:szCs w:val="13"/>
          <w:color w:val="auto"/>
        </w:rPr>
        <w:t xml:space="preserve">New </w:t>
      </w:r>
      <w:r>
        <w:rPr>
          <w:rFonts w:ascii="Times New Roman" w:cs="Times New Roman" w:eastAsia="Times New Roman" w:hAnsi="Times New Roman"/>
          <w:sz w:val="13"/>
          <w:szCs w:val="13"/>
          <w:u w:val="single" w:color="auto"/>
          <w:color w:val="auto"/>
        </w:rPr>
        <w:t>Cap Rates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Step Rates</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Edge Rates</w:t>
      </w:r>
      <w:r>
        <w:rPr>
          <w:rFonts w:ascii="Times New Roman" w:cs="Times New Roman" w:eastAsia="Times New Roman" w:hAnsi="Times New Roman"/>
          <w:sz w:val="13"/>
          <w:szCs w:val="13"/>
          <w:color w:val="auto"/>
        </w:rPr>
        <w:t xml:space="preserve"> are declared for each subsequent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color w:val="auto"/>
        </w:rPr>
        <w:t xml:space="preserve">, subject to the minimum guaranteed rates for each </w:t>
      </w:r>
      <w:r>
        <w:rPr>
          <w:rFonts w:ascii="Times New Roman" w:cs="Times New Roman" w:eastAsia="Times New Roman" w:hAnsi="Times New Roman"/>
          <w:sz w:val="13"/>
          <w:szCs w:val="13"/>
          <w:u w:val="single" w:color="auto"/>
          <w:color w:val="auto"/>
        </w:rPr>
        <w:t>Rate Crediting Type</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b w:val="1"/>
          <w:bCs w:val="1"/>
          <w:color w:val="auto"/>
        </w:rPr>
        <w:t>The Minimum Guaranteed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u w:val="single" w:color="auto"/>
          <w:color w:val="auto"/>
        </w:rPr>
        <w:t>Cap Rate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for your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u w:val="single" w:color="auto"/>
          <w:color w:val="auto"/>
        </w:rPr>
        <w:t>Contract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is the amount shown on your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u w:val="single" w:color="auto"/>
          <w:color w:val="auto"/>
        </w:rPr>
        <w:t>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-18415</wp:posOffset>
            </wp:positionV>
            <wp:extent cx="31750" cy="635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9">
                      <a:extLst>
                        <a:ext uri="{28A0092B-C50C-407E-A947-70E740481C1C}"/>
                      </a:extLst>
                    </a:blip>
                    <a:srcRect/>
                    <a:stretch>
                      <a:fillRect/>
                    </a:stretch>
                  </pic:blipFill>
                  <pic:spPr bwMode="auto">
                    <a:xfrm>
                      <a:off x="0" y="0"/>
                      <a:ext cx="31750" cy="6350"/>
                    </a:xfrm>
                    <a:prstGeom prst="rect">
                      <a:avLst/>
                    </a:prstGeom>
                    <a:noFill/>
                  </pic:spPr>
                </pic:pic>
              </a:graphicData>
            </a:graphic>
          </wp:anchor>
        </w:drawing>
      </w:r>
    </w:p>
    <w:p>
      <w:pPr>
        <w:jc w:val="both"/>
        <w:ind w:right="2659"/>
        <w:spacing w:after="0" w:line="257" w:lineRule="auto"/>
        <w:rPr>
          <w:sz w:val="20"/>
          <w:szCs w:val="20"/>
          <w:color w:val="auto"/>
        </w:rPr>
      </w:pPr>
      <w:r>
        <w:rPr>
          <w:rFonts w:ascii="Times New Roman" w:cs="Times New Roman" w:eastAsia="Times New Roman" w:hAnsi="Times New Roman"/>
          <w:sz w:val="13"/>
          <w:szCs w:val="13"/>
          <w:b w:val="1"/>
          <w:bCs w:val="1"/>
          <w:u w:val="single" w:color="auto"/>
          <w:color w:val="auto"/>
        </w:rPr>
        <w:t>Schedule</w:t>
      </w:r>
      <w:r>
        <w:rPr>
          <w:rFonts w:ascii="Times New Roman" w:cs="Times New Roman" w:eastAsia="Times New Roman" w:hAnsi="Times New Roman"/>
          <w:sz w:val="13"/>
          <w:szCs w:val="13"/>
          <w:b w:val="1"/>
          <w:bCs w:val="1"/>
          <w:color w:val="auto"/>
        </w:rPr>
        <w:t xml:space="preserve"> and may vary by </w:t>
      </w:r>
      <w:r>
        <w:rPr>
          <w:rFonts w:ascii="Times New Roman" w:cs="Times New Roman" w:eastAsia="Times New Roman" w:hAnsi="Times New Roman"/>
          <w:sz w:val="13"/>
          <w:szCs w:val="13"/>
          <w:b w:val="1"/>
          <w:bCs w:val="1"/>
          <w:u w:val="single" w:color="auto"/>
          <w:color w:val="auto"/>
        </w:rPr>
        <w:t>Shield Rate</w:t>
      </w:r>
      <w:r>
        <w:rPr>
          <w:rFonts w:ascii="Times New Roman" w:cs="Times New Roman" w:eastAsia="Times New Roman" w:hAnsi="Times New Roman"/>
          <w:sz w:val="13"/>
          <w:szCs w:val="13"/>
          <w:b w:val="1"/>
          <w:bCs w:val="1"/>
          <w:color w:val="auto"/>
        </w:rPr>
        <w:t xml:space="preserve">, but will not be less than 3.5% for </w:t>
      </w:r>
      <w:r>
        <w:rPr>
          <w:rFonts w:ascii="Times New Roman" w:cs="Times New Roman" w:eastAsia="Times New Roman" w:hAnsi="Times New Roman"/>
          <w:sz w:val="13"/>
          <w:szCs w:val="13"/>
          <w:b w:val="1"/>
          <w:bCs w:val="1"/>
          <w:u w:val="single" w:color="auto"/>
          <w:color w:val="auto"/>
        </w:rPr>
        <w:t>Shield Options</w:t>
      </w:r>
      <w:r>
        <w:rPr>
          <w:rFonts w:ascii="Times New Roman" w:cs="Times New Roman" w:eastAsia="Times New Roman" w:hAnsi="Times New Roman"/>
          <w:sz w:val="13"/>
          <w:szCs w:val="13"/>
          <w:b w:val="1"/>
          <w:bCs w:val="1"/>
          <w:color w:val="auto"/>
        </w:rPr>
        <w:t xml:space="preserve"> with a 1-Year </w:t>
      </w:r>
      <w:r>
        <w:rPr>
          <w:rFonts w:ascii="Times New Roman" w:cs="Times New Roman" w:eastAsia="Times New Roman" w:hAnsi="Times New Roman"/>
          <w:sz w:val="13"/>
          <w:szCs w:val="13"/>
          <w:b w:val="1"/>
          <w:bCs w:val="1"/>
          <w:u w:val="single" w:color="auto"/>
          <w:color w:val="auto"/>
        </w:rPr>
        <w:t>Term</w:t>
      </w:r>
      <w:r>
        <w:rPr>
          <w:rFonts w:ascii="Times New Roman" w:cs="Times New Roman" w:eastAsia="Times New Roman" w:hAnsi="Times New Roman"/>
          <w:sz w:val="13"/>
          <w:szCs w:val="13"/>
          <w:b w:val="1"/>
          <w:bCs w:val="1"/>
          <w:color w:val="auto"/>
        </w:rPr>
        <w:t xml:space="preserve"> , 13.5% for </w:t>
      </w:r>
      <w:r>
        <w:rPr>
          <w:rFonts w:ascii="Times New Roman" w:cs="Times New Roman" w:eastAsia="Times New Roman" w:hAnsi="Times New Roman"/>
          <w:sz w:val="13"/>
          <w:szCs w:val="13"/>
          <w:b w:val="1"/>
          <w:bCs w:val="1"/>
          <w:u w:val="single" w:color="auto"/>
          <w:color w:val="auto"/>
        </w:rPr>
        <w:t>Shield Options</w:t>
      </w:r>
      <w:r>
        <w:rPr>
          <w:rFonts w:ascii="Times New Roman" w:cs="Times New Roman" w:eastAsia="Times New Roman" w:hAnsi="Times New Roman"/>
          <w:sz w:val="13"/>
          <w:szCs w:val="13"/>
          <w:b w:val="1"/>
          <w:bCs w:val="1"/>
          <w:color w:val="auto"/>
        </w:rPr>
        <w:t xml:space="preserve"> with a 3-Year </w:t>
      </w:r>
      <w:r>
        <w:rPr>
          <w:rFonts w:ascii="Times New Roman" w:cs="Times New Roman" w:eastAsia="Times New Roman" w:hAnsi="Times New Roman"/>
          <w:sz w:val="13"/>
          <w:szCs w:val="13"/>
          <w:b w:val="1"/>
          <w:bCs w:val="1"/>
          <w:u w:val="single" w:color="auto"/>
          <w:color w:val="auto"/>
        </w:rPr>
        <w:t>Term</w:t>
      </w:r>
      <w:r>
        <w:rPr>
          <w:rFonts w:ascii="Times New Roman" w:cs="Times New Roman" w:eastAsia="Times New Roman" w:hAnsi="Times New Roman"/>
          <w:sz w:val="13"/>
          <w:szCs w:val="13"/>
          <w:b w:val="1"/>
          <w:bCs w:val="1"/>
          <w:color w:val="auto"/>
        </w:rPr>
        <w:t xml:space="preserve"> and 21% for </w:t>
      </w:r>
      <w:r>
        <w:rPr>
          <w:rFonts w:ascii="Times New Roman" w:cs="Times New Roman" w:eastAsia="Times New Roman" w:hAnsi="Times New Roman"/>
          <w:sz w:val="13"/>
          <w:szCs w:val="13"/>
          <w:b w:val="1"/>
          <w:bCs w:val="1"/>
          <w:u w:val="single" w:color="auto"/>
          <w:color w:val="auto"/>
        </w:rPr>
        <w:t>Shield Options</w:t>
      </w:r>
      <w:r>
        <w:rPr>
          <w:rFonts w:ascii="Times New Roman" w:cs="Times New Roman" w:eastAsia="Times New Roman" w:hAnsi="Times New Roman"/>
          <w:sz w:val="13"/>
          <w:szCs w:val="13"/>
          <w:b w:val="1"/>
          <w:bCs w:val="1"/>
          <w:color w:val="auto"/>
        </w:rPr>
        <w:t xml:space="preserve"> with a 6-Year </w:t>
      </w:r>
      <w:r>
        <w:rPr>
          <w:rFonts w:ascii="Times New Roman" w:cs="Times New Roman" w:eastAsia="Times New Roman" w:hAnsi="Times New Roman"/>
          <w:sz w:val="13"/>
          <w:szCs w:val="13"/>
          <w:b w:val="1"/>
          <w:bCs w:val="1"/>
          <w:u w:val="single" w:color="auto"/>
          <w:color w:val="auto"/>
        </w:rPr>
        <w:t>Term</w:t>
      </w:r>
      <w:r>
        <w:rPr>
          <w:rFonts w:ascii="Times New Roman" w:cs="Times New Roman" w:eastAsia="Times New Roman" w:hAnsi="Times New Roman"/>
          <w:sz w:val="13"/>
          <w:szCs w:val="13"/>
          <w:b w:val="1"/>
          <w:bCs w:val="1"/>
          <w:color w:val="auto"/>
        </w:rPr>
        <w:t xml:space="preserve">. The Minimum Guaranteed </w:t>
      </w:r>
      <w:r>
        <w:rPr>
          <w:rFonts w:ascii="Times New Roman" w:cs="Times New Roman" w:eastAsia="Times New Roman" w:hAnsi="Times New Roman"/>
          <w:sz w:val="13"/>
          <w:szCs w:val="13"/>
          <w:b w:val="1"/>
          <w:bCs w:val="1"/>
          <w:u w:val="single" w:color="auto"/>
          <w:color w:val="auto"/>
        </w:rPr>
        <w:t>Step</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b w:val="1"/>
          <w:bCs w:val="1"/>
          <w:u w:val="single" w:color="auto"/>
          <w:color w:val="auto"/>
        </w:rPr>
        <w:t>Rate</w:t>
      </w:r>
      <w:r>
        <w:rPr>
          <w:rFonts w:ascii="Times New Roman" w:cs="Times New Roman" w:eastAsia="Times New Roman" w:hAnsi="Times New Roman"/>
          <w:sz w:val="13"/>
          <w:szCs w:val="13"/>
          <w:b w:val="1"/>
          <w:bCs w:val="1"/>
          <w:color w:val="auto"/>
        </w:rPr>
        <w:t xml:space="preserve"> for your </w:t>
      </w:r>
      <w:r>
        <w:rPr>
          <w:rFonts w:ascii="Times New Roman" w:cs="Times New Roman" w:eastAsia="Times New Roman" w:hAnsi="Times New Roman"/>
          <w:sz w:val="13"/>
          <w:szCs w:val="13"/>
          <w:b w:val="1"/>
          <w:bCs w:val="1"/>
          <w:u w:val="single" w:color="auto"/>
          <w:color w:val="auto"/>
        </w:rPr>
        <w:t>Contract</w:t>
      </w:r>
      <w:r>
        <w:rPr>
          <w:rFonts w:ascii="Times New Roman" w:cs="Times New Roman" w:eastAsia="Times New Roman" w:hAnsi="Times New Roman"/>
          <w:sz w:val="13"/>
          <w:szCs w:val="13"/>
          <w:b w:val="1"/>
          <w:bCs w:val="1"/>
          <w:color w:val="auto"/>
        </w:rPr>
        <w:t xml:space="preserve"> is the amount shown on your </w:t>
      </w:r>
      <w:r>
        <w:rPr>
          <w:rFonts w:ascii="Times New Roman" w:cs="Times New Roman" w:eastAsia="Times New Roman" w:hAnsi="Times New Roman"/>
          <w:sz w:val="13"/>
          <w:szCs w:val="13"/>
          <w:b w:val="1"/>
          <w:bCs w:val="1"/>
          <w:u w:val="single" w:color="auto"/>
          <w:color w:val="auto"/>
        </w:rPr>
        <w:t>Contract Schedule</w:t>
      </w:r>
      <w:r>
        <w:rPr>
          <w:rFonts w:ascii="Times New Roman" w:cs="Times New Roman" w:eastAsia="Times New Roman" w:hAnsi="Times New Roman"/>
          <w:sz w:val="13"/>
          <w:szCs w:val="13"/>
          <w:b w:val="1"/>
          <w:bCs w:val="1"/>
          <w:color w:val="auto"/>
        </w:rPr>
        <w:t xml:space="preserve"> and may vary by </w:t>
      </w:r>
      <w:r>
        <w:rPr>
          <w:rFonts w:ascii="Times New Roman" w:cs="Times New Roman" w:eastAsia="Times New Roman" w:hAnsi="Times New Roman"/>
          <w:sz w:val="13"/>
          <w:szCs w:val="13"/>
          <w:b w:val="1"/>
          <w:bCs w:val="1"/>
          <w:u w:val="single" w:color="auto"/>
          <w:color w:val="auto"/>
        </w:rPr>
        <w:t>Shield Rate</w:t>
      </w:r>
      <w:r>
        <w:rPr>
          <w:rFonts w:ascii="Times New Roman" w:cs="Times New Roman" w:eastAsia="Times New Roman" w:hAnsi="Times New Roman"/>
          <w:sz w:val="13"/>
          <w:szCs w:val="13"/>
          <w:b w:val="1"/>
          <w:bCs w:val="1"/>
          <w:color w:val="auto"/>
        </w:rPr>
        <w:t xml:space="preserve">, but will not be less than 4.5% for </w:t>
      </w:r>
      <w:r>
        <w:rPr>
          <w:rFonts w:ascii="Times New Roman" w:cs="Times New Roman" w:eastAsia="Times New Roman" w:hAnsi="Times New Roman"/>
          <w:sz w:val="13"/>
          <w:szCs w:val="13"/>
          <w:b w:val="1"/>
          <w:bCs w:val="1"/>
          <w:u w:val="single" w:color="auto"/>
          <w:color w:val="auto"/>
        </w:rPr>
        <w:t>Shield Options</w:t>
      </w:r>
      <w:r>
        <w:rPr>
          <w:rFonts w:ascii="Times New Roman" w:cs="Times New Roman" w:eastAsia="Times New Roman" w:hAnsi="Times New Roman"/>
          <w:sz w:val="13"/>
          <w:szCs w:val="13"/>
          <w:b w:val="1"/>
          <w:bCs w:val="1"/>
          <w:color w:val="auto"/>
        </w:rPr>
        <w:t xml:space="preserve"> with a 1-Year </w:t>
      </w:r>
      <w:r>
        <w:rPr>
          <w:rFonts w:ascii="Times New Roman" w:cs="Times New Roman" w:eastAsia="Times New Roman" w:hAnsi="Times New Roman"/>
          <w:sz w:val="13"/>
          <w:szCs w:val="13"/>
          <w:b w:val="1"/>
          <w:bCs w:val="1"/>
          <w:u w:val="single" w:color="auto"/>
          <w:color w:val="auto"/>
        </w:rPr>
        <w:t>Term</w:t>
      </w:r>
      <w:r>
        <w:rPr>
          <w:rFonts w:ascii="Times New Roman" w:cs="Times New Roman" w:eastAsia="Times New Roman" w:hAnsi="Times New Roman"/>
          <w:sz w:val="13"/>
          <w:szCs w:val="13"/>
          <w:b w:val="1"/>
          <w:bCs w:val="1"/>
          <w:color w:val="auto"/>
        </w:rPr>
        <w:t xml:space="preserve"> and 9% for </w:t>
      </w:r>
      <w:r>
        <w:rPr>
          <w:rFonts w:ascii="Times New Roman" w:cs="Times New Roman" w:eastAsia="Times New Roman" w:hAnsi="Times New Roman"/>
          <w:sz w:val="13"/>
          <w:szCs w:val="13"/>
          <w:b w:val="1"/>
          <w:bCs w:val="1"/>
          <w:u w:val="single" w:color="auto"/>
          <w:color w:val="auto"/>
        </w:rPr>
        <w:t>Shield Options</w:t>
      </w:r>
      <w:r>
        <w:rPr>
          <w:rFonts w:ascii="Times New Roman" w:cs="Times New Roman" w:eastAsia="Times New Roman" w:hAnsi="Times New Roman"/>
          <w:sz w:val="13"/>
          <w:szCs w:val="13"/>
          <w:b w:val="1"/>
          <w:bCs w:val="1"/>
          <w:color w:val="auto"/>
        </w:rPr>
        <w:t xml:space="preserve"> with a 2-Year </w:t>
      </w:r>
      <w:r>
        <w:rPr>
          <w:rFonts w:ascii="Times New Roman" w:cs="Times New Roman" w:eastAsia="Times New Roman" w:hAnsi="Times New Roman"/>
          <w:sz w:val="13"/>
          <w:szCs w:val="13"/>
          <w:b w:val="1"/>
          <w:bCs w:val="1"/>
          <w:u w:val="single" w:color="auto"/>
          <w:color w:val="auto"/>
        </w:rPr>
        <w:t>Term</w:t>
      </w:r>
      <w:r>
        <w:rPr>
          <w:rFonts w:ascii="Times New Roman" w:cs="Times New Roman" w:eastAsia="Times New Roman" w:hAnsi="Times New Roman"/>
          <w:sz w:val="13"/>
          <w:szCs w:val="13"/>
          <w:b w:val="1"/>
          <w:bCs w:val="1"/>
          <w:color w:val="auto"/>
        </w:rPr>
        <w:t xml:space="preserve">. The Minimum Guaranteed </w:t>
      </w:r>
      <w:r>
        <w:rPr>
          <w:rFonts w:ascii="Times New Roman" w:cs="Times New Roman" w:eastAsia="Times New Roman" w:hAnsi="Times New Roman"/>
          <w:sz w:val="13"/>
          <w:szCs w:val="13"/>
          <w:b w:val="1"/>
          <w:bCs w:val="1"/>
          <w:u w:val="single" w:color="auto"/>
          <w:color w:val="auto"/>
        </w:rPr>
        <w:t>Edge Rate</w:t>
      </w:r>
      <w:r>
        <w:rPr>
          <w:rFonts w:ascii="Times New Roman" w:cs="Times New Roman" w:eastAsia="Times New Roman" w:hAnsi="Times New Roman"/>
          <w:sz w:val="13"/>
          <w:szCs w:val="13"/>
          <w:b w:val="1"/>
          <w:bCs w:val="1"/>
          <w:color w:val="auto"/>
        </w:rPr>
        <w:t xml:space="preserve"> for your </w:t>
      </w:r>
      <w:r>
        <w:rPr>
          <w:rFonts w:ascii="Times New Roman" w:cs="Times New Roman" w:eastAsia="Times New Roman" w:hAnsi="Times New Roman"/>
          <w:sz w:val="13"/>
          <w:szCs w:val="13"/>
          <w:b w:val="1"/>
          <w:bCs w:val="1"/>
          <w:u w:val="single" w:color="auto"/>
          <w:color w:val="auto"/>
        </w:rPr>
        <w:t>Contract</w:t>
      </w:r>
      <w:r>
        <w:rPr>
          <w:rFonts w:ascii="Times New Roman" w:cs="Times New Roman" w:eastAsia="Times New Roman" w:hAnsi="Times New Roman"/>
          <w:sz w:val="13"/>
          <w:szCs w:val="13"/>
          <w:b w:val="1"/>
          <w:bCs w:val="1"/>
          <w:color w:val="auto"/>
        </w:rPr>
        <w:t xml:space="preserve"> is the amount shown on your </w:t>
      </w:r>
      <w:r>
        <w:rPr>
          <w:rFonts w:ascii="Times New Roman" w:cs="Times New Roman" w:eastAsia="Times New Roman" w:hAnsi="Times New Roman"/>
          <w:sz w:val="13"/>
          <w:szCs w:val="13"/>
          <w:b w:val="1"/>
          <w:bCs w:val="1"/>
          <w:u w:val="single" w:color="auto"/>
          <w:color w:val="auto"/>
        </w:rPr>
        <w:t>Contract Schedule</w:t>
      </w:r>
      <w:r>
        <w:rPr>
          <w:rFonts w:ascii="Times New Roman" w:cs="Times New Roman" w:eastAsia="Times New Roman" w:hAnsi="Times New Roman"/>
          <w:sz w:val="13"/>
          <w:szCs w:val="13"/>
          <w:b w:val="1"/>
          <w:bCs w:val="1"/>
          <w:color w:val="auto"/>
        </w:rPr>
        <w:t xml:space="preserve"> and may vary by </w:t>
      </w:r>
      <w:r>
        <w:rPr>
          <w:rFonts w:ascii="Times New Roman" w:cs="Times New Roman" w:eastAsia="Times New Roman" w:hAnsi="Times New Roman"/>
          <w:sz w:val="13"/>
          <w:szCs w:val="13"/>
          <w:b w:val="1"/>
          <w:bCs w:val="1"/>
          <w:u w:val="single" w:color="auto"/>
          <w:color w:val="auto"/>
        </w:rPr>
        <w:t>Shield Rate</w:t>
      </w:r>
      <w:r>
        <w:rPr>
          <w:rFonts w:ascii="Times New Roman" w:cs="Times New Roman" w:eastAsia="Times New Roman" w:hAnsi="Times New Roman"/>
          <w:sz w:val="13"/>
          <w:szCs w:val="13"/>
          <w:b w:val="1"/>
          <w:bCs w:val="1"/>
          <w:color w:val="auto"/>
        </w:rPr>
        <w:t xml:space="preserve">, but will not be less than 4.5% for </w:t>
      </w:r>
      <w:r>
        <w:rPr>
          <w:rFonts w:ascii="Times New Roman" w:cs="Times New Roman" w:eastAsia="Times New Roman" w:hAnsi="Times New Roman"/>
          <w:sz w:val="13"/>
          <w:szCs w:val="13"/>
          <w:b w:val="1"/>
          <w:bCs w:val="1"/>
          <w:u w:val="single" w:color="auto"/>
          <w:color w:val="auto"/>
        </w:rPr>
        <w:t>Shield Options</w:t>
      </w:r>
      <w:r>
        <w:rPr>
          <w:rFonts w:ascii="Times New Roman" w:cs="Times New Roman" w:eastAsia="Times New Roman" w:hAnsi="Times New Roman"/>
          <w:sz w:val="13"/>
          <w:szCs w:val="13"/>
          <w:b w:val="1"/>
          <w:bCs w:val="1"/>
          <w:color w:val="auto"/>
        </w:rPr>
        <w:t xml:space="preserve"> with a 1-Year </w:t>
      </w:r>
      <w:r>
        <w:rPr>
          <w:rFonts w:ascii="Times New Roman" w:cs="Times New Roman" w:eastAsia="Times New Roman" w:hAnsi="Times New Roman"/>
          <w:sz w:val="13"/>
          <w:szCs w:val="13"/>
          <w:b w:val="1"/>
          <w:bCs w:val="1"/>
          <w:u w:val="single" w:color="auto"/>
          <w:color w:val="auto"/>
        </w:rPr>
        <w:t>Term</w:t>
      </w:r>
      <w:r>
        <w:rPr>
          <w:rFonts w:ascii="Times New Roman" w:cs="Times New Roman" w:eastAsia="Times New Roman" w:hAnsi="Times New Roman"/>
          <w:sz w:val="13"/>
          <w:szCs w:val="13"/>
          <w:b w:val="1"/>
          <w:bCs w:val="1"/>
          <w:color w:val="auto"/>
        </w:rPr>
        <w:t xml:space="preserve"> and 9% for </w:t>
      </w:r>
      <w:r>
        <w:rPr>
          <w:rFonts w:ascii="Times New Roman" w:cs="Times New Roman" w:eastAsia="Times New Roman" w:hAnsi="Times New Roman"/>
          <w:sz w:val="13"/>
          <w:szCs w:val="13"/>
          <w:b w:val="1"/>
          <w:bCs w:val="1"/>
          <w:u w:val="single" w:color="auto"/>
          <w:color w:val="auto"/>
        </w:rPr>
        <w:t>Shield Options</w:t>
      </w:r>
      <w:r>
        <w:rPr>
          <w:rFonts w:ascii="Times New Roman" w:cs="Times New Roman" w:eastAsia="Times New Roman" w:hAnsi="Times New Roman"/>
          <w:sz w:val="13"/>
          <w:szCs w:val="13"/>
          <w:b w:val="1"/>
          <w:bCs w:val="1"/>
          <w:color w:val="auto"/>
        </w:rPr>
        <w:t xml:space="preserve"> with a 2-Year </w:t>
      </w:r>
      <w:r>
        <w:rPr>
          <w:rFonts w:ascii="Times New Roman" w:cs="Times New Roman" w:eastAsia="Times New Roman" w:hAnsi="Times New Roman"/>
          <w:sz w:val="13"/>
          <w:szCs w:val="13"/>
          <w:b w:val="1"/>
          <w:bCs w:val="1"/>
          <w:u w:val="single" w:color="auto"/>
          <w:color w:val="auto"/>
        </w:rPr>
        <w:t>Term</w:t>
      </w:r>
      <w:r>
        <w:rPr>
          <w:rFonts w:ascii="Times New Roman" w:cs="Times New Roman" w:eastAsia="Times New Roman" w:hAnsi="Times New Roman"/>
          <w:sz w:val="13"/>
          <w:szCs w:val="13"/>
          <w:b w:val="1"/>
          <w:bCs w:val="1"/>
          <w:color w:val="auto"/>
        </w:rPr>
        <w:t>.</w:t>
      </w:r>
    </w:p>
    <w:p>
      <w:pPr>
        <w:spacing w:after="0" w:line="68" w:lineRule="exact"/>
        <w:rPr>
          <w:sz w:val="20"/>
          <w:szCs w:val="20"/>
          <w:color w:val="auto"/>
        </w:rPr>
      </w:pPr>
    </w:p>
    <w:p>
      <w:pPr>
        <w:jc w:val="both"/>
        <w:ind w:right="2659" w:firstLine="264"/>
        <w:spacing w:after="0" w:line="260" w:lineRule="auto"/>
        <w:rPr>
          <w:sz w:val="20"/>
          <w:szCs w:val="20"/>
          <w:color w:val="auto"/>
        </w:rPr>
      </w:pPr>
      <w:r>
        <w:rPr>
          <w:rFonts w:ascii="Times New Roman" w:cs="Times New Roman" w:eastAsia="Times New Roman" w:hAnsi="Times New Roman"/>
          <w:sz w:val="13"/>
          <w:szCs w:val="13"/>
          <w:color w:val="auto"/>
        </w:rPr>
        <w:t xml:space="preserve">There are two ways you may find out what the renewal </w:t>
      </w:r>
      <w:r>
        <w:rPr>
          <w:rFonts w:ascii="Times New Roman" w:cs="Times New Roman" w:eastAsia="Times New Roman" w:hAnsi="Times New Roman"/>
          <w:sz w:val="13"/>
          <w:szCs w:val="13"/>
          <w:u w:val="single" w:color="auto"/>
          <w:color w:val="auto"/>
        </w:rPr>
        <w:t>Cap Rates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Step Rates</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Edge Rates</w:t>
      </w:r>
      <w:r>
        <w:rPr>
          <w:rFonts w:ascii="Times New Roman" w:cs="Times New Roman" w:eastAsia="Times New Roman" w:hAnsi="Times New Roman"/>
          <w:sz w:val="13"/>
          <w:szCs w:val="13"/>
          <w:color w:val="auto"/>
        </w:rPr>
        <w:t xml:space="preserve"> will be for a subsequent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color w:val="auto"/>
        </w:rPr>
        <w:t xml:space="preserve">. Thirty (30) days before the current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color w:val="auto"/>
        </w:rPr>
        <w:t xml:space="preserve"> expires, we will send you a notification, written or electronic depending on your selected preferences, indicating your maturing </w:t>
      </w:r>
      <w:r>
        <w:rPr>
          <w:rFonts w:ascii="Times New Roman" w:cs="Times New Roman" w:eastAsia="Times New Roman" w:hAnsi="Times New Roman"/>
          <w:sz w:val="13"/>
          <w:szCs w:val="13"/>
          <w:u w:val="single" w:color="auto"/>
          <w:color w:val="auto"/>
        </w:rPr>
        <w:t>Shield Options</w:t>
      </w:r>
      <w:r>
        <w:rPr>
          <w:rFonts w:ascii="Times New Roman" w:cs="Times New Roman" w:eastAsia="Times New Roman" w:hAnsi="Times New Roman"/>
          <w:sz w:val="13"/>
          <w:szCs w:val="13"/>
          <w:color w:val="auto"/>
        </w:rPr>
        <w:t xml:space="preserve"> and how you can obtain the different </w:t>
      </w:r>
      <w:r>
        <w:rPr>
          <w:rFonts w:ascii="Times New Roman" w:cs="Times New Roman" w:eastAsia="Times New Roman" w:hAnsi="Times New Roman"/>
          <w:sz w:val="13"/>
          <w:szCs w:val="13"/>
          <w:u w:val="single" w:color="auto"/>
          <w:color w:val="auto"/>
        </w:rPr>
        <w:t>Shield Options</w:t>
      </w:r>
      <w:r>
        <w:rPr>
          <w:rFonts w:ascii="Times New Roman" w:cs="Times New Roman" w:eastAsia="Times New Roman" w:hAnsi="Times New Roman"/>
          <w:sz w:val="13"/>
          <w:szCs w:val="13"/>
          <w:color w:val="auto"/>
        </w:rPr>
        <w:t xml:space="preserve"> available at the </w:t>
      </w:r>
      <w:r>
        <w:rPr>
          <w:rFonts w:ascii="Times New Roman" w:cs="Times New Roman" w:eastAsia="Times New Roman" w:hAnsi="Times New Roman"/>
          <w:sz w:val="13"/>
          <w:szCs w:val="13"/>
          <w:u w:val="single" w:color="auto"/>
          <w:color w:val="auto"/>
        </w:rPr>
        <w:t>Term End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Date</w:t>
      </w:r>
      <w:r>
        <w:rPr>
          <w:rFonts w:ascii="Times New Roman" w:cs="Times New Roman" w:eastAsia="Times New Roman" w:hAnsi="Times New Roman"/>
          <w:sz w:val="13"/>
          <w:szCs w:val="13"/>
          <w:color w:val="auto"/>
        </w:rPr>
        <w:t xml:space="preserve">, including the new </w:t>
      </w:r>
      <w:r>
        <w:rPr>
          <w:rFonts w:ascii="Times New Roman" w:cs="Times New Roman" w:eastAsia="Times New Roman" w:hAnsi="Times New Roman"/>
          <w:sz w:val="13"/>
          <w:szCs w:val="13"/>
          <w:u w:val="single" w:color="auto"/>
          <w:color w:val="auto"/>
        </w:rPr>
        <w:t>Cap Rates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Step Rates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Edge Rates</w:t>
      </w:r>
      <w:r>
        <w:rPr>
          <w:rFonts w:ascii="Times New Roman" w:cs="Times New Roman" w:eastAsia="Times New Roman" w:hAnsi="Times New Roman"/>
          <w:sz w:val="13"/>
          <w:szCs w:val="13"/>
          <w:color w:val="auto"/>
        </w:rPr>
        <w:t xml:space="preserve">, and the interest rate for the </w:t>
      </w:r>
      <w:r>
        <w:rPr>
          <w:rFonts w:ascii="Times New Roman" w:cs="Times New Roman" w:eastAsia="Times New Roman" w:hAnsi="Times New Roman"/>
          <w:sz w:val="13"/>
          <w:szCs w:val="13"/>
          <w:u w:val="single" w:color="auto"/>
          <w:color w:val="auto"/>
        </w:rPr>
        <w:t>Fixed Account</w:t>
      </w:r>
      <w:r>
        <w:rPr>
          <w:rFonts w:ascii="Times New Roman" w:cs="Times New Roman" w:eastAsia="Times New Roman" w:hAnsi="Times New Roman"/>
          <w:sz w:val="13"/>
          <w:szCs w:val="13"/>
          <w:color w:val="auto"/>
        </w:rPr>
        <w:t xml:space="preserve"> . You may also access our website at https://www.brighthousefinancial.com/products/rates/ where at least two months of renewal rates for the </w:t>
      </w:r>
      <w:r>
        <w:rPr>
          <w:rFonts w:ascii="Times New Roman" w:cs="Times New Roman" w:eastAsia="Times New Roman" w:hAnsi="Times New Roman"/>
          <w:sz w:val="13"/>
          <w:szCs w:val="13"/>
          <w:u w:val="single" w:color="auto"/>
          <w:color w:val="auto"/>
        </w:rPr>
        <w:t>Rate Crediting</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Types</w:t>
      </w:r>
      <w:r>
        <w:rPr>
          <w:rFonts w:ascii="Times New Roman" w:cs="Times New Roman" w:eastAsia="Times New Roman" w:hAnsi="Times New Roman"/>
          <w:sz w:val="13"/>
          <w:szCs w:val="13"/>
          <w:color w:val="auto"/>
        </w:rPr>
        <w:t xml:space="preserve"> and the interest rate for the </w:t>
      </w:r>
      <w:r>
        <w:rPr>
          <w:rFonts w:ascii="Times New Roman" w:cs="Times New Roman" w:eastAsia="Times New Roman" w:hAnsi="Times New Roman"/>
          <w:sz w:val="13"/>
          <w:szCs w:val="13"/>
          <w:u w:val="single" w:color="auto"/>
          <w:color w:val="auto"/>
        </w:rPr>
        <w:t>Fixed Account</w:t>
      </w:r>
      <w:r>
        <w:rPr>
          <w:rFonts w:ascii="Times New Roman" w:cs="Times New Roman" w:eastAsia="Times New Roman" w:hAnsi="Times New Roman"/>
          <w:sz w:val="13"/>
          <w:szCs w:val="13"/>
          <w:color w:val="auto"/>
        </w:rPr>
        <w:t xml:space="preserve"> are posted – i.e., for the current month and the following month. See </w:t>
      </w:r>
      <w:r>
        <w:rPr>
          <w:rFonts w:ascii="Times New Roman" w:cs="Times New Roman" w:eastAsia="Times New Roman" w:hAnsi="Times New Roman"/>
          <w:sz w:val="13"/>
          <w:szCs w:val="13"/>
          <w:u w:val="single" w:color="auto"/>
          <w:color w:val="auto"/>
        </w:rPr>
        <w:t>“RATE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CREDITING TYPES”</w:t>
      </w:r>
      <w:r>
        <w:rPr>
          <w:rFonts w:ascii="Times New Roman" w:cs="Times New Roman" w:eastAsia="Times New Roman" w:hAnsi="Times New Roman"/>
          <w:sz w:val="13"/>
          <w:szCs w:val="13"/>
          <w:color w:val="auto"/>
        </w:rPr>
        <w:t xml:space="preserve"> for more information.</w:t>
      </w:r>
    </w:p>
    <w:p>
      <w:pPr>
        <w:spacing w:after="0" w:line="67" w:lineRule="exact"/>
        <w:rPr>
          <w:sz w:val="20"/>
          <w:szCs w:val="20"/>
          <w:color w:val="auto"/>
        </w:rPr>
      </w:pPr>
    </w:p>
    <w:p>
      <w:pPr>
        <w:jc w:val="both"/>
        <w:ind w:right="2659" w:firstLine="264"/>
        <w:spacing w:after="0" w:line="272" w:lineRule="auto"/>
        <w:rPr>
          <w:sz w:val="20"/>
          <w:szCs w:val="20"/>
          <w:color w:val="auto"/>
        </w:rPr>
      </w:pPr>
      <w:r>
        <w:rPr>
          <w:rFonts w:ascii="Times New Roman" w:cs="Times New Roman" w:eastAsia="Times New Roman" w:hAnsi="Times New Roman"/>
          <w:sz w:val="13"/>
          <w:szCs w:val="13"/>
          <w:color w:val="auto"/>
        </w:rPr>
        <w:t xml:space="preserve">For each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you select the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u w:val="single" w:color="auto"/>
          <w:color w:val="auto"/>
        </w:rPr>
        <w:t>Shield Rate</w:t>
      </w:r>
      <w:r>
        <w:rPr>
          <w:rFonts w:ascii="Times New Roman" w:cs="Times New Roman" w:eastAsia="Times New Roman" w:hAnsi="Times New Roman"/>
          <w:sz w:val="13"/>
          <w:szCs w:val="13"/>
          <w:color w:val="auto"/>
        </w:rPr>
        <w:t xml:space="preserve"> and which Securities </w:t>
      </w:r>
      <w:r>
        <w:rPr>
          <w:rFonts w:ascii="Times New Roman" w:cs="Times New Roman" w:eastAsia="Times New Roman" w:hAnsi="Times New Roman"/>
          <w:sz w:val="13"/>
          <w:szCs w:val="13"/>
          <w:u w:val="single" w:color="auto"/>
          <w:color w:val="auto"/>
        </w:rPr>
        <w:t>Index</w:t>
      </w:r>
      <w:r>
        <w:rPr>
          <w:rFonts w:ascii="Times New Roman" w:cs="Times New Roman" w:eastAsia="Times New Roman" w:hAnsi="Times New Roman"/>
          <w:sz w:val="13"/>
          <w:szCs w:val="13"/>
          <w:color w:val="auto"/>
        </w:rPr>
        <w:t xml:space="preserve"> you want the performance of your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to be based on. For example, if you select </w:t>
      </w:r>
      <w:r>
        <w:rPr>
          <w:rFonts w:ascii="Times New Roman" w:cs="Times New Roman" w:eastAsia="Times New Roman" w:hAnsi="Times New Roman"/>
          <w:sz w:val="13"/>
          <w:szCs w:val="13"/>
          <w:u w:val="single" w:color="auto"/>
          <w:color w:val="auto"/>
        </w:rPr>
        <w:t>Shield 10</w:t>
      </w:r>
      <w:r>
        <w:rPr>
          <w:rFonts w:ascii="Times New Roman" w:cs="Times New Roman" w:eastAsia="Times New Roman" w:hAnsi="Times New Roman"/>
          <w:sz w:val="13"/>
          <w:szCs w:val="13"/>
          <w:color w:val="auto"/>
        </w:rPr>
        <w:t xml:space="preserve"> with a 1-Year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color w:val="auto"/>
        </w:rPr>
        <w:t xml:space="preserve">, you may also select whether you want your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performance based on the </w:t>
      </w:r>
      <w:r>
        <w:rPr>
          <w:rFonts w:ascii="Times New Roman" w:cs="Times New Roman" w:eastAsia="Times New Roman" w:hAnsi="Times New Roman"/>
          <w:sz w:val="13"/>
          <w:szCs w:val="13"/>
          <w:u w:val="single" w:color="auto"/>
          <w:color w:val="auto"/>
        </w:rPr>
        <w:t>Cap Rate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Step Rate</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Edge Rate</w:t>
      </w:r>
      <w:r>
        <w:rPr>
          <w:rFonts w:ascii="Times New Roman" w:cs="Times New Roman" w:eastAsia="Times New Roman" w:hAnsi="Times New Roman"/>
          <w:sz w:val="13"/>
          <w:szCs w:val="13"/>
          <w:color w:val="auto"/>
        </w:rPr>
        <w:t>, when applicable.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Annuity Period</w:t>
      </w:r>
    </w:p>
    <w:p>
      <w:pPr>
        <w:spacing w:after="0" w:line="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 xml:space="preserve">The </w:t>
      </w:r>
      <w:r>
        <w:rPr>
          <w:rFonts w:ascii="Times New Roman" w:cs="Times New Roman" w:eastAsia="Times New Roman" w:hAnsi="Times New Roman"/>
          <w:sz w:val="13"/>
          <w:szCs w:val="13"/>
          <w:u w:val="single" w:color="auto"/>
          <w:color w:val="auto"/>
        </w:rPr>
        <w:t>Annuity Period</w:t>
      </w:r>
      <w:r>
        <w:rPr>
          <w:rFonts w:ascii="Times New Roman" w:cs="Times New Roman" w:eastAsia="Times New Roman" w:hAnsi="Times New Roman"/>
          <w:sz w:val="13"/>
          <w:szCs w:val="13"/>
          <w:color w:val="auto"/>
        </w:rPr>
        <w:t xml:space="preserve"> occurs when you or a designated payee begin receiving regular </w:t>
      </w:r>
      <w:r>
        <w:rPr>
          <w:rFonts w:ascii="Times New Roman" w:cs="Times New Roman" w:eastAsia="Times New Roman" w:hAnsi="Times New Roman"/>
          <w:sz w:val="13"/>
          <w:szCs w:val="13"/>
          <w:u w:val="single" w:color="auto"/>
          <w:color w:val="auto"/>
        </w:rPr>
        <w:t>Annuity Payments</w:t>
      </w:r>
      <w:r>
        <w:rPr>
          <w:rFonts w:ascii="Times New Roman" w:cs="Times New Roman" w:eastAsia="Times New Roman" w:hAnsi="Times New Roman"/>
          <w:sz w:val="13"/>
          <w:szCs w:val="13"/>
          <w:color w:val="auto"/>
        </w:rPr>
        <w:t xml:space="preserve"> from your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w:t>
      </w:r>
    </w:p>
    <w:p>
      <w:pPr>
        <w:spacing w:after="0" w:line="89" w:lineRule="exact"/>
        <w:rPr>
          <w:sz w:val="20"/>
          <w:szCs w:val="20"/>
          <w:color w:val="auto"/>
        </w:rPr>
      </w:pPr>
    </w:p>
    <w:p>
      <w:pPr>
        <w:jc w:val="both"/>
        <w:ind w:right="2659" w:firstLine="264"/>
        <w:spacing w:after="0" w:line="262" w:lineRule="auto"/>
        <w:rPr>
          <w:sz w:val="20"/>
          <w:szCs w:val="20"/>
          <w:color w:val="auto"/>
        </w:rPr>
      </w:pPr>
      <w:r>
        <w:rPr>
          <w:rFonts w:ascii="Times New Roman" w:cs="Times New Roman" w:eastAsia="Times New Roman" w:hAnsi="Times New Roman"/>
          <w:sz w:val="13"/>
          <w:szCs w:val="13"/>
          <w:color w:val="auto"/>
        </w:rPr>
        <w:t xml:space="preserve">You may withdraw a portion or all of your Account Value at any time until you commence the Annuity Period, subject to a Withdrawal Charge and applicable taxes, as well as an Interim Value calculation if you have not exercised Performance Lock on a Shield Option and amounts are removed from the Shield Option during a Term. All benefits, including death benefits, terminate without value at the start of the </w:t>
      </w:r>
      <w:r>
        <w:rPr>
          <w:rFonts w:ascii="Times New Roman" w:cs="Times New Roman" w:eastAsia="Times New Roman" w:hAnsi="Times New Roman"/>
          <w:sz w:val="13"/>
          <w:szCs w:val="13"/>
          <w:u w:val="single" w:color="auto"/>
          <w:color w:val="auto"/>
        </w:rPr>
        <w:t>Annuity Period</w:t>
      </w:r>
      <w:r>
        <w:rPr>
          <w:rFonts w:ascii="Times New Roman" w:cs="Times New Roman" w:eastAsia="Times New Roman" w:hAnsi="Times New Roman"/>
          <w:sz w:val="13"/>
          <w:szCs w:val="13"/>
          <w:color w:val="auto"/>
        </w:rPr>
        <w:t xml:space="preserve">. In addition, once the </w:t>
      </w:r>
      <w:r>
        <w:rPr>
          <w:rFonts w:ascii="Times New Roman" w:cs="Times New Roman" w:eastAsia="Times New Roman" w:hAnsi="Times New Roman"/>
          <w:sz w:val="13"/>
          <w:szCs w:val="13"/>
          <w:u w:val="single" w:color="auto"/>
          <w:color w:val="auto"/>
        </w:rPr>
        <w:t>Annuity Period</w:t>
      </w:r>
      <w:r>
        <w:rPr>
          <w:rFonts w:ascii="Times New Roman" w:cs="Times New Roman" w:eastAsia="Times New Roman" w:hAnsi="Times New Roman"/>
          <w:sz w:val="13"/>
          <w:szCs w:val="13"/>
          <w:color w:val="auto"/>
        </w:rPr>
        <w:t xml:space="preserve"> begins, you generally may no longer take withdrawals from or </w:t>
      </w:r>
      <w:r>
        <w:rPr>
          <w:rFonts w:ascii="Times New Roman" w:cs="Times New Roman" w:eastAsia="Times New Roman" w:hAnsi="Times New Roman"/>
          <w:sz w:val="13"/>
          <w:szCs w:val="13"/>
          <w:u w:val="single" w:color="auto"/>
          <w:color w:val="auto"/>
        </w:rPr>
        <w:t>Surrender</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Depending on the annuity option you elect, any remaining guarantee may be paid to your beneficiary (or beneficiaries).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Contract Features</w:t>
      </w:r>
    </w:p>
    <w:p>
      <w:pPr>
        <w:spacing w:after="0" w:line="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 xml:space="preserve">The following is a brief description of the </w:t>
      </w:r>
      <w:r>
        <w:rPr>
          <w:rFonts w:ascii="Times New Roman" w:cs="Times New Roman" w:eastAsia="Times New Roman" w:hAnsi="Times New Roman"/>
          <w:sz w:val="13"/>
          <w:szCs w:val="13"/>
          <w:u w:val="single" w:color="auto"/>
          <w:color w:val="auto"/>
        </w:rPr>
        <w:t>Contract’s</w:t>
      </w:r>
      <w:r>
        <w:rPr>
          <w:rFonts w:ascii="Times New Roman" w:cs="Times New Roman" w:eastAsia="Times New Roman" w:hAnsi="Times New Roman"/>
          <w:sz w:val="13"/>
          <w:szCs w:val="13"/>
          <w:color w:val="auto"/>
        </w:rPr>
        <w:t xml:space="preserve"> primary features.</w:t>
      </w:r>
    </w:p>
    <w:p>
      <w:pPr>
        <w:spacing w:after="0" w:line="87" w:lineRule="exact"/>
        <w:rPr>
          <w:sz w:val="20"/>
          <w:szCs w:val="20"/>
          <w:color w:val="auto"/>
        </w:rPr>
      </w:pPr>
    </w:p>
    <w:p>
      <w:pPr>
        <w:jc w:val="both"/>
        <w:ind w:right="2659" w:firstLine="264"/>
        <w:spacing w:after="0" w:line="271" w:lineRule="auto"/>
        <w:rPr>
          <w:sz w:val="20"/>
          <w:szCs w:val="20"/>
          <w:color w:val="auto"/>
        </w:rPr>
      </w:pPr>
      <w:r>
        <w:rPr>
          <w:rFonts w:ascii="Times New Roman" w:cs="Times New Roman" w:eastAsia="Times New Roman" w:hAnsi="Times New Roman"/>
          <w:sz w:val="13"/>
          <w:szCs w:val="13"/>
          <w:b w:val="1"/>
          <w:bCs w:val="1"/>
          <w:color w:val="auto"/>
        </w:rPr>
        <w:t xml:space="preserve">Accessing Your Money. </w:t>
      </w:r>
      <w:r>
        <w:rPr>
          <w:rFonts w:ascii="Times New Roman" w:cs="Times New Roman" w:eastAsia="Times New Roman" w:hAnsi="Times New Roman"/>
          <w:sz w:val="13"/>
          <w:szCs w:val="13"/>
          <w:color w:val="auto"/>
        </w:rPr>
        <w:t>Before you annuitize, you can withdraw money from your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at any time. If you take 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withdrawal (including systematic withdrawals), you may have to pay a </w:t>
      </w:r>
      <w:r>
        <w:rPr>
          <w:rFonts w:ascii="Times New Roman" w:cs="Times New Roman" w:eastAsia="Times New Roman" w:hAnsi="Times New Roman"/>
          <w:sz w:val="13"/>
          <w:szCs w:val="13"/>
          <w:u w:val="single" w:color="auto"/>
          <w:color w:val="auto"/>
        </w:rPr>
        <w:t>Withdrawal Charge</w:t>
      </w:r>
      <w:r>
        <w:rPr>
          <w:rFonts w:ascii="Times New Roman" w:cs="Times New Roman" w:eastAsia="Times New Roman" w:hAnsi="Times New Roman"/>
          <w:sz w:val="13"/>
          <w:szCs w:val="13"/>
          <w:color w:val="auto"/>
        </w:rPr>
        <w:t xml:space="preserve"> and/or income taxes, including a tax penalty if you are younger than age 59½. Withdrawals from the </w:t>
      </w:r>
      <w:r>
        <w:rPr>
          <w:rFonts w:ascii="Times New Roman" w:cs="Times New Roman" w:eastAsia="Times New Roman" w:hAnsi="Times New Roman"/>
          <w:sz w:val="13"/>
          <w:szCs w:val="13"/>
          <w:u w:val="single" w:color="auto"/>
          <w:color w:val="auto"/>
        </w:rPr>
        <w:t>Shield Options</w:t>
      </w:r>
      <w:r>
        <w:rPr>
          <w:rFonts w:ascii="Times New Roman" w:cs="Times New Roman" w:eastAsia="Times New Roman" w:hAnsi="Times New Roman"/>
          <w:sz w:val="13"/>
          <w:szCs w:val="13"/>
          <w:color w:val="auto"/>
        </w:rPr>
        <w:t xml:space="preserve"> prior to the </w:t>
      </w:r>
      <w:r>
        <w:rPr>
          <w:rFonts w:ascii="Times New Roman" w:cs="Times New Roman" w:eastAsia="Times New Roman" w:hAnsi="Times New Roman"/>
          <w:sz w:val="13"/>
          <w:szCs w:val="13"/>
          <w:u w:val="single" w:color="auto"/>
          <w:color w:val="auto"/>
        </w:rPr>
        <w:t>Term End Date</w:t>
      </w:r>
      <w:r>
        <w:rPr>
          <w:rFonts w:ascii="Times New Roman" w:cs="Times New Roman" w:eastAsia="Times New Roman" w:hAnsi="Times New Roman"/>
          <w:sz w:val="13"/>
          <w:szCs w:val="13"/>
          <w:color w:val="auto"/>
        </w:rPr>
        <w:t xml:space="preserve"> will be based on an </w:t>
      </w:r>
      <w:r>
        <w:rPr>
          <w:rFonts w:ascii="Times New Roman" w:cs="Times New Roman" w:eastAsia="Times New Roman" w:hAnsi="Times New Roman"/>
          <w:sz w:val="13"/>
          <w:szCs w:val="13"/>
          <w:u w:val="single" w:color="auto"/>
          <w:color w:val="auto"/>
        </w:rPr>
        <w:t>Interim</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Value</w:t>
      </w:r>
      <w:r>
        <w:rPr>
          <w:rFonts w:ascii="Times New Roman" w:cs="Times New Roman" w:eastAsia="Times New Roman" w:hAnsi="Times New Roman"/>
          <w:sz w:val="13"/>
          <w:szCs w:val="13"/>
          <w:color w:val="auto"/>
        </w:rPr>
        <w:t xml:space="preserve"> calculation.</w:t>
      </w:r>
    </w:p>
    <w:p>
      <w:pPr>
        <w:spacing w:after="0" w:line="28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799"/>
          </w:cols>
          <w:pgMar w:left="660" w:top="1168" w:right="1440" w:bottom="1440" w:gutter="0" w:footer="0" w:header="0"/>
        </w:sectPr>
      </w:pPr>
    </w:p>
    <w:bookmarkStart w:id="140" w:name="page141"/>
    <w:bookmarkEnd w:id="140"/>
    <w:p>
      <w:pPr>
        <w:jc w:val="both"/>
        <w:ind w:right="2659" w:firstLine="264"/>
        <w:spacing w:after="0" w:line="274"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0">
                      <a:extLst>
                        <a:ext uri="{28A0092B-C50C-407E-A947-70E740481C1C}"/>
                      </a:extLst>
                    </a:blip>
                    <a:srcRect/>
                    <a:stretch>
                      <a:fillRect/>
                    </a:stretch>
                  </pic:blipFill>
                  <pic:spPr bwMode="auto">
                    <a:xfrm>
                      <a:off x="0" y="0"/>
                      <a:ext cx="7193915" cy="38100"/>
                    </a:xfrm>
                    <a:prstGeom prst="rect">
                      <a:avLst/>
                    </a:prstGeom>
                    <a:noFill/>
                  </pic:spPr>
                </pic:pic>
              </a:graphicData>
            </a:graphic>
          </wp:anchor>
        </w:drawing>
        <w:t xml:space="preserve">Tax Treatment. </w:t>
      </w:r>
      <w:r>
        <w:rPr>
          <w:rFonts w:ascii="Times New Roman" w:cs="Times New Roman" w:eastAsia="Times New Roman" w:hAnsi="Times New Roman"/>
          <w:sz w:val="13"/>
          <w:szCs w:val="13"/>
          <w:color w:val="auto"/>
        </w:rPr>
        <w:t>You can transfer money among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Allocation Options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without tax implications, and earnings (if any) on your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investments are generally tax-deferred. You are only subject to taxes upon: (1) making a withdrawal; (2) receiving a payment from us; or (3) payment of a death benefit.</w:t>
      </w:r>
    </w:p>
    <w:p>
      <w:pPr>
        <w:spacing w:after="0" w:line="44" w:lineRule="exact"/>
        <w:rPr>
          <w:sz w:val="20"/>
          <w:szCs w:val="20"/>
          <w:color w:val="auto"/>
        </w:rPr>
      </w:pPr>
    </w:p>
    <w:p>
      <w:pPr>
        <w:jc w:val="both"/>
        <w:ind w:right="2659" w:firstLine="264"/>
        <w:spacing w:after="0" w:line="293" w:lineRule="auto"/>
        <w:rPr>
          <w:sz w:val="20"/>
          <w:szCs w:val="20"/>
          <w:color w:val="auto"/>
        </w:rPr>
      </w:pPr>
      <w:r>
        <w:rPr>
          <w:rFonts w:ascii="Times New Roman" w:cs="Times New Roman" w:eastAsia="Times New Roman" w:hAnsi="Times New Roman"/>
          <w:sz w:val="13"/>
          <w:szCs w:val="13"/>
          <w:b w:val="1"/>
          <w:bCs w:val="1"/>
          <w:color w:val="auto"/>
        </w:rPr>
        <w:t xml:space="preserve">Death Benefit. </w:t>
      </w:r>
      <w:r>
        <w:rPr>
          <w:rFonts w:ascii="Times New Roman" w:cs="Times New Roman" w:eastAsia="Times New Roman" w:hAnsi="Times New Roman"/>
          <w:sz w:val="13"/>
          <w:szCs w:val="13"/>
          <w:color w:val="auto"/>
        </w:rPr>
        <w:t>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includes, at no additional cost, a standard death benefit that will pay a death benefit to your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beneficiary(ies) if you die during the </w:t>
      </w:r>
      <w:r>
        <w:rPr>
          <w:rFonts w:ascii="Times New Roman" w:cs="Times New Roman" w:eastAsia="Times New Roman" w:hAnsi="Times New Roman"/>
          <w:sz w:val="13"/>
          <w:szCs w:val="13"/>
          <w:u w:val="single" w:color="auto"/>
          <w:color w:val="auto"/>
        </w:rPr>
        <w:t>Accumulation Period</w:t>
      </w:r>
      <w:r>
        <w:rPr>
          <w:rFonts w:ascii="Times New Roman" w:cs="Times New Roman" w:eastAsia="Times New Roman" w:hAnsi="Times New Roman"/>
          <w:sz w:val="13"/>
          <w:szCs w:val="13"/>
          <w:color w:val="auto"/>
        </w:rPr>
        <w:t>.</w:t>
      </w:r>
    </w:p>
    <w:p>
      <w:pPr>
        <w:spacing w:after="0" w:line="32" w:lineRule="exact"/>
        <w:rPr>
          <w:sz w:val="20"/>
          <w:szCs w:val="20"/>
          <w:color w:val="auto"/>
        </w:rPr>
      </w:pPr>
    </w:p>
    <w:p>
      <w:pPr>
        <w:ind w:left="260" w:right="2719"/>
        <w:spacing w:after="0" w:line="293" w:lineRule="auto"/>
        <w:rPr>
          <w:sz w:val="20"/>
          <w:szCs w:val="20"/>
          <w:color w:val="auto"/>
        </w:rPr>
      </w:pPr>
      <w:r>
        <w:rPr>
          <w:rFonts w:ascii="Times New Roman" w:cs="Times New Roman" w:eastAsia="Times New Roman" w:hAnsi="Times New Roman"/>
          <w:sz w:val="13"/>
          <w:szCs w:val="13"/>
          <w:b w:val="1"/>
          <w:bCs w:val="1"/>
          <w:color w:val="auto"/>
        </w:rPr>
        <w:t xml:space="preserve">Annuity Options. </w:t>
      </w:r>
      <w:r>
        <w:rPr>
          <w:rFonts w:ascii="Times New Roman" w:cs="Times New Roman" w:eastAsia="Times New Roman" w:hAnsi="Times New Roman"/>
          <w:sz w:val="13"/>
          <w:szCs w:val="13"/>
          <w:color w:val="auto"/>
        </w:rPr>
        <w:t>Like all annuity contracts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offers a range of annuity options, which provide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Annuity Payments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your lifetime.</w:t>
      </w:r>
    </w:p>
    <w:p>
      <w:pPr>
        <w:spacing w:after="0" w:line="32" w:lineRule="exact"/>
        <w:rPr>
          <w:sz w:val="20"/>
          <w:szCs w:val="20"/>
          <w:color w:val="auto"/>
        </w:rPr>
      </w:pPr>
    </w:p>
    <w:p>
      <w:pPr>
        <w:jc w:val="both"/>
        <w:ind w:right="2659" w:firstLine="264"/>
        <w:spacing w:after="0" w:line="260" w:lineRule="auto"/>
        <w:rPr>
          <w:sz w:val="20"/>
          <w:szCs w:val="20"/>
          <w:color w:val="auto"/>
        </w:rPr>
      </w:pPr>
      <w:r>
        <w:rPr>
          <w:rFonts w:ascii="Times New Roman" w:cs="Times New Roman" w:eastAsia="Times New Roman" w:hAnsi="Times New Roman"/>
          <w:sz w:val="13"/>
          <w:szCs w:val="13"/>
          <w:b w:val="1"/>
          <w:bCs w:val="1"/>
          <w:color w:val="auto"/>
        </w:rPr>
        <w:t xml:space="preserve">Performance Lock. </w:t>
      </w:r>
      <w:r>
        <w:rPr>
          <w:rFonts w:ascii="Times New Roman" w:cs="Times New Roman" w:eastAsia="Times New Roman" w:hAnsi="Times New Roman"/>
          <w:sz w:val="13"/>
          <w:szCs w:val="13"/>
          <w:color w:val="auto"/>
        </w:rPr>
        <w:t>Each</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comes with</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Performance Lock</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at no additional charge, which allows you the option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lock the </w:t>
      </w:r>
      <w:r>
        <w:rPr>
          <w:rFonts w:ascii="Times New Roman" w:cs="Times New Roman" w:eastAsia="Times New Roman" w:hAnsi="Times New Roman"/>
          <w:sz w:val="13"/>
          <w:szCs w:val="13"/>
          <w:u w:val="single" w:color="auto"/>
          <w:color w:val="auto"/>
        </w:rPr>
        <w:t>Interim Value</w:t>
      </w:r>
      <w:r>
        <w:rPr>
          <w:rFonts w:ascii="Times New Roman" w:cs="Times New Roman" w:eastAsia="Times New Roman" w:hAnsi="Times New Roman"/>
          <w:sz w:val="13"/>
          <w:szCs w:val="13"/>
          <w:color w:val="auto"/>
        </w:rPr>
        <w:t xml:space="preserve">, not the </w:t>
      </w:r>
      <w:r>
        <w:rPr>
          <w:rFonts w:ascii="Times New Roman" w:cs="Times New Roman" w:eastAsia="Times New Roman" w:hAnsi="Times New Roman"/>
          <w:sz w:val="13"/>
          <w:szCs w:val="13"/>
          <w:u w:val="single" w:color="auto"/>
          <w:color w:val="auto"/>
        </w:rPr>
        <w:t>Index Performance</w:t>
      </w:r>
      <w:r>
        <w:rPr>
          <w:rFonts w:ascii="Times New Roman" w:cs="Times New Roman" w:eastAsia="Times New Roman" w:hAnsi="Times New Roman"/>
          <w:sz w:val="13"/>
          <w:szCs w:val="13"/>
          <w:color w:val="auto"/>
        </w:rPr>
        <w:t xml:space="preserve">, of your </w:t>
      </w:r>
      <w:r>
        <w:rPr>
          <w:rFonts w:ascii="Times New Roman" w:cs="Times New Roman" w:eastAsia="Times New Roman" w:hAnsi="Times New Roman"/>
          <w:sz w:val="13"/>
          <w:szCs w:val="13"/>
          <w:u w:val="single" w:color="auto"/>
          <w:color w:val="auto"/>
        </w:rPr>
        <w:t>Shield Option(s)</w:t>
      </w:r>
      <w:r>
        <w:rPr>
          <w:rFonts w:ascii="Times New Roman" w:cs="Times New Roman" w:eastAsia="Times New Roman" w:hAnsi="Times New Roman"/>
          <w:sz w:val="13"/>
          <w:szCs w:val="13"/>
          <w:color w:val="auto"/>
        </w:rPr>
        <w:t xml:space="preserve"> once during each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color w:val="auto"/>
        </w:rPr>
        <w:t xml:space="preserve"> prior to the </w:t>
      </w:r>
      <w:r>
        <w:rPr>
          <w:rFonts w:ascii="Times New Roman" w:cs="Times New Roman" w:eastAsia="Times New Roman" w:hAnsi="Times New Roman"/>
          <w:sz w:val="13"/>
          <w:szCs w:val="13"/>
          <w:u w:val="single" w:color="auto"/>
          <w:color w:val="auto"/>
        </w:rPr>
        <w:t>Term End Date</w:t>
      </w:r>
      <w:r>
        <w:rPr>
          <w:rFonts w:ascii="Times New Roman" w:cs="Times New Roman" w:eastAsia="Times New Roman" w:hAnsi="Times New Roman"/>
          <w:sz w:val="13"/>
          <w:szCs w:val="13"/>
          <w:color w:val="auto"/>
        </w:rPr>
        <w:t xml:space="preserve"> . If you lock the </w:t>
      </w:r>
      <w:r>
        <w:rPr>
          <w:rFonts w:ascii="Times New Roman" w:cs="Times New Roman" w:eastAsia="Times New Roman" w:hAnsi="Times New Roman"/>
          <w:sz w:val="13"/>
          <w:szCs w:val="13"/>
          <w:u w:val="single" w:color="auto"/>
          <w:color w:val="auto"/>
        </w:rPr>
        <w:t>Interim Value</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u w:val="single" w:color="auto"/>
          <w:color w:val="auto"/>
        </w:rPr>
        <w:t>Performance Lock Value</w:t>
      </w:r>
      <w:r>
        <w:rPr>
          <w:rFonts w:ascii="Times New Roman" w:cs="Times New Roman" w:eastAsia="Times New Roman" w:hAnsi="Times New Roman"/>
          <w:sz w:val="13"/>
          <w:szCs w:val="13"/>
          <w:color w:val="auto"/>
        </w:rPr>
        <w:t xml:space="preserve"> will be used as the value of that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for the remainder of the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color w:val="auto"/>
        </w:rPr>
        <w:t xml:space="preserve">, and the value of the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will not change due to positive or negative </w:t>
      </w:r>
      <w:r>
        <w:rPr>
          <w:rFonts w:ascii="Times New Roman" w:cs="Times New Roman" w:eastAsia="Times New Roman" w:hAnsi="Times New Roman"/>
          <w:sz w:val="13"/>
          <w:szCs w:val="13"/>
          <w:u w:val="single" w:color="auto"/>
          <w:color w:val="auto"/>
        </w:rPr>
        <w:t>Index Performance</w:t>
      </w:r>
      <w:r>
        <w:rPr>
          <w:rFonts w:ascii="Times New Roman" w:cs="Times New Roman" w:eastAsia="Times New Roman" w:hAnsi="Times New Roman"/>
          <w:sz w:val="13"/>
          <w:szCs w:val="13"/>
          <w:color w:val="auto"/>
        </w:rPr>
        <w:t xml:space="preserve"> for the remainder of the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color w:val="auto"/>
        </w:rPr>
        <w:t xml:space="preserve">. There are significant risks associated with exercising the </w:t>
      </w:r>
      <w:r>
        <w:rPr>
          <w:rFonts w:ascii="Times New Roman" w:cs="Times New Roman" w:eastAsia="Times New Roman" w:hAnsi="Times New Roman"/>
          <w:sz w:val="13"/>
          <w:szCs w:val="13"/>
          <w:u w:val="single" w:color="auto"/>
          <w:color w:val="auto"/>
        </w:rPr>
        <w:t>Performance Lock</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u w:val="single" w:color="auto"/>
          <w:color w:val="auto"/>
        </w:rPr>
        <w:t>Interim Value</w:t>
      </w:r>
      <w:r>
        <w:rPr>
          <w:rFonts w:ascii="Times New Roman" w:cs="Times New Roman" w:eastAsia="Times New Roman" w:hAnsi="Times New Roman"/>
          <w:sz w:val="13"/>
          <w:szCs w:val="13"/>
          <w:color w:val="auto"/>
        </w:rPr>
        <w:t xml:space="preserve"> calculated on the day you exercise the </w:t>
      </w:r>
      <w:r>
        <w:rPr>
          <w:rFonts w:ascii="Times New Roman" w:cs="Times New Roman" w:eastAsia="Times New Roman" w:hAnsi="Times New Roman"/>
          <w:sz w:val="13"/>
          <w:szCs w:val="13"/>
          <w:u w:val="single" w:color="auto"/>
          <w:color w:val="auto"/>
        </w:rPr>
        <w:t>Performance Lock</w:t>
      </w:r>
      <w:r>
        <w:rPr>
          <w:rFonts w:ascii="Times New Roman" w:cs="Times New Roman" w:eastAsia="Times New Roman" w:hAnsi="Times New Roman"/>
          <w:sz w:val="13"/>
          <w:szCs w:val="13"/>
          <w:color w:val="auto"/>
        </w:rPr>
        <w:t xml:space="preserve"> may be less than the </w:t>
      </w:r>
      <w:r>
        <w:rPr>
          <w:rFonts w:ascii="Times New Roman" w:cs="Times New Roman" w:eastAsia="Times New Roman" w:hAnsi="Times New Roman"/>
          <w:sz w:val="13"/>
          <w:szCs w:val="13"/>
          <w:u w:val="single" w:color="auto"/>
          <w:color w:val="auto"/>
        </w:rPr>
        <w:t>Investment Amount</w:t>
      </w:r>
      <w:r>
        <w:rPr>
          <w:rFonts w:ascii="Times New Roman" w:cs="Times New Roman" w:eastAsia="Times New Roman" w:hAnsi="Times New Roman"/>
          <w:sz w:val="13"/>
          <w:szCs w:val="13"/>
          <w:color w:val="auto"/>
        </w:rPr>
        <w:t xml:space="preserve">, even if the current </w:t>
      </w:r>
      <w:r>
        <w:rPr>
          <w:rFonts w:ascii="Times New Roman" w:cs="Times New Roman" w:eastAsia="Times New Roman" w:hAnsi="Times New Roman"/>
          <w:sz w:val="13"/>
          <w:szCs w:val="13"/>
          <w:u w:val="single" w:color="auto"/>
          <w:color w:val="auto"/>
        </w:rPr>
        <w:t>Index Value</w:t>
      </w:r>
      <w:r>
        <w:rPr>
          <w:rFonts w:ascii="Times New Roman" w:cs="Times New Roman" w:eastAsia="Times New Roman" w:hAnsi="Times New Roman"/>
          <w:sz w:val="13"/>
          <w:szCs w:val="13"/>
          <w:color w:val="auto"/>
        </w:rPr>
        <w:t xml:space="preserve"> is higher than it was on the </w:t>
      </w:r>
      <w:r>
        <w:rPr>
          <w:rFonts w:ascii="Times New Roman" w:cs="Times New Roman" w:eastAsia="Times New Roman" w:hAnsi="Times New Roman"/>
          <w:sz w:val="13"/>
          <w:szCs w:val="13"/>
          <w:u w:val="single" w:color="auto"/>
          <w:color w:val="auto"/>
        </w:rPr>
        <w:t>Term Start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Date</w:t>
      </w:r>
      <w:r>
        <w:rPr>
          <w:rFonts w:ascii="Times New Roman" w:cs="Times New Roman" w:eastAsia="Times New Roman" w:hAnsi="Times New Roman"/>
          <w:sz w:val="13"/>
          <w:szCs w:val="13"/>
          <w:color w:val="auto"/>
        </w:rPr>
        <w:t xml:space="preserve"> . A negative </w:t>
      </w:r>
      <w:r>
        <w:rPr>
          <w:rFonts w:ascii="Times New Roman" w:cs="Times New Roman" w:eastAsia="Times New Roman" w:hAnsi="Times New Roman"/>
          <w:sz w:val="13"/>
          <w:szCs w:val="13"/>
          <w:u w:val="single" w:color="auto"/>
          <w:color w:val="auto"/>
        </w:rPr>
        <w:t>Interim Value</w:t>
      </w:r>
      <w:r>
        <w:rPr>
          <w:rFonts w:ascii="Times New Roman" w:cs="Times New Roman" w:eastAsia="Times New Roman" w:hAnsi="Times New Roman"/>
          <w:sz w:val="13"/>
          <w:szCs w:val="13"/>
          <w:color w:val="auto"/>
        </w:rPr>
        <w:t xml:space="preserve"> could result in loss beyond the protection of the </w:t>
      </w:r>
      <w:r>
        <w:rPr>
          <w:rFonts w:ascii="Times New Roman" w:cs="Times New Roman" w:eastAsia="Times New Roman" w:hAnsi="Times New Roman"/>
          <w:sz w:val="13"/>
          <w:szCs w:val="13"/>
          <w:u w:val="single" w:color="auto"/>
          <w:color w:val="auto"/>
        </w:rPr>
        <w:t>Shield Rate</w:t>
      </w:r>
      <w:r>
        <w:rPr>
          <w:rFonts w:ascii="Times New Roman" w:cs="Times New Roman" w:eastAsia="Times New Roman" w:hAnsi="Times New Roman"/>
          <w:sz w:val="13"/>
          <w:szCs w:val="13"/>
          <w:color w:val="auto"/>
        </w:rPr>
        <w:t xml:space="preserve">, and, in extreme circumstances, you could lose up to 100% of the value of the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Additional Services and Features.</w:t>
      </w:r>
    </w:p>
    <w:p>
      <w:pPr>
        <w:spacing w:after="0" w:line="99" w:lineRule="exact"/>
        <w:rPr>
          <w:sz w:val="20"/>
          <w:szCs w:val="20"/>
          <w:color w:val="auto"/>
        </w:rPr>
      </w:pPr>
    </w:p>
    <w:p>
      <w:pPr>
        <w:ind w:left="420" w:right="2739" w:hanging="159"/>
        <w:spacing w:after="0" w:line="293" w:lineRule="auto"/>
        <w:tabs>
          <w:tab w:leader="none" w:pos="420"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u w:val="single" w:color="auto"/>
          <w:color w:val="auto"/>
        </w:rPr>
        <w:t>Free Withdrawal Amount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Free Withdrawal Amount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is the portion of your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Account Value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that you may withdraw each</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Contract Year</w:t>
      </w:r>
      <w:r>
        <w:rPr>
          <w:rFonts w:ascii="Times New Roman" w:cs="Times New Roman" w:eastAsia="Times New Roman" w:hAnsi="Times New Roman"/>
          <w:sz w:val="13"/>
          <w:szCs w:val="13"/>
          <w:color w:val="auto"/>
        </w:rPr>
        <w:t xml:space="preserve"> without incurring </w:t>
      </w:r>
      <w:r>
        <w:rPr>
          <w:rFonts w:ascii="Times New Roman" w:cs="Times New Roman" w:eastAsia="Times New Roman" w:hAnsi="Times New Roman"/>
          <w:sz w:val="13"/>
          <w:szCs w:val="13"/>
          <w:u w:val="single" w:color="auto"/>
          <w:color w:val="auto"/>
        </w:rPr>
        <w:t>Withdrawal Charges</w:t>
      </w:r>
      <w:r>
        <w:rPr>
          <w:rFonts w:ascii="Times New Roman" w:cs="Times New Roman" w:eastAsia="Times New Roman" w:hAnsi="Times New Roman"/>
          <w:sz w:val="13"/>
          <w:szCs w:val="13"/>
          <w:color w:val="auto"/>
        </w:rPr>
        <w:t>.</w:t>
      </w:r>
    </w:p>
    <w:p>
      <w:pPr>
        <w:spacing w:after="0" w:line="31" w:lineRule="exact"/>
        <w:rPr>
          <w:rFonts w:ascii="Times New Roman" w:cs="Times New Roman" w:eastAsia="Times New Roman" w:hAnsi="Times New Roman"/>
          <w:sz w:val="13"/>
          <w:szCs w:val="13"/>
          <w:color w:val="auto"/>
        </w:rPr>
      </w:pPr>
    </w:p>
    <w:p>
      <w:pPr>
        <w:jc w:val="both"/>
        <w:ind w:left="420" w:right="2719" w:hanging="159"/>
        <w:spacing w:after="0" w:line="261" w:lineRule="auto"/>
        <w:tabs>
          <w:tab w:leader="none" w:pos="420"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Systematic Withdrawal Program. </w:t>
      </w:r>
      <w:r>
        <w:rPr>
          <w:rFonts w:ascii="Times New Roman" w:cs="Times New Roman" w:eastAsia="Times New Roman" w:hAnsi="Times New Roman"/>
          <w:sz w:val="13"/>
          <w:szCs w:val="13"/>
          <w:color w:val="auto"/>
        </w:rPr>
        <w:t>You may elect the Systematic Withdrawal Program to provide automated processing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amounts withdrawn from your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subject to program terms. For automated processing of Required Minimum Distribution (RMD) amounts withdrawn from an IRA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or qualified annuity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you may elect this program in any </w:t>
      </w:r>
      <w:r>
        <w:rPr>
          <w:rFonts w:ascii="Times New Roman" w:cs="Times New Roman" w:eastAsia="Times New Roman" w:hAnsi="Times New Roman"/>
          <w:sz w:val="13"/>
          <w:szCs w:val="13"/>
          <w:u w:val="single" w:color="auto"/>
          <w:color w:val="auto"/>
        </w:rPr>
        <w:t>Contract Year</w:t>
      </w:r>
      <w:r>
        <w:rPr>
          <w:rFonts w:ascii="Times New Roman" w:cs="Times New Roman" w:eastAsia="Times New Roman" w:hAnsi="Times New Roman"/>
          <w:sz w:val="13"/>
          <w:szCs w:val="13"/>
          <w:color w:val="auto"/>
        </w:rPr>
        <w:t xml:space="preserve">. However, for automated processing of amounts withdrawn for purposes other than RMDs, you may elect this program after the first </w:t>
      </w:r>
      <w:r>
        <w:rPr>
          <w:rFonts w:ascii="Times New Roman" w:cs="Times New Roman" w:eastAsia="Times New Roman" w:hAnsi="Times New Roman"/>
          <w:sz w:val="13"/>
          <w:szCs w:val="13"/>
          <w:u w:val="single" w:color="auto"/>
          <w:color w:val="auto"/>
        </w:rPr>
        <w:t>Contract Year</w:t>
      </w:r>
      <w:r>
        <w:rPr>
          <w:rFonts w:ascii="Times New Roman" w:cs="Times New Roman" w:eastAsia="Times New Roman" w:hAnsi="Times New Roman"/>
          <w:sz w:val="13"/>
          <w:szCs w:val="13"/>
          <w:color w:val="auto"/>
        </w:rPr>
        <w:t xml:space="preserve"> for up to 10% of your </w:t>
      </w:r>
      <w:r>
        <w:rPr>
          <w:rFonts w:ascii="Times New Roman" w:cs="Times New Roman" w:eastAsia="Times New Roman" w:hAnsi="Times New Roman"/>
          <w:sz w:val="13"/>
          <w:szCs w:val="13"/>
          <w:u w:val="single" w:color="auto"/>
          <w:color w:val="auto"/>
        </w:rPr>
        <w:t>Account Value</w:t>
      </w:r>
      <w:r>
        <w:rPr>
          <w:rFonts w:ascii="Times New Roman" w:cs="Times New Roman" w:eastAsia="Times New Roman" w:hAnsi="Times New Roman"/>
          <w:sz w:val="13"/>
          <w:szCs w:val="13"/>
          <w:color w:val="auto"/>
        </w:rPr>
        <w:t xml:space="preserve"> as of the prior </w:t>
      </w:r>
      <w:r>
        <w:rPr>
          <w:rFonts w:ascii="Times New Roman" w:cs="Times New Roman" w:eastAsia="Times New Roman" w:hAnsi="Times New Roman"/>
          <w:sz w:val="13"/>
          <w:szCs w:val="13"/>
          <w:u w:val="single" w:color="auto"/>
          <w:color w:val="auto"/>
        </w:rPr>
        <w:t>Contract Anniversary</w:t>
      </w:r>
      <w:r>
        <w:rPr>
          <w:rFonts w:ascii="Times New Roman" w:cs="Times New Roman" w:eastAsia="Times New Roman" w:hAnsi="Times New Roman"/>
          <w:sz w:val="13"/>
          <w:szCs w:val="13"/>
          <w:color w:val="auto"/>
        </w:rPr>
        <w:t xml:space="preserve">. We do not assess a charge for this program. If you have not exercised </w:t>
      </w:r>
      <w:r>
        <w:rPr>
          <w:rFonts w:ascii="Times New Roman" w:cs="Times New Roman" w:eastAsia="Times New Roman" w:hAnsi="Times New Roman"/>
          <w:sz w:val="13"/>
          <w:szCs w:val="13"/>
          <w:u w:val="single" w:color="auto"/>
          <w:color w:val="auto"/>
        </w:rPr>
        <w:t>Performance</w:t>
      </w:r>
      <w:r>
        <w:rPr>
          <w:rFonts w:ascii="Times New Roman" w:cs="Times New Roman" w:eastAsia="Times New Roman" w:hAnsi="Times New Roman"/>
          <w:sz w:val="13"/>
          <w:szCs w:val="13"/>
          <w:color w:val="auto"/>
        </w:rPr>
        <w:t xml:space="preserve"> Lock, each withdrawal under the program, if taken from the </w:t>
      </w:r>
      <w:r>
        <w:rPr>
          <w:rFonts w:ascii="Times New Roman" w:cs="Times New Roman" w:eastAsia="Times New Roman" w:hAnsi="Times New Roman"/>
          <w:sz w:val="13"/>
          <w:szCs w:val="13"/>
          <w:u w:val="single" w:color="auto"/>
          <w:color w:val="auto"/>
        </w:rPr>
        <w:t>Shield Options</w:t>
      </w:r>
      <w:r>
        <w:rPr>
          <w:rFonts w:ascii="Times New Roman" w:cs="Times New Roman" w:eastAsia="Times New Roman" w:hAnsi="Times New Roman"/>
          <w:sz w:val="13"/>
          <w:szCs w:val="13"/>
          <w:color w:val="auto"/>
        </w:rPr>
        <w:t xml:space="preserve"> during a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color w:val="auto"/>
        </w:rPr>
        <w:t xml:space="preserve">, will be based on </w:t>
      </w:r>
      <w:r>
        <w:rPr>
          <w:rFonts w:ascii="Times New Roman" w:cs="Times New Roman" w:eastAsia="Times New Roman" w:hAnsi="Times New Roman"/>
          <w:sz w:val="13"/>
          <w:szCs w:val="13"/>
          <w:u w:val="single" w:color="auto"/>
          <w:color w:val="auto"/>
        </w:rPr>
        <w:t>Interim Values</w:t>
      </w:r>
      <w:r>
        <w:rPr>
          <w:rFonts w:ascii="Times New Roman" w:cs="Times New Roman" w:eastAsia="Times New Roman" w:hAnsi="Times New Roman"/>
          <w:sz w:val="13"/>
          <w:szCs w:val="13"/>
          <w:color w:val="auto"/>
        </w:rPr>
        <w:t xml:space="preserve">, and will cause a proportionate reduction to the </w:t>
      </w:r>
      <w:r>
        <w:rPr>
          <w:rFonts w:ascii="Times New Roman" w:cs="Times New Roman" w:eastAsia="Times New Roman" w:hAnsi="Times New Roman"/>
          <w:sz w:val="13"/>
          <w:szCs w:val="13"/>
          <w:u w:val="single" w:color="auto"/>
          <w:color w:val="auto"/>
        </w:rPr>
        <w:t>Investment Amount</w:t>
      </w:r>
      <w:r>
        <w:rPr>
          <w:rFonts w:ascii="Times New Roman" w:cs="Times New Roman" w:eastAsia="Times New Roman" w:hAnsi="Times New Roman"/>
          <w:sz w:val="13"/>
          <w:szCs w:val="13"/>
          <w:color w:val="auto"/>
        </w:rPr>
        <w:t xml:space="preserve"> for each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If you have exercised </w:t>
      </w:r>
      <w:r>
        <w:rPr>
          <w:rFonts w:ascii="Times New Roman" w:cs="Times New Roman" w:eastAsia="Times New Roman" w:hAnsi="Times New Roman"/>
          <w:sz w:val="13"/>
          <w:szCs w:val="13"/>
          <w:u w:val="single" w:color="auto"/>
          <w:color w:val="auto"/>
        </w:rPr>
        <w:t>Performance Lock</w:t>
      </w:r>
      <w:r>
        <w:rPr>
          <w:rFonts w:ascii="Times New Roman" w:cs="Times New Roman" w:eastAsia="Times New Roman" w:hAnsi="Times New Roman"/>
          <w:sz w:val="13"/>
          <w:szCs w:val="13"/>
          <w:color w:val="auto"/>
        </w:rPr>
        <w:t xml:space="preserve"> and then take a withdrawal from the </w:t>
      </w:r>
      <w:r>
        <w:rPr>
          <w:rFonts w:ascii="Times New Roman" w:cs="Times New Roman" w:eastAsia="Times New Roman" w:hAnsi="Times New Roman"/>
          <w:sz w:val="13"/>
          <w:szCs w:val="13"/>
          <w:u w:val="single" w:color="auto"/>
          <w:color w:val="auto"/>
        </w:rPr>
        <w:t>Shield Options</w:t>
      </w:r>
      <w:r>
        <w:rPr>
          <w:rFonts w:ascii="Times New Roman" w:cs="Times New Roman" w:eastAsia="Times New Roman" w:hAnsi="Times New Roman"/>
          <w:sz w:val="13"/>
          <w:szCs w:val="13"/>
          <w:color w:val="auto"/>
        </w:rPr>
        <w:t xml:space="preserve"> , the </w:t>
      </w:r>
      <w:r>
        <w:rPr>
          <w:rFonts w:ascii="Times New Roman" w:cs="Times New Roman" w:eastAsia="Times New Roman" w:hAnsi="Times New Roman"/>
          <w:sz w:val="13"/>
          <w:szCs w:val="13"/>
          <w:u w:val="single" w:color="auto"/>
          <w:color w:val="auto"/>
        </w:rPr>
        <w:t>Performance Lock Value</w:t>
      </w:r>
      <w:r>
        <w:rPr>
          <w:rFonts w:ascii="Times New Roman" w:cs="Times New Roman" w:eastAsia="Times New Roman" w:hAnsi="Times New Roman"/>
          <w:sz w:val="13"/>
          <w:szCs w:val="13"/>
          <w:color w:val="auto"/>
        </w:rPr>
        <w:t xml:space="preserve"> for that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will be reduced by the dollar amount of each withdrawal.</w:t>
      </w:r>
    </w:p>
    <w:p>
      <w:pPr>
        <w:spacing w:after="0" w:line="213" w:lineRule="exact"/>
        <w:rPr>
          <w:rFonts w:ascii="Times New Roman" w:cs="Times New Roman" w:eastAsia="Times New Roman" w:hAnsi="Times New Roman"/>
          <w:sz w:val="13"/>
          <w:szCs w:val="13"/>
          <w:color w:val="auto"/>
        </w:rPr>
      </w:pPr>
    </w:p>
    <w:p>
      <w:pPr>
        <w:ind w:left="420" w:right="2719" w:hanging="159"/>
        <w:spacing w:after="0" w:line="293" w:lineRule="auto"/>
        <w:tabs>
          <w:tab w:leader="none" w:pos="420"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Electronic Delivery. </w:t>
      </w:r>
      <w:r>
        <w:rPr>
          <w:rFonts w:ascii="Times New Roman" w:cs="Times New Roman" w:eastAsia="Times New Roman" w:hAnsi="Times New Roman"/>
          <w:sz w:val="13"/>
          <w:szCs w:val="13"/>
          <w:color w:val="auto"/>
        </w:rPr>
        <w:t>As 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Contract Owner</w:t>
      </w:r>
      <w:r>
        <w:rPr>
          <w:rFonts w:ascii="Times New Roman" w:cs="Times New Roman" w:eastAsia="Times New Roman" w:hAnsi="Times New Roman"/>
          <w:sz w:val="13"/>
          <w:szCs w:val="13"/>
          <w:color w:val="auto"/>
        </w:rPr>
        <w:t>, you may elect to receive electronic delivery of current prospectuses related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this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as well as other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related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2248535</wp:posOffset>
            </wp:positionH>
            <wp:positionV relativeFrom="paragraph">
              <wp:posOffset>-1456690</wp:posOffset>
            </wp:positionV>
            <wp:extent cx="25400" cy="635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1">
                      <a:extLst>
                        <a:ext uri="{28A0092B-C50C-407E-A947-70E740481C1C}"/>
                      </a:extLst>
                    </a:blip>
                    <a:srcRect/>
                    <a:stretch>
                      <a:fillRect/>
                    </a:stretch>
                  </pic:blipFill>
                  <pic:spPr bwMode="auto">
                    <a:xfrm>
                      <a:off x="0" y="0"/>
                      <a:ext cx="25400" cy="6350"/>
                    </a:xfrm>
                    <a:prstGeom prst="rect">
                      <a:avLst/>
                    </a:prstGeom>
                    <a:noFill/>
                  </pic:spPr>
                </pic:pic>
              </a:graphicData>
            </a:graphic>
          </wp:anchor>
        </w:drawing>
        <w:drawing>
          <wp:anchor simplePos="0" relativeHeight="251657728" behindDoc="1" locked="0" layoutInCell="0" allowOverlap="1">
            <wp:simplePos x="0" y="0"/>
            <wp:positionH relativeFrom="column">
              <wp:posOffset>786765</wp:posOffset>
            </wp:positionH>
            <wp:positionV relativeFrom="paragraph">
              <wp:posOffset>-391795</wp:posOffset>
            </wp:positionV>
            <wp:extent cx="43815" cy="635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2">
                      <a:extLst>
                        <a:ext uri="{28A0092B-C50C-407E-A947-70E740481C1C}"/>
                      </a:extLst>
                    </a:blip>
                    <a:srcRect/>
                    <a:stretch>
                      <a:fillRect/>
                    </a:stretch>
                  </pic:blipFill>
                  <pic:spPr bwMode="auto">
                    <a:xfrm>
                      <a:off x="0" y="0"/>
                      <a:ext cx="43815" cy="6350"/>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-391795</wp:posOffset>
            </wp:positionV>
            <wp:extent cx="43815" cy="635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3">
                      <a:extLst>
                        <a:ext uri="{28A0092B-C50C-407E-A947-70E740481C1C}"/>
                      </a:extLst>
                    </a:blip>
                    <a:srcRect/>
                    <a:stretch>
                      <a:fillRect/>
                    </a:stretch>
                  </pic:blipFill>
                  <pic:spPr bwMode="auto">
                    <a:xfrm>
                      <a:off x="0" y="0"/>
                      <a:ext cx="43815" cy="635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Contract Adjustment</w:t>
      </w:r>
    </w:p>
    <w:p>
      <w:pPr>
        <w:spacing w:after="0" w:line="91" w:lineRule="exact"/>
        <w:rPr>
          <w:sz w:val="20"/>
          <w:szCs w:val="20"/>
          <w:color w:val="auto"/>
        </w:rPr>
      </w:pPr>
    </w:p>
    <w:p>
      <w:pPr>
        <w:jc w:val="both"/>
        <w:ind w:right="2659" w:firstLine="264"/>
        <w:spacing w:after="0" w:line="266" w:lineRule="auto"/>
        <w:rPr>
          <w:sz w:val="20"/>
          <w:szCs w:val="20"/>
          <w:color w:val="auto"/>
        </w:rPr>
      </w:pPr>
      <w:r>
        <w:rPr>
          <w:rFonts w:ascii="Times New Roman" w:cs="Times New Roman" w:eastAsia="Times New Roman" w:hAnsi="Times New Roman"/>
          <w:sz w:val="13"/>
          <w:szCs w:val="13"/>
          <w:color w:val="auto"/>
        </w:rPr>
        <w:t xml:space="preserve">You could lose a significant amount of money due to the </w:t>
      </w:r>
      <w:r>
        <w:rPr>
          <w:rFonts w:ascii="Times New Roman" w:cs="Times New Roman" w:eastAsia="Times New Roman" w:hAnsi="Times New Roman"/>
          <w:sz w:val="13"/>
          <w:szCs w:val="13"/>
          <w:u w:val="single" w:color="auto"/>
          <w:color w:val="auto"/>
        </w:rPr>
        <w:t>Interim Value</w:t>
      </w:r>
      <w:r>
        <w:rPr>
          <w:rFonts w:ascii="Times New Roman" w:cs="Times New Roman" w:eastAsia="Times New Roman" w:hAnsi="Times New Roman"/>
          <w:sz w:val="13"/>
          <w:szCs w:val="13"/>
          <w:color w:val="auto"/>
        </w:rPr>
        <w:t xml:space="preserve"> calculation if amounts are removed from a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or from the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prior to the end of a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color w:val="auto"/>
        </w:rPr>
        <w:t xml:space="preserve">. If you have not exercised the </w:t>
      </w:r>
      <w:r>
        <w:rPr>
          <w:rFonts w:ascii="Times New Roman" w:cs="Times New Roman" w:eastAsia="Times New Roman" w:hAnsi="Times New Roman"/>
          <w:sz w:val="13"/>
          <w:szCs w:val="13"/>
          <w:u w:val="single" w:color="auto"/>
          <w:color w:val="auto"/>
        </w:rPr>
        <w:t>Performance Lock</w:t>
      </w:r>
      <w:r>
        <w:rPr>
          <w:rFonts w:ascii="Times New Roman" w:cs="Times New Roman" w:eastAsia="Times New Roman" w:hAnsi="Times New Roman"/>
          <w:sz w:val="13"/>
          <w:szCs w:val="13"/>
          <w:color w:val="auto"/>
        </w:rPr>
        <w:t xml:space="preserve"> on a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u w:val="single" w:color="auto"/>
          <w:color w:val="auto"/>
        </w:rPr>
        <w:t>Interim Value</w:t>
      </w:r>
      <w:r>
        <w:rPr>
          <w:rFonts w:ascii="Times New Roman" w:cs="Times New Roman" w:eastAsia="Times New Roman" w:hAnsi="Times New Roman"/>
          <w:sz w:val="13"/>
          <w:szCs w:val="13"/>
          <w:color w:val="auto"/>
        </w:rPr>
        <w:t xml:space="preserve"> is the amount that is available for annuitization, death benefit payments, withdrawals (including RMDs and systematic withdrawals), </w:t>
      </w:r>
      <w:r>
        <w:rPr>
          <w:rFonts w:ascii="Times New Roman" w:cs="Times New Roman" w:eastAsia="Times New Roman" w:hAnsi="Times New Roman"/>
          <w:sz w:val="13"/>
          <w:szCs w:val="13"/>
          <w:u w:val="single" w:color="auto"/>
          <w:color w:val="auto"/>
        </w:rPr>
        <w:t>Surrenders</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Performance Lock</w:t>
      </w:r>
      <w:r>
        <w:rPr>
          <w:rFonts w:ascii="Times New Roman" w:cs="Times New Roman" w:eastAsia="Times New Roman" w:hAnsi="Times New Roman"/>
          <w:sz w:val="13"/>
          <w:szCs w:val="13"/>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799"/>
          </w:cols>
          <w:pgMar w:left="660" w:top="1166" w:right="1440" w:bottom="1440" w:gutter="0" w:footer="0" w:header="0"/>
        </w:sectPr>
      </w:pPr>
    </w:p>
    <w:bookmarkStart w:id="141" w:name="page142"/>
    <w:bookmarkEnd w:id="141"/>
    <w:p>
      <w:pPr>
        <w:ind w:left="70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4">
                      <a:extLst>
                        <a:ext uri="{28A0092B-C50C-407E-A947-70E740481C1C}"/>
                      </a:extLst>
                    </a:blip>
                    <a:srcRect/>
                    <a:stretch>
                      <a:fillRect/>
                    </a:stretch>
                  </pic:blipFill>
                  <pic:spPr bwMode="auto">
                    <a:xfrm>
                      <a:off x="0" y="0"/>
                      <a:ext cx="7193915" cy="38100"/>
                    </a:xfrm>
                    <a:prstGeom prst="rect">
                      <a:avLst/>
                    </a:prstGeom>
                    <a:noFill/>
                  </pic:spPr>
                </pic:pic>
              </a:graphicData>
            </a:graphic>
          </wp:anchor>
        </w:drawing>
        <w:t>IMPORTANT INFORMATION YOU SHOULD CONSIDER ABOUT THE CONTRACT</w:t>
      </w:r>
    </w:p>
    <w:p>
      <w:pPr>
        <w:spacing w:after="0" w:line="39" w:lineRule="exact"/>
        <w:rPr>
          <w:sz w:val="20"/>
          <w:szCs w:val="20"/>
          <w:color w:val="auto"/>
        </w:rPr>
      </w:pPr>
    </w:p>
    <w:tbl>
      <w:tblPr>
        <w:tblLayout w:type="fixed"/>
        <w:tblInd w:w="10" w:type="dxa"/>
        <w:tblCellMar>
          <w:top w:w="0" w:type="dxa"/>
          <w:left w:w="0" w:type="dxa"/>
          <w:bottom w:w="0" w:type="dxa"/>
          <w:right w:w="0" w:type="dxa"/>
        </w:tblCellMar>
      </w:tblPr>
      <w:tr>
        <w:trPr>
          <w:trHeight w:val="179"/>
        </w:trPr>
        <w:tc>
          <w:tcPr>
            <w:tcW w:w="1600" w:type="dxa"/>
            <w:vAlign w:val="bottom"/>
            <w:tcBorders>
              <w:top w:val="single" w:sz="8" w:color="auto"/>
              <w:left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3280" w:type="dxa"/>
            <w:vAlign w:val="bottom"/>
            <w:tcBorders>
              <w:top w:val="single" w:sz="8" w:color="auto"/>
              <w:right w:val="single" w:sz="8" w:color="auto"/>
            </w:tcBorders>
            <w:gridSpan w:val="14"/>
          </w:tcPr>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Fees, Expenses and Adjustments</w:t>
            </w:r>
          </w:p>
        </w:tc>
        <w:tc>
          <w:tcPr>
            <w:tcW w:w="60" w:type="dxa"/>
            <w:vAlign w:val="bottom"/>
            <w:tcBorders>
              <w:top w:val="single" w:sz="8" w:color="auto"/>
            </w:tcBorders>
          </w:tcPr>
          <w:p>
            <w:pPr>
              <w:spacing w:after="0"/>
              <w:rPr>
                <w:sz w:val="15"/>
                <w:szCs w:val="15"/>
                <w:color w:val="auto"/>
              </w:rPr>
            </w:pPr>
          </w:p>
        </w:tc>
        <w:tc>
          <w:tcPr>
            <w:tcW w:w="1240" w:type="dxa"/>
            <w:vAlign w:val="bottom"/>
            <w:tcBorders>
              <w:top w:val="single" w:sz="8" w:color="auto"/>
              <w:right w:val="single" w:sz="8" w:color="auto"/>
            </w:tcBorders>
            <w:gridSpan w:val="5"/>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Location in</w:t>
            </w:r>
          </w:p>
        </w:tc>
        <w:tc>
          <w:tcPr>
            <w:tcW w:w="0" w:type="dxa"/>
            <w:vAlign w:val="bottom"/>
          </w:tcPr>
          <w:p>
            <w:pPr>
              <w:spacing w:after="0"/>
              <w:rPr>
                <w:sz w:val="1"/>
                <w:szCs w:val="1"/>
                <w:color w:val="auto"/>
              </w:rPr>
            </w:pPr>
          </w:p>
        </w:tc>
      </w:tr>
      <w:tr>
        <w:trPr>
          <w:trHeight w:val="184"/>
        </w:trPr>
        <w:tc>
          <w:tcPr>
            <w:tcW w:w="1600" w:type="dxa"/>
            <w:vAlign w:val="bottom"/>
            <w:tcBorders>
              <w:left w:val="single" w:sz="8" w:color="auto"/>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40" w:type="dxa"/>
            <w:vAlign w:val="bottom"/>
            <w:tcBorders>
              <w:bottom w:val="single" w:sz="8" w:color="auto"/>
              <w:right w:val="single" w:sz="8" w:color="auto"/>
            </w:tcBorders>
            <w:gridSpan w:val="5"/>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the Prospectus</w:t>
            </w:r>
          </w:p>
        </w:tc>
        <w:tc>
          <w:tcPr>
            <w:tcW w:w="0" w:type="dxa"/>
            <w:vAlign w:val="bottom"/>
          </w:tcPr>
          <w:p>
            <w:pPr>
              <w:spacing w:after="0"/>
              <w:rPr>
                <w:sz w:val="1"/>
                <w:szCs w:val="1"/>
                <w:color w:val="auto"/>
              </w:rPr>
            </w:pPr>
          </w:p>
        </w:tc>
      </w:tr>
      <w:tr>
        <w:trPr>
          <w:trHeight w:val="154"/>
        </w:trPr>
        <w:tc>
          <w:tcPr>
            <w:tcW w:w="1600" w:type="dxa"/>
            <w:vAlign w:val="bottom"/>
            <w:tcBorders>
              <w:left w:val="single" w:sz="8" w:color="auto"/>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3"/>
                <w:szCs w:val="13"/>
                <w:b w:val="1"/>
                <w:bCs w:val="1"/>
                <w:color w:val="auto"/>
              </w:rPr>
              <w:t>Are There Charges or</w:t>
            </w:r>
          </w:p>
        </w:tc>
        <w:tc>
          <w:tcPr>
            <w:tcW w:w="4320" w:type="dxa"/>
            <w:vAlign w:val="bottom"/>
            <w:tcBorders>
              <w:right w:val="single" w:sz="8" w:color="auto"/>
            </w:tcBorders>
            <w:gridSpan w:val="16"/>
            <w:shd w:val="clear" w:color="auto" w:fill="F0FFFF"/>
          </w:tcPr>
          <w:p>
            <w:pPr>
              <w:spacing w:after="0"/>
              <w:rPr>
                <w:sz w:val="20"/>
                <w:szCs w:val="20"/>
                <w:color w:val="auto"/>
              </w:rPr>
            </w:pPr>
            <w:r>
              <w:rPr>
                <w:rFonts w:ascii="Times New Roman" w:cs="Times New Roman" w:eastAsia="Times New Roman" w:hAnsi="Times New Roman"/>
                <w:sz w:val="13"/>
                <w:szCs w:val="13"/>
                <w:b w:val="1"/>
                <w:bCs w:val="1"/>
                <w:color w:val="auto"/>
              </w:rPr>
              <w:t>Yes.</w:t>
            </w:r>
          </w:p>
        </w:tc>
        <w:tc>
          <w:tcPr>
            <w:tcW w:w="1300" w:type="dxa"/>
            <w:vAlign w:val="bottom"/>
            <w:tcBorders>
              <w:right w:val="single" w:sz="8" w:color="auto"/>
            </w:tcBorders>
            <w:gridSpan w:val="6"/>
            <w:shd w:val="clear" w:color="auto" w:fill="F0FFFF"/>
          </w:tcPr>
          <w:p>
            <w:pPr>
              <w:ind w:left="60"/>
              <w:spacing w:after="0"/>
              <w:rPr>
                <w:sz w:val="20"/>
                <w:szCs w:val="20"/>
                <w:color w:val="auto"/>
              </w:rPr>
            </w:pPr>
            <w:r>
              <w:rPr>
                <w:rFonts w:ascii="Times New Roman" w:cs="Times New Roman" w:eastAsia="Times New Roman" w:hAnsi="Times New Roman"/>
                <w:sz w:val="13"/>
                <w:szCs w:val="13"/>
                <w:b w:val="1"/>
                <w:bCs w:val="1"/>
                <w:color w:val="auto"/>
              </w:rPr>
              <w:t>FEE TABLE</w:t>
            </w:r>
          </w:p>
        </w:tc>
        <w:tc>
          <w:tcPr>
            <w:tcW w:w="0" w:type="dxa"/>
            <w:vAlign w:val="bottom"/>
          </w:tcPr>
          <w:p>
            <w:pPr>
              <w:spacing w:after="0"/>
              <w:rPr>
                <w:sz w:val="1"/>
                <w:szCs w:val="1"/>
                <w:color w:val="auto"/>
              </w:rPr>
            </w:pPr>
          </w:p>
        </w:tc>
      </w:tr>
      <w:tr>
        <w:trPr>
          <w:trHeight w:val="154"/>
        </w:trPr>
        <w:tc>
          <w:tcPr>
            <w:tcW w:w="1600" w:type="dxa"/>
            <w:vAlign w:val="bottom"/>
            <w:tcBorders>
              <w:left w:val="single" w:sz="8" w:color="auto"/>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3"/>
                <w:szCs w:val="13"/>
                <w:b w:val="1"/>
                <w:bCs w:val="1"/>
                <w:color w:val="auto"/>
              </w:rPr>
              <w:t>Adjustments for Early</w:t>
            </w:r>
          </w:p>
        </w:tc>
        <w:tc>
          <w:tcPr>
            <w:tcW w:w="4320" w:type="dxa"/>
            <w:vAlign w:val="bottom"/>
            <w:tcBorders>
              <w:right w:val="single" w:sz="8" w:color="auto"/>
            </w:tcBorders>
            <w:gridSpan w:val="16"/>
            <w:shd w:val="clear" w:color="auto" w:fill="F0FFFF"/>
          </w:tcPr>
          <w:p>
            <w:pPr>
              <w:spacing w:after="0"/>
              <w:rPr>
                <w:sz w:val="20"/>
                <w:szCs w:val="20"/>
                <w:color w:val="auto"/>
              </w:rPr>
            </w:pPr>
            <w:r>
              <w:rPr>
                <w:rFonts w:ascii="Times New Roman" w:cs="Times New Roman" w:eastAsia="Times New Roman" w:hAnsi="Times New Roman"/>
                <w:sz w:val="13"/>
                <w:szCs w:val="13"/>
                <w:color w:val="auto"/>
              </w:rPr>
              <w:t>If you withdraw money from the Contract within the first 6 full Contract Years</w:t>
            </w:r>
          </w:p>
        </w:tc>
        <w:tc>
          <w:tcPr>
            <w:tcW w:w="1300" w:type="dxa"/>
            <w:vAlign w:val="bottom"/>
            <w:tcBorders>
              <w:right w:val="single" w:sz="8" w:color="auto"/>
            </w:tcBorders>
            <w:gridSpan w:val="6"/>
            <w:shd w:val="clear" w:color="auto" w:fill="F0FFFF"/>
          </w:tcPr>
          <w:p>
            <w:pPr>
              <w:ind w:left="60"/>
              <w:spacing w:after="0"/>
              <w:rPr>
                <w:sz w:val="20"/>
                <w:szCs w:val="20"/>
                <w:color w:val="auto"/>
              </w:rPr>
            </w:pPr>
            <w:r>
              <w:rPr>
                <w:rFonts w:ascii="Times New Roman" w:cs="Times New Roman" w:eastAsia="Times New Roman" w:hAnsi="Times New Roman"/>
                <w:sz w:val="13"/>
                <w:szCs w:val="13"/>
                <w:b w:val="1"/>
                <w:bCs w:val="1"/>
                <w:color w:val="auto"/>
              </w:rPr>
              <w:t> </w:t>
            </w:r>
          </w:p>
        </w:tc>
        <w:tc>
          <w:tcPr>
            <w:tcW w:w="0" w:type="dxa"/>
            <w:vAlign w:val="bottom"/>
          </w:tcPr>
          <w:p>
            <w:pPr>
              <w:spacing w:after="0"/>
              <w:rPr>
                <w:sz w:val="1"/>
                <w:szCs w:val="1"/>
                <w:color w:val="auto"/>
              </w:rPr>
            </w:pPr>
          </w:p>
        </w:tc>
      </w:tr>
      <w:tr>
        <w:trPr>
          <w:trHeight w:val="20"/>
        </w:trPr>
        <w:tc>
          <w:tcPr>
            <w:tcW w:w="1600" w:type="dxa"/>
            <w:vAlign w:val="bottom"/>
            <w:tcBorders>
              <w:left w:val="single" w:sz="8" w:color="auto"/>
              <w:right w:val="single" w:sz="8" w:color="auto"/>
            </w:tcBorders>
            <w:vMerge w:val="restart"/>
            <w:shd w:val="clear" w:color="auto" w:fill="F0FFFF"/>
          </w:tcPr>
          <w:p>
            <w:pPr>
              <w:ind w:left="60"/>
              <w:spacing w:after="0"/>
              <w:rPr>
                <w:sz w:val="20"/>
                <w:szCs w:val="20"/>
                <w:color w:val="auto"/>
              </w:rPr>
            </w:pPr>
            <w:r>
              <w:rPr>
                <w:rFonts w:ascii="Times New Roman" w:cs="Times New Roman" w:eastAsia="Times New Roman" w:hAnsi="Times New Roman"/>
                <w:sz w:val="13"/>
                <w:szCs w:val="13"/>
                <w:b w:val="1"/>
                <w:bCs w:val="1"/>
                <w:color w:val="auto"/>
              </w:rPr>
              <w:t>Withdrawals?</w:t>
            </w:r>
          </w:p>
        </w:tc>
        <w:tc>
          <w:tcPr>
            <w:tcW w:w="560" w:type="dxa"/>
            <w:vAlign w:val="bottom"/>
            <w:tcBorders>
              <w:right w:val="single" w:sz="8" w:color="F0FFFF"/>
            </w:tcBorders>
            <w:shd w:val="clear" w:color="auto" w:fill="F0FFFF"/>
          </w:tcPr>
          <w:p>
            <w:pPr>
              <w:spacing w:after="0" w:line="20" w:lineRule="exact"/>
              <w:rPr>
                <w:sz w:val="1"/>
                <w:szCs w:val="1"/>
                <w:color w:val="auto"/>
              </w:rPr>
            </w:pPr>
          </w:p>
        </w:tc>
        <w:tc>
          <w:tcPr>
            <w:tcW w:w="48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tcBorders>
              <w:right w:val="single" w:sz="8" w:color="auto"/>
            </w:tcBorders>
            <w:shd w:val="clear" w:color="auto" w:fill="F0FFFF"/>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500" w:type="dxa"/>
            <w:vAlign w:val="bottom"/>
            <w:tcBorders>
              <w:left w:val="single" w:sz="8" w:color="F0FFFF"/>
              <w:right w:val="single" w:sz="8" w:color="auto"/>
            </w:tcBorders>
            <w:shd w:val="clear" w:color="auto" w:fill="F0FFFF"/>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1300" w:type="dxa"/>
            <w:vAlign w:val="bottom"/>
            <w:tcBorders>
              <w:right w:val="single" w:sz="8" w:color="auto"/>
            </w:tcBorders>
            <w:gridSpan w:val="6"/>
            <w:vMerge w:val="restart"/>
            <w:shd w:val="clear" w:color="auto" w:fill="F0FFFF"/>
          </w:tcPr>
          <w:p>
            <w:pPr>
              <w:ind w:left="60"/>
              <w:spacing w:after="0"/>
              <w:rPr>
                <w:sz w:val="20"/>
                <w:szCs w:val="20"/>
                <w:color w:val="auto"/>
              </w:rPr>
            </w:pPr>
            <w:r>
              <w:rPr>
                <w:rFonts w:ascii="Times New Roman" w:cs="Times New Roman" w:eastAsia="Times New Roman" w:hAnsi="Times New Roman"/>
                <w:sz w:val="13"/>
                <w:szCs w:val="13"/>
                <w:b w:val="1"/>
                <w:bCs w:val="1"/>
                <w:color w:val="auto"/>
              </w:rPr>
              <w:t>CHARGES,</w:t>
            </w:r>
          </w:p>
        </w:tc>
        <w:tc>
          <w:tcPr>
            <w:tcW w:w="0" w:type="dxa"/>
            <w:vAlign w:val="bottom"/>
          </w:tcPr>
          <w:p>
            <w:pPr>
              <w:spacing w:after="0" w:line="20" w:lineRule="exact"/>
              <w:rPr>
                <w:sz w:val="1"/>
                <w:szCs w:val="1"/>
                <w:color w:val="auto"/>
              </w:rPr>
            </w:pPr>
          </w:p>
        </w:tc>
      </w:tr>
      <w:tr>
        <w:trPr>
          <w:trHeight w:val="139"/>
        </w:trPr>
        <w:tc>
          <w:tcPr>
            <w:tcW w:w="1600" w:type="dxa"/>
            <w:vAlign w:val="bottom"/>
            <w:tcBorders>
              <w:left w:val="single" w:sz="8" w:color="auto"/>
              <w:right w:val="single" w:sz="8" w:color="auto"/>
            </w:tcBorders>
            <w:vMerge w:val="continue"/>
            <w:shd w:val="clear" w:color="auto" w:fill="F0FFFF"/>
          </w:tcPr>
          <w:p>
            <w:pPr>
              <w:spacing w:after="0"/>
              <w:rPr>
                <w:sz w:val="12"/>
                <w:szCs w:val="12"/>
                <w:color w:val="auto"/>
              </w:rPr>
            </w:pPr>
          </w:p>
        </w:tc>
        <w:tc>
          <w:tcPr>
            <w:tcW w:w="4320" w:type="dxa"/>
            <w:vAlign w:val="bottom"/>
            <w:tcBorders>
              <w:right w:val="single" w:sz="8" w:color="auto"/>
            </w:tcBorders>
            <w:gridSpan w:val="16"/>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after the Issue Date of your Contract, you may be assessed a Withdrawal</w:t>
            </w:r>
          </w:p>
        </w:tc>
        <w:tc>
          <w:tcPr>
            <w:tcW w:w="1300" w:type="dxa"/>
            <w:vAlign w:val="bottom"/>
            <w:tcBorders>
              <w:right w:val="single" w:sz="8" w:color="auto"/>
            </w:tcBorders>
            <w:gridSpan w:val="6"/>
            <w:vMerge w:val="continue"/>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0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560" w:type="dxa"/>
            <w:vAlign w:val="bottom"/>
            <w:tcBorders>
              <w:right w:val="single" w:sz="8" w:color="auto"/>
            </w:tcBorders>
            <w:shd w:val="clear" w:color="auto" w:fill="F0FFFF"/>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280" w:type="dxa"/>
            <w:vAlign w:val="bottom"/>
            <w:tcBorders>
              <w:right w:val="single" w:sz="8" w:color="auto"/>
            </w:tcBorders>
            <w:shd w:val="clear" w:color="auto" w:fill="F0FFFF"/>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500" w:type="dxa"/>
            <w:vAlign w:val="bottom"/>
            <w:tcBorders>
              <w:left w:val="single" w:sz="8" w:color="F0FFFF"/>
              <w:right w:val="single" w:sz="8" w:color="auto"/>
            </w:tcBorders>
            <w:shd w:val="clear" w:color="auto" w:fill="F0FFFF"/>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200" w:type="dxa"/>
            <w:vAlign w:val="bottom"/>
            <w:tcBorders>
              <w:right w:val="single" w:sz="8" w:color="F0FFFF"/>
            </w:tcBorders>
            <w:shd w:val="clear" w:color="auto" w:fill="F0FFFF"/>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1300" w:type="dxa"/>
            <w:vAlign w:val="bottom"/>
            <w:tcBorders>
              <w:right w:val="single" w:sz="8" w:color="auto"/>
            </w:tcBorders>
            <w:gridSpan w:val="6"/>
            <w:vMerge w:val="restart"/>
            <w:shd w:val="clear" w:color="auto" w:fill="F0FFFF"/>
          </w:tcPr>
          <w:p>
            <w:pPr>
              <w:ind w:left="60"/>
              <w:spacing w:after="0"/>
              <w:rPr>
                <w:sz w:val="20"/>
                <w:szCs w:val="20"/>
                <w:color w:val="auto"/>
              </w:rPr>
            </w:pPr>
            <w:r>
              <w:rPr>
                <w:rFonts w:ascii="Times New Roman" w:cs="Times New Roman" w:eastAsia="Times New Roman" w:hAnsi="Times New Roman"/>
                <w:sz w:val="13"/>
                <w:szCs w:val="13"/>
                <w:b w:val="1"/>
                <w:bCs w:val="1"/>
                <w:color w:val="auto"/>
              </w:rPr>
              <w:t>FEES, AND</w:t>
            </w:r>
          </w:p>
        </w:tc>
        <w:tc>
          <w:tcPr>
            <w:tcW w:w="0" w:type="dxa"/>
            <w:vAlign w:val="bottom"/>
          </w:tcPr>
          <w:p>
            <w:pPr>
              <w:spacing w:after="0" w:line="20" w:lineRule="exact"/>
              <w:rPr>
                <w:sz w:val="1"/>
                <w:szCs w:val="1"/>
                <w:color w:val="auto"/>
              </w:rPr>
            </w:pPr>
          </w:p>
        </w:tc>
      </w:tr>
      <w:tr>
        <w:trPr>
          <w:trHeight w:val="139"/>
        </w:trPr>
        <w:tc>
          <w:tcPr>
            <w:tcW w:w="1600" w:type="dxa"/>
            <w:vAlign w:val="bottom"/>
            <w:tcBorders>
              <w:left w:val="single" w:sz="8" w:color="auto"/>
              <w:right w:val="single" w:sz="8" w:color="auto"/>
            </w:tcBorders>
            <w:shd w:val="clear" w:color="auto" w:fill="F0FFFF"/>
          </w:tcPr>
          <w:p>
            <w:pPr>
              <w:spacing w:after="0"/>
              <w:rPr>
                <w:sz w:val="12"/>
                <w:szCs w:val="12"/>
                <w:color w:val="auto"/>
              </w:rPr>
            </w:pPr>
          </w:p>
        </w:tc>
        <w:tc>
          <w:tcPr>
            <w:tcW w:w="4320" w:type="dxa"/>
            <w:vAlign w:val="bottom"/>
            <w:tcBorders>
              <w:right w:val="single" w:sz="8" w:color="auto"/>
            </w:tcBorders>
            <w:gridSpan w:val="16"/>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Charge of up to 7% of the amount withdrawn in excess of the Free Withdrawal</w:t>
            </w:r>
          </w:p>
        </w:tc>
        <w:tc>
          <w:tcPr>
            <w:tcW w:w="1300" w:type="dxa"/>
            <w:vAlign w:val="bottom"/>
            <w:tcBorders>
              <w:right w:val="single" w:sz="8" w:color="auto"/>
            </w:tcBorders>
            <w:gridSpan w:val="6"/>
            <w:vMerge w:val="continue"/>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0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500" w:type="dxa"/>
            <w:vAlign w:val="bottom"/>
            <w:tcBorders>
              <w:left w:val="single" w:sz="8" w:color="F0FFFF"/>
              <w:right w:val="single" w:sz="8" w:color="auto"/>
            </w:tcBorders>
            <w:shd w:val="clear" w:color="auto" w:fill="F0FFFF"/>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1300" w:type="dxa"/>
            <w:vAlign w:val="bottom"/>
            <w:tcBorders>
              <w:right w:val="single" w:sz="8" w:color="auto"/>
            </w:tcBorders>
            <w:gridSpan w:val="6"/>
            <w:vMerge w:val="restart"/>
            <w:shd w:val="clear" w:color="auto" w:fill="F0FFFF"/>
          </w:tcPr>
          <w:p>
            <w:pPr>
              <w:ind w:left="6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0" w:type="dxa"/>
            <w:vAlign w:val="bottom"/>
          </w:tcPr>
          <w:p>
            <w:pPr>
              <w:spacing w:after="0" w:line="20" w:lineRule="exact"/>
              <w:rPr>
                <w:sz w:val="1"/>
                <w:szCs w:val="1"/>
                <w:color w:val="auto"/>
              </w:rPr>
            </w:pPr>
          </w:p>
        </w:tc>
      </w:tr>
      <w:tr>
        <w:trPr>
          <w:trHeight w:val="139"/>
        </w:trPr>
        <w:tc>
          <w:tcPr>
            <w:tcW w:w="1600" w:type="dxa"/>
            <w:vAlign w:val="bottom"/>
            <w:tcBorders>
              <w:left w:val="single" w:sz="8" w:color="auto"/>
              <w:right w:val="single" w:sz="8" w:color="auto"/>
            </w:tcBorders>
            <w:shd w:val="clear" w:color="auto" w:fill="F0FFFF"/>
          </w:tcPr>
          <w:p>
            <w:pPr>
              <w:spacing w:after="0"/>
              <w:rPr>
                <w:sz w:val="12"/>
                <w:szCs w:val="12"/>
                <w:color w:val="auto"/>
              </w:rPr>
            </w:pPr>
          </w:p>
        </w:tc>
        <w:tc>
          <w:tcPr>
            <w:tcW w:w="4320" w:type="dxa"/>
            <w:vAlign w:val="bottom"/>
            <w:tcBorders>
              <w:right w:val="single" w:sz="8" w:color="auto"/>
            </w:tcBorders>
            <w:gridSpan w:val="16"/>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Amount, declining to 0% over that time period.</w:t>
            </w:r>
          </w:p>
        </w:tc>
        <w:tc>
          <w:tcPr>
            <w:tcW w:w="1300" w:type="dxa"/>
            <w:vAlign w:val="bottom"/>
            <w:tcBorders>
              <w:right w:val="single" w:sz="8" w:color="auto"/>
            </w:tcBorders>
            <w:gridSpan w:val="6"/>
            <w:vMerge w:val="continue"/>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0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50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200" w:type="dxa"/>
            <w:vAlign w:val="bottom"/>
            <w:tcBorders>
              <w:right w:val="single" w:sz="8" w:color="F0FFFF"/>
            </w:tcBorders>
            <w:shd w:val="clear" w:color="auto" w:fill="F0FFFF"/>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1300" w:type="dxa"/>
            <w:vAlign w:val="bottom"/>
            <w:tcBorders>
              <w:right w:val="single" w:sz="8" w:color="auto"/>
            </w:tcBorders>
            <w:gridSpan w:val="6"/>
            <w:vMerge w:val="restart"/>
            <w:shd w:val="clear" w:color="auto" w:fill="F0FFFF"/>
          </w:tcPr>
          <w:p>
            <w:pPr>
              <w:ind w:left="60"/>
              <w:spacing w:after="0"/>
              <w:rPr>
                <w:sz w:val="20"/>
                <w:szCs w:val="20"/>
                <w:color w:val="auto"/>
              </w:rPr>
            </w:pPr>
            <w:r>
              <w:rPr>
                <w:rFonts w:ascii="Times New Roman" w:cs="Times New Roman" w:eastAsia="Times New Roman" w:hAnsi="Times New Roman"/>
                <w:sz w:val="13"/>
                <w:szCs w:val="13"/>
                <w:b w:val="1"/>
                <w:bCs w:val="1"/>
                <w:color w:val="auto"/>
              </w:rPr>
              <w:t> </w:t>
            </w:r>
          </w:p>
        </w:tc>
        <w:tc>
          <w:tcPr>
            <w:tcW w:w="0" w:type="dxa"/>
            <w:vAlign w:val="bottom"/>
          </w:tcPr>
          <w:p>
            <w:pPr>
              <w:spacing w:after="0" w:line="20" w:lineRule="exact"/>
              <w:rPr>
                <w:sz w:val="1"/>
                <w:szCs w:val="1"/>
                <w:color w:val="auto"/>
              </w:rPr>
            </w:pPr>
          </w:p>
        </w:tc>
      </w:tr>
      <w:tr>
        <w:trPr>
          <w:trHeight w:val="139"/>
        </w:trPr>
        <w:tc>
          <w:tcPr>
            <w:tcW w:w="1600" w:type="dxa"/>
            <w:vAlign w:val="bottom"/>
            <w:tcBorders>
              <w:left w:val="single" w:sz="8" w:color="auto"/>
              <w:right w:val="single" w:sz="8" w:color="auto"/>
            </w:tcBorders>
            <w:shd w:val="clear" w:color="auto" w:fill="F0FFFF"/>
          </w:tcPr>
          <w:p>
            <w:pPr>
              <w:spacing w:after="0"/>
              <w:rPr>
                <w:sz w:val="12"/>
                <w:szCs w:val="12"/>
                <w:color w:val="auto"/>
              </w:rPr>
            </w:pPr>
          </w:p>
        </w:tc>
        <w:tc>
          <w:tcPr>
            <w:tcW w:w="4320" w:type="dxa"/>
            <w:vAlign w:val="bottom"/>
            <w:tcBorders>
              <w:right w:val="single" w:sz="8" w:color="auto"/>
            </w:tcBorders>
            <w:gridSpan w:val="16"/>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For example, if you make a withdrawal, you could pay a Withdrawal Charge of</w:t>
            </w:r>
          </w:p>
        </w:tc>
        <w:tc>
          <w:tcPr>
            <w:tcW w:w="1300" w:type="dxa"/>
            <w:vAlign w:val="bottom"/>
            <w:tcBorders>
              <w:right w:val="single" w:sz="8" w:color="auto"/>
            </w:tcBorders>
            <w:gridSpan w:val="6"/>
            <w:vMerge w:val="continue"/>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0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560" w:type="dxa"/>
            <w:vAlign w:val="bottom"/>
            <w:tcBorders>
              <w:right w:val="single" w:sz="8" w:color="F0FFFF"/>
            </w:tcBorders>
            <w:shd w:val="clear" w:color="auto" w:fill="F0FFFF"/>
          </w:tcPr>
          <w:p>
            <w:pPr>
              <w:spacing w:after="0" w:line="20" w:lineRule="exact"/>
              <w:rPr>
                <w:sz w:val="1"/>
                <w:szCs w:val="1"/>
                <w:color w:val="auto"/>
              </w:rPr>
            </w:pPr>
          </w:p>
        </w:tc>
        <w:tc>
          <w:tcPr>
            <w:tcW w:w="48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5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60" w:type="dxa"/>
            <w:vAlign w:val="bottom"/>
            <w:vMerge w:val="restart"/>
            <w:shd w:val="clear" w:color="auto" w:fill="F0FFFF"/>
          </w:tcPr>
          <w:p>
            <w:pPr>
              <w:spacing w:after="0" w:line="20" w:lineRule="exact"/>
              <w:rPr>
                <w:sz w:val="1"/>
                <w:szCs w:val="1"/>
                <w:color w:val="auto"/>
              </w:rPr>
            </w:pPr>
          </w:p>
        </w:tc>
        <w:tc>
          <w:tcPr>
            <w:tcW w:w="1100" w:type="dxa"/>
            <w:vAlign w:val="bottom"/>
            <w:gridSpan w:val="4"/>
            <w:vMerge w:val="restart"/>
            <w:shd w:val="clear" w:color="auto" w:fill="F0FFFF"/>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INTERIM VALUE</w:t>
            </w:r>
          </w:p>
        </w:tc>
        <w:tc>
          <w:tcPr>
            <w:tcW w:w="140" w:type="dxa"/>
            <w:vAlign w:val="bottom"/>
            <w:tcBorders>
              <w:right w:val="single" w:sz="8" w:color="auto"/>
            </w:tcBorders>
            <w:vMerge w:val="restart"/>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600" w:type="dxa"/>
            <w:vAlign w:val="bottom"/>
            <w:tcBorders>
              <w:left w:val="single" w:sz="8" w:color="auto"/>
              <w:bottom w:val="single" w:sz="8" w:color="F0FFFF"/>
              <w:right w:val="single" w:sz="8" w:color="auto"/>
            </w:tcBorders>
            <w:shd w:val="clear" w:color="auto" w:fill="F0FFFF"/>
          </w:tcPr>
          <w:p>
            <w:pPr>
              <w:spacing w:after="0"/>
              <w:rPr>
                <w:sz w:val="9"/>
                <w:szCs w:val="9"/>
                <w:color w:val="auto"/>
              </w:rPr>
            </w:pPr>
          </w:p>
        </w:tc>
        <w:tc>
          <w:tcPr>
            <w:tcW w:w="4320" w:type="dxa"/>
            <w:vAlign w:val="bottom"/>
            <w:tcBorders>
              <w:bottom w:val="single" w:sz="8" w:color="F0FFFF"/>
              <w:right w:val="single" w:sz="8" w:color="auto"/>
            </w:tcBorders>
            <w:gridSpan w:val="16"/>
            <w:vMerge w:val="restart"/>
            <w:shd w:val="clear" w:color="auto" w:fill="F0FFFF"/>
          </w:tcPr>
          <w:p>
            <w:pPr>
              <w:spacing w:after="0"/>
              <w:rPr>
                <w:sz w:val="20"/>
                <w:szCs w:val="20"/>
                <w:color w:val="auto"/>
              </w:rPr>
            </w:pPr>
            <w:r>
              <w:rPr>
                <w:rFonts w:ascii="Times New Roman" w:cs="Times New Roman" w:eastAsia="Times New Roman" w:hAnsi="Times New Roman"/>
                <w:sz w:val="13"/>
                <w:szCs w:val="13"/>
                <w:color w:val="auto"/>
              </w:rPr>
              <w:t>up to $7,000 on a $100,000 investment. This loss will be greater if there is a</w:t>
            </w:r>
          </w:p>
        </w:tc>
        <w:tc>
          <w:tcPr>
            <w:tcW w:w="60" w:type="dxa"/>
            <w:vAlign w:val="bottom"/>
            <w:tcBorders>
              <w:bottom w:val="single" w:sz="8" w:color="F0FFFF"/>
            </w:tcBorders>
            <w:vMerge w:val="continue"/>
            <w:shd w:val="clear" w:color="auto" w:fill="F0FFFF"/>
          </w:tcPr>
          <w:p>
            <w:pPr>
              <w:spacing w:after="0"/>
              <w:rPr>
                <w:sz w:val="9"/>
                <w:szCs w:val="9"/>
                <w:color w:val="auto"/>
              </w:rPr>
            </w:pPr>
          </w:p>
        </w:tc>
        <w:tc>
          <w:tcPr>
            <w:tcW w:w="1100" w:type="dxa"/>
            <w:vAlign w:val="bottom"/>
            <w:tcBorders>
              <w:bottom w:val="single" w:sz="8" w:color="auto"/>
            </w:tcBorders>
            <w:gridSpan w:val="4"/>
            <w:vMerge w:val="continue"/>
            <w:shd w:val="clear" w:color="auto" w:fill="F0FFFF"/>
          </w:tcPr>
          <w:p>
            <w:pPr>
              <w:spacing w:after="0"/>
              <w:rPr>
                <w:sz w:val="9"/>
                <w:szCs w:val="9"/>
                <w:color w:val="auto"/>
              </w:rPr>
            </w:pPr>
          </w:p>
        </w:tc>
        <w:tc>
          <w:tcPr>
            <w:tcW w:w="140" w:type="dxa"/>
            <w:vAlign w:val="bottom"/>
            <w:tcBorders>
              <w:bottom w:val="single" w:sz="8" w:color="F0FFFF"/>
              <w:right w:val="single" w:sz="8" w:color="auto"/>
            </w:tcBorders>
            <w:vMerge w:val="continue"/>
            <w:shd w:val="clear" w:color="auto" w:fill="F0FFFF"/>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600" w:type="dxa"/>
            <w:vAlign w:val="bottom"/>
            <w:tcBorders>
              <w:left w:val="single" w:sz="8" w:color="auto"/>
              <w:right w:val="single" w:sz="8" w:color="auto"/>
            </w:tcBorders>
            <w:shd w:val="clear" w:color="auto" w:fill="F0FFFF"/>
          </w:tcPr>
          <w:p>
            <w:pPr>
              <w:spacing w:after="0"/>
              <w:rPr>
                <w:sz w:val="2"/>
                <w:szCs w:val="2"/>
                <w:color w:val="auto"/>
              </w:rPr>
            </w:pPr>
          </w:p>
        </w:tc>
        <w:tc>
          <w:tcPr>
            <w:tcW w:w="4320" w:type="dxa"/>
            <w:vAlign w:val="bottom"/>
            <w:tcBorders>
              <w:right w:val="single" w:sz="8" w:color="auto"/>
            </w:tcBorders>
            <w:gridSpan w:val="16"/>
            <w:vMerge w:val="continue"/>
            <w:shd w:val="clear" w:color="auto" w:fill="F0FFFF"/>
          </w:tcPr>
          <w:p>
            <w:pPr>
              <w:spacing w:after="0"/>
              <w:rPr>
                <w:sz w:val="2"/>
                <w:szCs w:val="2"/>
                <w:color w:val="auto"/>
              </w:rPr>
            </w:pPr>
          </w:p>
        </w:tc>
        <w:tc>
          <w:tcPr>
            <w:tcW w:w="1300" w:type="dxa"/>
            <w:vAlign w:val="bottom"/>
            <w:tcBorders>
              <w:right w:val="single" w:sz="8" w:color="auto"/>
            </w:tcBorders>
            <w:gridSpan w:val="6"/>
            <w:vMerge w:val="restart"/>
            <w:shd w:val="clear" w:color="auto" w:fill="F0FFFF"/>
          </w:tcPr>
          <w:p>
            <w:pPr>
              <w:ind w:left="60"/>
              <w:spacing w:after="0"/>
              <w:rPr>
                <w:sz w:val="20"/>
                <w:szCs w:val="20"/>
                <w:color w:val="auto"/>
              </w:rPr>
            </w:pPr>
            <w:r>
              <w:rPr>
                <w:rFonts w:ascii="Times New Roman" w:cs="Times New Roman" w:eastAsia="Times New Roman" w:hAnsi="Times New Roman"/>
                <w:sz w:val="13"/>
                <w:szCs w:val="13"/>
                <w:b w:val="1"/>
                <w:bCs w:val="1"/>
                <w:color w:val="auto"/>
              </w:rPr>
              <w:t>CALCULATION</w:t>
            </w:r>
          </w:p>
        </w:tc>
        <w:tc>
          <w:tcPr>
            <w:tcW w:w="0" w:type="dxa"/>
            <w:vAlign w:val="bottom"/>
          </w:tcPr>
          <w:p>
            <w:pPr>
              <w:spacing w:after="0" w:line="20" w:lineRule="exact"/>
              <w:rPr>
                <w:sz w:val="1"/>
                <w:szCs w:val="1"/>
                <w:color w:val="auto"/>
              </w:rPr>
            </w:pPr>
          </w:p>
        </w:tc>
      </w:tr>
      <w:tr>
        <w:trPr>
          <w:trHeight w:val="142"/>
        </w:trPr>
        <w:tc>
          <w:tcPr>
            <w:tcW w:w="1600" w:type="dxa"/>
            <w:vAlign w:val="bottom"/>
            <w:tcBorders>
              <w:left w:val="single" w:sz="8" w:color="auto"/>
              <w:right w:val="single" w:sz="8" w:color="auto"/>
            </w:tcBorders>
            <w:shd w:val="clear" w:color="auto" w:fill="F0FFFF"/>
          </w:tcPr>
          <w:p>
            <w:pPr>
              <w:spacing w:after="0"/>
              <w:rPr>
                <w:sz w:val="12"/>
                <w:szCs w:val="12"/>
                <w:color w:val="auto"/>
              </w:rPr>
            </w:pPr>
          </w:p>
        </w:tc>
        <w:tc>
          <w:tcPr>
            <w:tcW w:w="4320" w:type="dxa"/>
            <w:vAlign w:val="bottom"/>
            <w:tcBorders>
              <w:right w:val="single" w:sz="8" w:color="auto"/>
            </w:tcBorders>
            <w:gridSpan w:val="16"/>
            <w:shd w:val="clear" w:color="auto" w:fill="F0FFFF"/>
          </w:tcPr>
          <w:p>
            <w:pPr>
              <w:spacing w:after="0" w:line="142" w:lineRule="exact"/>
              <w:rPr>
                <w:sz w:val="20"/>
                <w:szCs w:val="20"/>
                <w:color w:val="auto"/>
              </w:rPr>
            </w:pPr>
            <w:r>
              <w:rPr>
                <w:rFonts w:ascii="Times New Roman" w:cs="Times New Roman" w:eastAsia="Times New Roman" w:hAnsi="Times New Roman"/>
                <w:sz w:val="13"/>
                <w:szCs w:val="13"/>
                <w:color w:val="auto"/>
              </w:rPr>
              <w:t>negative Interim Value, taxes, or tax penalties.</w:t>
            </w:r>
          </w:p>
        </w:tc>
        <w:tc>
          <w:tcPr>
            <w:tcW w:w="1300" w:type="dxa"/>
            <w:vAlign w:val="bottom"/>
            <w:tcBorders>
              <w:right w:val="single" w:sz="8" w:color="auto"/>
            </w:tcBorders>
            <w:gridSpan w:val="6"/>
            <w:vMerge w:val="continue"/>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0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560" w:type="dxa"/>
            <w:vAlign w:val="bottom"/>
            <w:tcBorders>
              <w:right w:val="single" w:sz="8" w:color="auto"/>
            </w:tcBorders>
            <w:shd w:val="clear" w:color="auto" w:fill="F0FFFF"/>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F0FFFF"/>
            </w:tcBorders>
            <w:shd w:val="clear" w:color="auto" w:fill="000000"/>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50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200" w:type="dxa"/>
            <w:vAlign w:val="bottom"/>
            <w:tcBorders>
              <w:right w:val="single" w:sz="8" w:color="F0FFFF"/>
            </w:tcBorders>
            <w:shd w:val="clear" w:color="auto" w:fill="F0FFFF"/>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320" w:type="dxa"/>
            <w:vAlign w:val="bottom"/>
            <w:shd w:val="clear" w:color="auto" w:fill="F0FFFF"/>
          </w:tcPr>
          <w:p>
            <w:pPr>
              <w:spacing w:after="0" w:line="20" w:lineRule="exact"/>
              <w:rPr>
                <w:sz w:val="1"/>
                <w:szCs w:val="1"/>
                <w:color w:val="auto"/>
              </w:rPr>
            </w:pPr>
          </w:p>
        </w:tc>
        <w:tc>
          <w:tcPr>
            <w:tcW w:w="66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600" w:type="dxa"/>
            <w:vAlign w:val="bottom"/>
            <w:tcBorders>
              <w:left w:val="single" w:sz="8" w:color="auto"/>
              <w:right w:val="single" w:sz="8" w:color="auto"/>
            </w:tcBorders>
            <w:shd w:val="clear" w:color="auto" w:fill="F0FFFF"/>
          </w:tcPr>
          <w:p>
            <w:pPr>
              <w:spacing w:after="0"/>
              <w:rPr>
                <w:sz w:val="12"/>
                <w:szCs w:val="12"/>
                <w:color w:val="auto"/>
              </w:rPr>
            </w:pPr>
          </w:p>
        </w:tc>
        <w:tc>
          <w:tcPr>
            <w:tcW w:w="4320" w:type="dxa"/>
            <w:vAlign w:val="bottom"/>
            <w:tcBorders>
              <w:right w:val="single" w:sz="8" w:color="auto"/>
            </w:tcBorders>
            <w:gridSpan w:val="16"/>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If you exercise the Performance Lock or all or a portion of the Account Value is</w:t>
            </w:r>
          </w:p>
        </w:tc>
        <w:tc>
          <w:tcPr>
            <w:tcW w:w="60" w:type="dxa"/>
            <w:vAlign w:val="bottom"/>
            <w:shd w:val="clear" w:color="auto" w:fill="F0FFFF"/>
          </w:tcPr>
          <w:p>
            <w:pPr>
              <w:spacing w:after="0"/>
              <w:rPr>
                <w:sz w:val="12"/>
                <w:szCs w:val="12"/>
                <w:color w:val="auto"/>
              </w:rPr>
            </w:pPr>
          </w:p>
        </w:tc>
        <w:tc>
          <w:tcPr>
            <w:tcW w:w="32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4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0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560" w:type="dxa"/>
            <w:vAlign w:val="bottom"/>
            <w:tcBorders>
              <w:right w:val="single" w:sz="8" w:color="F0FFFF"/>
            </w:tcBorders>
            <w:shd w:val="clear" w:color="auto" w:fill="F0FFFF"/>
          </w:tcPr>
          <w:p>
            <w:pPr>
              <w:spacing w:after="0" w:line="20" w:lineRule="exact"/>
              <w:rPr>
                <w:sz w:val="1"/>
                <w:szCs w:val="1"/>
                <w:color w:val="auto"/>
              </w:rPr>
            </w:pPr>
          </w:p>
        </w:tc>
        <w:tc>
          <w:tcPr>
            <w:tcW w:w="480" w:type="dxa"/>
            <w:vAlign w:val="bottom"/>
            <w:tcBorders>
              <w:right w:val="single" w:sz="8" w:color="auto"/>
            </w:tcBorders>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500" w:type="dxa"/>
            <w:vAlign w:val="bottom"/>
            <w:tcBorders>
              <w:left w:val="single" w:sz="8" w:color="F0FFFF"/>
              <w:right w:val="single" w:sz="8" w:color="auto"/>
            </w:tcBorders>
            <w:shd w:val="clear" w:color="auto" w:fill="F0FFFF"/>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320" w:type="dxa"/>
            <w:vAlign w:val="bottom"/>
            <w:shd w:val="clear" w:color="auto" w:fill="F0FFFF"/>
          </w:tcPr>
          <w:p>
            <w:pPr>
              <w:spacing w:after="0" w:line="20" w:lineRule="exact"/>
              <w:rPr>
                <w:sz w:val="1"/>
                <w:szCs w:val="1"/>
                <w:color w:val="auto"/>
              </w:rPr>
            </w:pPr>
          </w:p>
        </w:tc>
        <w:tc>
          <w:tcPr>
            <w:tcW w:w="66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600" w:type="dxa"/>
            <w:vAlign w:val="bottom"/>
            <w:tcBorders>
              <w:left w:val="single" w:sz="8" w:color="auto"/>
              <w:right w:val="single" w:sz="8" w:color="auto"/>
            </w:tcBorders>
            <w:shd w:val="clear" w:color="auto" w:fill="F0FFFF"/>
          </w:tcPr>
          <w:p>
            <w:pPr>
              <w:spacing w:after="0"/>
              <w:rPr>
                <w:sz w:val="12"/>
                <w:szCs w:val="12"/>
                <w:color w:val="auto"/>
              </w:rPr>
            </w:pPr>
          </w:p>
        </w:tc>
        <w:tc>
          <w:tcPr>
            <w:tcW w:w="4320" w:type="dxa"/>
            <w:vAlign w:val="bottom"/>
            <w:tcBorders>
              <w:right w:val="single" w:sz="8" w:color="auto"/>
            </w:tcBorders>
            <w:gridSpan w:val="16"/>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removed from a Shield Option or from the Contract before the end of a Term,</w:t>
            </w:r>
          </w:p>
        </w:tc>
        <w:tc>
          <w:tcPr>
            <w:tcW w:w="60" w:type="dxa"/>
            <w:vAlign w:val="bottom"/>
            <w:shd w:val="clear" w:color="auto" w:fill="F0FFFF"/>
          </w:tcPr>
          <w:p>
            <w:pPr>
              <w:spacing w:after="0"/>
              <w:rPr>
                <w:sz w:val="12"/>
                <w:szCs w:val="12"/>
                <w:color w:val="auto"/>
              </w:rPr>
            </w:pPr>
          </w:p>
        </w:tc>
        <w:tc>
          <w:tcPr>
            <w:tcW w:w="32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4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0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560" w:type="dxa"/>
            <w:vAlign w:val="bottom"/>
            <w:tcBorders>
              <w:right w:val="single" w:sz="8" w:color="F0FFFF"/>
            </w:tcBorders>
            <w:shd w:val="clear" w:color="auto" w:fill="F0FFFF"/>
          </w:tcPr>
          <w:p>
            <w:pPr>
              <w:spacing w:after="0" w:line="20" w:lineRule="exact"/>
              <w:rPr>
                <w:sz w:val="1"/>
                <w:szCs w:val="1"/>
                <w:color w:val="auto"/>
              </w:rPr>
            </w:pPr>
          </w:p>
        </w:tc>
        <w:tc>
          <w:tcPr>
            <w:tcW w:w="480" w:type="dxa"/>
            <w:vAlign w:val="bottom"/>
            <w:tcBorders>
              <w:right w:val="single" w:sz="8" w:color="auto"/>
            </w:tcBorders>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tcBorders>
              <w:right w:val="single" w:sz="8" w:color="auto"/>
            </w:tcBorders>
            <w:shd w:val="clear" w:color="auto" w:fill="F0FF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50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300" w:type="dxa"/>
            <w:vAlign w:val="bottom"/>
            <w:tcBorders>
              <w:right w:val="single" w:sz="8" w:color="auto"/>
            </w:tcBorders>
            <w:shd w:val="clear" w:color="auto" w:fill="F0FF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320" w:type="dxa"/>
            <w:vAlign w:val="bottom"/>
            <w:shd w:val="clear" w:color="auto" w:fill="F0FFFF"/>
          </w:tcPr>
          <w:p>
            <w:pPr>
              <w:spacing w:after="0" w:line="20" w:lineRule="exact"/>
              <w:rPr>
                <w:sz w:val="1"/>
                <w:szCs w:val="1"/>
                <w:color w:val="auto"/>
              </w:rPr>
            </w:pPr>
          </w:p>
        </w:tc>
        <w:tc>
          <w:tcPr>
            <w:tcW w:w="66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600" w:type="dxa"/>
            <w:vAlign w:val="bottom"/>
            <w:tcBorders>
              <w:left w:val="single" w:sz="8" w:color="auto"/>
              <w:right w:val="single" w:sz="8" w:color="auto"/>
            </w:tcBorders>
            <w:shd w:val="clear" w:color="auto" w:fill="F0FFFF"/>
          </w:tcPr>
          <w:p>
            <w:pPr>
              <w:spacing w:after="0"/>
              <w:rPr>
                <w:sz w:val="12"/>
                <w:szCs w:val="12"/>
                <w:color w:val="auto"/>
              </w:rPr>
            </w:pPr>
          </w:p>
        </w:tc>
        <w:tc>
          <w:tcPr>
            <w:tcW w:w="4320" w:type="dxa"/>
            <w:vAlign w:val="bottom"/>
            <w:tcBorders>
              <w:right w:val="single" w:sz="8" w:color="auto"/>
            </w:tcBorders>
            <w:gridSpan w:val="16"/>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we will apply an Interim Value calculation, which may be negative. In extreme</w:t>
            </w:r>
          </w:p>
        </w:tc>
        <w:tc>
          <w:tcPr>
            <w:tcW w:w="60" w:type="dxa"/>
            <w:vAlign w:val="bottom"/>
            <w:shd w:val="clear" w:color="auto" w:fill="F0FFFF"/>
          </w:tcPr>
          <w:p>
            <w:pPr>
              <w:spacing w:after="0"/>
              <w:rPr>
                <w:sz w:val="12"/>
                <w:szCs w:val="12"/>
                <w:color w:val="auto"/>
              </w:rPr>
            </w:pPr>
          </w:p>
        </w:tc>
        <w:tc>
          <w:tcPr>
            <w:tcW w:w="32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4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0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560" w:type="dxa"/>
            <w:vAlign w:val="bottom"/>
            <w:tcBorders>
              <w:right w:val="single" w:sz="8" w:color="F0FFFF"/>
            </w:tcBorders>
            <w:shd w:val="clear" w:color="auto" w:fill="F0FFFF"/>
          </w:tcPr>
          <w:p>
            <w:pPr>
              <w:spacing w:after="0" w:line="20" w:lineRule="exact"/>
              <w:rPr>
                <w:sz w:val="1"/>
                <w:szCs w:val="1"/>
                <w:color w:val="auto"/>
              </w:rPr>
            </w:pPr>
          </w:p>
        </w:tc>
        <w:tc>
          <w:tcPr>
            <w:tcW w:w="480" w:type="dxa"/>
            <w:vAlign w:val="bottom"/>
            <w:tcBorders>
              <w:right w:val="single" w:sz="8" w:color="auto"/>
            </w:tcBorders>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50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200" w:type="dxa"/>
            <w:vAlign w:val="bottom"/>
            <w:tcBorders>
              <w:right w:val="single" w:sz="8" w:color="F0FFFF"/>
            </w:tcBorders>
            <w:shd w:val="clear" w:color="auto" w:fill="F0FFFF"/>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320" w:type="dxa"/>
            <w:vAlign w:val="bottom"/>
            <w:shd w:val="clear" w:color="auto" w:fill="F0FFFF"/>
          </w:tcPr>
          <w:p>
            <w:pPr>
              <w:spacing w:after="0" w:line="20" w:lineRule="exact"/>
              <w:rPr>
                <w:sz w:val="1"/>
                <w:szCs w:val="1"/>
                <w:color w:val="auto"/>
              </w:rPr>
            </w:pPr>
          </w:p>
        </w:tc>
        <w:tc>
          <w:tcPr>
            <w:tcW w:w="66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600" w:type="dxa"/>
            <w:vAlign w:val="bottom"/>
            <w:tcBorders>
              <w:left w:val="single" w:sz="8" w:color="auto"/>
              <w:right w:val="single" w:sz="8" w:color="auto"/>
            </w:tcBorders>
            <w:shd w:val="clear" w:color="auto" w:fill="F0FFFF"/>
          </w:tcPr>
          <w:p>
            <w:pPr>
              <w:spacing w:after="0"/>
              <w:rPr>
                <w:sz w:val="12"/>
                <w:szCs w:val="12"/>
                <w:color w:val="auto"/>
              </w:rPr>
            </w:pPr>
          </w:p>
        </w:tc>
        <w:tc>
          <w:tcPr>
            <w:tcW w:w="4320" w:type="dxa"/>
            <w:vAlign w:val="bottom"/>
            <w:tcBorders>
              <w:right w:val="single" w:sz="8" w:color="auto"/>
            </w:tcBorders>
            <w:gridSpan w:val="16"/>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circumstances, you could lose up to 100% of the value of your Shield Option if</w:t>
            </w:r>
          </w:p>
        </w:tc>
        <w:tc>
          <w:tcPr>
            <w:tcW w:w="60" w:type="dxa"/>
            <w:vAlign w:val="bottom"/>
            <w:shd w:val="clear" w:color="auto" w:fill="F0FFFF"/>
          </w:tcPr>
          <w:p>
            <w:pPr>
              <w:spacing w:after="0"/>
              <w:rPr>
                <w:sz w:val="12"/>
                <w:szCs w:val="12"/>
                <w:color w:val="auto"/>
              </w:rPr>
            </w:pPr>
          </w:p>
        </w:tc>
        <w:tc>
          <w:tcPr>
            <w:tcW w:w="32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4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0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560" w:type="dxa"/>
            <w:vAlign w:val="bottom"/>
            <w:tcBorders>
              <w:right w:val="single" w:sz="8" w:color="F0FFFF"/>
            </w:tcBorders>
            <w:shd w:val="clear" w:color="auto" w:fill="F0FFFF"/>
          </w:tcPr>
          <w:p>
            <w:pPr>
              <w:spacing w:after="0" w:line="20" w:lineRule="exact"/>
              <w:rPr>
                <w:sz w:val="1"/>
                <w:szCs w:val="1"/>
                <w:color w:val="auto"/>
              </w:rPr>
            </w:pPr>
          </w:p>
        </w:tc>
        <w:tc>
          <w:tcPr>
            <w:tcW w:w="48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500" w:type="dxa"/>
            <w:vAlign w:val="bottom"/>
            <w:tcBorders>
              <w:left w:val="single" w:sz="8" w:color="F0FFFF"/>
              <w:right w:val="single" w:sz="8" w:color="auto"/>
            </w:tcBorders>
            <w:shd w:val="clear" w:color="auto" w:fill="F0FFFF"/>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320" w:type="dxa"/>
            <w:vAlign w:val="bottom"/>
            <w:shd w:val="clear" w:color="auto" w:fill="F0FFFF"/>
          </w:tcPr>
          <w:p>
            <w:pPr>
              <w:spacing w:after="0" w:line="20" w:lineRule="exact"/>
              <w:rPr>
                <w:sz w:val="1"/>
                <w:szCs w:val="1"/>
                <w:color w:val="auto"/>
              </w:rPr>
            </w:pPr>
          </w:p>
        </w:tc>
        <w:tc>
          <w:tcPr>
            <w:tcW w:w="66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600" w:type="dxa"/>
            <w:vAlign w:val="bottom"/>
            <w:tcBorders>
              <w:left w:val="single" w:sz="8" w:color="auto"/>
              <w:right w:val="single" w:sz="8" w:color="auto"/>
            </w:tcBorders>
            <w:shd w:val="clear" w:color="auto" w:fill="F0FFFF"/>
          </w:tcPr>
          <w:p>
            <w:pPr>
              <w:spacing w:after="0"/>
              <w:rPr>
                <w:sz w:val="12"/>
                <w:szCs w:val="12"/>
                <w:color w:val="auto"/>
              </w:rPr>
            </w:pPr>
          </w:p>
        </w:tc>
        <w:tc>
          <w:tcPr>
            <w:tcW w:w="4320" w:type="dxa"/>
            <w:vAlign w:val="bottom"/>
            <w:tcBorders>
              <w:right w:val="single" w:sz="8" w:color="auto"/>
            </w:tcBorders>
            <w:gridSpan w:val="16"/>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you exercise the Performance Lock, or if you make a withdrawal, Surrender,</w:t>
            </w:r>
          </w:p>
        </w:tc>
        <w:tc>
          <w:tcPr>
            <w:tcW w:w="60" w:type="dxa"/>
            <w:vAlign w:val="bottom"/>
            <w:shd w:val="clear" w:color="auto" w:fill="F0FFFF"/>
          </w:tcPr>
          <w:p>
            <w:pPr>
              <w:spacing w:after="0"/>
              <w:rPr>
                <w:sz w:val="12"/>
                <w:szCs w:val="12"/>
                <w:color w:val="auto"/>
              </w:rPr>
            </w:pPr>
          </w:p>
        </w:tc>
        <w:tc>
          <w:tcPr>
            <w:tcW w:w="32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4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0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560" w:type="dxa"/>
            <w:vAlign w:val="bottom"/>
            <w:tcBorders>
              <w:right w:val="single" w:sz="8" w:color="F0FFFF"/>
            </w:tcBorders>
            <w:shd w:val="clear" w:color="auto" w:fill="F0FFFF"/>
          </w:tcPr>
          <w:p>
            <w:pPr>
              <w:spacing w:after="0" w:line="20" w:lineRule="exact"/>
              <w:rPr>
                <w:sz w:val="1"/>
                <w:szCs w:val="1"/>
                <w:color w:val="auto"/>
              </w:rPr>
            </w:pPr>
          </w:p>
        </w:tc>
        <w:tc>
          <w:tcPr>
            <w:tcW w:w="480" w:type="dxa"/>
            <w:vAlign w:val="bottom"/>
            <w:tcBorders>
              <w:right w:val="single" w:sz="8" w:color="auto"/>
            </w:tcBorders>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F0FFFF"/>
            </w:tcBorders>
            <w:shd w:val="clear" w:color="auto" w:fill="000000"/>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500" w:type="dxa"/>
            <w:vAlign w:val="bottom"/>
            <w:tcBorders>
              <w:left w:val="single" w:sz="8" w:color="F0FFFF"/>
              <w:right w:val="single" w:sz="8" w:color="auto"/>
            </w:tcBorders>
            <w:shd w:val="clear" w:color="auto" w:fill="F0FFFF"/>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320" w:type="dxa"/>
            <w:vAlign w:val="bottom"/>
            <w:shd w:val="clear" w:color="auto" w:fill="F0FFFF"/>
          </w:tcPr>
          <w:p>
            <w:pPr>
              <w:spacing w:after="0" w:line="20" w:lineRule="exact"/>
              <w:rPr>
                <w:sz w:val="1"/>
                <w:szCs w:val="1"/>
                <w:color w:val="auto"/>
              </w:rPr>
            </w:pPr>
          </w:p>
        </w:tc>
        <w:tc>
          <w:tcPr>
            <w:tcW w:w="66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600" w:type="dxa"/>
            <w:vAlign w:val="bottom"/>
            <w:tcBorders>
              <w:left w:val="single" w:sz="8" w:color="auto"/>
              <w:right w:val="single" w:sz="8" w:color="auto"/>
            </w:tcBorders>
            <w:shd w:val="clear" w:color="auto" w:fill="F0FFFF"/>
          </w:tcPr>
          <w:p>
            <w:pPr>
              <w:spacing w:after="0"/>
              <w:rPr>
                <w:sz w:val="12"/>
                <w:szCs w:val="12"/>
                <w:color w:val="auto"/>
              </w:rPr>
            </w:pPr>
          </w:p>
        </w:tc>
        <w:tc>
          <w:tcPr>
            <w:tcW w:w="4320" w:type="dxa"/>
            <w:vAlign w:val="bottom"/>
            <w:tcBorders>
              <w:right w:val="single" w:sz="8" w:color="auto"/>
            </w:tcBorders>
            <w:gridSpan w:val="16"/>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or otherwise remove amounts from the Shield Options before the Term End</w:t>
            </w:r>
          </w:p>
        </w:tc>
        <w:tc>
          <w:tcPr>
            <w:tcW w:w="60" w:type="dxa"/>
            <w:vAlign w:val="bottom"/>
            <w:shd w:val="clear" w:color="auto" w:fill="F0FFFF"/>
          </w:tcPr>
          <w:p>
            <w:pPr>
              <w:spacing w:after="0"/>
              <w:rPr>
                <w:sz w:val="12"/>
                <w:szCs w:val="12"/>
                <w:color w:val="auto"/>
              </w:rPr>
            </w:pPr>
          </w:p>
        </w:tc>
        <w:tc>
          <w:tcPr>
            <w:tcW w:w="32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4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600" w:type="dxa"/>
            <w:vAlign w:val="bottom"/>
            <w:tcBorders>
              <w:top w:val="single" w:sz="8" w:color="F0FFFF"/>
              <w:left w:val="single" w:sz="8" w:color="auto"/>
              <w:right w:val="single" w:sz="8" w:color="auto"/>
            </w:tcBorders>
            <w:shd w:val="clear" w:color="auto" w:fill="F0FFFF"/>
          </w:tcPr>
          <w:p>
            <w:pPr>
              <w:spacing w:after="0"/>
              <w:rPr>
                <w:sz w:val="12"/>
                <w:szCs w:val="12"/>
                <w:color w:val="auto"/>
              </w:rPr>
            </w:pPr>
          </w:p>
        </w:tc>
        <w:tc>
          <w:tcPr>
            <w:tcW w:w="2100" w:type="dxa"/>
            <w:vAlign w:val="bottom"/>
            <w:tcBorders>
              <w:top w:val="single" w:sz="8" w:color="F0FFFF"/>
              <w:right w:val="single" w:sz="8" w:color="F0FFFF"/>
            </w:tcBorders>
            <w:gridSpan w:val="7"/>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Date due to a negative Interim Value.</w:t>
            </w:r>
          </w:p>
        </w:tc>
        <w:tc>
          <w:tcPr>
            <w:tcW w:w="760" w:type="dxa"/>
            <w:vAlign w:val="bottom"/>
            <w:tcBorders>
              <w:top w:val="single" w:sz="8" w:color="auto"/>
              <w:right w:val="single" w:sz="8" w:color="F0FFFF"/>
            </w:tcBorders>
            <w:gridSpan w:val="3"/>
            <w:shd w:val="clear" w:color="auto" w:fill="F0FFFF"/>
          </w:tcPr>
          <w:p>
            <w:pPr>
              <w:spacing w:after="0"/>
              <w:rPr>
                <w:sz w:val="12"/>
                <w:szCs w:val="12"/>
                <w:color w:val="auto"/>
              </w:rPr>
            </w:pPr>
          </w:p>
        </w:tc>
        <w:tc>
          <w:tcPr>
            <w:tcW w:w="720" w:type="dxa"/>
            <w:vAlign w:val="bottom"/>
            <w:tcBorders>
              <w:top w:val="single" w:sz="8" w:color="F0FFFF"/>
              <w:right w:val="single" w:sz="8" w:color="F0FFFF"/>
            </w:tcBorders>
            <w:gridSpan w:val="2"/>
            <w:shd w:val="clear" w:color="auto" w:fill="F0FFFF"/>
          </w:tcPr>
          <w:p>
            <w:pPr>
              <w:spacing w:after="0"/>
              <w:rPr>
                <w:sz w:val="12"/>
                <w:szCs w:val="12"/>
                <w:color w:val="auto"/>
              </w:rPr>
            </w:pPr>
          </w:p>
        </w:tc>
        <w:tc>
          <w:tcPr>
            <w:tcW w:w="600" w:type="dxa"/>
            <w:vAlign w:val="bottom"/>
            <w:tcBorders>
              <w:top w:val="single" w:sz="8" w:color="auto"/>
              <w:right w:val="single" w:sz="8" w:color="F0FFFF"/>
            </w:tcBorders>
            <w:gridSpan w:val="3"/>
            <w:shd w:val="clear" w:color="auto" w:fill="F0FFFF"/>
          </w:tcPr>
          <w:p>
            <w:pPr>
              <w:spacing w:after="0"/>
              <w:rPr>
                <w:sz w:val="12"/>
                <w:szCs w:val="12"/>
                <w:color w:val="auto"/>
              </w:rPr>
            </w:pPr>
          </w:p>
        </w:tc>
        <w:tc>
          <w:tcPr>
            <w:tcW w:w="140" w:type="dxa"/>
            <w:vAlign w:val="bottom"/>
            <w:tcBorders>
              <w:top w:val="single" w:sz="8" w:color="F0FFFF"/>
              <w:right w:val="single" w:sz="8" w:color="auto"/>
            </w:tcBorders>
            <w:shd w:val="clear" w:color="auto" w:fill="F0FFFF"/>
          </w:tcPr>
          <w:p>
            <w:pPr>
              <w:spacing w:after="0"/>
              <w:rPr>
                <w:sz w:val="12"/>
                <w:szCs w:val="12"/>
                <w:color w:val="auto"/>
              </w:rPr>
            </w:pPr>
          </w:p>
        </w:tc>
        <w:tc>
          <w:tcPr>
            <w:tcW w:w="60" w:type="dxa"/>
            <w:vAlign w:val="bottom"/>
            <w:tcBorders>
              <w:top w:val="single" w:sz="8" w:color="F0FFFF"/>
            </w:tcBorders>
            <w:shd w:val="clear" w:color="auto" w:fill="F0FFFF"/>
          </w:tcPr>
          <w:p>
            <w:pPr>
              <w:spacing w:after="0"/>
              <w:rPr>
                <w:sz w:val="12"/>
                <w:szCs w:val="12"/>
                <w:color w:val="auto"/>
              </w:rPr>
            </w:pPr>
          </w:p>
        </w:tc>
        <w:tc>
          <w:tcPr>
            <w:tcW w:w="320" w:type="dxa"/>
            <w:vAlign w:val="bottom"/>
            <w:tcBorders>
              <w:top w:val="single" w:sz="8" w:color="F0FFFF"/>
            </w:tcBorders>
            <w:shd w:val="clear" w:color="auto" w:fill="F0FFFF"/>
          </w:tcPr>
          <w:p>
            <w:pPr>
              <w:spacing w:after="0"/>
              <w:rPr>
                <w:sz w:val="12"/>
                <w:szCs w:val="12"/>
                <w:color w:val="auto"/>
              </w:rPr>
            </w:pPr>
          </w:p>
        </w:tc>
        <w:tc>
          <w:tcPr>
            <w:tcW w:w="66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20" w:type="dxa"/>
            <w:vAlign w:val="bottom"/>
            <w:tcBorders>
              <w:top w:val="single" w:sz="8" w:color="F0FFFF"/>
            </w:tcBorders>
            <w:shd w:val="clear" w:color="auto" w:fill="F0FFFF"/>
          </w:tcPr>
          <w:p>
            <w:pPr>
              <w:spacing w:after="0"/>
              <w:rPr>
                <w:sz w:val="12"/>
                <w:szCs w:val="12"/>
                <w:color w:val="auto"/>
              </w:rPr>
            </w:pPr>
          </w:p>
        </w:tc>
        <w:tc>
          <w:tcPr>
            <w:tcW w:w="140" w:type="dxa"/>
            <w:vAlign w:val="bottom"/>
            <w:tcBorders>
              <w:top w:val="single" w:sz="8" w:color="F0FFFF"/>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0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50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200" w:type="dxa"/>
            <w:vAlign w:val="bottom"/>
            <w:tcBorders>
              <w:right w:val="single" w:sz="8" w:color="F0FFFF"/>
            </w:tcBorders>
            <w:shd w:val="clear" w:color="auto" w:fill="F0FFFF"/>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320" w:type="dxa"/>
            <w:vAlign w:val="bottom"/>
            <w:shd w:val="clear" w:color="auto" w:fill="F0FFFF"/>
          </w:tcPr>
          <w:p>
            <w:pPr>
              <w:spacing w:after="0" w:line="20" w:lineRule="exact"/>
              <w:rPr>
                <w:sz w:val="1"/>
                <w:szCs w:val="1"/>
                <w:color w:val="auto"/>
              </w:rPr>
            </w:pPr>
          </w:p>
        </w:tc>
        <w:tc>
          <w:tcPr>
            <w:tcW w:w="66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600" w:type="dxa"/>
            <w:vAlign w:val="bottom"/>
            <w:tcBorders>
              <w:left w:val="single" w:sz="8" w:color="auto"/>
              <w:right w:val="single" w:sz="8" w:color="auto"/>
            </w:tcBorders>
            <w:shd w:val="clear" w:color="auto" w:fill="F0FFFF"/>
          </w:tcPr>
          <w:p>
            <w:pPr>
              <w:spacing w:after="0"/>
              <w:rPr>
                <w:sz w:val="12"/>
                <w:szCs w:val="12"/>
                <w:color w:val="auto"/>
              </w:rPr>
            </w:pPr>
          </w:p>
        </w:tc>
        <w:tc>
          <w:tcPr>
            <w:tcW w:w="4320" w:type="dxa"/>
            <w:vAlign w:val="bottom"/>
            <w:tcBorders>
              <w:right w:val="single" w:sz="8" w:color="auto"/>
            </w:tcBorders>
            <w:gridSpan w:val="16"/>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For example, if you allocate $100,000 to a Shield Option with a 3-year Term ,</w:t>
            </w:r>
          </w:p>
        </w:tc>
        <w:tc>
          <w:tcPr>
            <w:tcW w:w="60" w:type="dxa"/>
            <w:vAlign w:val="bottom"/>
            <w:shd w:val="clear" w:color="auto" w:fill="F0FFFF"/>
          </w:tcPr>
          <w:p>
            <w:pPr>
              <w:spacing w:after="0"/>
              <w:rPr>
                <w:sz w:val="12"/>
                <w:szCs w:val="12"/>
                <w:color w:val="auto"/>
              </w:rPr>
            </w:pPr>
          </w:p>
        </w:tc>
        <w:tc>
          <w:tcPr>
            <w:tcW w:w="32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4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0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560" w:type="dxa"/>
            <w:vAlign w:val="bottom"/>
            <w:tcBorders>
              <w:right w:val="single" w:sz="8" w:color="F0FFFF"/>
            </w:tcBorders>
            <w:shd w:val="clear" w:color="auto" w:fill="F0FFFF"/>
          </w:tcPr>
          <w:p>
            <w:pPr>
              <w:spacing w:after="0" w:line="20" w:lineRule="exact"/>
              <w:rPr>
                <w:sz w:val="1"/>
                <w:szCs w:val="1"/>
                <w:color w:val="auto"/>
              </w:rPr>
            </w:pPr>
          </w:p>
        </w:tc>
        <w:tc>
          <w:tcPr>
            <w:tcW w:w="48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tcBorders>
              <w:right w:val="single" w:sz="8" w:color="auto"/>
            </w:tcBorders>
            <w:shd w:val="clear" w:color="auto" w:fill="F0FF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F0FFFF"/>
            </w:tcBorders>
            <w:shd w:val="clear" w:color="auto" w:fill="000000"/>
          </w:tcPr>
          <w:p>
            <w:pPr>
              <w:spacing w:after="0" w:line="20" w:lineRule="exact"/>
              <w:rPr>
                <w:sz w:val="1"/>
                <w:szCs w:val="1"/>
                <w:color w:val="auto"/>
              </w:rPr>
            </w:pPr>
          </w:p>
        </w:tc>
        <w:tc>
          <w:tcPr>
            <w:tcW w:w="50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300" w:type="dxa"/>
            <w:vAlign w:val="bottom"/>
            <w:tcBorders>
              <w:right w:val="single" w:sz="8" w:color="auto"/>
            </w:tcBorders>
            <w:shd w:val="clear" w:color="auto" w:fill="F0FF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320" w:type="dxa"/>
            <w:vAlign w:val="bottom"/>
            <w:shd w:val="clear" w:color="auto" w:fill="F0FFFF"/>
          </w:tcPr>
          <w:p>
            <w:pPr>
              <w:spacing w:after="0" w:line="20" w:lineRule="exact"/>
              <w:rPr>
                <w:sz w:val="1"/>
                <w:szCs w:val="1"/>
                <w:color w:val="auto"/>
              </w:rPr>
            </w:pPr>
          </w:p>
        </w:tc>
        <w:tc>
          <w:tcPr>
            <w:tcW w:w="66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600" w:type="dxa"/>
            <w:vAlign w:val="bottom"/>
            <w:tcBorders>
              <w:left w:val="single" w:sz="8" w:color="auto"/>
              <w:right w:val="single" w:sz="8" w:color="auto"/>
            </w:tcBorders>
            <w:shd w:val="clear" w:color="auto" w:fill="F0FFFF"/>
          </w:tcPr>
          <w:p>
            <w:pPr>
              <w:spacing w:after="0"/>
              <w:rPr>
                <w:sz w:val="12"/>
                <w:szCs w:val="12"/>
                <w:color w:val="auto"/>
              </w:rPr>
            </w:pPr>
          </w:p>
        </w:tc>
        <w:tc>
          <w:tcPr>
            <w:tcW w:w="4320" w:type="dxa"/>
            <w:vAlign w:val="bottom"/>
            <w:tcBorders>
              <w:right w:val="single" w:sz="8" w:color="auto"/>
            </w:tcBorders>
            <w:gridSpan w:val="16"/>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and later withdraw the entire amount before the Term has ended, you could</w:t>
            </w:r>
          </w:p>
        </w:tc>
        <w:tc>
          <w:tcPr>
            <w:tcW w:w="60" w:type="dxa"/>
            <w:vAlign w:val="bottom"/>
            <w:shd w:val="clear" w:color="auto" w:fill="F0FFFF"/>
          </w:tcPr>
          <w:p>
            <w:pPr>
              <w:spacing w:after="0"/>
              <w:rPr>
                <w:sz w:val="12"/>
                <w:szCs w:val="12"/>
                <w:color w:val="auto"/>
              </w:rPr>
            </w:pPr>
          </w:p>
        </w:tc>
        <w:tc>
          <w:tcPr>
            <w:tcW w:w="32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4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0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560" w:type="dxa"/>
            <w:vAlign w:val="bottom"/>
            <w:tcBorders>
              <w:right w:val="single" w:sz="8" w:color="F0FFFF"/>
            </w:tcBorders>
            <w:shd w:val="clear" w:color="auto" w:fill="F0FFFF"/>
          </w:tcPr>
          <w:p>
            <w:pPr>
              <w:spacing w:after="0" w:line="20" w:lineRule="exact"/>
              <w:rPr>
                <w:sz w:val="1"/>
                <w:szCs w:val="1"/>
                <w:color w:val="auto"/>
              </w:rPr>
            </w:pPr>
          </w:p>
        </w:tc>
        <w:tc>
          <w:tcPr>
            <w:tcW w:w="48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50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200" w:type="dxa"/>
            <w:vAlign w:val="bottom"/>
            <w:tcBorders>
              <w:right w:val="single" w:sz="8" w:color="F0FFFF"/>
            </w:tcBorders>
            <w:shd w:val="clear" w:color="auto" w:fill="F0FFFF"/>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320" w:type="dxa"/>
            <w:vAlign w:val="bottom"/>
            <w:shd w:val="clear" w:color="auto" w:fill="F0FFFF"/>
          </w:tcPr>
          <w:p>
            <w:pPr>
              <w:spacing w:after="0" w:line="20" w:lineRule="exact"/>
              <w:rPr>
                <w:sz w:val="1"/>
                <w:szCs w:val="1"/>
                <w:color w:val="auto"/>
              </w:rPr>
            </w:pPr>
          </w:p>
        </w:tc>
        <w:tc>
          <w:tcPr>
            <w:tcW w:w="66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600" w:type="dxa"/>
            <w:vAlign w:val="bottom"/>
            <w:tcBorders>
              <w:left w:val="single" w:sz="8" w:color="auto"/>
              <w:right w:val="single" w:sz="8" w:color="auto"/>
            </w:tcBorders>
            <w:shd w:val="clear" w:color="auto" w:fill="F0FFFF"/>
          </w:tcPr>
          <w:p>
            <w:pPr>
              <w:spacing w:after="0"/>
              <w:rPr>
                <w:sz w:val="13"/>
                <w:szCs w:val="13"/>
                <w:color w:val="auto"/>
              </w:rPr>
            </w:pPr>
          </w:p>
        </w:tc>
        <w:tc>
          <w:tcPr>
            <w:tcW w:w="4320" w:type="dxa"/>
            <w:vAlign w:val="bottom"/>
            <w:tcBorders>
              <w:right w:val="single" w:sz="8" w:color="auto"/>
            </w:tcBorders>
            <w:gridSpan w:val="16"/>
            <w:shd w:val="clear" w:color="auto" w:fill="F0FFFF"/>
          </w:tcPr>
          <w:p>
            <w:pPr>
              <w:spacing w:after="0"/>
              <w:rPr>
                <w:sz w:val="20"/>
                <w:szCs w:val="20"/>
                <w:color w:val="auto"/>
              </w:rPr>
            </w:pPr>
            <w:r>
              <w:rPr>
                <w:rFonts w:ascii="Times New Roman" w:cs="Times New Roman" w:eastAsia="Times New Roman" w:hAnsi="Times New Roman"/>
                <w:sz w:val="13"/>
                <w:szCs w:val="13"/>
                <w:color w:val="auto"/>
              </w:rPr>
              <w:t>lose up to $100,000 of your investment. This loss will be greater if you also</w:t>
            </w:r>
          </w:p>
        </w:tc>
        <w:tc>
          <w:tcPr>
            <w:tcW w:w="60" w:type="dxa"/>
            <w:vAlign w:val="bottom"/>
            <w:shd w:val="clear" w:color="auto" w:fill="F0FFFF"/>
          </w:tcPr>
          <w:p>
            <w:pPr>
              <w:spacing w:after="0"/>
              <w:rPr>
                <w:sz w:val="13"/>
                <w:szCs w:val="13"/>
                <w:color w:val="auto"/>
              </w:rPr>
            </w:pPr>
          </w:p>
        </w:tc>
        <w:tc>
          <w:tcPr>
            <w:tcW w:w="320" w:type="dxa"/>
            <w:vAlign w:val="bottom"/>
            <w:shd w:val="clear" w:color="auto" w:fill="F0FFFF"/>
          </w:tcPr>
          <w:p>
            <w:pPr>
              <w:spacing w:after="0"/>
              <w:rPr>
                <w:sz w:val="13"/>
                <w:szCs w:val="13"/>
                <w:color w:val="auto"/>
              </w:rPr>
            </w:pPr>
          </w:p>
        </w:tc>
        <w:tc>
          <w:tcPr>
            <w:tcW w:w="66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20" w:type="dxa"/>
            <w:vAlign w:val="bottom"/>
            <w:shd w:val="clear" w:color="auto" w:fill="F0FFFF"/>
          </w:tcPr>
          <w:p>
            <w:pPr>
              <w:spacing w:after="0"/>
              <w:rPr>
                <w:sz w:val="13"/>
                <w:szCs w:val="13"/>
                <w:color w:val="auto"/>
              </w:rPr>
            </w:pPr>
          </w:p>
        </w:tc>
        <w:tc>
          <w:tcPr>
            <w:tcW w:w="140" w:type="dxa"/>
            <w:vAlign w:val="bottom"/>
            <w:tcBorders>
              <w:right w:val="single" w:sz="8" w:color="auto"/>
            </w:tcBorders>
            <w:shd w:val="clear" w:color="auto" w:fill="F0FF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600" w:type="dxa"/>
            <w:vAlign w:val="bottom"/>
            <w:tcBorders>
              <w:left w:val="single" w:sz="8" w:color="auto"/>
              <w:right w:val="single" w:sz="8" w:color="auto"/>
            </w:tcBorders>
            <w:shd w:val="clear" w:color="auto" w:fill="F0FFFF"/>
          </w:tcPr>
          <w:p>
            <w:pPr>
              <w:spacing w:after="0"/>
              <w:rPr>
                <w:sz w:val="12"/>
                <w:szCs w:val="12"/>
                <w:color w:val="auto"/>
              </w:rPr>
            </w:pPr>
          </w:p>
        </w:tc>
        <w:tc>
          <w:tcPr>
            <w:tcW w:w="4320" w:type="dxa"/>
            <w:vAlign w:val="bottom"/>
            <w:tcBorders>
              <w:right w:val="single" w:sz="8" w:color="auto"/>
            </w:tcBorders>
            <w:gridSpan w:val="16"/>
            <w:shd w:val="clear" w:color="auto" w:fill="F0FFFF"/>
          </w:tcPr>
          <w:p>
            <w:pPr>
              <w:spacing w:after="0" w:line="142" w:lineRule="exact"/>
              <w:rPr>
                <w:sz w:val="20"/>
                <w:szCs w:val="20"/>
                <w:color w:val="auto"/>
              </w:rPr>
            </w:pPr>
            <w:r>
              <w:rPr>
                <w:rFonts w:ascii="Times New Roman" w:cs="Times New Roman" w:eastAsia="Times New Roman" w:hAnsi="Times New Roman"/>
                <w:sz w:val="13"/>
                <w:szCs w:val="13"/>
                <w:color w:val="auto"/>
              </w:rPr>
              <w:t>have to pay a Withdrawal Charge, taxes, and tax penalties.</w:t>
            </w:r>
          </w:p>
        </w:tc>
        <w:tc>
          <w:tcPr>
            <w:tcW w:w="60" w:type="dxa"/>
            <w:vAlign w:val="bottom"/>
            <w:shd w:val="clear" w:color="auto" w:fill="F0FFFF"/>
          </w:tcPr>
          <w:p>
            <w:pPr>
              <w:spacing w:after="0"/>
              <w:rPr>
                <w:sz w:val="12"/>
                <w:szCs w:val="12"/>
                <w:color w:val="auto"/>
              </w:rPr>
            </w:pPr>
          </w:p>
        </w:tc>
        <w:tc>
          <w:tcPr>
            <w:tcW w:w="32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4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0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560" w:type="dxa"/>
            <w:vAlign w:val="bottom"/>
            <w:tcBorders>
              <w:right w:val="single" w:sz="8" w:color="F0FFFF"/>
            </w:tcBorders>
            <w:shd w:val="clear" w:color="auto" w:fill="F0FFFF"/>
          </w:tcPr>
          <w:p>
            <w:pPr>
              <w:spacing w:after="0" w:line="20" w:lineRule="exact"/>
              <w:rPr>
                <w:sz w:val="1"/>
                <w:szCs w:val="1"/>
                <w:color w:val="auto"/>
              </w:rPr>
            </w:pPr>
          </w:p>
        </w:tc>
        <w:tc>
          <w:tcPr>
            <w:tcW w:w="480" w:type="dxa"/>
            <w:vAlign w:val="bottom"/>
            <w:tcBorders>
              <w:right w:val="single" w:sz="8" w:color="auto"/>
            </w:tcBorders>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480" w:type="dxa"/>
            <w:vAlign w:val="bottom"/>
            <w:tcBorders>
              <w:right w:val="single" w:sz="8" w:color="F0FFFF"/>
            </w:tcBorders>
            <w:gridSpan w:val="2"/>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50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200" w:type="dxa"/>
            <w:vAlign w:val="bottom"/>
            <w:tcBorders>
              <w:right w:val="single" w:sz="8" w:color="F0FFFF"/>
            </w:tcBorders>
            <w:shd w:val="clear" w:color="auto" w:fill="F0FFFF"/>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320" w:type="dxa"/>
            <w:vAlign w:val="bottom"/>
            <w:shd w:val="clear" w:color="auto" w:fill="F0FFFF"/>
          </w:tcPr>
          <w:p>
            <w:pPr>
              <w:spacing w:after="0" w:line="20" w:lineRule="exact"/>
              <w:rPr>
                <w:sz w:val="1"/>
                <w:szCs w:val="1"/>
                <w:color w:val="auto"/>
              </w:rPr>
            </w:pPr>
          </w:p>
        </w:tc>
        <w:tc>
          <w:tcPr>
            <w:tcW w:w="66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600" w:type="dxa"/>
            <w:vAlign w:val="bottom"/>
            <w:tcBorders>
              <w:left w:val="single" w:sz="8" w:color="auto"/>
              <w:right w:val="single" w:sz="8" w:color="auto"/>
            </w:tcBorders>
            <w:shd w:val="clear" w:color="auto" w:fill="F0FFFF"/>
          </w:tcPr>
          <w:p>
            <w:pPr>
              <w:spacing w:after="0"/>
              <w:rPr>
                <w:sz w:val="12"/>
                <w:szCs w:val="12"/>
                <w:color w:val="auto"/>
              </w:rPr>
            </w:pPr>
          </w:p>
        </w:tc>
        <w:tc>
          <w:tcPr>
            <w:tcW w:w="4320" w:type="dxa"/>
            <w:vAlign w:val="bottom"/>
            <w:tcBorders>
              <w:right w:val="single" w:sz="8" w:color="auto"/>
            </w:tcBorders>
            <w:gridSpan w:val="16"/>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Between the Term Start Date and the Term End Date, we use the Interim Value</w:t>
            </w:r>
          </w:p>
        </w:tc>
        <w:tc>
          <w:tcPr>
            <w:tcW w:w="60" w:type="dxa"/>
            <w:vAlign w:val="bottom"/>
            <w:shd w:val="clear" w:color="auto" w:fill="F0FFFF"/>
          </w:tcPr>
          <w:p>
            <w:pPr>
              <w:spacing w:after="0"/>
              <w:rPr>
                <w:sz w:val="12"/>
                <w:szCs w:val="12"/>
                <w:color w:val="auto"/>
              </w:rPr>
            </w:pPr>
          </w:p>
        </w:tc>
        <w:tc>
          <w:tcPr>
            <w:tcW w:w="32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4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0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560" w:type="dxa"/>
            <w:vAlign w:val="bottom"/>
            <w:tcBorders>
              <w:right w:val="single" w:sz="8" w:color="F0FFFF"/>
            </w:tcBorders>
            <w:shd w:val="clear" w:color="auto" w:fill="F0FFFF"/>
          </w:tcPr>
          <w:p>
            <w:pPr>
              <w:spacing w:after="0" w:line="20" w:lineRule="exact"/>
              <w:rPr>
                <w:sz w:val="1"/>
                <w:szCs w:val="1"/>
                <w:color w:val="auto"/>
              </w:rPr>
            </w:pPr>
          </w:p>
        </w:tc>
        <w:tc>
          <w:tcPr>
            <w:tcW w:w="480" w:type="dxa"/>
            <w:vAlign w:val="bottom"/>
            <w:tcBorders>
              <w:right w:val="single" w:sz="8" w:color="auto"/>
            </w:tcBorders>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320" w:type="dxa"/>
            <w:vAlign w:val="bottom"/>
            <w:tcBorders>
              <w:right w:val="single" w:sz="8" w:color="auto"/>
            </w:tcBorders>
            <w:shd w:val="clear" w:color="auto" w:fill="F0FFFF"/>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500" w:type="dxa"/>
            <w:vAlign w:val="bottom"/>
            <w:tcBorders>
              <w:left w:val="single" w:sz="8" w:color="F0FFFF"/>
              <w:right w:val="single" w:sz="8" w:color="auto"/>
            </w:tcBorders>
            <w:shd w:val="clear" w:color="auto" w:fill="F0FFFF"/>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320" w:type="dxa"/>
            <w:vAlign w:val="bottom"/>
            <w:shd w:val="clear" w:color="auto" w:fill="F0FFFF"/>
          </w:tcPr>
          <w:p>
            <w:pPr>
              <w:spacing w:after="0" w:line="20" w:lineRule="exact"/>
              <w:rPr>
                <w:sz w:val="1"/>
                <w:szCs w:val="1"/>
                <w:color w:val="auto"/>
              </w:rPr>
            </w:pPr>
          </w:p>
        </w:tc>
        <w:tc>
          <w:tcPr>
            <w:tcW w:w="66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600" w:type="dxa"/>
            <w:vAlign w:val="bottom"/>
            <w:tcBorders>
              <w:left w:val="single" w:sz="8" w:color="auto"/>
              <w:right w:val="single" w:sz="8" w:color="auto"/>
            </w:tcBorders>
            <w:shd w:val="clear" w:color="auto" w:fill="F0FFFF"/>
          </w:tcPr>
          <w:p>
            <w:pPr>
              <w:spacing w:after="0"/>
              <w:rPr>
                <w:sz w:val="13"/>
                <w:szCs w:val="13"/>
                <w:color w:val="auto"/>
              </w:rPr>
            </w:pPr>
          </w:p>
        </w:tc>
        <w:tc>
          <w:tcPr>
            <w:tcW w:w="4320" w:type="dxa"/>
            <w:vAlign w:val="bottom"/>
            <w:tcBorders>
              <w:right w:val="single" w:sz="8" w:color="auto"/>
            </w:tcBorders>
            <w:gridSpan w:val="16"/>
            <w:shd w:val="clear" w:color="auto" w:fill="F0FFFF"/>
          </w:tcPr>
          <w:p>
            <w:pPr>
              <w:spacing w:after="0"/>
              <w:rPr>
                <w:sz w:val="20"/>
                <w:szCs w:val="20"/>
                <w:color w:val="auto"/>
              </w:rPr>
            </w:pPr>
            <w:r>
              <w:rPr>
                <w:rFonts w:ascii="Times New Roman" w:cs="Times New Roman" w:eastAsia="Times New Roman" w:hAnsi="Times New Roman"/>
                <w:sz w:val="13"/>
                <w:szCs w:val="13"/>
                <w:color w:val="auto"/>
              </w:rPr>
              <w:t>to calculate the amount that is available for (1) annuitization; (2) death</w:t>
            </w:r>
          </w:p>
        </w:tc>
        <w:tc>
          <w:tcPr>
            <w:tcW w:w="60" w:type="dxa"/>
            <w:vAlign w:val="bottom"/>
            <w:shd w:val="clear" w:color="auto" w:fill="F0FFFF"/>
          </w:tcPr>
          <w:p>
            <w:pPr>
              <w:spacing w:after="0"/>
              <w:rPr>
                <w:sz w:val="13"/>
                <w:szCs w:val="13"/>
                <w:color w:val="auto"/>
              </w:rPr>
            </w:pPr>
          </w:p>
        </w:tc>
        <w:tc>
          <w:tcPr>
            <w:tcW w:w="320" w:type="dxa"/>
            <w:vAlign w:val="bottom"/>
            <w:shd w:val="clear" w:color="auto" w:fill="F0FFFF"/>
          </w:tcPr>
          <w:p>
            <w:pPr>
              <w:spacing w:after="0"/>
              <w:rPr>
                <w:sz w:val="13"/>
                <w:szCs w:val="13"/>
                <w:color w:val="auto"/>
              </w:rPr>
            </w:pPr>
          </w:p>
        </w:tc>
        <w:tc>
          <w:tcPr>
            <w:tcW w:w="66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20" w:type="dxa"/>
            <w:vAlign w:val="bottom"/>
            <w:shd w:val="clear" w:color="auto" w:fill="F0FFFF"/>
          </w:tcPr>
          <w:p>
            <w:pPr>
              <w:spacing w:after="0"/>
              <w:rPr>
                <w:sz w:val="13"/>
                <w:szCs w:val="13"/>
                <w:color w:val="auto"/>
              </w:rPr>
            </w:pPr>
          </w:p>
        </w:tc>
        <w:tc>
          <w:tcPr>
            <w:tcW w:w="140" w:type="dxa"/>
            <w:vAlign w:val="bottom"/>
            <w:tcBorders>
              <w:right w:val="single" w:sz="8" w:color="auto"/>
            </w:tcBorders>
            <w:shd w:val="clear" w:color="auto" w:fill="F0FF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600" w:type="dxa"/>
            <w:vAlign w:val="bottom"/>
            <w:tcBorders>
              <w:left w:val="single" w:sz="8" w:color="auto"/>
              <w:right w:val="single" w:sz="8" w:color="auto"/>
            </w:tcBorders>
            <w:shd w:val="clear" w:color="auto" w:fill="F0FFFF"/>
          </w:tcPr>
          <w:p>
            <w:pPr>
              <w:spacing w:after="0"/>
              <w:rPr>
                <w:sz w:val="13"/>
                <w:szCs w:val="13"/>
                <w:color w:val="auto"/>
              </w:rPr>
            </w:pPr>
          </w:p>
        </w:tc>
        <w:tc>
          <w:tcPr>
            <w:tcW w:w="4320" w:type="dxa"/>
            <w:vAlign w:val="bottom"/>
            <w:tcBorders>
              <w:right w:val="single" w:sz="8" w:color="auto"/>
            </w:tcBorders>
            <w:gridSpan w:val="16"/>
            <w:shd w:val="clear" w:color="auto" w:fill="F0FFFF"/>
          </w:tcPr>
          <w:p>
            <w:pPr>
              <w:spacing w:after="0"/>
              <w:rPr>
                <w:sz w:val="20"/>
                <w:szCs w:val="20"/>
                <w:color w:val="auto"/>
              </w:rPr>
            </w:pPr>
            <w:r>
              <w:rPr>
                <w:rFonts w:ascii="Times New Roman" w:cs="Times New Roman" w:eastAsia="Times New Roman" w:hAnsi="Times New Roman"/>
                <w:sz w:val="13"/>
                <w:szCs w:val="13"/>
                <w:color w:val="auto"/>
              </w:rPr>
              <w:t>benefits; (3) withdrawals (including RMDs and systematic withdrawals); (4)</w:t>
            </w:r>
          </w:p>
        </w:tc>
        <w:tc>
          <w:tcPr>
            <w:tcW w:w="60" w:type="dxa"/>
            <w:vAlign w:val="bottom"/>
            <w:shd w:val="clear" w:color="auto" w:fill="F0FFFF"/>
          </w:tcPr>
          <w:p>
            <w:pPr>
              <w:spacing w:after="0"/>
              <w:rPr>
                <w:sz w:val="13"/>
                <w:szCs w:val="13"/>
                <w:color w:val="auto"/>
              </w:rPr>
            </w:pPr>
          </w:p>
        </w:tc>
        <w:tc>
          <w:tcPr>
            <w:tcW w:w="320" w:type="dxa"/>
            <w:vAlign w:val="bottom"/>
            <w:shd w:val="clear" w:color="auto" w:fill="F0FFFF"/>
          </w:tcPr>
          <w:p>
            <w:pPr>
              <w:spacing w:after="0"/>
              <w:rPr>
                <w:sz w:val="13"/>
                <w:szCs w:val="13"/>
                <w:color w:val="auto"/>
              </w:rPr>
            </w:pPr>
          </w:p>
        </w:tc>
        <w:tc>
          <w:tcPr>
            <w:tcW w:w="66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20" w:type="dxa"/>
            <w:vAlign w:val="bottom"/>
            <w:shd w:val="clear" w:color="auto" w:fill="F0FFFF"/>
          </w:tcPr>
          <w:p>
            <w:pPr>
              <w:spacing w:after="0"/>
              <w:rPr>
                <w:sz w:val="13"/>
                <w:szCs w:val="13"/>
                <w:color w:val="auto"/>
              </w:rPr>
            </w:pPr>
          </w:p>
        </w:tc>
        <w:tc>
          <w:tcPr>
            <w:tcW w:w="140" w:type="dxa"/>
            <w:vAlign w:val="bottom"/>
            <w:tcBorders>
              <w:right w:val="single" w:sz="8" w:color="auto"/>
            </w:tcBorders>
            <w:shd w:val="clear" w:color="auto" w:fill="F0FF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600" w:type="dxa"/>
            <w:vAlign w:val="bottom"/>
            <w:tcBorders>
              <w:left w:val="single" w:sz="8" w:color="auto"/>
              <w:right w:val="single" w:sz="8" w:color="auto"/>
            </w:tcBorders>
            <w:shd w:val="clear" w:color="auto" w:fill="F0FFFF"/>
          </w:tcPr>
          <w:p>
            <w:pPr>
              <w:spacing w:after="0"/>
              <w:rPr>
                <w:sz w:val="12"/>
                <w:szCs w:val="12"/>
                <w:color w:val="auto"/>
              </w:rPr>
            </w:pPr>
          </w:p>
        </w:tc>
        <w:tc>
          <w:tcPr>
            <w:tcW w:w="4320" w:type="dxa"/>
            <w:vAlign w:val="bottom"/>
            <w:tcBorders>
              <w:right w:val="single" w:sz="8" w:color="auto"/>
            </w:tcBorders>
            <w:gridSpan w:val="16"/>
            <w:shd w:val="clear" w:color="auto" w:fill="F0FFFF"/>
          </w:tcPr>
          <w:p>
            <w:pPr>
              <w:spacing w:after="0" w:line="142" w:lineRule="exact"/>
              <w:rPr>
                <w:sz w:val="20"/>
                <w:szCs w:val="20"/>
                <w:color w:val="auto"/>
              </w:rPr>
            </w:pPr>
            <w:r>
              <w:rPr>
                <w:rFonts w:ascii="Times New Roman" w:cs="Times New Roman" w:eastAsia="Times New Roman" w:hAnsi="Times New Roman"/>
                <w:sz w:val="13"/>
                <w:szCs w:val="13"/>
                <w:color w:val="auto"/>
              </w:rPr>
              <w:t>Surrenders; and (5) Performance Lock.</w:t>
            </w:r>
          </w:p>
        </w:tc>
        <w:tc>
          <w:tcPr>
            <w:tcW w:w="60" w:type="dxa"/>
            <w:vAlign w:val="bottom"/>
            <w:shd w:val="clear" w:color="auto" w:fill="F0FFFF"/>
          </w:tcPr>
          <w:p>
            <w:pPr>
              <w:spacing w:after="0"/>
              <w:rPr>
                <w:sz w:val="12"/>
                <w:szCs w:val="12"/>
                <w:color w:val="auto"/>
              </w:rPr>
            </w:pPr>
          </w:p>
        </w:tc>
        <w:tc>
          <w:tcPr>
            <w:tcW w:w="32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4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1600" w:type="dxa"/>
            <w:vAlign w:val="bottom"/>
            <w:tcBorders>
              <w:top w:val="single" w:sz="8" w:color="F0FFFF"/>
              <w:left w:val="single" w:sz="8" w:color="auto"/>
              <w:bottom w:val="single" w:sz="8" w:color="auto"/>
              <w:right w:val="single" w:sz="8" w:color="auto"/>
            </w:tcBorders>
            <w:shd w:val="clear" w:color="auto" w:fill="F0FFFF"/>
          </w:tcPr>
          <w:p>
            <w:pPr>
              <w:spacing w:after="0"/>
              <w:rPr>
                <w:sz w:val="22"/>
                <w:szCs w:val="22"/>
                <w:color w:val="auto"/>
              </w:rPr>
            </w:pPr>
          </w:p>
        </w:tc>
        <w:tc>
          <w:tcPr>
            <w:tcW w:w="560" w:type="dxa"/>
            <w:vAlign w:val="bottom"/>
            <w:tcBorders>
              <w:top w:val="single" w:sz="8" w:color="auto"/>
              <w:bottom w:val="single" w:sz="8" w:color="auto"/>
              <w:right w:val="single" w:sz="8" w:color="F0FFFF"/>
            </w:tcBorders>
            <w:shd w:val="clear" w:color="auto" w:fill="F0FFFF"/>
          </w:tcPr>
          <w:p>
            <w:pPr>
              <w:spacing w:after="0"/>
              <w:rPr>
                <w:sz w:val="22"/>
                <w:szCs w:val="22"/>
                <w:color w:val="auto"/>
              </w:rPr>
            </w:pPr>
          </w:p>
        </w:tc>
        <w:tc>
          <w:tcPr>
            <w:tcW w:w="480" w:type="dxa"/>
            <w:vAlign w:val="bottom"/>
            <w:tcBorders>
              <w:top w:val="single" w:sz="8" w:color="F0FFFF"/>
              <w:bottom w:val="single" w:sz="8" w:color="auto"/>
              <w:right w:val="single" w:sz="8" w:color="F0FFFF"/>
            </w:tcBorders>
            <w:shd w:val="clear" w:color="auto" w:fill="F0FFFF"/>
          </w:tcPr>
          <w:p>
            <w:pPr>
              <w:spacing w:after="0"/>
              <w:rPr>
                <w:sz w:val="22"/>
                <w:szCs w:val="22"/>
                <w:color w:val="auto"/>
              </w:rPr>
            </w:pPr>
          </w:p>
        </w:tc>
        <w:tc>
          <w:tcPr>
            <w:tcW w:w="220" w:type="dxa"/>
            <w:vAlign w:val="bottom"/>
            <w:tcBorders>
              <w:top w:val="single" w:sz="8" w:color="auto"/>
              <w:bottom w:val="single" w:sz="8" w:color="auto"/>
              <w:right w:val="single" w:sz="8" w:color="F0FFFF"/>
            </w:tcBorders>
            <w:shd w:val="clear" w:color="auto" w:fill="F0FFFF"/>
          </w:tcPr>
          <w:p>
            <w:pPr>
              <w:spacing w:after="0"/>
              <w:rPr>
                <w:sz w:val="22"/>
                <w:szCs w:val="22"/>
                <w:color w:val="auto"/>
              </w:rPr>
            </w:pPr>
          </w:p>
        </w:tc>
        <w:tc>
          <w:tcPr>
            <w:tcW w:w="80" w:type="dxa"/>
            <w:vAlign w:val="bottom"/>
            <w:tcBorders>
              <w:top w:val="single" w:sz="8" w:color="auto"/>
              <w:bottom w:val="single" w:sz="8" w:color="auto"/>
            </w:tcBorders>
            <w:shd w:val="clear" w:color="auto" w:fill="F0FFFF"/>
          </w:tcPr>
          <w:p>
            <w:pPr>
              <w:spacing w:after="0"/>
              <w:rPr>
                <w:sz w:val="22"/>
                <w:szCs w:val="22"/>
                <w:color w:val="auto"/>
              </w:rPr>
            </w:pPr>
          </w:p>
        </w:tc>
        <w:tc>
          <w:tcPr>
            <w:tcW w:w="280" w:type="dxa"/>
            <w:vAlign w:val="bottom"/>
            <w:tcBorders>
              <w:top w:val="single" w:sz="8" w:color="auto"/>
              <w:bottom w:val="single" w:sz="8" w:color="auto"/>
              <w:right w:val="single" w:sz="8" w:color="F0FFFF"/>
            </w:tcBorders>
            <w:shd w:val="clear" w:color="auto" w:fill="F0FFFF"/>
          </w:tcPr>
          <w:p>
            <w:pPr>
              <w:spacing w:after="0"/>
              <w:rPr>
                <w:sz w:val="22"/>
                <w:szCs w:val="22"/>
                <w:color w:val="auto"/>
              </w:rPr>
            </w:pPr>
          </w:p>
        </w:tc>
        <w:tc>
          <w:tcPr>
            <w:tcW w:w="160" w:type="dxa"/>
            <w:vAlign w:val="bottom"/>
            <w:tcBorders>
              <w:top w:val="single" w:sz="8" w:color="auto"/>
              <w:bottom w:val="single" w:sz="8" w:color="auto"/>
              <w:right w:val="single" w:sz="8" w:color="F0FFFF"/>
            </w:tcBorders>
            <w:shd w:val="clear" w:color="auto" w:fill="F0FFFF"/>
          </w:tcPr>
          <w:p>
            <w:pPr>
              <w:spacing w:after="0"/>
              <w:rPr>
                <w:sz w:val="22"/>
                <w:szCs w:val="22"/>
                <w:color w:val="auto"/>
              </w:rPr>
            </w:pPr>
          </w:p>
        </w:tc>
        <w:tc>
          <w:tcPr>
            <w:tcW w:w="320" w:type="dxa"/>
            <w:vAlign w:val="bottom"/>
            <w:tcBorders>
              <w:top w:val="single" w:sz="8" w:color="auto"/>
              <w:bottom w:val="single" w:sz="8" w:color="auto"/>
              <w:right w:val="single" w:sz="8" w:color="F0FFFF"/>
            </w:tcBorders>
            <w:shd w:val="clear" w:color="auto" w:fill="F0FFFF"/>
          </w:tcPr>
          <w:p>
            <w:pPr>
              <w:spacing w:after="0"/>
              <w:rPr>
                <w:sz w:val="22"/>
                <w:szCs w:val="22"/>
                <w:color w:val="auto"/>
              </w:rPr>
            </w:pPr>
          </w:p>
        </w:tc>
        <w:tc>
          <w:tcPr>
            <w:tcW w:w="280" w:type="dxa"/>
            <w:vAlign w:val="bottom"/>
            <w:tcBorders>
              <w:top w:val="single" w:sz="8" w:color="F0FFFF"/>
              <w:bottom w:val="single" w:sz="8" w:color="auto"/>
              <w:right w:val="single" w:sz="8" w:color="F0FFFF"/>
            </w:tcBorders>
            <w:shd w:val="clear" w:color="auto" w:fill="F0FFFF"/>
          </w:tcPr>
          <w:p>
            <w:pPr>
              <w:spacing w:after="0"/>
              <w:rPr>
                <w:sz w:val="22"/>
                <w:szCs w:val="22"/>
                <w:color w:val="auto"/>
              </w:rPr>
            </w:pPr>
          </w:p>
        </w:tc>
        <w:tc>
          <w:tcPr>
            <w:tcW w:w="160" w:type="dxa"/>
            <w:vAlign w:val="bottom"/>
            <w:tcBorders>
              <w:top w:val="single" w:sz="8" w:color="F0FFFF"/>
              <w:bottom w:val="single" w:sz="8" w:color="auto"/>
            </w:tcBorders>
            <w:shd w:val="clear" w:color="auto" w:fill="F0FFFF"/>
          </w:tcPr>
          <w:p>
            <w:pPr>
              <w:spacing w:after="0"/>
              <w:rPr>
                <w:sz w:val="22"/>
                <w:szCs w:val="22"/>
                <w:color w:val="auto"/>
              </w:rPr>
            </w:pPr>
          </w:p>
        </w:tc>
        <w:tc>
          <w:tcPr>
            <w:tcW w:w="320" w:type="dxa"/>
            <w:vAlign w:val="bottom"/>
            <w:tcBorders>
              <w:top w:val="single" w:sz="8" w:color="F0FFFF"/>
              <w:bottom w:val="single" w:sz="8" w:color="auto"/>
              <w:right w:val="single" w:sz="8" w:color="F0FFFF"/>
            </w:tcBorders>
            <w:shd w:val="clear" w:color="auto" w:fill="F0FFFF"/>
          </w:tcPr>
          <w:p>
            <w:pPr>
              <w:spacing w:after="0"/>
              <w:rPr>
                <w:sz w:val="22"/>
                <w:szCs w:val="22"/>
                <w:color w:val="auto"/>
              </w:rPr>
            </w:pPr>
          </w:p>
        </w:tc>
        <w:tc>
          <w:tcPr>
            <w:tcW w:w="220" w:type="dxa"/>
            <w:vAlign w:val="bottom"/>
            <w:tcBorders>
              <w:top w:val="single" w:sz="8" w:color="F0FFFF"/>
              <w:bottom w:val="single" w:sz="8" w:color="auto"/>
              <w:right w:val="single" w:sz="8" w:color="F0FFFF"/>
            </w:tcBorders>
            <w:shd w:val="clear" w:color="auto" w:fill="F0FFFF"/>
          </w:tcPr>
          <w:p>
            <w:pPr>
              <w:spacing w:after="0"/>
              <w:rPr>
                <w:sz w:val="22"/>
                <w:szCs w:val="22"/>
                <w:color w:val="auto"/>
              </w:rPr>
            </w:pPr>
          </w:p>
        </w:tc>
        <w:tc>
          <w:tcPr>
            <w:tcW w:w="500" w:type="dxa"/>
            <w:vAlign w:val="bottom"/>
            <w:tcBorders>
              <w:top w:val="single" w:sz="8" w:color="F0FFFF"/>
              <w:left w:val="single" w:sz="8" w:color="F0FFFF"/>
              <w:bottom w:val="single" w:sz="8" w:color="auto"/>
              <w:right w:val="single" w:sz="8" w:color="F0FFFF"/>
            </w:tcBorders>
            <w:shd w:val="clear" w:color="auto" w:fill="F0FFFF"/>
          </w:tcPr>
          <w:p>
            <w:pPr>
              <w:spacing w:after="0"/>
              <w:rPr>
                <w:sz w:val="22"/>
                <w:szCs w:val="22"/>
                <w:color w:val="auto"/>
              </w:rPr>
            </w:pPr>
          </w:p>
        </w:tc>
        <w:tc>
          <w:tcPr>
            <w:tcW w:w="300" w:type="dxa"/>
            <w:vAlign w:val="bottom"/>
            <w:tcBorders>
              <w:top w:val="single" w:sz="8" w:color="F0FFFF"/>
              <w:bottom w:val="single" w:sz="8" w:color="auto"/>
              <w:right w:val="single" w:sz="8" w:color="F0FFFF"/>
            </w:tcBorders>
            <w:shd w:val="clear" w:color="auto" w:fill="F0FFFF"/>
          </w:tcPr>
          <w:p>
            <w:pPr>
              <w:spacing w:after="0"/>
              <w:rPr>
                <w:sz w:val="22"/>
                <w:szCs w:val="22"/>
                <w:color w:val="auto"/>
              </w:rPr>
            </w:pPr>
          </w:p>
        </w:tc>
        <w:tc>
          <w:tcPr>
            <w:tcW w:w="100" w:type="dxa"/>
            <w:vAlign w:val="bottom"/>
            <w:tcBorders>
              <w:top w:val="single" w:sz="8" w:color="F0FFFF"/>
              <w:bottom w:val="single" w:sz="8" w:color="auto"/>
            </w:tcBorders>
            <w:shd w:val="clear" w:color="auto" w:fill="F0FFFF"/>
          </w:tcPr>
          <w:p>
            <w:pPr>
              <w:spacing w:after="0"/>
              <w:rPr>
                <w:sz w:val="22"/>
                <w:szCs w:val="22"/>
                <w:color w:val="auto"/>
              </w:rPr>
            </w:pPr>
          </w:p>
        </w:tc>
        <w:tc>
          <w:tcPr>
            <w:tcW w:w="200" w:type="dxa"/>
            <w:vAlign w:val="bottom"/>
            <w:tcBorders>
              <w:top w:val="single" w:sz="8" w:color="F0FFFF"/>
              <w:bottom w:val="single" w:sz="8" w:color="auto"/>
              <w:right w:val="single" w:sz="8" w:color="F0FFFF"/>
            </w:tcBorders>
            <w:shd w:val="clear" w:color="auto" w:fill="F0FFFF"/>
          </w:tcPr>
          <w:p>
            <w:pPr>
              <w:spacing w:after="0"/>
              <w:rPr>
                <w:sz w:val="22"/>
                <w:szCs w:val="22"/>
                <w:color w:val="auto"/>
              </w:rPr>
            </w:pPr>
          </w:p>
        </w:tc>
        <w:tc>
          <w:tcPr>
            <w:tcW w:w="140" w:type="dxa"/>
            <w:vAlign w:val="bottom"/>
            <w:tcBorders>
              <w:top w:val="single" w:sz="8" w:color="F0FFFF"/>
              <w:bottom w:val="single" w:sz="8" w:color="auto"/>
              <w:right w:val="single" w:sz="8" w:color="auto"/>
            </w:tcBorders>
            <w:shd w:val="clear" w:color="auto" w:fill="F0FFFF"/>
          </w:tcPr>
          <w:p>
            <w:pPr>
              <w:spacing w:after="0"/>
              <w:rPr>
                <w:sz w:val="22"/>
                <w:szCs w:val="22"/>
                <w:color w:val="auto"/>
              </w:rPr>
            </w:pPr>
          </w:p>
        </w:tc>
        <w:tc>
          <w:tcPr>
            <w:tcW w:w="60" w:type="dxa"/>
            <w:vAlign w:val="bottom"/>
            <w:tcBorders>
              <w:top w:val="single" w:sz="8" w:color="F0FFFF"/>
              <w:bottom w:val="single" w:sz="8" w:color="auto"/>
            </w:tcBorders>
            <w:shd w:val="clear" w:color="auto" w:fill="F0FFFF"/>
          </w:tcPr>
          <w:p>
            <w:pPr>
              <w:spacing w:after="0"/>
              <w:rPr>
                <w:sz w:val="22"/>
                <w:szCs w:val="22"/>
                <w:color w:val="auto"/>
              </w:rPr>
            </w:pPr>
          </w:p>
        </w:tc>
        <w:tc>
          <w:tcPr>
            <w:tcW w:w="320" w:type="dxa"/>
            <w:vAlign w:val="bottom"/>
            <w:tcBorders>
              <w:top w:val="single" w:sz="8" w:color="F0FFFF"/>
              <w:bottom w:val="single" w:sz="8" w:color="auto"/>
            </w:tcBorders>
            <w:shd w:val="clear" w:color="auto" w:fill="F0FFFF"/>
          </w:tcPr>
          <w:p>
            <w:pPr>
              <w:spacing w:after="0"/>
              <w:rPr>
                <w:sz w:val="22"/>
                <w:szCs w:val="22"/>
                <w:color w:val="auto"/>
              </w:rPr>
            </w:pPr>
          </w:p>
        </w:tc>
        <w:tc>
          <w:tcPr>
            <w:tcW w:w="660" w:type="dxa"/>
            <w:vAlign w:val="bottom"/>
            <w:tcBorders>
              <w:top w:val="single" w:sz="8" w:color="F0FFFF"/>
              <w:bottom w:val="single" w:sz="8" w:color="auto"/>
            </w:tcBorders>
            <w:shd w:val="clear" w:color="auto" w:fill="F0FFFF"/>
          </w:tcPr>
          <w:p>
            <w:pPr>
              <w:spacing w:after="0"/>
              <w:rPr>
                <w:sz w:val="22"/>
                <w:szCs w:val="22"/>
                <w:color w:val="auto"/>
              </w:rPr>
            </w:pPr>
          </w:p>
        </w:tc>
        <w:tc>
          <w:tcPr>
            <w:tcW w:w="100" w:type="dxa"/>
            <w:vAlign w:val="bottom"/>
            <w:tcBorders>
              <w:top w:val="single" w:sz="8" w:color="F0FFFF"/>
              <w:bottom w:val="single" w:sz="8" w:color="auto"/>
            </w:tcBorders>
            <w:shd w:val="clear" w:color="auto" w:fill="F0FFFF"/>
          </w:tcPr>
          <w:p>
            <w:pPr>
              <w:spacing w:after="0"/>
              <w:rPr>
                <w:sz w:val="22"/>
                <w:szCs w:val="22"/>
                <w:color w:val="auto"/>
              </w:rPr>
            </w:pPr>
          </w:p>
        </w:tc>
        <w:tc>
          <w:tcPr>
            <w:tcW w:w="20" w:type="dxa"/>
            <w:vAlign w:val="bottom"/>
            <w:tcBorders>
              <w:top w:val="single" w:sz="8" w:color="F0FFFF"/>
              <w:bottom w:val="single" w:sz="8" w:color="auto"/>
            </w:tcBorders>
            <w:shd w:val="clear" w:color="auto" w:fill="F0FFFF"/>
          </w:tcPr>
          <w:p>
            <w:pPr>
              <w:spacing w:after="0"/>
              <w:rPr>
                <w:sz w:val="22"/>
                <w:szCs w:val="22"/>
                <w:color w:val="auto"/>
              </w:rPr>
            </w:pPr>
          </w:p>
        </w:tc>
        <w:tc>
          <w:tcPr>
            <w:tcW w:w="140" w:type="dxa"/>
            <w:vAlign w:val="bottom"/>
            <w:tcBorders>
              <w:top w:val="single" w:sz="8" w:color="F0FFFF"/>
              <w:bottom w:val="single" w:sz="8" w:color="auto"/>
              <w:right w:val="single" w:sz="8" w:color="auto"/>
            </w:tcBorders>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1600" w:type="dxa"/>
            <w:vAlign w:val="bottom"/>
            <w:tcBorders>
              <w:left w:val="single" w:sz="8" w:color="auto"/>
              <w:right w:val="single" w:sz="8" w:color="auto"/>
            </w:tcBorders>
          </w:tcPr>
          <w:p>
            <w:pPr>
              <w:ind w:left="60"/>
              <w:spacing w:after="0" w:line="139" w:lineRule="exact"/>
              <w:rPr>
                <w:sz w:val="20"/>
                <w:szCs w:val="20"/>
                <w:color w:val="auto"/>
              </w:rPr>
            </w:pPr>
            <w:r>
              <w:rPr>
                <w:rFonts w:ascii="Times New Roman" w:cs="Times New Roman" w:eastAsia="Times New Roman" w:hAnsi="Times New Roman"/>
                <w:sz w:val="13"/>
                <w:szCs w:val="13"/>
                <w:b w:val="1"/>
                <w:bCs w:val="1"/>
                <w:color w:val="auto"/>
              </w:rPr>
              <w:t>Are There Transaction</w:t>
            </w:r>
          </w:p>
        </w:tc>
        <w:tc>
          <w:tcPr>
            <w:tcW w:w="4320" w:type="dxa"/>
            <w:vAlign w:val="bottom"/>
            <w:tcBorders>
              <w:right w:val="single" w:sz="8" w:color="auto"/>
            </w:tcBorders>
            <w:gridSpan w:val="16"/>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 xml:space="preserve">No. </w:t>
            </w:r>
            <w:r>
              <w:rPr>
                <w:rFonts w:ascii="Times New Roman" w:cs="Times New Roman" w:eastAsia="Times New Roman" w:hAnsi="Times New Roman"/>
                <w:sz w:val="13"/>
                <w:szCs w:val="13"/>
                <w:color w:val="auto"/>
              </w:rPr>
              <w:t>Other than the Withdrawal Charges and Interim Value calculation, you will</w:t>
            </w:r>
          </w:p>
        </w:tc>
        <w:tc>
          <w:tcPr>
            <w:tcW w:w="1300" w:type="dxa"/>
            <w:vAlign w:val="bottom"/>
            <w:tcBorders>
              <w:right w:val="single" w:sz="8" w:color="auto"/>
            </w:tcBorders>
            <w:gridSpan w:val="6"/>
          </w:tcPr>
          <w:p>
            <w:pPr>
              <w:ind w:left="60"/>
              <w:spacing w:after="0" w:line="139" w:lineRule="exact"/>
              <w:rPr>
                <w:sz w:val="20"/>
                <w:szCs w:val="20"/>
                <w:color w:val="auto"/>
              </w:rPr>
            </w:pPr>
            <w:r>
              <w:rPr>
                <w:rFonts w:ascii="Times New Roman" w:cs="Times New Roman" w:eastAsia="Times New Roman" w:hAnsi="Times New Roman"/>
                <w:sz w:val="13"/>
                <w:szCs w:val="13"/>
                <w:b w:val="1"/>
                <w:bCs w:val="1"/>
                <w:color w:val="auto"/>
              </w:rPr>
              <w:t>FEE TABLE</w:t>
            </w:r>
          </w:p>
        </w:tc>
        <w:tc>
          <w:tcPr>
            <w:tcW w:w="0" w:type="dxa"/>
            <w:vAlign w:val="bottom"/>
          </w:tcPr>
          <w:p>
            <w:pPr>
              <w:spacing w:after="0"/>
              <w:rPr>
                <w:sz w:val="1"/>
                <w:szCs w:val="1"/>
                <w:color w:val="auto"/>
              </w:rPr>
            </w:pPr>
          </w:p>
        </w:tc>
      </w:tr>
      <w:tr>
        <w:trPr>
          <w:trHeight w:val="20"/>
        </w:trPr>
        <w:tc>
          <w:tcPr>
            <w:tcW w:w="160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Charges?</w:t>
            </w:r>
          </w:p>
        </w:tc>
        <w:tc>
          <w:tcPr>
            <w:tcW w:w="56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48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1300" w:type="dxa"/>
            <w:vAlign w:val="bottom"/>
            <w:tcBorders>
              <w:right w:val="single" w:sz="8" w:color="auto"/>
            </w:tcBorders>
            <w:gridSpan w:val="6"/>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 </w:t>
            </w:r>
          </w:p>
        </w:tc>
        <w:tc>
          <w:tcPr>
            <w:tcW w:w="0" w:type="dxa"/>
            <w:vAlign w:val="bottom"/>
          </w:tcPr>
          <w:p>
            <w:pPr>
              <w:spacing w:after="0" w:line="20" w:lineRule="exact"/>
              <w:rPr>
                <w:sz w:val="1"/>
                <w:szCs w:val="1"/>
                <w:color w:val="auto"/>
              </w:rPr>
            </w:pPr>
          </w:p>
        </w:tc>
      </w:tr>
      <w:tr>
        <w:trPr>
          <w:trHeight w:val="144"/>
        </w:trPr>
        <w:tc>
          <w:tcPr>
            <w:tcW w:w="1600" w:type="dxa"/>
            <w:vAlign w:val="bottom"/>
            <w:tcBorders>
              <w:left w:val="single" w:sz="8" w:color="auto"/>
              <w:right w:val="single" w:sz="8" w:color="auto"/>
            </w:tcBorders>
            <w:vMerge w:val="continue"/>
          </w:tcPr>
          <w:p>
            <w:pPr>
              <w:spacing w:after="0"/>
              <w:rPr>
                <w:sz w:val="12"/>
                <w:szCs w:val="12"/>
                <w:color w:val="auto"/>
              </w:rPr>
            </w:pPr>
          </w:p>
        </w:tc>
        <w:tc>
          <w:tcPr>
            <w:tcW w:w="4320" w:type="dxa"/>
            <w:vAlign w:val="bottom"/>
            <w:tcBorders>
              <w:right w:val="single" w:sz="8" w:color="auto"/>
            </w:tcBorders>
            <w:gridSpan w:val="16"/>
          </w:tcPr>
          <w:p>
            <w:pPr>
              <w:spacing w:after="0" w:line="144" w:lineRule="exact"/>
              <w:rPr>
                <w:sz w:val="20"/>
                <w:szCs w:val="20"/>
                <w:color w:val="auto"/>
              </w:rPr>
            </w:pPr>
            <w:r>
              <w:rPr>
                <w:rFonts w:ascii="Times New Roman" w:cs="Times New Roman" w:eastAsia="Times New Roman" w:hAnsi="Times New Roman"/>
                <w:sz w:val="13"/>
                <w:szCs w:val="13"/>
                <w:color w:val="auto"/>
              </w:rPr>
              <w:t>not be charged for other transactions.</w:t>
            </w:r>
          </w:p>
        </w:tc>
        <w:tc>
          <w:tcPr>
            <w:tcW w:w="1300" w:type="dxa"/>
            <w:vAlign w:val="bottom"/>
            <w:tcBorders>
              <w:right w:val="single" w:sz="8" w:color="auto"/>
            </w:tcBorders>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600" w:type="dxa"/>
            <w:vAlign w:val="bottom"/>
            <w:tcBorders>
              <w:left w:val="single" w:sz="8" w:color="auto"/>
              <w:right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300" w:type="dxa"/>
            <w:vAlign w:val="bottom"/>
            <w:tcBorders>
              <w:right w:val="single" w:sz="8" w:color="auto"/>
            </w:tcBorders>
            <w:gridSpan w:val="6"/>
          </w:tcPr>
          <w:p>
            <w:pPr>
              <w:ind w:left="60"/>
              <w:spacing w:after="0"/>
              <w:rPr>
                <w:sz w:val="20"/>
                <w:szCs w:val="20"/>
                <w:color w:val="auto"/>
              </w:rPr>
            </w:pPr>
            <w:r>
              <w:rPr>
                <w:rFonts w:ascii="Times New Roman" w:cs="Times New Roman" w:eastAsia="Times New Roman" w:hAnsi="Times New Roman"/>
                <w:sz w:val="13"/>
                <w:szCs w:val="13"/>
                <w:b w:val="1"/>
                <w:bCs w:val="1"/>
                <w:color w:val="auto"/>
              </w:rPr>
              <w:t>CHARGES, FEES,</w:t>
            </w:r>
          </w:p>
        </w:tc>
        <w:tc>
          <w:tcPr>
            <w:tcW w:w="0" w:type="dxa"/>
            <w:vAlign w:val="bottom"/>
          </w:tcPr>
          <w:p>
            <w:pPr>
              <w:spacing w:after="0"/>
              <w:rPr>
                <w:sz w:val="1"/>
                <w:szCs w:val="1"/>
                <w:color w:val="auto"/>
              </w:rPr>
            </w:pPr>
          </w:p>
        </w:tc>
      </w:tr>
      <w:tr>
        <w:trPr>
          <w:trHeight w:val="159"/>
        </w:trPr>
        <w:tc>
          <w:tcPr>
            <w:tcW w:w="1600" w:type="dxa"/>
            <w:vAlign w:val="bottom"/>
            <w:tcBorders>
              <w:left w:val="single" w:sz="8" w:color="auto"/>
              <w:right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300" w:type="dxa"/>
            <w:vAlign w:val="bottom"/>
            <w:tcBorders>
              <w:right w:val="single" w:sz="8" w:color="auto"/>
            </w:tcBorders>
            <w:gridSpan w:val="6"/>
          </w:tcPr>
          <w:p>
            <w:pPr>
              <w:ind w:left="60"/>
              <w:spacing w:after="0"/>
              <w:rPr>
                <w:sz w:val="20"/>
                <w:szCs w:val="20"/>
                <w:color w:val="auto"/>
              </w:rPr>
            </w:pPr>
            <w:r>
              <w:rPr>
                <w:rFonts w:ascii="Times New Roman" w:cs="Times New Roman" w:eastAsia="Times New Roman" w:hAnsi="Times New Roman"/>
                <w:sz w:val="13"/>
                <w:szCs w:val="13"/>
                <w:b w:val="1"/>
                <w:bCs w:val="1"/>
                <w:color w:val="auto"/>
              </w:rPr>
              <w:t>AND</w:t>
            </w:r>
          </w:p>
        </w:tc>
        <w:tc>
          <w:tcPr>
            <w:tcW w:w="0" w:type="dxa"/>
            <w:vAlign w:val="bottom"/>
          </w:tcPr>
          <w:p>
            <w:pPr>
              <w:spacing w:after="0"/>
              <w:rPr>
                <w:sz w:val="1"/>
                <w:szCs w:val="1"/>
                <w:color w:val="auto"/>
              </w:rPr>
            </w:pPr>
          </w:p>
        </w:tc>
      </w:tr>
      <w:tr>
        <w:trPr>
          <w:trHeight w:val="184"/>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1300" w:type="dxa"/>
            <w:vAlign w:val="bottom"/>
            <w:tcBorders>
              <w:bottom w:val="single" w:sz="8" w:color="auto"/>
              <w:right w:val="single" w:sz="8" w:color="auto"/>
            </w:tcBorders>
            <w:gridSpan w:val="6"/>
          </w:tcPr>
          <w:p>
            <w:pPr>
              <w:ind w:left="6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0" w:type="dxa"/>
            <w:vAlign w:val="bottom"/>
          </w:tcPr>
          <w:p>
            <w:pPr>
              <w:spacing w:after="0"/>
              <w:rPr>
                <w:sz w:val="1"/>
                <w:szCs w:val="1"/>
                <w:color w:val="auto"/>
              </w:rPr>
            </w:pPr>
          </w:p>
        </w:tc>
      </w:tr>
      <w:tr>
        <w:trPr>
          <w:trHeight w:val="154"/>
        </w:trPr>
        <w:tc>
          <w:tcPr>
            <w:tcW w:w="1600" w:type="dxa"/>
            <w:vAlign w:val="bottom"/>
            <w:tcBorders>
              <w:left w:val="single" w:sz="8" w:color="auto"/>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3"/>
                <w:szCs w:val="13"/>
                <w:b w:val="1"/>
                <w:bCs w:val="1"/>
                <w:color w:val="auto"/>
              </w:rPr>
              <w:t>Are There Ongoing Fees</w:t>
            </w:r>
          </w:p>
        </w:tc>
        <w:tc>
          <w:tcPr>
            <w:tcW w:w="4320" w:type="dxa"/>
            <w:vAlign w:val="bottom"/>
            <w:tcBorders>
              <w:right w:val="single" w:sz="8" w:color="auto"/>
            </w:tcBorders>
            <w:gridSpan w:val="16"/>
            <w:shd w:val="clear" w:color="auto" w:fill="F0FFFF"/>
          </w:tcPr>
          <w:p>
            <w:pPr>
              <w:spacing w:after="0"/>
              <w:rPr>
                <w:sz w:val="20"/>
                <w:szCs w:val="20"/>
                <w:color w:val="auto"/>
              </w:rPr>
            </w:pPr>
            <w:r>
              <w:rPr>
                <w:rFonts w:ascii="Times New Roman" w:cs="Times New Roman" w:eastAsia="Times New Roman" w:hAnsi="Times New Roman"/>
                <w:sz w:val="13"/>
                <w:szCs w:val="13"/>
                <w:b w:val="1"/>
                <w:bCs w:val="1"/>
                <w:color w:val="auto"/>
              </w:rPr>
              <w:t>No.</w:t>
            </w:r>
          </w:p>
        </w:tc>
        <w:tc>
          <w:tcPr>
            <w:tcW w:w="1300" w:type="dxa"/>
            <w:vAlign w:val="bottom"/>
            <w:tcBorders>
              <w:right w:val="single" w:sz="8" w:color="auto"/>
            </w:tcBorders>
            <w:gridSpan w:val="6"/>
            <w:shd w:val="clear" w:color="auto" w:fill="F0FFFF"/>
          </w:tcPr>
          <w:p>
            <w:pPr>
              <w:ind w:left="60"/>
              <w:spacing w:after="0"/>
              <w:rPr>
                <w:sz w:val="20"/>
                <w:szCs w:val="20"/>
                <w:color w:val="auto"/>
              </w:rPr>
            </w:pPr>
            <w:r>
              <w:rPr>
                <w:rFonts w:ascii="Times New Roman" w:cs="Times New Roman" w:eastAsia="Times New Roman" w:hAnsi="Times New Roman"/>
                <w:sz w:val="13"/>
                <w:szCs w:val="13"/>
                <w:b w:val="1"/>
                <w:bCs w:val="1"/>
                <w:color w:val="auto"/>
              </w:rPr>
              <w:t>FEE TABLE</w:t>
            </w:r>
          </w:p>
        </w:tc>
        <w:tc>
          <w:tcPr>
            <w:tcW w:w="0" w:type="dxa"/>
            <w:vAlign w:val="bottom"/>
          </w:tcPr>
          <w:p>
            <w:pPr>
              <w:spacing w:after="0"/>
              <w:rPr>
                <w:sz w:val="1"/>
                <w:szCs w:val="1"/>
                <w:color w:val="auto"/>
              </w:rPr>
            </w:pPr>
          </w:p>
        </w:tc>
      </w:tr>
      <w:tr>
        <w:trPr>
          <w:trHeight w:val="154"/>
        </w:trPr>
        <w:tc>
          <w:tcPr>
            <w:tcW w:w="1600" w:type="dxa"/>
            <w:vAlign w:val="bottom"/>
            <w:tcBorders>
              <w:left w:val="single" w:sz="8" w:color="auto"/>
              <w:righ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3"/>
                <w:szCs w:val="13"/>
                <w:b w:val="1"/>
                <w:bCs w:val="1"/>
                <w:color w:val="auto"/>
              </w:rPr>
              <w:t>and Expenses?</w:t>
            </w:r>
          </w:p>
        </w:tc>
        <w:tc>
          <w:tcPr>
            <w:tcW w:w="4320" w:type="dxa"/>
            <w:vAlign w:val="bottom"/>
            <w:tcBorders>
              <w:right w:val="single" w:sz="8" w:color="auto"/>
            </w:tcBorders>
            <w:gridSpan w:val="16"/>
            <w:shd w:val="clear" w:color="auto" w:fill="F0FFFF"/>
          </w:tcPr>
          <w:p>
            <w:pPr>
              <w:spacing w:after="0"/>
              <w:rPr>
                <w:sz w:val="20"/>
                <w:szCs w:val="20"/>
                <w:color w:val="auto"/>
              </w:rPr>
            </w:pPr>
            <w:r>
              <w:rPr>
                <w:rFonts w:ascii="Times New Roman" w:cs="Times New Roman" w:eastAsia="Times New Roman" w:hAnsi="Times New Roman"/>
                <w:sz w:val="13"/>
                <w:szCs w:val="13"/>
                <w:b w:val="1"/>
                <w:bCs w:val="1"/>
                <w:color w:val="auto"/>
              </w:rPr>
              <w:t>There is an implicit ongoing fee on the Shield Options to the extent that</w:t>
            </w:r>
          </w:p>
        </w:tc>
        <w:tc>
          <w:tcPr>
            <w:tcW w:w="1300" w:type="dxa"/>
            <w:vAlign w:val="bottom"/>
            <w:tcBorders>
              <w:right w:val="single" w:sz="8" w:color="auto"/>
            </w:tcBorders>
            <w:gridSpan w:val="6"/>
            <w:shd w:val="clear" w:color="auto" w:fill="F0FFFF"/>
          </w:tcPr>
          <w:p>
            <w:pPr>
              <w:ind w:left="60"/>
              <w:spacing w:after="0"/>
              <w:rPr>
                <w:sz w:val="20"/>
                <w:szCs w:val="20"/>
                <w:color w:val="auto"/>
              </w:rPr>
            </w:pPr>
            <w:r>
              <w:rPr>
                <w:rFonts w:ascii="Times New Roman" w:cs="Times New Roman" w:eastAsia="Times New Roman" w:hAnsi="Times New Roman"/>
                <w:sz w:val="13"/>
                <w:szCs w:val="13"/>
                <w:b w:val="1"/>
                <w:bCs w:val="1"/>
                <w:color w:val="auto"/>
              </w:rPr>
              <w:t> </w:t>
            </w:r>
          </w:p>
        </w:tc>
        <w:tc>
          <w:tcPr>
            <w:tcW w:w="0" w:type="dxa"/>
            <w:vAlign w:val="bottom"/>
          </w:tcPr>
          <w:p>
            <w:pPr>
              <w:spacing w:after="0"/>
              <w:rPr>
                <w:sz w:val="1"/>
                <w:szCs w:val="1"/>
                <w:color w:val="auto"/>
              </w:rPr>
            </w:pPr>
          </w:p>
        </w:tc>
      </w:tr>
      <w:tr>
        <w:trPr>
          <w:trHeight w:val="20"/>
        </w:trPr>
        <w:tc>
          <w:tcPr>
            <w:tcW w:w="160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560" w:type="dxa"/>
            <w:vAlign w:val="bottom"/>
            <w:tcBorders>
              <w:right w:val="single" w:sz="8" w:color="F0FFFF"/>
            </w:tcBorders>
            <w:shd w:val="clear" w:color="auto" w:fill="F0FFFF"/>
          </w:tcPr>
          <w:p>
            <w:pPr>
              <w:spacing w:after="0" w:line="20" w:lineRule="exact"/>
              <w:rPr>
                <w:sz w:val="1"/>
                <w:szCs w:val="1"/>
                <w:color w:val="auto"/>
              </w:rPr>
            </w:pPr>
          </w:p>
        </w:tc>
        <w:tc>
          <w:tcPr>
            <w:tcW w:w="48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tcBorders>
              <w:right w:val="single" w:sz="8" w:color="auto"/>
            </w:tcBorders>
            <w:shd w:val="clear" w:color="auto" w:fill="F0FFFF"/>
          </w:tcPr>
          <w:p>
            <w:pPr>
              <w:spacing w:after="0" w:line="20" w:lineRule="exact"/>
              <w:rPr>
                <w:sz w:val="1"/>
                <w:szCs w:val="1"/>
                <w:color w:val="auto"/>
              </w:rPr>
            </w:pPr>
          </w:p>
        </w:tc>
        <w:tc>
          <w:tcPr>
            <w:tcW w:w="48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340" w:type="dxa"/>
            <w:vAlign w:val="bottom"/>
            <w:tcBorders>
              <w:right w:val="single" w:sz="8" w:color="auto"/>
            </w:tcBorders>
            <w:gridSpan w:val="2"/>
            <w:shd w:val="clear" w:color="auto" w:fill="F0FFFF"/>
          </w:tcPr>
          <w:p>
            <w:pPr>
              <w:spacing w:after="0" w:line="20" w:lineRule="exact"/>
              <w:rPr>
                <w:sz w:val="1"/>
                <w:szCs w:val="1"/>
                <w:color w:val="auto"/>
              </w:rPr>
            </w:pPr>
          </w:p>
        </w:tc>
        <w:tc>
          <w:tcPr>
            <w:tcW w:w="1300" w:type="dxa"/>
            <w:vAlign w:val="bottom"/>
            <w:tcBorders>
              <w:right w:val="single" w:sz="8" w:color="auto"/>
            </w:tcBorders>
            <w:gridSpan w:val="6"/>
            <w:vMerge w:val="restart"/>
            <w:shd w:val="clear" w:color="auto" w:fill="F0FFFF"/>
          </w:tcPr>
          <w:p>
            <w:pPr>
              <w:ind w:left="60"/>
              <w:spacing w:after="0"/>
              <w:rPr>
                <w:sz w:val="20"/>
                <w:szCs w:val="20"/>
                <w:color w:val="auto"/>
              </w:rPr>
            </w:pPr>
            <w:r>
              <w:rPr>
                <w:rFonts w:ascii="Times New Roman" w:cs="Times New Roman" w:eastAsia="Times New Roman" w:hAnsi="Times New Roman"/>
                <w:sz w:val="13"/>
                <w:szCs w:val="13"/>
                <w:b w:val="1"/>
                <w:bCs w:val="1"/>
                <w:color w:val="auto"/>
              </w:rPr>
              <w:t>CHARGES, FEES,</w:t>
            </w:r>
          </w:p>
        </w:tc>
        <w:tc>
          <w:tcPr>
            <w:tcW w:w="0" w:type="dxa"/>
            <w:vAlign w:val="bottom"/>
          </w:tcPr>
          <w:p>
            <w:pPr>
              <w:spacing w:after="0" w:line="20" w:lineRule="exact"/>
              <w:rPr>
                <w:sz w:val="1"/>
                <w:szCs w:val="1"/>
                <w:color w:val="auto"/>
              </w:rPr>
            </w:pPr>
          </w:p>
        </w:tc>
      </w:tr>
      <w:tr>
        <w:trPr>
          <w:trHeight w:val="139"/>
        </w:trPr>
        <w:tc>
          <w:tcPr>
            <w:tcW w:w="1600" w:type="dxa"/>
            <w:vAlign w:val="bottom"/>
            <w:tcBorders>
              <w:left w:val="single" w:sz="8" w:color="auto"/>
              <w:right w:val="single" w:sz="8" w:color="auto"/>
            </w:tcBorders>
            <w:shd w:val="clear" w:color="auto" w:fill="F0FFFF"/>
          </w:tcPr>
          <w:p>
            <w:pPr>
              <w:spacing w:after="0"/>
              <w:rPr>
                <w:sz w:val="12"/>
                <w:szCs w:val="12"/>
                <w:color w:val="auto"/>
              </w:rPr>
            </w:pPr>
          </w:p>
        </w:tc>
        <w:tc>
          <w:tcPr>
            <w:tcW w:w="4320" w:type="dxa"/>
            <w:vAlign w:val="bottom"/>
            <w:tcBorders>
              <w:right w:val="single" w:sz="8" w:color="auto"/>
            </w:tcBorders>
            <w:gridSpan w:val="16"/>
            <w:shd w:val="clear" w:color="auto" w:fill="F0FFFF"/>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your participation in Index gains is limited by us through the use of</w:t>
            </w:r>
          </w:p>
        </w:tc>
        <w:tc>
          <w:tcPr>
            <w:tcW w:w="1300" w:type="dxa"/>
            <w:vAlign w:val="bottom"/>
            <w:tcBorders>
              <w:right w:val="single" w:sz="8" w:color="auto"/>
            </w:tcBorders>
            <w:gridSpan w:val="6"/>
            <w:vMerge w:val="continue"/>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0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560" w:type="dxa"/>
            <w:vAlign w:val="bottom"/>
            <w:tcBorders>
              <w:right w:val="single" w:sz="8" w:color="F0FFFF"/>
            </w:tcBorders>
            <w:shd w:val="clear" w:color="auto" w:fill="F0FFFF"/>
          </w:tcPr>
          <w:p>
            <w:pPr>
              <w:spacing w:after="0" w:line="20" w:lineRule="exact"/>
              <w:rPr>
                <w:sz w:val="1"/>
                <w:szCs w:val="1"/>
                <w:color w:val="auto"/>
              </w:rPr>
            </w:pPr>
          </w:p>
        </w:tc>
        <w:tc>
          <w:tcPr>
            <w:tcW w:w="48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480" w:type="dxa"/>
            <w:vAlign w:val="bottom"/>
            <w:tcBorders>
              <w:right w:val="single" w:sz="8" w:color="F0FFFF"/>
            </w:tcBorders>
            <w:gridSpan w:val="2"/>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50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340" w:type="dxa"/>
            <w:vAlign w:val="bottom"/>
            <w:tcBorders>
              <w:right w:val="single" w:sz="8" w:color="auto"/>
            </w:tcBorders>
            <w:gridSpan w:val="2"/>
            <w:shd w:val="clear" w:color="auto" w:fill="F0FFFF"/>
          </w:tcPr>
          <w:p>
            <w:pPr>
              <w:spacing w:after="0" w:line="20" w:lineRule="exact"/>
              <w:rPr>
                <w:sz w:val="1"/>
                <w:szCs w:val="1"/>
                <w:color w:val="auto"/>
              </w:rPr>
            </w:pPr>
          </w:p>
        </w:tc>
        <w:tc>
          <w:tcPr>
            <w:tcW w:w="1300" w:type="dxa"/>
            <w:vAlign w:val="bottom"/>
            <w:tcBorders>
              <w:right w:val="single" w:sz="8" w:color="auto"/>
            </w:tcBorders>
            <w:gridSpan w:val="6"/>
            <w:vMerge w:val="restart"/>
            <w:shd w:val="clear" w:color="auto" w:fill="F0FFFF"/>
          </w:tcPr>
          <w:p>
            <w:pPr>
              <w:ind w:left="60"/>
              <w:spacing w:after="0"/>
              <w:rPr>
                <w:sz w:val="20"/>
                <w:szCs w:val="20"/>
                <w:color w:val="auto"/>
              </w:rPr>
            </w:pPr>
            <w:r>
              <w:rPr>
                <w:rFonts w:ascii="Times New Roman" w:cs="Times New Roman" w:eastAsia="Times New Roman" w:hAnsi="Times New Roman"/>
                <w:sz w:val="13"/>
                <w:szCs w:val="13"/>
                <w:b w:val="1"/>
                <w:bCs w:val="1"/>
                <w:color w:val="auto"/>
              </w:rPr>
              <w:t>AND</w:t>
            </w:r>
          </w:p>
        </w:tc>
        <w:tc>
          <w:tcPr>
            <w:tcW w:w="0" w:type="dxa"/>
            <w:vAlign w:val="bottom"/>
          </w:tcPr>
          <w:p>
            <w:pPr>
              <w:spacing w:after="0" w:line="20" w:lineRule="exact"/>
              <w:rPr>
                <w:sz w:val="1"/>
                <w:szCs w:val="1"/>
                <w:color w:val="auto"/>
              </w:rPr>
            </w:pPr>
          </w:p>
        </w:tc>
      </w:tr>
      <w:tr>
        <w:trPr>
          <w:trHeight w:val="139"/>
        </w:trPr>
        <w:tc>
          <w:tcPr>
            <w:tcW w:w="1600" w:type="dxa"/>
            <w:vAlign w:val="bottom"/>
            <w:tcBorders>
              <w:left w:val="single" w:sz="8" w:color="auto"/>
              <w:right w:val="single" w:sz="8" w:color="auto"/>
            </w:tcBorders>
            <w:shd w:val="clear" w:color="auto" w:fill="F0FFFF"/>
          </w:tcPr>
          <w:p>
            <w:pPr>
              <w:spacing w:after="0"/>
              <w:rPr>
                <w:sz w:val="12"/>
                <w:szCs w:val="12"/>
                <w:color w:val="auto"/>
              </w:rPr>
            </w:pPr>
          </w:p>
        </w:tc>
        <w:tc>
          <w:tcPr>
            <w:tcW w:w="4320" w:type="dxa"/>
            <w:vAlign w:val="bottom"/>
            <w:tcBorders>
              <w:right w:val="single" w:sz="8" w:color="auto"/>
            </w:tcBorders>
            <w:gridSpan w:val="16"/>
            <w:shd w:val="clear" w:color="auto" w:fill="F0FFFF"/>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the Cap Rate, Step Rate, or Edge Rate. This means that your returns may</w:t>
            </w:r>
          </w:p>
        </w:tc>
        <w:tc>
          <w:tcPr>
            <w:tcW w:w="1300" w:type="dxa"/>
            <w:vAlign w:val="bottom"/>
            <w:tcBorders>
              <w:right w:val="single" w:sz="8" w:color="auto"/>
            </w:tcBorders>
            <w:gridSpan w:val="6"/>
            <w:vMerge w:val="continue"/>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0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560" w:type="dxa"/>
            <w:vAlign w:val="bottom"/>
            <w:tcBorders>
              <w:right w:val="single" w:sz="8" w:color="auto"/>
            </w:tcBorders>
            <w:shd w:val="clear" w:color="auto" w:fill="F0FFFF"/>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F0FFFF"/>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Borders>
              <w:right w:val="single" w:sz="8" w:color="F0FFFF"/>
            </w:tcBorders>
            <w:gridSpan w:val="2"/>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50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340" w:type="dxa"/>
            <w:vAlign w:val="bottom"/>
            <w:tcBorders>
              <w:right w:val="single" w:sz="8" w:color="auto"/>
            </w:tcBorders>
            <w:gridSpan w:val="2"/>
            <w:shd w:val="clear" w:color="auto" w:fill="F0FFFF"/>
          </w:tcPr>
          <w:p>
            <w:pPr>
              <w:spacing w:after="0" w:line="20" w:lineRule="exact"/>
              <w:rPr>
                <w:sz w:val="1"/>
                <w:szCs w:val="1"/>
                <w:color w:val="auto"/>
              </w:rPr>
            </w:pPr>
          </w:p>
        </w:tc>
        <w:tc>
          <w:tcPr>
            <w:tcW w:w="1300" w:type="dxa"/>
            <w:vAlign w:val="bottom"/>
            <w:tcBorders>
              <w:right w:val="single" w:sz="8" w:color="auto"/>
            </w:tcBorders>
            <w:gridSpan w:val="6"/>
            <w:vMerge w:val="restart"/>
            <w:shd w:val="clear" w:color="auto" w:fill="F0FFFF"/>
          </w:tcPr>
          <w:p>
            <w:pPr>
              <w:ind w:left="6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0" w:type="dxa"/>
            <w:vAlign w:val="bottom"/>
          </w:tcPr>
          <w:p>
            <w:pPr>
              <w:spacing w:after="0" w:line="20" w:lineRule="exact"/>
              <w:rPr>
                <w:sz w:val="1"/>
                <w:szCs w:val="1"/>
                <w:color w:val="auto"/>
              </w:rPr>
            </w:pPr>
          </w:p>
        </w:tc>
      </w:tr>
      <w:tr>
        <w:trPr>
          <w:trHeight w:val="139"/>
        </w:trPr>
        <w:tc>
          <w:tcPr>
            <w:tcW w:w="1600" w:type="dxa"/>
            <w:vAlign w:val="bottom"/>
            <w:tcBorders>
              <w:left w:val="single" w:sz="8" w:color="auto"/>
              <w:right w:val="single" w:sz="8" w:color="auto"/>
            </w:tcBorders>
            <w:shd w:val="clear" w:color="auto" w:fill="F0FFFF"/>
          </w:tcPr>
          <w:p>
            <w:pPr>
              <w:spacing w:after="0"/>
              <w:rPr>
                <w:sz w:val="12"/>
                <w:szCs w:val="12"/>
                <w:color w:val="auto"/>
              </w:rPr>
            </w:pPr>
          </w:p>
        </w:tc>
        <w:tc>
          <w:tcPr>
            <w:tcW w:w="4320" w:type="dxa"/>
            <w:vAlign w:val="bottom"/>
            <w:tcBorders>
              <w:right w:val="single" w:sz="8" w:color="auto"/>
            </w:tcBorders>
            <w:gridSpan w:val="16"/>
            <w:shd w:val="clear" w:color="auto" w:fill="F0FFFF"/>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be lower than the Index’s returns. In return for accepting this limit</w:t>
            </w:r>
          </w:p>
        </w:tc>
        <w:tc>
          <w:tcPr>
            <w:tcW w:w="1300" w:type="dxa"/>
            <w:vAlign w:val="bottom"/>
            <w:tcBorders>
              <w:right w:val="single" w:sz="8" w:color="auto"/>
            </w:tcBorders>
            <w:gridSpan w:val="6"/>
            <w:vMerge w:val="continue"/>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0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560" w:type="dxa"/>
            <w:vAlign w:val="bottom"/>
            <w:tcBorders>
              <w:right w:val="single" w:sz="8" w:color="F0FFFF"/>
            </w:tcBorders>
            <w:shd w:val="clear" w:color="auto" w:fill="F0FFFF"/>
          </w:tcPr>
          <w:p>
            <w:pPr>
              <w:spacing w:after="0" w:line="20" w:lineRule="exact"/>
              <w:rPr>
                <w:sz w:val="1"/>
                <w:szCs w:val="1"/>
                <w:color w:val="auto"/>
              </w:rPr>
            </w:pPr>
          </w:p>
        </w:tc>
        <w:tc>
          <w:tcPr>
            <w:tcW w:w="48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F0FFFF"/>
            </w:tcBorders>
            <w:gridSpan w:val="2"/>
            <w:shd w:val="clear" w:color="auto" w:fill="000000"/>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480" w:type="dxa"/>
            <w:vAlign w:val="bottom"/>
            <w:tcBorders>
              <w:right w:val="single" w:sz="8" w:color="F0FFFF"/>
            </w:tcBorders>
            <w:gridSpan w:val="2"/>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50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340" w:type="dxa"/>
            <w:vAlign w:val="bottom"/>
            <w:tcBorders>
              <w:right w:val="single" w:sz="8" w:color="auto"/>
            </w:tcBorders>
            <w:gridSpan w:val="2"/>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320" w:type="dxa"/>
            <w:vAlign w:val="bottom"/>
            <w:shd w:val="clear" w:color="auto" w:fill="F0FFFF"/>
          </w:tcPr>
          <w:p>
            <w:pPr>
              <w:spacing w:after="0" w:line="20" w:lineRule="exact"/>
              <w:rPr>
                <w:sz w:val="1"/>
                <w:szCs w:val="1"/>
                <w:color w:val="auto"/>
              </w:rPr>
            </w:pPr>
          </w:p>
        </w:tc>
        <w:tc>
          <w:tcPr>
            <w:tcW w:w="66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00" w:type="dxa"/>
            <w:vAlign w:val="bottom"/>
            <w:tcBorders>
              <w:left w:val="single" w:sz="8" w:color="auto"/>
              <w:bottom w:val="single" w:sz="8" w:color="auto"/>
              <w:right w:val="single" w:sz="8" w:color="auto"/>
            </w:tcBorders>
            <w:shd w:val="clear" w:color="auto" w:fill="F0FFFF"/>
          </w:tcPr>
          <w:p>
            <w:pPr>
              <w:spacing w:after="0"/>
              <w:rPr>
                <w:sz w:val="18"/>
                <w:szCs w:val="18"/>
                <w:color w:val="auto"/>
              </w:rPr>
            </w:pPr>
          </w:p>
        </w:tc>
        <w:tc>
          <w:tcPr>
            <w:tcW w:w="4320" w:type="dxa"/>
            <w:vAlign w:val="bottom"/>
            <w:tcBorders>
              <w:bottom w:val="single" w:sz="8" w:color="auto"/>
              <w:right w:val="single" w:sz="8" w:color="auto"/>
            </w:tcBorders>
            <w:gridSpan w:val="16"/>
            <w:shd w:val="clear" w:color="auto" w:fill="F0FFFF"/>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on Index gains, you will receive some protection from Index losses.</w:t>
            </w:r>
          </w:p>
        </w:tc>
        <w:tc>
          <w:tcPr>
            <w:tcW w:w="60" w:type="dxa"/>
            <w:vAlign w:val="bottom"/>
            <w:tcBorders>
              <w:bottom w:val="single" w:sz="8" w:color="auto"/>
            </w:tcBorders>
            <w:shd w:val="clear" w:color="auto" w:fill="F0FFFF"/>
          </w:tcPr>
          <w:p>
            <w:pPr>
              <w:spacing w:after="0"/>
              <w:rPr>
                <w:sz w:val="18"/>
                <w:szCs w:val="18"/>
                <w:color w:val="auto"/>
              </w:rPr>
            </w:pPr>
          </w:p>
        </w:tc>
        <w:tc>
          <w:tcPr>
            <w:tcW w:w="320" w:type="dxa"/>
            <w:vAlign w:val="bottom"/>
            <w:tcBorders>
              <w:bottom w:val="single" w:sz="8" w:color="auto"/>
            </w:tcBorders>
            <w:shd w:val="clear" w:color="auto" w:fill="F0FFFF"/>
          </w:tcPr>
          <w:p>
            <w:pPr>
              <w:spacing w:after="0"/>
              <w:rPr>
                <w:sz w:val="18"/>
                <w:szCs w:val="18"/>
                <w:color w:val="auto"/>
              </w:rPr>
            </w:pPr>
          </w:p>
        </w:tc>
        <w:tc>
          <w:tcPr>
            <w:tcW w:w="660" w:type="dxa"/>
            <w:vAlign w:val="bottom"/>
            <w:tcBorders>
              <w:bottom w:val="single" w:sz="8" w:color="auto"/>
            </w:tcBorders>
            <w:shd w:val="clear" w:color="auto" w:fill="F0FFFF"/>
          </w:tcPr>
          <w:p>
            <w:pPr>
              <w:spacing w:after="0"/>
              <w:rPr>
                <w:sz w:val="18"/>
                <w:szCs w:val="18"/>
                <w:color w:val="auto"/>
              </w:rPr>
            </w:pPr>
          </w:p>
        </w:tc>
        <w:tc>
          <w:tcPr>
            <w:tcW w:w="100" w:type="dxa"/>
            <w:vAlign w:val="bottom"/>
            <w:tcBorders>
              <w:bottom w:val="single" w:sz="8" w:color="auto"/>
            </w:tcBorders>
            <w:shd w:val="clear" w:color="auto" w:fill="F0FFFF"/>
          </w:tcPr>
          <w:p>
            <w:pPr>
              <w:spacing w:after="0"/>
              <w:rPr>
                <w:sz w:val="18"/>
                <w:szCs w:val="18"/>
                <w:color w:val="auto"/>
              </w:rPr>
            </w:pPr>
          </w:p>
        </w:tc>
        <w:tc>
          <w:tcPr>
            <w:tcW w:w="20" w:type="dxa"/>
            <w:vAlign w:val="bottom"/>
            <w:tcBorders>
              <w:bottom w:val="single" w:sz="8" w:color="auto"/>
            </w:tcBorders>
            <w:shd w:val="clear" w:color="auto" w:fill="F0FFFF"/>
          </w:tcPr>
          <w:p>
            <w:pPr>
              <w:spacing w:after="0"/>
              <w:rPr>
                <w:sz w:val="18"/>
                <w:szCs w:val="18"/>
                <w:color w:val="auto"/>
              </w:rPr>
            </w:pPr>
          </w:p>
        </w:tc>
        <w:tc>
          <w:tcPr>
            <w:tcW w:w="140" w:type="dxa"/>
            <w:vAlign w:val="bottom"/>
            <w:tcBorders>
              <w:bottom w:val="single" w:sz="8" w:color="auto"/>
              <w:right w:val="single" w:sz="8" w:color="auto"/>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1600" w:type="dxa"/>
            <w:vAlign w:val="bottom"/>
            <w:tcBorders>
              <w:left w:val="single" w:sz="8" w:color="auto"/>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20" w:type="dxa"/>
            <w:vAlign w:val="bottom"/>
            <w:tcBorders>
              <w:bottom w:val="single" w:sz="8" w:color="auto"/>
              <w:right w:val="single" w:sz="8" w:color="auto"/>
            </w:tcBorders>
            <w:gridSpan w:val="9"/>
          </w:tcPr>
          <w:p>
            <w:pPr>
              <w:jc w:val="center"/>
              <w:ind w:right="2060"/>
              <w:spacing w:after="0"/>
              <w:rPr>
                <w:sz w:val="20"/>
                <w:szCs w:val="20"/>
                <w:color w:val="auto"/>
              </w:rPr>
            </w:pPr>
            <w:r>
              <w:rPr>
                <w:rFonts w:ascii="Times New Roman" w:cs="Times New Roman" w:eastAsia="Times New Roman" w:hAnsi="Times New Roman"/>
                <w:sz w:val="9"/>
                <w:szCs w:val="9"/>
                <w:b w:val="1"/>
                <w:bCs w:val="1"/>
                <w:color w:val="auto"/>
                <w:w w:val="75"/>
              </w:rPr>
              <w:t>Risks</w:t>
            </w:r>
          </w:p>
        </w:tc>
        <w:tc>
          <w:tcPr>
            <w:tcW w:w="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600" w:type="dxa"/>
            <w:vAlign w:val="bottom"/>
            <w:tcBorders>
              <w:left w:val="single" w:sz="8" w:color="auto"/>
              <w:right w:val="single" w:sz="8" w:color="auto"/>
            </w:tcBorders>
            <w:shd w:val="clear" w:color="auto" w:fill="F0FFFF"/>
          </w:tcPr>
          <w:p>
            <w:pPr>
              <w:ind w:left="60"/>
              <w:spacing w:after="0" w:line="149" w:lineRule="exact"/>
              <w:rPr>
                <w:sz w:val="20"/>
                <w:szCs w:val="20"/>
                <w:color w:val="auto"/>
              </w:rPr>
            </w:pPr>
            <w:r>
              <w:rPr>
                <w:rFonts w:ascii="Times New Roman" w:cs="Times New Roman" w:eastAsia="Times New Roman" w:hAnsi="Times New Roman"/>
                <w:sz w:val="13"/>
                <w:szCs w:val="13"/>
                <w:b w:val="1"/>
                <w:bCs w:val="1"/>
                <w:color w:val="auto"/>
              </w:rPr>
              <w:t>Is there a Risk of Loss</w:t>
            </w:r>
          </w:p>
        </w:tc>
        <w:tc>
          <w:tcPr>
            <w:tcW w:w="4320" w:type="dxa"/>
            <w:vAlign w:val="bottom"/>
            <w:tcBorders>
              <w:right w:val="single" w:sz="8" w:color="auto"/>
            </w:tcBorders>
            <w:gridSpan w:val="16"/>
            <w:shd w:val="clear" w:color="auto" w:fill="F0FFFF"/>
          </w:tcPr>
          <w:p>
            <w:pPr>
              <w:spacing w:after="0" w:line="149" w:lineRule="exact"/>
              <w:rPr>
                <w:sz w:val="20"/>
                <w:szCs w:val="20"/>
                <w:color w:val="auto"/>
              </w:rPr>
            </w:pPr>
            <w:r>
              <w:rPr>
                <w:rFonts w:ascii="Times New Roman" w:cs="Times New Roman" w:eastAsia="Times New Roman" w:hAnsi="Times New Roman"/>
                <w:sz w:val="13"/>
                <w:szCs w:val="13"/>
                <w:b w:val="1"/>
                <w:bCs w:val="1"/>
                <w:color w:val="auto"/>
              </w:rPr>
              <w:t>Yes</w:t>
            </w:r>
            <w:r>
              <w:rPr>
                <w:rFonts w:ascii="Times New Roman" w:cs="Times New Roman" w:eastAsia="Times New Roman" w:hAnsi="Times New Roman"/>
                <w:sz w:val="13"/>
                <w:szCs w:val="13"/>
                <w:color w:val="auto"/>
              </w:rPr>
              <w:t>. You can lose money by investing in the Contract.</w:t>
            </w:r>
          </w:p>
        </w:tc>
        <w:tc>
          <w:tcPr>
            <w:tcW w:w="1300" w:type="dxa"/>
            <w:vAlign w:val="bottom"/>
            <w:tcBorders>
              <w:right w:val="single" w:sz="8" w:color="auto"/>
            </w:tcBorders>
            <w:gridSpan w:val="6"/>
            <w:shd w:val="clear" w:color="auto" w:fill="F0FFFF"/>
          </w:tcPr>
          <w:p>
            <w:pPr>
              <w:ind w:left="60"/>
              <w:spacing w:after="0" w:line="149" w:lineRule="exact"/>
              <w:rPr>
                <w:sz w:val="20"/>
                <w:szCs w:val="20"/>
                <w:color w:val="auto"/>
              </w:rPr>
            </w:pPr>
            <w:r>
              <w:rPr>
                <w:rFonts w:ascii="Times New Roman" w:cs="Times New Roman" w:eastAsia="Times New Roman" w:hAnsi="Times New Roman"/>
                <w:sz w:val="13"/>
                <w:szCs w:val="13"/>
                <w:b w:val="1"/>
                <w:bCs w:val="1"/>
                <w:color w:val="auto"/>
              </w:rPr>
              <w:t>PRINCIPAL RISKS</w:t>
            </w:r>
          </w:p>
        </w:tc>
        <w:tc>
          <w:tcPr>
            <w:tcW w:w="0" w:type="dxa"/>
            <w:vAlign w:val="bottom"/>
          </w:tcPr>
          <w:p>
            <w:pPr>
              <w:spacing w:after="0"/>
              <w:rPr>
                <w:sz w:val="1"/>
                <w:szCs w:val="1"/>
                <w:color w:val="auto"/>
              </w:rPr>
            </w:pPr>
          </w:p>
        </w:tc>
      </w:tr>
      <w:tr>
        <w:trPr>
          <w:trHeight w:val="146"/>
        </w:trPr>
        <w:tc>
          <w:tcPr>
            <w:tcW w:w="1600" w:type="dxa"/>
            <w:vAlign w:val="bottom"/>
            <w:tcBorders>
              <w:top w:val="single" w:sz="8" w:color="F0FFFF"/>
              <w:left w:val="single" w:sz="8" w:color="auto"/>
              <w:right w:val="single" w:sz="8" w:color="auto"/>
            </w:tcBorders>
            <w:shd w:val="clear" w:color="auto" w:fill="F0FFFF"/>
          </w:tcPr>
          <w:p>
            <w:pPr>
              <w:ind w:left="60"/>
              <w:spacing w:after="0" w:line="146" w:lineRule="exact"/>
              <w:rPr>
                <w:sz w:val="20"/>
                <w:szCs w:val="20"/>
                <w:color w:val="auto"/>
              </w:rPr>
            </w:pPr>
            <w:r>
              <w:rPr>
                <w:rFonts w:ascii="Times New Roman" w:cs="Times New Roman" w:eastAsia="Times New Roman" w:hAnsi="Times New Roman"/>
                <w:sz w:val="13"/>
                <w:szCs w:val="13"/>
                <w:b w:val="1"/>
                <w:bCs w:val="1"/>
                <w:color w:val="auto"/>
              </w:rPr>
              <w:t>from Poor</w:t>
            </w:r>
          </w:p>
        </w:tc>
        <w:tc>
          <w:tcPr>
            <w:tcW w:w="2380" w:type="dxa"/>
            <w:vAlign w:val="bottom"/>
            <w:tcBorders>
              <w:top w:val="single" w:sz="8" w:color="F0FFFF"/>
              <w:right w:val="single" w:sz="8" w:color="F0FFFF"/>
            </w:tcBorders>
            <w:gridSpan w:val="8"/>
            <w:shd w:val="clear" w:color="auto" w:fill="F0FFFF"/>
          </w:tcPr>
          <w:p>
            <w:pPr>
              <w:spacing w:after="0" w:line="146" w:lineRule="exact"/>
              <w:rPr>
                <w:sz w:val="20"/>
                <w:szCs w:val="20"/>
                <w:color w:val="auto"/>
              </w:rPr>
            </w:pPr>
            <w:r>
              <w:rPr>
                <w:rFonts w:ascii="Times New Roman" w:cs="Times New Roman" w:eastAsia="Times New Roman" w:hAnsi="Times New Roman"/>
                <w:sz w:val="13"/>
                <w:szCs w:val="13"/>
                <w:color w:val="auto"/>
              </w:rPr>
              <w:t> </w:t>
            </w:r>
          </w:p>
        </w:tc>
        <w:tc>
          <w:tcPr>
            <w:tcW w:w="480" w:type="dxa"/>
            <w:vAlign w:val="bottom"/>
            <w:tcBorders>
              <w:top w:val="single" w:sz="8" w:color="auto"/>
              <w:right w:val="single" w:sz="8" w:color="F0FFFF"/>
            </w:tcBorders>
            <w:gridSpan w:val="2"/>
            <w:shd w:val="clear" w:color="auto" w:fill="F0FFFF"/>
          </w:tcPr>
          <w:p>
            <w:pPr>
              <w:spacing w:after="0"/>
              <w:rPr>
                <w:sz w:val="12"/>
                <w:szCs w:val="12"/>
                <w:color w:val="auto"/>
              </w:rPr>
            </w:pPr>
          </w:p>
        </w:tc>
        <w:tc>
          <w:tcPr>
            <w:tcW w:w="220" w:type="dxa"/>
            <w:vAlign w:val="bottom"/>
            <w:tcBorders>
              <w:top w:val="single" w:sz="8" w:color="F0FFFF"/>
              <w:right w:val="single" w:sz="8" w:color="F0FFFF"/>
            </w:tcBorders>
            <w:shd w:val="clear" w:color="auto" w:fill="F0FFFF"/>
          </w:tcPr>
          <w:p>
            <w:pPr>
              <w:spacing w:after="0"/>
              <w:rPr>
                <w:sz w:val="12"/>
                <w:szCs w:val="12"/>
                <w:color w:val="auto"/>
              </w:rPr>
            </w:pPr>
          </w:p>
        </w:tc>
        <w:tc>
          <w:tcPr>
            <w:tcW w:w="500" w:type="dxa"/>
            <w:vAlign w:val="bottom"/>
            <w:tcBorders>
              <w:top w:val="single" w:sz="8" w:color="F0FFFF"/>
              <w:left w:val="single" w:sz="8" w:color="F0FFFF"/>
              <w:right w:val="single" w:sz="8" w:color="F0FFFF"/>
            </w:tcBorders>
            <w:shd w:val="clear" w:color="auto" w:fill="F0FFFF"/>
          </w:tcPr>
          <w:p>
            <w:pPr>
              <w:spacing w:after="0"/>
              <w:rPr>
                <w:sz w:val="12"/>
                <w:szCs w:val="12"/>
                <w:color w:val="auto"/>
              </w:rPr>
            </w:pPr>
          </w:p>
        </w:tc>
        <w:tc>
          <w:tcPr>
            <w:tcW w:w="300" w:type="dxa"/>
            <w:vAlign w:val="bottom"/>
            <w:tcBorders>
              <w:top w:val="single" w:sz="8" w:color="F0FFFF"/>
              <w:right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340" w:type="dxa"/>
            <w:vAlign w:val="bottom"/>
            <w:tcBorders>
              <w:top w:val="single" w:sz="8" w:color="F0FFFF"/>
              <w:right w:val="single" w:sz="8" w:color="auto"/>
            </w:tcBorders>
            <w:gridSpan w:val="2"/>
            <w:shd w:val="clear" w:color="auto" w:fill="F0FFFF"/>
          </w:tcPr>
          <w:p>
            <w:pPr>
              <w:spacing w:after="0"/>
              <w:rPr>
                <w:sz w:val="12"/>
                <w:szCs w:val="12"/>
                <w:color w:val="auto"/>
              </w:rPr>
            </w:pPr>
          </w:p>
        </w:tc>
        <w:tc>
          <w:tcPr>
            <w:tcW w:w="1300" w:type="dxa"/>
            <w:vAlign w:val="bottom"/>
            <w:tcBorders>
              <w:top w:val="single" w:sz="8" w:color="F0FFFF"/>
              <w:right w:val="single" w:sz="8" w:color="auto"/>
            </w:tcBorders>
            <w:gridSpan w:val="6"/>
            <w:shd w:val="clear" w:color="auto" w:fill="F0FFFF"/>
          </w:tcPr>
          <w:p>
            <w:pPr>
              <w:ind w:left="60"/>
              <w:spacing w:after="0" w:line="146" w:lineRule="exact"/>
              <w:rPr>
                <w:sz w:val="20"/>
                <w:szCs w:val="20"/>
                <w:color w:val="auto"/>
              </w:rPr>
            </w:pPr>
            <w:r>
              <w:rPr>
                <w:rFonts w:ascii="Times New Roman" w:cs="Times New Roman" w:eastAsia="Times New Roman" w:hAnsi="Times New Roman"/>
                <w:sz w:val="13"/>
                <w:szCs w:val="13"/>
                <w:b w:val="1"/>
                <w:bCs w:val="1"/>
                <w:color w:val="auto"/>
              </w:rPr>
              <w:t>OF INVESTING IN</w:t>
            </w:r>
          </w:p>
        </w:tc>
        <w:tc>
          <w:tcPr>
            <w:tcW w:w="0" w:type="dxa"/>
            <w:vAlign w:val="bottom"/>
          </w:tcPr>
          <w:p>
            <w:pPr>
              <w:spacing w:after="0"/>
              <w:rPr>
                <w:sz w:val="1"/>
                <w:szCs w:val="1"/>
                <w:color w:val="auto"/>
              </w:rPr>
            </w:pPr>
          </w:p>
        </w:tc>
      </w:tr>
      <w:tr>
        <w:trPr>
          <w:trHeight w:val="142"/>
        </w:trPr>
        <w:tc>
          <w:tcPr>
            <w:tcW w:w="1600" w:type="dxa"/>
            <w:vAlign w:val="bottom"/>
            <w:tcBorders>
              <w:left w:val="single" w:sz="8" w:color="auto"/>
              <w:right w:val="single" w:sz="8" w:color="auto"/>
            </w:tcBorders>
            <w:shd w:val="clear" w:color="auto" w:fill="F0FFFF"/>
          </w:tcPr>
          <w:p>
            <w:pPr>
              <w:ind w:left="60"/>
              <w:spacing w:after="0" w:line="122" w:lineRule="exact"/>
              <w:rPr>
                <w:sz w:val="20"/>
                <w:szCs w:val="20"/>
                <w:color w:val="auto"/>
              </w:rPr>
            </w:pPr>
            <w:r>
              <w:rPr>
                <w:rFonts w:ascii="Times New Roman" w:cs="Times New Roman" w:eastAsia="Times New Roman" w:hAnsi="Times New Roman"/>
                <w:sz w:val="13"/>
                <w:szCs w:val="13"/>
                <w:b w:val="1"/>
                <w:bCs w:val="1"/>
                <w:color w:val="auto"/>
              </w:rPr>
              <w:t>Performance?</w:t>
            </w:r>
          </w:p>
        </w:tc>
        <w:tc>
          <w:tcPr>
            <w:tcW w:w="4320" w:type="dxa"/>
            <w:vAlign w:val="bottom"/>
            <w:tcBorders>
              <w:right w:val="single" w:sz="8" w:color="auto"/>
            </w:tcBorders>
            <w:gridSpan w:val="16"/>
            <w:shd w:val="clear" w:color="auto" w:fill="F0FFFF"/>
          </w:tcPr>
          <w:p>
            <w:pPr>
              <w:spacing w:after="0" w:line="122" w:lineRule="exact"/>
              <w:rPr>
                <w:sz w:val="20"/>
                <w:szCs w:val="20"/>
                <w:color w:val="auto"/>
              </w:rPr>
            </w:pPr>
            <w:r>
              <w:rPr>
                <w:rFonts w:ascii="Times New Roman" w:cs="Times New Roman" w:eastAsia="Times New Roman" w:hAnsi="Times New Roman"/>
                <w:sz w:val="13"/>
                <w:szCs w:val="13"/>
                <w:color w:val="auto"/>
              </w:rPr>
              <w:t>● The currently offered Shield Options provide that we will absorb losses at</w:t>
            </w:r>
          </w:p>
        </w:tc>
        <w:tc>
          <w:tcPr>
            <w:tcW w:w="1300" w:type="dxa"/>
            <w:vAlign w:val="bottom"/>
            <w:tcBorders>
              <w:right w:val="single" w:sz="8" w:color="auto"/>
            </w:tcBorders>
            <w:gridSpan w:val="6"/>
            <w:shd w:val="clear" w:color="auto" w:fill="F0FFFF"/>
          </w:tcPr>
          <w:p>
            <w:pPr>
              <w:ind w:left="60"/>
              <w:spacing w:after="0" w:line="122" w:lineRule="exact"/>
              <w:rPr>
                <w:sz w:val="20"/>
                <w:szCs w:val="20"/>
                <w:color w:val="auto"/>
              </w:rPr>
            </w:pPr>
            <w:r>
              <w:rPr>
                <w:rFonts w:ascii="Times New Roman" w:cs="Times New Roman" w:eastAsia="Times New Roman" w:hAnsi="Times New Roman"/>
                <w:sz w:val="13"/>
                <w:szCs w:val="13"/>
                <w:b w:val="1"/>
                <w:bCs w:val="1"/>
                <w:color w:val="auto"/>
              </w:rPr>
              <w:t>THE CONTRACT</w:t>
            </w:r>
          </w:p>
        </w:tc>
        <w:tc>
          <w:tcPr>
            <w:tcW w:w="0" w:type="dxa"/>
            <w:vAlign w:val="bottom"/>
          </w:tcPr>
          <w:p>
            <w:pPr>
              <w:spacing w:after="0"/>
              <w:rPr>
                <w:sz w:val="1"/>
                <w:szCs w:val="1"/>
                <w:color w:val="auto"/>
              </w:rPr>
            </w:pPr>
          </w:p>
        </w:tc>
      </w:tr>
      <w:tr>
        <w:trPr>
          <w:trHeight w:val="20"/>
        </w:trPr>
        <w:tc>
          <w:tcPr>
            <w:tcW w:w="1600" w:type="dxa"/>
            <w:vAlign w:val="bottom"/>
            <w:tcBorders>
              <w:left w:val="single" w:sz="8" w:color="auto"/>
              <w:bottom w:val="single" w:sz="8" w:color="F0FFFF"/>
              <w:right w:val="single" w:sz="8" w:color="auto"/>
            </w:tcBorders>
            <w:shd w:val="clear" w:color="auto" w:fill="F0FFFF"/>
          </w:tcPr>
          <w:p>
            <w:pPr>
              <w:spacing w:after="0" w:line="20" w:lineRule="exact"/>
              <w:rPr>
                <w:sz w:val="1"/>
                <w:szCs w:val="1"/>
                <w:color w:val="auto"/>
              </w:rPr>
            </w:pPr>
          </w:p>
        </w:tc>
        <w:tc>
          <w:tcPr>
            <w:tcW w:w="560" w:type="dxa"/>
            <w:vAlign w:val="bottom"/>
            <w:tcBorders>
              <w:bottom w:val="single" w:sz="8" w:color="F0FFFF"/>
              <w:right w:val="single" w:sz="8" w:color="F0FFFF"/>
            </w:tcBorders>
            <w:shd w:val="clear" w:color="auto" w:fill="F0FFFF"/>
          </w:tcPr>
          <w:p>
            <w:pPr>
              <w:spacing w:after="0" w:line="20" w:lineRule="exact"/>
              <w:rPr>
                <w:sz w:val="1"/>
                <w:szCs w:val="1"/>
                <w:color w:val="auto"/>
              </w:rPr>
            </w:pPr>
          </w:p>
        </w:tc>
        <w:tc>
          <w:tcPr>
            <w:tcW w:w="480" w:type="dxa"/>
            <w:vAlign w:val="bottom"/>
            <w:tcBorders>
              <w:bottom w:val="single" w:sz="8" w:color="F0FFFF"/>
              <w:right w:val="single" w:sz="8" w:color="F0FFFF"/>
            </w:tcBorders>
            <w:shd w:val="clear" w:color="auto" w:fill="F0FFFF"/>
          </w:tcPr>
          <w:p>
            <w:pPr>
              <w:spacing w:after="0" w:line="20" w:lineRule="exact"/>
              <w:rPr>
                <w:sz w:val="1"/>
                <w:szCs w:val="1"/>
                <w:color w:val="auto"/>
              </w:rPr>
            </w:pPr>
          </w:p>
        </w:tc>
        <w:tc>
          <w:tcPr>
            <w:tcW w:w="220" w:type="dxa"/>
            <w:vAlign w:val="bottom"/>
            <w:tcBorders>
              <w:bottom w:val="single" w:sz="8" w:color="F0FFFF"/>
              <w:right w:val="single" w:sz="8" w:color="F0FFFF"/>
            </w:tcBorders>
            <w:shd w:val="clear" w:color="auto" w:fill="F0FFFF"/>
          </w:tcPr>
          <w:p>
            <w:pPr>
              <w:spacing w:after="0" w:line="20" w:lineRule="exact"/>
              <w:rPr>
                <w:sz w:val="1"/>
                <w:szCs w:val="1"/>
                <w:color w:val="auto"/>
              </w:rPr>
            </w:pPr>
          </w:p>
        </w:tc>
        <w:tc>
          <w:tcPr>
            <w:tcW w:w="520" w:type="dxa"/>
            <w:vAlign w:val="bottom"/>
            <w:tcBorders>
              <w:bottom w:val="single" w:sz="8" w:color="F0FFFF"/>
              <w:right w:val="single" w:sz="8" w:color="auto"/>
            </w:tcBorders>
            <w:gridSpan w:val="3"/>
            <w:shd w:val="clear" w:color="auto" w:fill="000000"/>
          </w:tcPr>
          <w:p>
            <w:pPr>
              <w:spacing w:after="0" w:line="20" w:lineRule="exact"/>
              <w:rPr>
                <w:sz w:val="1"/>
                <w:szCs w:val="1"/>
                <w:color w:val="auto"/>
              </w:rPr>
            </w:pPr>
          </w:p>
        </w:tc>
        <w:tc>
          <w:tcPr>
            <w:tcW w:w="320" w:type="dxa"/>
            <w:vAlign w:val="bottom"/>
            <w:tcBorders>
              <w:bottom w:val="single" w:sz="8" w:color="F0FFFF"/>
              <w:right w:val="single" w:sz="8" w:color="auto"/>
            </w:tcBorders>
            <w:shd w:val="clear" w:color="auto" w:fill="000000"/>
          </w:tcPr>
          <w:p>
            <w:pPr>
              <w:spacing w:after="0" w:line="20" w:lineRule="exact"/>
              <w:rPr>
                <w:sz w:val="1"/>
                <w:szCs w:val="1"/>
                <w:color w:val="auto"/>
              </w:rPr>
            </w:pPr>
          </w:p>
        </w:tc>
        <w:tc>
          <w:tcPr>
            <w:tcW w:w="760" w:type="dxa"/>
            <w:vAlign w:val="bottom"/>
            <w:tcBorders>
              <w:bottom w:val="single" w:sz="8" w:color="F0FFFF"/>
              <w:right w:val="single" w:sz="8" w:color="F0FFFF"/>
            </w:tcBorders>
            <w:gridSpan w:val="3"/>
            <w:shd w:val="clear" w:color="auto" w:fill="F0FFFF"/>
          </w:tcPr>
          <w:p>
            <w:pPr>
              <w:spacing w:after="0" w:line="20" w:lineRule="exact"/>
              <w:rPr>
                <w:sz w:val="1"/>
                <w:szCs w:val="1"/>
                <w:color w:val="auto"/>
              </w:rPr>
            </w:pPr>
          </w:p>
        </w:tc>
        <w:tc>
          <w:tcPr>
            <w:tcW w:w="220" w:type="dxa"/>
            <w:vAlign w:val="bottom"/>
            <w:tcBorders>
              <w:bottom w:val="single" w:sz="8" w:color="F0FFFF"/>
              <w:right w:val="single" w:sz="8" w:color="F0FFFF"/>
            </w:tcBorders>
            <w:shd w:val="clear" w:color="auto" w:fill="F0FFFF"/>
          </w:tcPr>
          <w:p>
            <w:pPr>
              <w:spacing w:after="0" w:line="20" w:lineRule="exact"/>
              <w:rPr>
                <w:sz w:val="1"/>
                <w:szCs w:val="1"/>
                <w:color w:val="auto"/>
              </w:rPr>
            </w:pPr>
          </w:p>
        </w:tc>
        <w:tc>
          <w:tcPr>
            <w:tcW w:w="500" w:type="dxa"/>
            <w:vAlign w:val="bottom"/>
            <w:tcBorders>
              <w:left w:val="single" w:sz="8" w:color="F0FFFF"/>
              <w:bottom w:val="single" w:sz="8" w:color="F0FFFF"/>
              <w:right w:val="single" w:sz="8" w:color="F0FFFF"/>
            </w:tcBorders>
            <w:shd w:val="clear" w:color="auto" w:fill="F0FFFF"/>
          </w:tcPr>
          <w:p>
            <w:pPr>
              <w:spacing w:after="0" w:line="20" w:lineRule="exact"/>
              <w:rPr>
                <w:sz w:val="1"/>
                <w:szCs w:val="1"/>
                <w:color w:val="auto"/>
              </w:rPr>
            </w:pPr>
          </w:p>
        </w:tc>
        <w:tc>
          <w:tcPr>
            <w:tcW w:w="300" w:type="dxa"/>
            <w:vAlign w:val="bottom"/>
            <w:tcBorders>
              <w:bottom w:val="single" w:sz="8" w:color="F0FFFF"/>
              <w:right w:val="single" w:sz="8" w:color="F0FFFF"/>
            </w:tcBorders>
            <w:shd w:val="clear" w:color="auto" w:fill="F0FFFF"/>
          </w:tcPr>
          <w:p>
            <w:pPr>
              <w:spacing w:after="0" w:line="20" w:lineRule="exact"/>
              <w:rPr>
                <w:sz w:val="1"/>
                <w:szCs w:val="1"/>
                <w:color w:val="auto"/>
              </w:rPr>
            </w:pPr>
          </w:p>
        </w:tc>
        <w:tc>
          <w:tcPr>
            <w:tcW w:w="100" w:type="dxa"/>
            <w:vAlign w:val="bottom"/>
            <w:tcBorders>
              <w:bottom w:val="single" w:sz="8" w:color="F0FFFF"/>
            </w:tcBorders>
            <w:shd w:val="clear" w:color="auto" w:fill="F0FFFF"/>
          </w:tcPr>
          <w:p>
            <w:pPr>
              <w:spacing w:after="0" w:line="20" w:lineRule="exact"/>
              <w:rPr>
                <w:sz w:val="1"/>
                <w:szCs w:val="1"/>
                <w:color w:val="auto"/>
              </w:rPr>
            </w:pPr>
          </w:p>
        </w:tc>
        <w:tc>
          <w:tcPr>
            <w:tcW w:w="340" w:type="dxa"/>
            <w:vAlign w:val="bottom"/>
            <w:tcBorders>
              <w:bottom w:val="single" w:sz="8" w:color="F0FFFF"/>
              <w:right w:val="single" w:sz="8" w:color="auto"/>
            </w:tcBorders>
            <w:gridSpan w:val="2"/>
            <w:shd w:val="clear" w:color="auto" w:fill="F0FFFF"/>
          </w:tcPr>
          <w:p>
            <w:pPr>
              <w:spacing w:after="0" w:line="20" w:lineRule="exact"/>
              <w:rPr>
                <w:sz w:val="1"/>
                <w:szCs w:val="1"/>
                <w:color w:val="auto"/>
              </w:rPr>
            </w:pPr>
          </w:p>
        </w:tc>
        <w:tc>
          <w:tcPr>
            <w:tcW w:w="380" w:type="dxa"/>
            <w:vAlign w:val="bottom"/>
            <w:tcBorders>
              <w:bottom w:val="single" w:sz="8" w:color="F0FFFF"/>
            </w:tcBorders>
            <w:gridSpan w:val="2"/>
            <w:shd w:val="clear" w:color="auto" w:fill="F0FFFF"/>
          </w:tcPr>
          <w:p>
            <w:pPr>
              <w:spacing w:after="0" w:line="20" w:lineRule="exact"/>
              <w:rPr>
                <w:sz w:val="1"/>
                <w:szCs w:val="1"/>
                <w:color w:val="auto"/>
              </w:rPr>
            </w:pPr>
          </w:p>
        </w:tc>
        <w:tc>
          <w:tcPr>
            <w:tcW w:w="660" w:type="dxa"/>
            <w:vAlign w:val="bottom"/>
            <w:tcBorders>
              <w:bottom w:val="single" w:sz="8" w:color="auto"/>
            </w:tcBorders>
            <w:shd w:val="clear" w:color="auto" w:fill="F0FFFF"/>
          </w:tcPr>
          <w:p>
            <w:pPr>
              <w:spacing w:after="0" w:line="20" w:lineRule="exact"/>
              <w:rPr>
                <w:sz w:val="1"/>
                <w:szCs w:val="1"/>
                <w:color w:val="auto"/>
              </w:rPr>
            </w:pPr>
          </w:p>
        </w:tc>
        <w:tc>
          <w:tcPr>
            <w:tcW w:w="100" w:type="dxa"/>
            <w:vAlign w:val="bottom"/>
            <w:tcBorders>
              <w:bottom w:val="single" w:sz="8" w:color="auto"/>
            </w:tcBorders>
            <w:shd w:val="clear" w:color="auto" w:fill="F0FFFF"/>
          </w:tcPr>
          <w:p>
            <w:pPr>
              <w:spacing w:after="0" w:line="20" w:lineRule="exact"/>
              <w:rPr>
                <w:sz w:val="1"/>
                <w:szCs w:val="1"/>
                <w:color w:val="auto"/>
              </w:rPr>
            </w:pPr>
          </w:p>
        </w:tc>
        <w:tc>
          <w:tcPr>
            <w:tcW w:w="160" w:type="dxa"/>
            <w:vAlign w:val="bottom"/>
            <w:tcBorders>
              <w:bottom w:val="single" w:sz="8" w:color="F0FFFF"/>
              <w:right w:val="single" w:sz="8" w:color="auto"/>
            </w:tcBorders>
            <w:gridSpan w:val="2"/>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600" w:type="dxa"/>
            <w:vAlign w:val="bottom"/>
            <w:tcBorders>
              <w:left w:val="single" w:sz="8" w:color="auto"/>
              <w:right w:val="single" w:sz="8" w:color="auto"/>
            </w:tcBorders>
            <w:shd w:val="clear" w:color="auto" w:fill="F0FFFF"/>
          </w:tcPr>
          <w:p>
            <w:pPr>
              <w:spacing w:after="0"/>
              <w:rPr>
                <w:sz w:val="10"/>
                <w:szCs w:val="10"/>
                <w:color w:val="auto"/>
              </w:rPr>
            </w:pPr>
          </w:p>
        </w:tc>
        <w:tc>
          <w:tcPr>
            <w:tcW w:w="4320" w:type="dxa"/>
            <w:vAlign w:val="bottom"/>
            <w:tcBorders>
              <w:right w:val="single" w:sz="8" w:color="auto"/>
            </w:tcBorders>
            <w:gridSpan w:val="16"/>
            <w:shd w:val="clear" w:color="auto" w:fill="F0FFFF"/>
          </w:tcPr>
          <w:p>
            <w:pPr>
              <w:ind w:left="120"/>
              <w:spacing w:after="0" w:line="119" w:lineRule="exact"/>
              <w:rPr>
                <w:sz w:val="20"/>
                <w:szCs w:val="20"/>
                <w:color w:val="auto"/>
              </w:rPr>
            </w:pPr>
            <w:r>
              <w:rPr>
                <w:rFonts w:ascii="Times New Roman" w:cs="Times New Roman" w:eastAsia="Times New Roman" w:hAnsi="Times New Roman"/>
                <w:sz w:val="13"/>
                <w:szCs w:val="13"/>
                <w:color w:val="auto"/>
              </w:rPr>
              <w:t xml:space="preserve">least equal to 10%, 15%, and 25%. </w:t>
            </w:r>
            <w:r>
              <w:rPr>
                <w:rFonts w:ascii="Times New Roman" w:cs="Times New Roman" w:eastAsia="Times New Roman" w:hAnsi="Times New Roman"/>
                <w:sz w:val="13"/>
                <w:szCs w:val="13"/>
                <w:b w:val="1"/>
                <w:bCs w:val="1"/>
                <w:color w:val="auto"/>
              </w:rPr>
              <w:t>Under these Shield Options, the</w:t>
            </w:r>
          </w:p>
        </w:tc>
        <w:tc>
          <w:tcPr>
            <w:tcW w:w="380" w:type="dxa"/>
            <w:vAlign w:val="bottom"/>
            <w:gridSpan w:val="2"/>
            <w:shd w:val="clear" w:color="auto" w:fill="F0FFFF"/>
          </w:tcPr>
          <w:p>
            <w:pPr>
              <w:ind w:left="60"/>
              <w:spacing w:after="0" w:line="119" w:lineRule="exact"/>
              <w:rPr>
                <w:sz w:val="20"/>
                <w:szCs w:val="20"/>
                <w:color w:val="auto"/>
              </w:rPr>
            </w:pPr>
            <w:r>
              <w:rPr>
                <w:rFonts w:ascii="Times New Roman" w:cs="Times New Roman" w:eastAsia="Times New Roman" w:hAnsi="Times New Roman"/>
                <w:sz w:val="13"/>
                <w:szCs w:val="13"/>
                <w:b w:val="1"/>
                <w:bCs w:val="1"/>
                <w:color w:val="auto"/>
              </w:rPr>
              <w:t> </w:t>
            </w:r>
          </w:p>
        </w:tc>
        <w:tc>
          <w:tcPr>
            <w:tcW w:w="66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160" w:type="dxa"/>
            <w:vAlign w:val="bottom"/>
            <w:tcBorders>
              <w:right w:val="single" w:sz="8" w:color="auto"/>
            </w:tcBorders>
            <w:gridSpan w:val="2"/>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0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560" w:type="dxa"/>
            <w:vAlign w:val="bottom"/>
            <w:tcBorders>
              <w:right w:val="single" w:sz="8" w:color="F0FFFF"/>
            </w:tcBorders>
            <w:shd w:val="clear" w:color="auto" w:fill="F0FFFF"/>
          </w:tcPr>
          <w:p>
            <w:pPr>
              <w:spacing w:after="0" w:line="20" w:lineRule="exact"/>
              <w:rPr>
                <w:sz w:val="1"/>
                <w:szCs w:val="1"/>
                <w:color w:val="auto"/>
              </w:rPr>
            </w:pPr>
          </w:p>
        </w:tc>
        <w:tc>
          <w:tcPr>
            <w:tcW w:w="480" w:type="dxa"/>
            <w:vAlign w:val="bottom"/>
            <w:tcBorders>
              <w:right w:val="single" w:sz="8" w:color="F0FFFF"/>
            </w:tcBorders>
            <w:shd w:val="clear" w:color="auto" w:fill="F0FFFF"/>
          </w:tcPr>
          <w:p>
            <w:pPr>
              <w:spacing w:after="0" w:line="20" w:lineRule="exact"/>
              <w:rPr>
                <w:sz w:val="1"/>
                <w:szCs w:val="1"/>
                <w:color w:val="auto"/>
              </w:rPr>
            </w:pPr>
          </w:p>
        </w:tc>
        <w:tc>
          <w:tcPr>
            <w:tcW w:w="740" w:type="dxa"/>
            <w:vAlign w:val="bottom"/>
            <w:tcBorders>
              <w:right w:val="single" w:sz="8" w:color="F0FFFF"/>
            </w:tcBorders>
            <w:gridSpan w:val="4"/>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760" w:type="dxa"/>
            <w:vAlign w:val="bottom"/>
            <w:tcBorders>
              <w:right w:val="single" w:sz="8" w:color="auto"/>
            </w:tcBorders>
            <w:gridSpan w:val="3"/>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340" w:type="dxa"/>
            <w:vAlign w:val="bottom"/>
            <w:tcBorders>
              <w:right w:val="single" w:sz="8" w:color="auto"/>
            </w:tcBorders>
            <w:gridSpan w:val="2"/>
            <w:shd w:val="clear" w:color="auto" w:fill="F0FFFF"/>
          </w:tcPr>
          <w:p>
            <w:pPr>
              <w:spacing w:after="0" w:line="20" w:lineRule="exact"/>
              <w:rPr>
                <w:sz w:val="1"/>
                <w:szCs w:val="1"/>
                <w:color w:val="auto"/>
              </w:rPr>
            </w:pPr>
          </w:p>
        </w:tc>
        <w:tc>
          <w:tcPr>
            <w:tcW w:w="1300" w:type="dxa"/>
            <w:vAlign w:val="bottom"/>
            <w:tcBorders>
              <w:right w:val="single" w:sz="8" w:color="auto"/>
            </w:tcBorders>
            <w:gridSpan w:val="6"/>
            <w:vMerge w:val="restart"/>
            <w:shd w:val="clear" w:color="auto" w:fill="F0FFFF"/>
          </w:tcPr>
          <w:p>
            <w:pPr>
              <w:ind w:left="60"/>
              <w:spacing w:after="0"/>
              <w:rPr>
                <w:sz w:val="20"/>
                <w:szCs w:val="20"/>
                <w:color w:val="auto"/>
              </w:rPr>
            </w:pPr>
            <w:r>
              <w:rPr>
                <w:rFonts w:ascii="Times New Roman" w:cs="Times New Roman" w:eastAsia="Times New Roman" w:hAnsi="Times New Roman"/>
                <w:sz w:val="13"/>
                <w:szCs w:val="13"/>
                <w:b w:val="1"/>
                <w:bCs w:val="1"/>
                <w:color w:val="auto"/>
              </w:rPr>
              <w:t>SHIELD RATES</w:t>
            </w:r>
          </w:p>
        </w:tc>
        <w:tc>
          <w:tcPr>
            <w:tcW w:w="0" w:type="dxa"/>
            <w:vAlign w:val="bottom"/>
          </w:tcPr>
          <w:p>
            <w:pPr>
              <w:spacing w:after="0" w:line="20" w:lineRule="exact"/>
              <w:rPr>
                <w:sz w:val="1"/>
                <w:szCs w:val="1"/>
                <w:color w:val="auto"/>
              </w:rPr>
            </w:pPr>
          </w:p>
        </w:tc>
      </w:tr>
      <w:tr>
        <w:trPr>
          <w:trHeight w:val="139"/>
        </w:trPr>
        <w:tc>
          <w:tcPr>
            <w:tcW w:w="1600" w:type="dxa"/>
            <w:vAlign w:val="bottom"/>
            <w:tcBorders>
              <w:left w:val="single" w:sz="8" w:color="auto"/>
              <w:right w:val="single" w:sz="8" w:color="auto"/>
            </w:tcBorders>
            <w:shd w:val="clear" w:color="auto" w:fill="F0FFFF"/>
          </w:tcPr>
          <w:p>
            <w:pPr>
              <w:spacing w:after="0"/>
              <w:rPr>
                <w:sz w:val="12"/>
                <w:szCs w:val="12"/>
                <w:color w:val="auto"/>
              </w:rPr>
            </w:pPr>
          </w:p>
        </w:tc>
        <w:tc>
          <w:tcPr>
            <w:tcW w:w="4320" w:type="dxa"/>
            <w:vAlign w:val="bottom"/>
            <w:tcBorders>
              <w:right w:val="single" w:sz="8" w:color="auto"/>
            </w:tcBorders>
            <w:gridSpan w:val="16"/>
            <w:shd w:val="clear" w:color="auto" w:fill="F0FFFF"/>
          </w:tcPr>
          <w:p>
            <w:pPr>
              <w:ind w:left="120"/>
              <w:spacing w:after="0" w:line="139" w:lineRule="exact"/>
              <w:rPr>
                <w:sz w:val="20"/>
                <w:szCs w:val="20"/>
                <w:color w:val="auto"/>
              </w:rPr>
            </w:pPr>
            <w:r>
              <w:rPr>
                <w:rFonts w:ascii="Times New Roman" w:cs="Times New Roman" w:eastAsia="Times New Roman" w:hAnsi="Times New Roman"/>
                <w:sz w:val="13"/>
                <w:szCs w:val="13"/>
                <w:b w:val="1"/>
                <w:bCs w:val="1"/>
                <w:color w:val="auto"/>
              </w:rPr>
              <w:t>maximum amount of loss you could experience due to negative index</w:t>
            </w:r>
          </w:p>
        </w:tc>
        <w:tc>
          <w:tcPr>
            <w:tcW w:w="1300" w:type="dxa"/>
            <w:vAlign w:val="bottom"/>
            <w:tcBorders>
              <w:right w:val="single" w:sz="8" w:color="auto"/>
            </w:tcBorders>
            <w:gridSpan w:val="6"/>
            <w:vMerge w:val="continue"/>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600" w:type="dxa"/>
            <w:vAlign w:val="bottom"/>
            <w:tcBorders>
              <w:top w:val="single" w:sz="8" w:color="F0FFFF"/>
              <w:left w:val="single" w:sz="8" w:color="auto"/>
              <w:right w:val="single" w:sz="8" w:color="auto"/>
            </w:tcBorders>
            <w:shd w:val="clear" w:color="auto" w:fill="F0FFFF"/>
          </w:tcPr>
          <w:p>
            <w:pPr>
              <w:spacing w:after="0"/>
              <w:rPr>
                <w:sz w:val="12"/>
                <w:szCs w:val="12"/>
                <w:color w:val="auto"/>
              </w:rPr>
            </w:pPr>
          </w:p>
        </w:tc>
        <w:tc>
          <w:tcPr>
            <w:tcW w:w="4320" w:type="dxa"/>
            <w:vAlign w:val="bottom"/>
            <w:tcBorders>
              <w:top w:val="single" w:sz="8" w:color="F0FFFF"/>
              <w:right w:val="single" w:sz="8" w:color="auto"/>
            </w:tcBorders>
            <w:gridSpan w:val="16"/>
            <w:shd w:val="clear" w:color="auto" w:fill="F0FFFF"/>
          </w:tcPr>
          <w:p>
            <w:pPr>
              <w:ind w:left="120"/>
              <w:spacing w:after="0" w:line="139" w:lineRule="exact"/>
              <w:rPr>
                <w:sz w:val="20"/>
                <w:szCs w:val="20"/>
                <w:color w:val="auto"/>
              </w:rPr>
            </w:pPr>
            <w:r>
              <w:rPr>
                <w:rFonts w:ascii="Times New Roman" w:cs="Times New Roman" w:eastAsia="Times New Roman" w:hAnsi="Times New Roman"/>
                <w:sz w:val="13"/>
                <w:szCs w:val="13"/>
                <w:b w:val="1"/>
                <w:bCs w:val="1"/>
                <w:color w:val="auto"/>
              </w:rPr>
              <w:t>performance at the end of a Term, after taking into account these</w:t>
            </w:r>
          </w:p>
        </w:tc>
        <w:tc>
          <w:tcPr>
            <w:tcW w:w="60" w:type="dxa"/>
            <w:vAlign w:val="bottom"/>
            <w:tcBorders>
              <w:top w:val="single" w:sz="8" w:color="F0FFFF"/>
            </w:tcBorders>
            <w:shd w:val="clear" w:color="auto" w:fill="F0FFFF"/>
          </w:tcPr>
          <w:p>
            <w:pPr>
              <w:spacing w:after="0"/>
              <w:rPr>
                <w:sz w:val="12"/>
                <w:szCs w:val="12"/>
                <w:color w:val="auto"/>
              </w:rPr>
            </w:pPr>
          </w:p>
        </w:tc>
        <w:tc>
          <w:tcPr>
            <w:tcW w:w="320" w:type="dxa"/>
            <w:vAlign w:val="bottom"/>
            <w:tcBorders>
              <w:top w:val="single" w:sz="8" w:color="auto"/>
            </w:tcBorders>
            <w:shd w:val="clear" w:color="auto" w:fill="F0FFFF"/>
          </w:tcPr>
          <w:p>
            <w:pPr>
              <w:spacing w:after="0"/>
              <w:rPr>
                <w:sz w:val="12"/>
                <w:szCs w:val="12"/>
                <w:color w:val="auto"/>
              </w:rPr>
            </w:pPr>
          </w:p>
        </w:tc>
        <w:tc>
          <w:tcPr>
            <w:tcW w:w="660" w:type="dxa"/>
            <w:vAlign w:val="bottom"/>
            <w:tcBorders>
              <w:top w:val="single" w:sz="8" w:color="auto"/>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20" w:type="dxa"/>
            <w:vAlign w:val="bottom"/>
            <w:tcBorders>
              <w:top w:val="single" w:sz="8" w:color="F0FFFF"/>
            </w:tcBorders>
            <w:shd w:val="clear" w:color="auto" w:fill="F0FFFF"/>
          </w:tcPr>
          <w:p>
            <w:pPr>
              <w:spacing w:after="0"/>
              <w:rPr>
                <w:sz w:val="12"/>
                <w:szCs w:val="12"/>
                <w:color w:val="auto"/>
              </w:rPr>
            </w:pPr>
          </w:p>
        </w:tc>
        <w:tc>
          <w:tcPr>
            <w:tcW w:w="140" w:type="dxa"/>
            <w:vAlign w:val="bottom"/>
            <w:tcBorders>
              <w:top w:val="single" w:sz="8" w:color="F0FFFF"/>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0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560" w:type="dxa"/>
            <w:vAlign w:val="bottom"/>
            <w:tcBorders>
              <w:right w:val="single" w:sz="8" w:color="F0FFFF"/>
            </w:tcBorders>
            <w:shd w:val="clear" w:color="auto" w:fill="F0FFFF"/>
          </w:tcPr>
          <w:p>
            <w:pPr>
              <w:spacing w:after="0" w:line="20" w:lineRule="exact"/>
              <w:rPr>
                <w:sz w:val="1"/>
                <w:szCs w:val="1"/>
                <w:color w:val="auto"/>
              </w:rPr>
            </w:pPr>
          </w:p>
        </w:tc>
        <w:tc>
          <w:tcPr>
            <w:tcW w:w="480" w:type="dxa"/>
            <w:vAlign w:val="bottom"/>
            <w:tcBorders>
              <w:right w:val="single" w:sz="8" w:color="F0FFFF"/>
            </w:tcBorders>
            <w:shd w:val="clear" w:color="auto" w:fill="F0FFFF"/>
          </w:tcPr>
          <w:p>
            <w:pPr>
              <w:spacing w:after="0" w:line="20" w:lineRule="exact"/>
              <w:rPr>
                <w:sz w:val="1"/>
                <w:szCs w:val="1"/>
                <w:color w:val="auto"/>
              </w:rPr>
            </w:pPr>
          </w:p>
        </w:tc>
        <w:tc>
          <w:tcPr>
            <w:tcW w:w="740" w:type="dxa"/>
            <w:vAlign w:val="bottom"/>
            <w:tcBorders>
              <w:right w:val="single" w:sz="8" w:color="auto"/>
            </w:tcBorders>
            <w:gridSpan w:val="4"/>
            <w:shd w:val="clear" w:color="auto" w:fill="F0FFFF"/>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tcBorders>
              <w:right w:val="single" w:sz="8" w:color="F0FFFF"/>
            </w:tcBorders>
            <w:gridSpan w:val="3"/>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50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340" w:type="dxa"/>
            <w:vAlign w:val="bottom"/>
            <w:tcBorders>
              <w:right w:val="single" w:sz="8" w:color="auto"/>
            </w:tcBorders>
            <w:gridSpan w:val="2"/>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320" w:type="dxa"/>
            <w:vAlign w:val="bottom"/>
            <w:shd w:val="clear" w:color="auto" w:fill="F0FFFF"/>
          </w:tcPr>
          <w:p>
            <w:pPr>
              <w:spacing w:after="0" w:line="20" w:lineRule="exact"/>
              <w:rPr>
                <w:sz w:val="1"/>
                <w:szCs w:val="1"/>
                <w:color w:val="auto"/>
              </w:rPr>
            </w:pPr>
          </w:p>
        </w:tc>
        <w:tc>
          <w:tcPr>
            <w:tcW w:w="66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600" w:type="dxa"/>
            <w:vAlign w:val="bottom"/>
            <w:tcBorders>
              <w:left w:val="single" w:sz="8" w:color="auto"/>
              <w:right w:val="single" w:sz="8" w:color="auto"/>
            </w:tcBorders>
            <w:shd w:val="clear" w:color="auto" w:fill="F0FFFF"/>
          </w:tcPr>
          <w:p>
            <w:pPr>
              <w:spacing w:after="0"/>
              <w:rPr>
                <w:sz w:val="13"/>
                <w:szCs w:val="13"/>
                <w:color w:val="auto"/>
              </w:rPr>
            </w:pPr>
          </w:p>
        </w:tc>
        <w:tc>
          <w:tcPr>
            <w:tcW w:w="4320" w:type="dxa"/>
            <w:vAlign w:val="bottom"/>
            <w:tcBorders>
              <w:right w:val="single" w:sz="8" w:color="auto"/>
            </w:tcBorders>
            <w:gridSpan w:val="16"/>
            <w:shd w:val="clear" w:color="auto" w:fill="F0FFFF"/>
          </w:tcPr>
          <w:p>
            <w:pPr>
              <w:ind w:left="120"/>
              <w:spacing w:after="0"/>
              <w:rPr>
                <w:sz w:val="20"/>
                <w:szCs w:val="20"/>
                <w:color w:val="auto"/>
              </w:rPr>
            </w:pPr>
            <w:r>
              <w:rPr>
                <w:rFonts w:ascii="Times New Roman" w:cs="Times New Roman" w:eastAsia="Times New Roman" w:hAnsi="Times New Roman"/>
                <w:sz w:val="13"/>
                <w:szCs w:val="13"/>
                <w:b w:val="1"/>
                <w:bCs w:val="1"/>
                <w:color w:val="auto"/>
              </w:rPr>
              <w:t>levels of protection, would be: 90% for 10% downside protection; 85%</w:t>
            </w:r>
          </w:p>
        </w:tc>
        <w:tc>
          <w:tcPr>
            <w:tcW w:w="60" w:type="dxa"/>
            <w:vAlign w:val="bottom"/>
            <w:shd w:val="clear" w:color="auto" w:fill="F0FFFF"/>
          </w:tcPr>
          <w:p>
            <w:pPr>
              <w:spacing w:after="0"/>
              <w:rPr>
                <w:sz w:val="13"/>
                <w:szCs w:val="13"/>
                <w:color w:val="auto"/>
              </w:rPr>
            </w:pPr>
          </w:p>
        </w:tc>
        <w:tc>
          <w:tcPr>
            <w:tcW w:w="320" w:type="dxa"/>
            <w:vAlign w:val="bottom"/>
            <w:shd w:val="clear" w:color="auto" w:fill="F0FFFF"/>
          </w:tcPr>
          <w:p>
            <w:pPr>
              <w:spacing w:after="0"/>
              <w:rPr>
                <w:sz w:val="13"/>
                <w:szCs w:val="13"/>
                <w:color w:val="auto"/>
              </w:rPr>
            </w:pPr>
          </w:p>
        </w:tc>
        <w:tc>
          <w:tcPr>
            <w:tcW w:w="66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20" w:type="dxa"/>
            <w:vAlign w:val="bottom"/>
            <w:shd w:val="clear" w:color="auto" w:fill="F0FFFF"/>
          </w:tcPr>
          <w:p>
            <w:pPr>
              <w:spacing w:after="0"/>
              <w:rPr>
                <w:sz w:val="13"/>
                <w:szCs w:val="13"/>
                <w:color w:val="auto"/>
              </w:rPr>
            </w:pPr>
          </w:p>
        </w:tc>
        <w:tc>
          <w:tcPr>
            <w:tcW w:w="140" w:type="dxa"/>
            <w:vAlign w:val="bottom"/>
            <w:tcBorders>
              <w:right w:val="single" w:sz="8" w:color="auto"/>
            </w:tcBorders>
            <w:shd w:val="clear" w:color="auto" w:fill="F0FF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600" w:type="dxa"/>
            <w:vAlign w:val="bottom"/>
            <w:tcBorders>
              <w:left w:val="single" w:sz="8" w:color="auto"/>
              <w:right w:val="single" w:sz="8" w:color="auto"/>
            </w:tcBorders>
            <w:shd w:val="clear" w:color="auto" w:fill="F0FFFF"/>
          </w:tcPr>
          <w:p>
            <w:pPr>
              <w:spacing w:after="0"/>
              <w:rPr>
                <w:sz w:val="13"/>
                <w:szCs w:val="13"/>
                <w:color w:val="auto"/>
              </w:rPr>
            </w:pPr>
          </w:p>
        </w:tc>
        <w:tc>
          <w:tcPr>
            <w:tcW w:w="4320" w:type="dxa"/>
            <w:vAlign w:val="bottom"/>
            <w:tcBorders>
              <w:right w:val="single" w:sz="8" w:color="auto"/>
            </w:tcBorders>
            <w:gridSpan w:val="16"/>
            <w:shd w:val="clear" w:color="auto" w:fill="F0FFFF"/>
          </w:tcPr>
          <w:p>
            <w:pPr>
              <w:ind w:left="120"/>
              <w:spacing w:after="0"/>
              <w:rPr>
                <w:sz w:val="20"/>
                <w:szCs w:val="20"/>
                <w:color w:val="auto"/>
              </w:rPr>
            </w:pPr>
            <w:r>
              <w:rPr>
                <w:rFonts w:ascii="Times New Roman" w:cs="Times New Roman" w:eastAsia="Times New Roman" w:hAnsi="Times New Roman"/>
                <w:sz w:val="13"/>
                <w:szCs w:val="13"/>
                <w:b w:val="1"/>
                <w:bCs w:val="1"/>
                <w:color w:val="auto"/>
              </w:rPr>
              <w:t>for 15% downside protection; and 75% for 25% downside protection.</w:t>
            </w:r>
          </w:p>
        </w:tc>
        <w:tc>
          <w:tcPr>
            <w:tcW w:w="60" w:type="dxa"/>
            <w:vAlign w:val="bottom"/>
            <w:shd w:val="clear" w:color="auto" w:fill="F0FFFF"/>
          </w:tcPr>
          <w:p>
            <w:pPr>
              <w:spacing w:after="0"/>
              <w:rPr>
                <w:sz w:val="13"/>
                <w:szCs w:val="13"/>
                <w:color w:val="auto"/>
              </w:rPr>
            </w:pPr>
          </w:p>
        </w:tc>
        <w:tc>
          <w:tcPr>
            <w:tcW w:w="320" w:type="dxa"/>
            <w:vAlign w:val="bottom"/>
            <w:shd w:val="clear" w:color="auto" w:fill="F0FFFF"/>
          </w:tcPr>
          <w:p>
            <w:pPr>
              <w:spacing w:after="0"/>
              <w:rPr>
                <w:sz w:val="13"/>
                <w:szCs w:val="13"/>
                <w:color w:val="auto"/>
              </w:rPr>
            </w:pPr>
          </w:p>
        </w:tc>
        <w:tc>
          <w:tcPr>
            <w:tcW w:w="66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20" w:type="dxa"/>
            <w:vAlign w:val="bottom"/>
            <w:shd w:val="clear" w:color="auto" w:fill="F0FFFF"/>
          </w:tcPr>
          <w:p>
            <w:pPr>
              <w:spacing w:after="0"/>
              <w:rPr>
                <w:sz w:val="13"/>
                <w:szCs w:val="13"/>
                <w:color w:val="auto"/>
              </w:rPr>
            </w:pPr>
          </w:p>
        </w:tc>
        <w:tc>
          <w:tcPr>
            <w:tcW w:w="140" w:type="dxa"/>
            <w:vAlign w:val="bottom"/>
            <w:tcBorders>
              <w:right w:val="single" w:sz="8" w:color="auto"/>
            </w:tcBorders>
            <w:shd w:val="clear" w:color="auto" w:fill="F0FF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600" w:type="dxa"/>
            <w:vAlign w:val="bottom"/>
            <w:tcBorders>
              <w:left w:val="single" w:sz="8" w:color="auto"/>
              <w:right w:val="single" w:sz="8" w:color="auto"/>
            </w:tcBorders>
            <w:shd w:val="clear" w:color="auto" w:fill="F0FFFF"/>
          </w:tcPr>
          <w:p>
            <w:pPr>
              <w:spacing w:after="0"/>
              <w:rPr>
                <w:sz w:val="12"/>
                <w:szCs w:val="12"/>
                <w:color w:val="auto"/>
              </w:rPr>
            </w:pPr>
          </w:p>
        </w:tc>
        <w:tc>
          <w:tcPr>
            <w:tcW w:w="4320" w:type="dxa"/>
            <w:vAlign w:val="bottom"/>
            <w:tcBorders>
              <w:right w:val="single" w:sz="8" w:color="auto"/>
            </w:tcBorders>
            <w:gridSpan w:val="16"/>
            <w:shd w:val="clear" w:color="auto" w:fill="F0FFFF"/>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 We do not guarantee that there will always be a Shield Option under</w:t>
            </w:r>
          </w:p>
        </w:tc>
        <w:tc>
          <w:tcPr>
            <w:tcW w:w="60" w:type="dxa"/>
            <w:vAlign w:val="bottom"/>
            <w:shd w:val="clear" w:color="auto" w:fill="F0FFFF"/>
          </w:tcPr>
          <w:p>
            <w:pPr>
              <w:spacing w:after="0"/>
              <w:rPr>
                <w:sz w:val="12"/>
                <w:szCs w:val="12"/>
                <w:color w:val="auto"/>
              </w:rPr>
            </w:pPr>
          </w:p>
        </w:tc>
        <w:tc>
          <w:tcPr>
            <w:tcW w:w="32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4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0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560" w:type="dxa"/>
            <w:vAlign w:val="bottom"/>
            <w:tcBorders>
              <w:right w:val="single" w:sz="8" w:color="F0FFFF"/>
            </w:tcBorders>
            <w:shd w:val="clear" w:color="auto" w:fill="F0FFFF"/>
          </w:tcPr>
          <w:p>
            <w:pPr>
              <w:spacing w:after="0" w:line="20" w:lineRule="exact"/>
              <w:rPr>
                <w:sz w:val="1"/>
                <w:szCs w:val="1"/>
                <w:color w:val="auto"/>
              </w:rPr>
            </w:pPr>
          </w:p>
        </w:tc>
        <w:tc>
          <w:tcPr>
            <w:tcW w:w="480" w:type="dxa"/>
            <w:vAlign w:val="bottom"/>
            <w:tcBorders>
              <w:right w:val="single" w:sz="8" w:color="F0FFFF"/>
            </w:tcBorders>
            <w:shd w:val="clear" w:color="auto" w:fill="F0FFFF"/>
          </w:tcPr>
          <w:p>
            <w:pPr>
              <w:spacing w:after="0" w:line="20" w:lineRule="exact"/>
              <w:rPr>
                <w:sz w:val="1"/>
                <w:szCs w:val="1"/>
                <w:color w:val="auto"/>
              </w:rPr>
            </w:pPr>
          </w:p>
        </w:tc>
        <w:tc>
          <w:tcPr>
            <w:tcW w:w="1820" w:type="dxa"/>
            <w:vAlign w:val="bottom"/>
            <w:tcBorders>
              <w:right w:val="single" w:sz="8" w:color="auto"/>
            </w:tcBorders>
            <w:gridSpan w:val="8"/>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00" w:type="dxa"/>
            <w:vAlign w:val="bottom"/>
            <w:tcBorders>
              <w:right w:val="single" w:sz="8" w:color="F0FFFF"/>
            </w:tcBorders>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340" w:type="dxa"/>
            <w:vAlign w:val="bottom"/>
            <w:tcBorders>
              <w:right w:val="single" w:sz="8" w:color="auto"/>
            </w:tcBorders>
            <w:gridSpan w:val="2"/>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320" w:type="dxa"/>
            <w:vAlign w:val="bottom"/>
            <w:shd w:val="clear" w:color="auto" w:fill="F0FFFF"/>
          </w:tcPr>
          <w:p>
            <w:pPr>
              <w:spacing w:after="0" w:line="20" w:lineRule="exact"/>
              <w:rPr>
                <w:sz w:val="1"/>
                <w:szCs w:val="1"/>
                <w:color w:val="auto"/>
              </w:rPr>
            </w:pPr>
          </w:p>
        </w:tc>
        <w:tc>
          <w:tcPr>
            <w:tcW w:w="66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600" w:type="dxa"/>
            <w:vAlign w:val="bottom"/>
            <w:tcBorders>
              <w:left w:val="single" w:sz="8" w:color="auto"/>
              <w:right w:val="single" w:sz="8" w:color="auto"/>
            </w:tcBorders>
            <w:shd w:val="clear" w:color="auto" w:fill="F0FFFF"/>
          </w:tcPr>
          <w:p>
            <w:pPr>
              <w:spacing w:after="0"/>
              <w:rPr>
                <w:sz w:val="12"/>
                <w:szCs w:val="12"/>
                <w:color w:val="auto"/>
              </w:rPr>
            </w:pPr>
          </w:p>
        </w:tc>
        <w:tc>
          <w:tcPr>
            <w:tcW w:w="4320" w:type="dxa"/>
            <w:vAlign w:val="bottom"/>
            <w:tcBorders>
              <w:right w:val="single" w:sz="8" w:color="auto"/>
            </w:tcBorders>
            <w:gridSpan w:val="16"/>
            <w:shd w:val="clear" w:color="auto" w:fill="F0FFFF"/>
          </w:tcPr>
          <w:p>
            <w:pPr>
              <w:ind w:left="120"/>
              <w:spacing w:after="0" w:line="139" w:lineRule="exact"/>
              <w:rPr>
                <w:sz w:val="20"/>
                <w:szCs w:val="20"/>
                <w:color w:val="auto"/>
              </w:rPr>
            </w:pPr>
            <w:r>
              <w:rPr>
                <w:rFonts w:ascii="Times New Roman" w:cs="Times New Roman" w:eastAsia="Times New Roman" w:hAnsi="Times New Roman"/>
                <w:sz w:val="13"/>
                <w:szCs w:val="13"/>
                <w:b w:val="1"/>
                <w:bCs w:val="1"/>
                <w:color w:val="auto"/>
              </w:rPr>
              <w:t>the Contract that provides this minimum amount of downside</w:t>
            </w:r>
          </w:p>
        </w:tc>
        <w:tc>
          <w:tcPr>
            <w:tcW w:w="60" w:type="dxa"/>
            <w:vAlign w:val="bottom"/>
            <w:shd w:val="clear" w:color="auto" w:fill="F0FFFF"/>
          </w:tcPr>
          <w:p>
            <w:pPr>
              <w:spacing w:after="0"/>
              <w:rPr>
                <w:sz w:val="12"/>
                <w:szCs w:val="12"/>
                <w:color w:val="auto"/>
              </w:rPr>
            </w:pPr>
          </w:p>
        </w:tc>
        <w:tc>
          <w:tcPr>
            <w:tcW w:w="32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4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0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560" w:type="dxa"/>
            <w:vAlign w:val="bottom"/>
            <w:tcBorders>
              <w:right w:val="single" w:sz="8" w:color="auto"/>
            </w:tcBorders>
            <w:shd w:val="clear" w:color="auto" w:fill="F0FFFF"/>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040" w:type="dxa"/>
            <w:vAlign w:val="bottom"/>
            <w:tcBorders>
              <w:right w:val="single" w:sz="8" w:color="F0FFFF"/>
            </w:tcBorders>
            <w:gridSpan w:val="9"/>
            <w:shd w:val="clear" w:color="auto" w:fill="F0FFFF"/>
          </w:tcPr>
          <w:p>
            <w:pPr>
              <w:spacing w:after="0" w:line="20" w:lineRule="exact"/>
              <w:rPr>
                <w:sz w:val="1"/>
                <w:szCs w:val="1"/>
                <w:color w:val="auto"/>
              </w:rPr>
            </w:pPr>
          </w:p>
        </w:tc>
        <w:tc>
          <w:tcPr>
            <w:tcW w:w="800" w:type="dxa"/>
            <w:vAlign w:val="bottom"/>
            <w:tcBorders>
              <w:left w:val="single" w:sz="8" w:color="F0FFFF"/>
              <w:right w:val="single" w:sz="8" w:color="F0FFFF"/>
            </w:tcBorders>
            <w:gridSpan w:val="2"/>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340" w:type="dxa"/>
            <w:vAlign w:val="bottom"/>
            <w:tcBorders>
              <w:right w:val="single" w:sz="8" w:color="auto"/>
            </w:tcBorders>
            <w:gridSpan w:val="2"/>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320" w:type="dxa"/>
            <w:vAlign w:val="bottom"/>
            <w:shd w:val="clear" w:color="auto" w:fill="F0FFFF"/>
          </w:tcPr>
          <w:p>
            <w:pPr>
              <w:spacing w:after="0" w:line="20" w:lineRule="exact"/>
              <w:rPr>
                <w:sz w:val="1"/>
                <w:szCs w:val="1"/>
                <w:color w:val="auto"/>
              </w:rPr>
            </w:pPr>
          </w:p>
        </w:tc>
        <w:tc>
          <w:tcPr>
            <w:tcW w:w="66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600" w:type="dxa"/>
            <w:vAlign w:val="bottom"/>
            <w:tcBorders>
              <w:left w:val="single" w:sz="8" w:color="auto"/>
              <w:right w:val="single" w:sz="8" w:color="auto"/>
            </w:tcBorders>
            <w:shd w:val="clear" w:color="auto" w:fill="F0FFFF"/>
          </w:tcPr>
          <w:p>
            <w:pPr>
              <w:spacing w:after="0"/>
              <w:rPr>
                <w:sz w:val="12"/>
                <w:szCs w:val="12"/>
                <w:color w:val="auto"/>
              </w:rPr>
            </w:pPr>
          </w:p>
        </w:tc>
        <w:tc>
          <w:tcPr>
            <w:tcW w:w="4320" w:type="dxa"/>
            <w:vAlign w:val="bottom"/>
            <w:tcBorders>
              <w:right w:val="single" w:sz="8" w:color="auto"/>
            </w:tcBorders>
            <w:gridSpan w:val="16"/>
            <w:shd w:val="clear" w:color="auto" w:fill="F0FFFF"/>
          </w:tcPr>
          <w:p>
            <w:pPr>
              <w:ind w:left="120"/>
              <w:spacing w:after="0" w:line="139" w:lineRule="exact"/>
              <w:rPr>
                <w:sz w:val="20"/>
                <w:szCs w:val="20"/>
                <w:color w:val="auto"/>
              </w:rPr>
            </w:pPr>
            <w:r>
              <w:rPr>
                <w:rFonts w:ascii="Times New Roman" w:cs="Times New Roman" w:eastAsia="Times New Roman" w:hAnsi="Times New Roman"/>
                <w:sz w:val="13"/>
                <w:szCs w:val="13"/>
                <w:b w:val="1"/>
                <w:bCs w:val="1"/>
                <w:color w:val="auto"/>
              </w:rPr>
              <w:t>protection; however, there will always be at least one Shield Option</w:t>
            </w:r>
          </w:p>
        </w:tc>
        <w:tc>
          <w:tcPr>
            <w:tcW w:w="60" w:type="dxa"/>
            <w:vAlign w:val="bottom"/>
            <w:shd w:val="clear" w:color="auto" w:fill="F0FFFF"/>
          </w:tcPr>
          <w:p>
            <w:pPr>
              <w:spacing w:after="0"/>
              <w:rPr>
                <w:sz w:val="12"/>
                <w:szCs w:val="12"/>
                <w:color w:val="auto"/>
              </w:rPr>
            </w:pPr>
          </w:p>
        </w:tc>
        <w:tc>
          <w:tcPr>
            <w:tcW w:w="32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4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0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560" w:type="dxa"/>
            <w:vAlign w:val="bottom"/>
            <w:tcBorders>
              <w:right w:val="single" w:sz="8" w:color="F0FFFF"/>
            </w:tcBorders>
            <w:shd w:val="clear" w:color="auto" w:fill="F0FFFF"/>
          </w:tcPr>
          <w:p>
            <w:pPr>
              <w:spacing w:after="0" w:line="20" w:lineRule="exact"/>
              <w:rPr>
                <w:sz w:val="1"/>
                <w:szCs w:val="1"/>
                <w:color w:val="auto"/>
              </w:rPr>
            </w:pPr>
          </w:p>
        </w:tc>
        <w:tc>
          <w:tcPr>
            <w:tcW w:w="480" w:type="dxa"/>
            <w:vAlign w:val="bottom"/>
            <w:tcBorders>
              <w:right w:val="single" w:sz="8" w:color="F0FFFF"/>
            </w:tcBorders>
            <w:shd w:val="clear" w:color="auto" w:fill="F0FFFF"/>
          </w:tcPr>
          <w:p>
            <w:pPr>
              <w:spacing w:after="0" w:line="20" w:lineRule="exact"/>
              <w:rPr>
                <w:sz w:val="1"/>
                <w:szCs w:val="1"/>
                <w:color w:val="auto"/>
              </w:rPr>
            </w:pPr>
          </w:p>
        </w:tc>
        <w:tc>
          <w:tcPr>
            <w:tcW w:w="2040" w:type="dxa"/>
            <w:vAlign w:val="bottom"/>
            <w:tcBorders>
              <w:right w:val="single" w:sz="8" w:color="F0FFFF"/>
            </w:tcBorders>
            <w:gridSpan w:val="9"/>
            <w:shd w:val="clear" w:color="auto" w:fill="F0FFFF"/>
          </w:tcPr>
          <w:p>
            <w:pPr>
              <w:spacing w:after="0" w:line="20" w:lineRule="exact"/>
              <w:rPr>
                <w:sz w:val="1"/>
                <w:szCs w:val="1"/>
                <w:color w:val="auto"/>
              </w:rPr>
            </w:pPr>
          </w:p>
        </w:tc>
        <w:tc>
          <w:tcPr>
            <w:tcW w:w="8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340" w:type="dxa"/>
            <w:vAlign w:val="bottom"/>
            <w:tcBorders>
              <w:right w:val="single" w:sz="8" w:color="auto"/>
            </w:tcBorders>
            <w:gridSpan w:val="2"/>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320" w:type="dxa"/>
            <w:vAlign w:val="bottom"/>
            <w:shd w:val="clear" w:color="auto" w:fill="F0FFFF"/>
          </w:tcPr>
          <w:p>
            <w:pPr>
              <w:spacing w:after="0" w:line="20" w:lineRule="exact"/>
              <w:rPr>
                <w:sz w:val="1"/>
                <w:szCs w:val="1"/>
                <w:color w:val="auto"/>
              </w:rPr>
            </w:pPr>
          </w:p>
        </w:tc>
        <w:tc>
          <w:tcPr>
            <w:tcW w:w="66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4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600" w:type="dxa"/>
            <w:vAlign w:val="bottom"/>
            <w:tcBorders>
              <w:left w:val="single" w:sz="8" w:color="auto"/>
              <w:right w:val="single" w:sz="8" w:color="auto"/>
            </w:tcBorders>
            <w:shd w:val="clear" w:color="auto" w:fill="F0FFFF"/>
          </w:tcPr>
          <w:p>
            <w:pPr>
              <w:spacing w:after="0"/>
              <w:rPr>
                <w:sz w:val="13"/>
                <w:szCs w:val="13"/>
                <w:color w:val="auto"/>
              </w:rPr>
            </w:pPr>
          </w:p>
        </w:tc>
        <w:tc>
          <w:tcPr>
            <w:tcW w:w="4320" w:type="dxa"/>
            <w:vAlign w:val="bottom"/>
            <w:tcBorders>
              <w:right w:val="single" w:sz="8" w:color="auto"/>
            </w:tcBorders>
            <w:gridSpan w:val="16"/>
            <w:shd w:val="clear" w:color="auto" w:fill="F0FFFF"/>
          </w:tcPr>
          <w:p>
            <w:pPr>
              <w:ind w:left="120"/>
              <w:spacing w:after="0"/>
              <w:rPr>
                <w:sz w:val="20"/>
                <w:szCs w:val="20"/>
                <w:color w:val="auto"/>
              </w:rPr>
            </w:pPr>
            <w:r>
              <w:rPr>
                <w:rFonts w:ascii="Times New Roman" w:cs="Times New Roman" w:eastAsia="Times New Roman" w:hAnsi="Times New Roman"/>
                <w:sz w:val="13"/>
                <w:szCs w:val="13"/>
                <w:b w:val="1"/>
                <w:bCs w:val="1"/>
                <w:color w:val="auto"/>
              </w:rPr>
              <w:t>available that offers downside protection, although it may not be</w:t>
            </w:r>
          </w:p>
        </w:tc>
        <w:tc>
          <w:tcPr>
            <w:tcW w:w="60" w:type="dxa"/>
            <w:vAlign w:val="bottom"/>
            <w:shd w:val="clear" w:color="auto" w:fill="F0FFFF"/>
          </w:tcPr>
          <w:p>
            <w:pPr>
              <w:spacing w:after="0"/>
              <w:rPr>
                <w:sz w:val="13"/>
                <w:szCs w:val="13"/>
                <w:color w:val="auto"/>
              </w:rPr>
            </w:pPr>
          </w:p>
        </w:tc>
        <w:tc>
          <w:tcPr>
            <w:tcW w:w="320" w:type="dxa"/>
            <w:vAlign w:val="bottom"/>
            <w:shd w:val="clear" w:color="auto" w:fill="F0FFFF"/>
          </w:tcPr>
          <w:p>
            <w:pPr>
              <w:spacing w:after="0"/>
              <w:rPr>
                <w:sz w:val="13"/>
                <w:szCs w:val="13"/>
                <w:color w:val="auto"/>
              </w:rPr>
            </w:pPr>
          </w:p>
        </w:tc>
        <w:tc>
          <w:tcPr>
            <w:tcW w:w="66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20" w:type="dxa"/>
            <w:vAlign w:val="bottom"/>
            <w:shd w:val="clear" w:color="auto" w:fill="F0FFFF"/>
          </w:tcPr>
          <w:p>
            <w:pPr>
              <w:spacing w:after="0"/>
              <w:rPr>
                <w:sz w:val="13"/>
                <w:szCs w:val="13"/>
                <w:color w:val="auto"/>
              </w:rPr>
            </w:pPr>
          </w:p>
        </w:tc>
        <w:tc>
          <w:tcPr>
            <w:tcW w:w="140" w:type="dxa"/>
            <w:vAlign w:val="bottom"/>
            <w:tcBorders>
              <w:right w:val="single" w:sz="8" w:color="auto"/>
            </w:tcBorders>
            <w:shd w:val="clear" w:color="auto" w:fill="F0FFFF"/>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600" w:type="dxa"/>
            <w:vAlign w:val="bottom"/>
            <w:tcBorders>
              <w:left w:val="single" w:sz="8" w:color="auto"/>
              <w:bottom w:val="single" w:sz="8" w:color="auto"/>
              <w:right w:val="single" w:sz="8" w:color="auto"/>
            </w:tcBorders>
            <w:shd w:val="clear" w:color="auto" w:fill="F0FFFF"/>
          </w:tcPr>
          <w:p>
            <w:pPr>
              <w:spacing w:after="0"/>
              <w:rPr>
                <w:sz w:val="16"/>
                <w:szCs w:val="16"/>
                <w:color w:val="auto"/>
              </w:rPr>
            </w:pPr>
          </w:p>
        </w:tc>
        <w:tc>
          <w:tcPr>
            <w:tcW w:w="4320" w:type="dxa"/>
            <w:vAlign w:val="bottom"/>
            <w:tcBorders>
              <w:bottom w:val="single" w:sz="8" w:color="auto"/>
              <w:right w:val="single" w:sz="8" w:color="auto"/>
            </w:tcBorders>
            <w:gridSpan w:val="16"/>
            <w:shd w:val="clear" w:color="auto" w:fill="F0FFFF"/>
          </w:tcPr>
          <w:p>
            <w:pPr>
              <w:ind w:left="120"/>
              <w:spacing w:after="0" w:line="144" w:lineRule="exact"/>
              <w:rPr>
                <w:sz w:val="20"/>
                <w:szCs w:val="20"/>
                <w:color w:val="auto"/>
              </w:rPr>
            </w:pPr>
            <w:r>
              <w:rPr>
                <w:rFonts w:ascii="Times New Roman" w:cs="Times New Roman" w:eastAsia="Times New Roman" w:hAnsi="Times New Roman"/>
                <w:sz w:val="13"/>
                <w:szCs w:val="13"/>
                <w:b w:val="1"/>
                <w:bCs w:val="1"/>
                <w:color w:val="auto"/>
              </w:rPr>
              <w:t>substantially similar to one of the currently available Shield Options.</w:t>
            </w:r>
          </w:p>
        </w:tc>
        <w:tc>
          <w:tcPr>
            <w:tcW w:w="60" w:type="dxa"/>
            <w:vAlign w:val="bottom"/>
            <w:tcBorders>
              <w:bottom w:val="single" w:sz="8" w:color="auto"/>
            </w:tcBorders>
            <w:shd w:val="clear" w:color="auto" w:fill="F0FFFF"/>
          </w:tcPr>
          <w:p>
            <w:pPr>
              <w:spacing w:after="0"/>
              <w:rPr>
                <w:sz w:val="16"/>
                <w:szCs w:val="16"/>
                <w:color w:val="auto"/>
              </w:rPr>
            </w:pPr>
          </w:p>
        </w:tc>
        <w:tc>
          <w:tcPr>
            <w:tcW w:w="320" w:type="dxa"/>
            <w:vAlign w:val="bottom"/>
            <w:tcBorders>
              <w:bottom w:val="single" w:sz="8" w:color="auto"/>
            </w:tcBorders>
            <w:shd w:val="clear" w:color="auto" w:fill="F0FFFF"/>
          </w:tcPr>
          <w:p>
            <w:pPr>
              <w:spacing w:after="0"/>
              <w:rPr>
                <w:sz w:val="16"/>
                <w:szCs w:val="16"/>
                <w:color w:val="auto"/>
              </w:rPr>
            </w:pPr>
          </w:p>
        </w:tc>
        <w:tc>
          <w:tcPr>
            <w:tcW w:w="660" w:type="dxa"/>
            <w:vAlign w:val="bottom"/>
            <w:tcBorders>
              <w:bottom w:val="single" w:sz="8" w:color="auto"/>
            </w:tcBorders>
            <w:shd w:val="clear" w:color="auto" w:fill="F0FFFF"/>
          </w:tcPr>
          <w:p>
            <w:pPr>
              <w:spacing w:after="0"/>
              <w:rPr>
                <w:sz w:val="16"/>
                <w:szCs w:val="16"/>
                <w:color w:val="auto"/>
              </w:rPr>
            </w:pPr>
          </w:p>
        </w:tc>
        <w:tc>
          <w:tcPr>
            <w:tcW w:w="100" w:type="dxa"/>
            <w:vAlign w:val="bottom"/>
            <w:tcBorders>
              <w:bottom w:val="single" w:sz="8" w:color="auto"/>
            </w:tcBorders>
            <w:shd w:val="clear" w:color="auto" w:fill="F0FFFF"/>
          </w:tcPr>
          <w:p>
            <w:pPr>
              <w:spacing w:after="0"/>
              <w:rPr>
                <w:sz w:val="16"/>
                <w:szCs w:val="16"/>
                <w:color w:val="auto"/>
              </w:rPr>
            </w:pPr>
          </w:p>
        </w:tc>
        <w:tc>
          <w:tcPr>
            <w:tcW w:w="20" w:type="dxa"/>
            <w:vAlign w:val="bottom"/>
            <w:tcBorders>
              <w:bottom w:val="single" w:sz="8" w:color="auto"/>
            </w:tcBorders>
            <w:shd w:val="clear" w:color="auto" w:fill="F0FFFF"/>
          </w:tcPr>
          <w:p>
            <w:pPr>
              <w:spacing w:after="0"/>
              <w:rPr>
                <w:sz w:val="16"/>
                <w:szCs w:val="16"/>
                <w:color w:val="auto"/>
              </w:rPr>
            </w:pPr>
          </w:p>
        </w:tc>
        <w:tc>
          <w:tcPr>
            <w:tcW w:w="140" w:type="dxa"/>
            <w:vAlign w:val="bottom"/>
            <w:tcBorders>
              <w:bottom w:val="single" w:sz="8" w:color="auto"/>
              <w:right w:val="single" w:sz="8" w:color="auto"/>
            </w:tcBorders>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600" w:type="dxa"/>
            <w:vAlign w:val="bottom"/>
            <w:tcBorders>
              <w:left w:val="single" w:sz="8" w:color="auto"/>
              <w:right w:val="single" w:sz="8" w:color="auto"/>
            </w:tcBorders>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Is this a Short-Term</w:t>
            </w:r>
          </w:p>
        </w:tc>
        <w:tc>
          <w:tcPr>
            <w:tcW w:w="4320" w:type="dxa"/>
            <w:vAlign w:val="bottom"/>
            <w:tcBorders>
              <w:right w:val="single" w:sz="8" w:color="auto"/>
            </w:tcBorders>
            <w:gridSpan w:val="16"/>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w:t>
            </w:r>
            <w:r>
              <w:rPr>
                <w:rFonts w:ascii="Times New Roman" w:cs="Times New Roman" w:eastAsia="Times New Roman" w:hAnsi="Times New Roman"/>
                <w:sz w:val="13"/>
                <w:szCs w:val="13"/>
                <w:color w:val="auto"/>
              </w:rPr>
              <w:t>. The Contract is not a short-term investment and is not appropriate for an</w:t>
            </w:r>
          </w:p>
        </w:tc>
        <w:tc>
          <w:tcPr>
            <w:tcW w:w="1300" w:type="dxa"/>
            <w:vAlign w:val="bottom"/>
            <w:tcBorders>
              <w:right w:val="single" w:sz="8" w:color="auto"/>
            </w:tcBorders>
            <w:gridSpan w:val="6"/>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PRINCIPAL RISKS</w:t>
            </w:r>
          </w:p>
        </w:tc>
        <w:tc>
          <w:tcPr>
            <w:tcW w:w="0" w:type="dxa"/>
            <w:vAlign w:val="bottom"/>
          </w:tcPr>
          <w:p>
            <w:pPr>
              <w:spacing w:after="0"/>
              <w:rPr>
                <w:sz w:val="1"/>
                <w:szCs w:val="1"/>
                <w:color w:val="auto"/>
              </w:rPr>
            </w:pPr>
          </w:p>
        </w:tc>
      </w:tr>
      <w:tr>
        <w:trPr>
          <w:trHeight w:val="124"/>
        </w:trPr>
        <w:tc>
          <w:tcPr>
            <w:tcW w:w="1600" w:type="dxa"/>
            <w:vAlign w:val="bottom"/>
            <w:tcBorders>
              <w:left w:val="single" w:sz="8" w:color="auto"/>
              <w:right w:val="single" w:sz="8" w:color="auto"/>
            </w:tcBorders>
          </w:tcPr>
          <w:p>
            <w:pPr>
              <w:ind w:left="60"/>
              <w:spacing w:after="0" w:line="124"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560" w:type="dxa"/>
            <w:vAlign w:val="bottom"/>
          </w:tcPr>
          <w:p>
            <w:pPr>
              <w:spacing w:after="0" w:line="124" w:lineRule="exact"/>
              <w:rPr>
                <w:sz w:val="20"/>
                <w:szCs w:val="20"/>
                <w:color w:val="auto"/>
              </w:rPr>
            </w:pPr>
            <w:r>
              <w:rPr>
                <w:rFonts w:ascii="Times New Roman" w:cs="Times New Roman" w:eastAsia="Times New Roman" w:hAnsi="Times New Roman"/>
                <w:sz w:val="13"/>
                <w:szCs w:val="13"/>
                <w:color w:val="auto"/>
              </w:rPr>
              <w:t>investor</w:t>
            </w:r>
          </w:p>
        </w:tc>
        <w:tc>
          <w:tcPr>
            <w:tcW w:w="480" w:type="dxa"/>
            <w:vAlign w:val="bottom"/>
            <w:tcBorders>
              <w:top w:val="single" w:sz="8" w:color="auto"/>
            </w:tcBorders>
          </w:tcPr>
          <w:p>
            <w:pPr>
              <w:spacing w:after="0" w:line="124" w:lineRule="exact"/>
              <w:rPr>
                <w:sz w:val="20"/>
                <w:szCs w:val="20"/>
                <w:color w:val="auto"/>
              </w:rPr>
            </w:pPr>
            <w:r>
              <w:rPr>
                <w:rFonts w:ascii="Times New Roman" w:cs="Times New Roman" w:eastAsia="Times New Roman" w:hAnsi="Times New Roman"/>
                <w:sz w:val="13"/>
                <w:szCs w:val="13"/>
                <w:color w:val="auto"/>
                <w:w w:val="79"/>
              </w:rPr>
              <w:t>who needs</w:t>
            </w:r>
          </w:p>
        </w:tc>
        <w:tc>
          <w:tcPr>
            <w:tcW w:w="3280" w:type="dxa"/>
            <w:vAlign w:val="bottom"/>
            <w:tcBorders>
              <w:right w:val="single" w:sz="8" w:color="auto"/>
            </w:tcBorders>
            <w:gridSpan w:val="14"/>
          </w:tcPr>
          <w:p>
            <w:pPr>
              <w:spacing w:after="0" w:line="124" w:lineRule="exact"/>
              <w:rPr>
                <w:sz w:val="20"/>
                <w:szCs w:val="20"/>
                <w:color w:val="auto"/>
              </w:rPr>
            </w:pPr>
            <w:r>
              <w:rPr>
                <w:rFonts w:ascii="Times New Roman" w:cs="Times New Roman" w:eastAsia="Times New Roman" w:hAnsi="Times New Roman"/>
                <w:sz w:val="13"/>
                <w:szCs w:val="13"/>
                <w:color w:val="auto"/>
              </w:rPr>
              <w:t>ready access to cash.</w:t>
            </w:r>
          </w:p>
        </w:tc>
        <w:tc>
          <w:tcPr>
            <w:tcW w:w="1300" w:type="dxa"/>
            <w:vAlign w:val="bottom"/>
            <w:tcBorders>
              <w:right w:val="single" w:sz="8" w:color="auto"/>
            </w:tcBorders>
            <w:gridSpan w:val="6"/>
          </w:tcPr>
          <w:p>
            <w:pPr>
              <w:ind w:left="60"/>
              <w:spacing w:after="0" w:line="124" w:lineRule="exact"/>
              <w:rPr>
                <w:sz w:val="20"/>
                <w:szCs w:val="20"/>
                <w:color w:val="auto"/>
              </w:rPr>
            </w:pPr>
            <w:r>
              <w:rPr>
                <w:rFonts w:ascii="Times New Roman" w:cs="Times New Roman" w:eastAsia="Times New Roman" w:hAnsi="Times New Roman"/>
                <w:sz w:val="13"/>
                <w:szCs w:val="13"/>
                <w:b w:val="1"/>
                <w:bCs w:val="1"/>
                <w:color w:val="auto"/>
              </w:rPr>
              <w:t>OF INVESTING IN</w:t>
            </w:r>
          </w:p>
        </w:tc>
        <w:tc>
          <w:tcPr>
            <w:tcW w:w="0" w:type="dxa"/>
            <w:vAlign w:val="bottom"/>
          </w:tcPr>
          <w:p>
            <w:pPr>
              <w:spacing w:after="0"/>
              <w:rPr>
                <w:sz w:val="1"/>
                <w:szCs w:val="1"/>
                <w:color w:val="auto"/>
              </w:rPr>
            </w:pP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4320" w:type="dxa"/>
            <w:vAlign w:val="bottom"/>
            <w:tcBorders>
              <w:right w:val="single" w:sz="8" w:color="auto"/>
            </w:tcBorders>
            <w:gridSpan w:val="16"/>
          </w:tcPr>
          <w:p>
            <w:pPr>
              <w:spacing w:after="0" w:line="144" w:lineRule="exact"/>
              <w:rPr>
                <w:sz w:val="20"/>
                <w:szCs w:val="20"/>
                <w:color w:val="auto"/>
              </w:rPr>
            </w:pPr>
            <w:r>
              <w:rPr>
                <w:rFonts w:ascii="Times New Roman" w:cs="Times New Roman" w:eastAsia="Times New Roman" w:hAnsi="Times New Roman"/>
                <w:sz w:val="13"/>
                <w:szCs w:val="13"/>
                <w:color w:val="auto"/>
              </w:rPr>
              <w:t>The Contract’s tax deferral and long-term income features are generally more</w:t>
            </w:r>
          </w:p>
        </w:tc>
        <w:tc>
          <w:tcPr>
            <w:tcW w:w="1300" w:type="dxa"/>
            <w:vAlign w:val="bottom"/>
            <w:tcBorders>
              <w:right w:val="single" w:sz="8" w:color="auto"/>
            </w:tcBorders>
            <w:gridSpan w:val="6"/>
          </w:tcPr>
          <w:p>
            <w:pPr>
              <w:ind w:left="60"/>
              <w:spacing w:after="0" w:line="144" w:lineRule="exact"/>
              <w:rPr>
                <w:sz w:val="20"/>
                <w:szCs w:val="20"/>
                <w:color w:val="auto"/>
              </w:rPr>
            </w:pPr>
            <w:r>
              <w:rPr>
                <w:rFonts w:ascii="Times New Roman" w:cs="Times New Roman" w:eastAsia="Times New Roman" w:hAnsi="Times New Roman"/>
                <w:sz w:val="13"/>
                <w:szCs w:val="13"/>
                <w:b w:val="1"/>
                <w:bCs w:val="1"/>
                <w:color w:val="auto"/>
              </w:rPr>
              <w:t>THE CONTRACT</w:t>
            </w:r>
          </w:p>
        </w:tc>
        <w:tc>
          <w:tcPr>
            <w:tcW w:w="0" w:type="dxa"/>
            <w:vAlign w:val="bottom"/>
          </w:tcPr>
          <w:p>
            <w:pPr>
              <w:spacing w:after="0"/>
              <w:rPr>
                <w:sz w:val="1"/>
                <w:szCs w:val="1"/>
                <w:color w:val="auto"/>
              </w:rPr>
            </w:pPr>
          </w:p>
        </w:tc>
      </w:tr>
      <w:tr>
        <w:trPr>
          <w:trHeight w:val="114"/>
        </w:trPr>
        <w:tc>
          <w:tcPr>
            <w:tcW w:w="1600" w:type="dxa"/>
            <w:vAlign w:val="bottom"/>
            <w:tcBorders>
              <w:left w:val="single" w:sz="8" w:color="auto"/>
              <w:bottom w:val="single" w:sz="8" w:color="auto"/>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60" w:type="dxa"/>
            <w:vAlign w:val="bottom"/>
            <w:tcBorders>
              <w:top w:val="single" w:sz="8" w:color="auto"/>
              <w:bottom w:val="single" w:sz="8" w:color="auto"/>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3"/>
        </w:trPr>
        <w:tc>
          <w:tcPr>
            <w:tcW w:w="1600" w:type="dxa"/>
            <w:vAlign w:val="bottom"/>
          </w:tcPr>
          <w:p>
            <w:pPr>
              <w:spacing w:after="0"/>
              <w:rPr>
                <w:sz w:val="24"/>
                <w:szCs w:val="24"/>
                <w:color w:val="auto"/>
              </w:rPr>
            </w:pPr>
          </w:p>
        </w:tc>
        <w:tc>
          <w:tcPr>
            <w:tcW w:w="1780" w:type="dxa"/>
            <w:vAlign w:val="bottom"/>
            <w:gridSpan w:val="6"/>
          </w:tcPr>
          <w:p>
            <w:pPr>
              <w:ind w:left="1620"/>
              <w:spacing w:after="0"/>
              <w:rPr>
                <w:sz w:val="20"/>
                <w:szCs w:val="20"/>
                <w:color w:val="auto"/>
              </w:rPr>
            </w:pPr>
            <w:r>
              <w:rPr>
                <w:rFonts w:ascii="Times New Roman" w:cs="Times New Roman" w:eastAsia="Times New Roman" w:hAnsi="Times New Roman"/>
                <w:sz w:val="13"/>
                <w:szCs w:val="13"/>
                <w:color w:val="auto"/>
              </w:rPr>
              <w:t>9</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-5946140</wp:posOffset>
            </wp:positionV>
            <wp:extent cx="4560570" cy="2330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5">
                      <a:extLst>
                        <a:ext uri="{28A0092B-C50C-407E-A947-70E740481C1C}"/>
                      </a:extLst>
                    </a:blip>
                    <a:srcRect/>
                    <a:stretch>
                      <a:fillRect/>
                    </a:stretch>
                  </pic:blipFill>
                  <pic:spPr bwMode="auto">
                    <a:xfrm>
                      <a:off x="0" y="0"/>
                      <a:ext cx="4560570" cy="23304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-3218815</wp:posOffset>
            </wp:positionV>
            <wp:extent cx="4560570" cy="5289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6">
                      <a:extLst>
                        <a:ext uri="{28A0092B-C50C-407E-A947-70E740481C1C}"/>
                      </a:extLst>
                    </a:blip>
                    <a:srcRect/>
                    <a:stretch>
                      <a:fillRect/>
                    </a:stretch>
                  </pic:blipFill>
                  <pic:spPr bwMode="auto">
                    <a:xfrm>
                      <a:off x="0" y="0"/>
                      <a:ext cx="4560570" cy="5289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-2034540</wp:posOffset>
            </wp:positionV>
            <wp:extent cx="4560570" cy="13208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7">
                      <a:extLst>
                        <a:ext uri="{28A0092B-C50C-407E-A947-70E740481C1C}"/>
                      </a:extLst>
                    </a:blip>
                    <a:srcRect/>
                    <a:stretch>
                      <a:fillRect/>
                    </a:stretch>
                  </pic:blipFill>
                  <pic:spPr bwMode="auto">
                    <a:xfrm>
                      <a:off x="0" y="0"/>
                      <a:ext cx="4560570" cy="13208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-566420</wp:posOffset>
            </wp:positionV>
            <wp:extent cx="4560570" cy="35877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8">
                      <a:extLst>
                        <a:ext uri="{28A0092B-C50C-407E-A947-70E740481C1C}"/>
                      </a:extLst>
                    </a:blip>
                    <a:srcRect/>
                    <a:stretch>
                      <a:fillRect/>
                    </a:stretch>
                  </pic:blipFill>
                  <pic:spPr bwMode="auto">
                    <a:xfrm>
                      <a:off x="0" y="0"/>
                      <a:ext cx="4560570" cy="358775"/>
                    </a:xfrm>
                    <a:prstGeom prst="rect">
                      <a:avLst/>
                    </a:prstGeom>
                    <a:noFill/>
                  </pic:spPr>
                </pic:pic>
              </a:graphicData>
            </a:graphic>
          </wp:anchor>
        </w:drawing>
      </w:r>
    </w:p>
    <w:p>
      <w:pPr>
        <w:sectPr>
          <w:pgSz w:w="11900" w:h="16838" w:orient="portrait"/>
          <w:cols w:equalWidth="0" w:num="1">
            <w:col w:w="9479"/>
          </w:cols>
          <w:pgMar w:left="980" w:top="1166" w:right="1440"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159"/>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60" w:type="dxa"/>
            <w:vAlign w:val="bottom"/>
            <w:gridSpan w:val="39"/>
          </w:tcPr>
          <w:p>
            <w:pPr>
              <w:ind w:left="20"/>
              <w:spacing w:after="0"/>
              <w:rPr>
                <w:sz w:val="20"/>
                <w:szCs w:val="20"/>
                <w:color w:val="auto"/>
              </w:rPr>
            </w:pPr>
            <w:r>
              <w:rPr>
                <w:rFonts w:ascii="Times New Roman" w:cs="Times New Roman" w:eastAsia="Times New Roman" w:hAnsi="Times New Roman"/>
                <w:sz w:val="13"/>
                <w:szCs w:val="13"/>
                <w:b w:val="1"/>
                <w:bCs w:val="1"/>
                <w:color w:val="auto"/>
              </w:rPr>
              <w:t>Risks</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Location in</w:t>
            </w:r>
          </w:p>
        </w:tc>
        <w:tc>
          <w:tcPr>
            <w:tcW w:w="0" w:type="dxa"/>
            <w:vAlign w:val="bottom"/>
          </w:tcPr>
          <w:p>
            <w:pPr>
              <w:spacing w:after="0"/>
              <w:rPr>
                <w:sz w:val="1"/>
                <w:szCs w:val="1"/>
                <w:color w:val="auto"/>
              </w:rPr>
            </w:pPr>
          </w:p>
        </w:tc>
      </w:tr>
      <w:tr>
        <w:trPr>
          <w:trHeight w:val="184"/>
        </w:trPr>
        <w:tc>
          <w:tcPr>
            <w:tcW w:w="6500" w:type="dxa"/>
            <w:vAlign w:val="bottom"/>
            <w:tcBorders>
              <w:bottom w:val="single" w:sz="8" w:color="auto"/>
            </w:tcBorders>
            <w:gridSpan w:val="72"/>
          </w:tcPr>
          <w:p>
            <w:pPr>
              <w:spacing w:after="0"/>
              <w:rPr>
                <w:sz w:val="20"/>
                <w:szCs w:val="20"/>
                <w:color w:val="auto"/>
              </w:rPr>
            </w:pPr>
            <w:r>
              <w:rPr>
                <w:rFonts w:ascii="Times New Roman" w:cs="Times New Roman" w:eastAsia="Times New Roman" w:hAnsi="Times New Roman"/>
                <w:sz w:val="13"/>
                <w:szCs w:val="13"/>
                <w:b w:val="1"/>
                <w:bCs w:val="1"/>
                <w:color w:val="auto"/>
              </w:rPr>
              <w:t>the Prospectus</w:t>
            </w:r>
          </w:p>
        </w:tc>
        <w:tc>
          <w:tcPr>
            <w:tcW w:w="0" w:type="dxa"/>
            <w:vAlign w:val="bottom"/>
          </w:tcPr>
          <w:p>
            <w:pPr>
              <w:spacing w:after="0"/>
              <w:rPr>
                <w:sz w:val="1"/>
                <w:szCs w:val="1"/>
                <w:color w:val="auto"/>
              </w:rPr>
            </w:pPr>
          </w:p>
        </w:tc>
      </w:tr>
      <w:tr>
        <w:trPr>
          <w:trHeight w:val="139"/>
        </w:trPr>
        <w:tc>
          <w:tcPr>
            <w:tcW w:w="1080" w:type="dxa"/>
            <w:vAlign w:val="bottom"/>
          </w:tcPr>
          <w:p>
            <w:pPr>
              <w:spacing w:after="0"/>
              <w:rPr>
                <w:sz w:val="12"/>
                <w:szCs w:val="12"/>
                <w:color w:val="auto"/>
              </w:rPr>
            </w:pPr>
          </w:p>
        </w:tc>
        <w:tc>
          <w:tcPr>
            <w:tcW w:w="4300" w:type="dxa"/>
            <w:vAlign w:val="bottom"/>
            <w:gridSpan w:val="70"/>
          </w:tcPr>
          <w:p>
            <w:pPr>
              <w:spacing w:after="0" w:line="139" w:lineRule="exact"/>
              <w:rPr>
                <w:sz w:val="20"/>
                <w:szCs w:val="20"/>
                <w:color w:val="auto"/>
              </w:rPr>
            </w:pPr>
            <w:r>
              <w:rPr>
                <w:rFonts w:ascii="Times New Roman" w:cs="Times New Roman" w:eastAsia="Times New Roman" w:hAnsi="Times New Roman"/>
                <w:sz w:val="13"/>
                <w:szCs w:val="13"/>
                <w:color w:val="auto"/>
              </w:rPr>
              <w:t>beneficial to investors who intend to hold the Contract for a long period of</w:t>
            </w:r>
          </w:p>
        </w:tc>
        <w:tc>
          <w:tcPr>
            <w:tcW w:w="1120" w:type="dxa"/>
            <w:vAlign w:val="bottom"/>
          </w:tcPr>
          <w:p>
            <w:pPr>
              <w:ind w:left="100"/>
              <w:spacing w:after="0" w:line="139" w:lineRule="exact"/>
              <w:rPr>
                <w:sz w:val="20"/>
                <w:szCs w:val="20"/>
                <w:color w:val="auto"/>
              </w:rPr>
            </w:pPr>
            <w:r>
              <w:rPr>
                <w:rFonts w:ascii="Times New Roman" w:cs="Times New Roman" w:eastAsia="Times New Roman" w:hAnsi="Times New Roman"/>
                <w:sz w:val="13"/>
                <w:szCs w:val="13"/>
                <w:b w:val="1"/>
                <w:bCs w:val="1"/>
                <w:color w:val="auto"/>
              </w:rPr>
              <w:t> </w:t>
            </w:r>
          </w:p>
        </w:tc>
        <w:tc>
          <w:tcPr>
            <w:tcW w:w="0" w:type="dxa"/>
            <w:vAlign w:val="bottom"/>
          </w:tcPr>
          <w:p>
            <w:pPr>
              <w:spacing w:after="0"/>
              <w:rPr>
                <w:sz w:val="1"/>
                <w:szCs w:val="1"/>
                <w:color w:val="auto"/>
              </w:rPr>
            </w:pPr>
          </w:p>
        </w:tc>
      </w:tr>
      <w:tr>
        <w:trPr>
          <w:trHeight w:val="20"/>
        </w:trPr>
        <w:tc>
          <w:tcPr>
            <w:tcW w:w="3580" w:type="dxa"/>
            <w:vAlign w:val="bottom"/>
            <w:tcBorders>
              <w:right w:val="single" w:sz="8" w:color="auto"/>
            </w:tcBorders>
            <w:gridSpan w:val="43"/>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gridSpan w:val="4"/>
            <w:shd w:val="clear" w:color="auto" w:fill="000000"/>
          </w:tcPr>
          <w:p>
            <w:pPr>
              <w:spacing w:after="0" w:line="20" w:lineRule="exact"/>
              <w:rPr>
                <w:sz w:val="1"/>
                <w:szCs w:val="1"/>
                <w:color w:val="auto"/>
              </w:rPr>
            </w:pPr>
          </w:p>
        </w:tc>
        <w:tc>
          <w:tcPr>
            <w:tcW w:w="1420" w:type="dxa"/>
            <w:vAlign w:val="bottom"/>
            <w:tcBorders>
              <w:left w:val="single" w:sz="8" w:color="auto"/>
            </w:tcBorders>
            <w:gridSpan w:val="22"/>
          </w:tcPr>
          <w:p>
            <w:pPr>
              <w:spacing w:after="0" w:line="20" w:lineRule="exact"/>
              <w:rPr>
                <w:sz w:val="1"/>
                <w:szCs w:val="1"/>
                <w:color w:val="auto"/>
              </w:rPr>
            </w:pPr>
          </w:p>
        </w:tc>
        <w:tc>
          <w:tcPr>
            <w:tcW w:w="11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TRANSFERS</w:t>
            </w:r>
          </w:p>
        </w:tc>
        <w:tc>
          <w:tcPr>
            <w:tcW w:w="0" w:type="dxa"/>
            <w:vAlign w:val="bottom"/>
          </w:tcPr>
          <w:p>
            <w:pPr>
              <w:spacing w:after="0" w:line="20" w:lineRule="exact"/>
              <w:rPr>
                <w:sz w:val="1"/>
                <w:szCs w:val="1"/>
                <w:color w:val="auto"/>
              </w:rPr>
            </w:pPr>
          </w:p>
        </w:tc>
      </w:tr>
      <w:tr>
        <w:trPr>
          <w:trHeight w:val="129"/>
        </w:trPr>
        <w:tc>
          <w:tcPr>
            <w:tcW w:w="1080" w:type="dxa"/>
            <w:vAlign w:val="bottom"/>
          </w:tcPr>
          <w:p>
            <w:pPr>
              <w:spacing w:after="0"/>
              <w:rPr>
                <w:sz w:val="11"/>
                <w:szCs w:val="11"/>
                <w:color w:val="auto"/>
              </w:rPr>
            </w:pPr>
          </w:p>
        </w:tc>
        <w:tc>
          <w:tcPr>
            <w:tcW w:w="4300" w:type="dxa"/>
            <w:vAlign w:val="bottom"/>
            <w:gridSpan w:val="70"/>
          </w:tcPr>
          <w:p>
            <w:pPr>
              <w:spacing w:after="0" w:line="129" w:lineRule="exact"/>
              <w:rPr>
                <w:sz w:val="20"/>
                <w:szCs w:val="20"/>
                <w:color w:val="auto"/>
              </w:rPr>
            </w:pPr>
            <w:r>
              <w:rPr>
                <w:rFonts w:ascii="Times New Roman" w:cs="Times New Roman" w:eastAsia="Times New Roman" w:hAnsi="Times New Roman"/>
                <w:sz w:val="13"/>
                <w:szCs w:val="13"/>
                <w:color w:val="auto"/>
              </w:rPr>
              <w:t>time and then use the Account Value for retirement savings or other long-term</w:t>
            </w: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220" w:type="dxa"/>
            <w:vAlign w:val="bottom"/>
            <w:gridSpan w:val="18"/>
          </w:tcPr>
          <w:p>
            <w:pPr>
              <w:spacing w:after="0"/>
              <w:rPr>
                <w:sz w:val="20"/>
                <w:szCs w:val="20"/>
                <w:color w:val="auto"/>
              </w:rPr>
            </w:pPr>
            <w:r>
              <w:rPr>
                <w:rFonts w:ascii="Times New Roman" w:cs="Times New Roman" w:eastAsia="Times New Roman" w:hAnsi="Times New Roman"/>
                <w:sz w:val="13"/>
                <w:szCs w:val="13"/>
                <w:color w:val="auto"/>
              </w:rPr>
              <w:t>investment purposes.</w:t>
            </w:r>
          </w:p>
        </w:tc>
        <w:tc>
          <w:tcPr>
            <w:tcW w:w="780" w:type="dxa"/>
            <w:vAlign w:val="bottom"/>
            <w:tcBorders>
              <w:top w:val="single" w:sz="8" w:color="auto"/>
            </w:tcBorders>
            <w:gridSpan w:val="13"/>
          </w:tcPr>
          <w:p>
            <w:pPr>
              <w:spacing w:after="0"/>
              <w:rPr>
                <w:sz w:val="10"/>
                <w:szCs w:val="10"/>
                <w:color w:val="auto"/>
              </w:rPr>
            </w:pPr>
          </w:p>
        </w:tc>
        <w:tc>
          <w:tcPr>
            <w:tcW w:w="3500" w:type="dxa"/>
            <w:vAlign w:val="bottom"/>
            <w:gridSpan w:val="41"/>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4300" w:type="dxa"/>
            <w:vAlign w:val="bottom"/>
            <w:gridSpan w:val="70"/>
          </w:tcPr>
          <w:p>
            <w:pPr>
              <w:spacing w:after="0" w:line="142" w:lineRule="exact"/>
              <w:rPr>
                <w:sz w:val="20"/>
                <w:szCs w:val="20"/>
                <w:color w:val="auto"/>
              </w:rPr>
            </w:pPr>
            <w:r>
              <w:rPr>
                <w:rFonts w:ascii="Times New Roman" w:cs="Times New Roman" w:eastAsia="Times New Roman" w:hAnsi="Times New Roman"/>
                <w:sz w:val="13"/>
                <w:szCs w:val="13"/>
                <w:color w:val="auto"/>
              </w:rPr>
              <w:t>Amounts withdrawn from the Contract may result in Withdrawal Charges,</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80" w:type="dxa"/>
            <w:vAlign w:val="bottom"/>
          </w:tcPr>
          <w:p>
            <w:pPr>
              <w:spacing w:after="0"/>
              <w:rPr>
                <w:sz w:val="11"/>
                <w:szCs w:val="11"/>
                <w:color w:val="auto"/>
              </w:rPr>
            </w:pPr>
          </w:p>
        </w:tc>
        <w:tc>
          <w:tcPr>
            <w:tcW w:w="1600" w:type="dxa"/>
            <w:vAlign w:val="bottom"/>
            <w:gridSpan w:val="27"/>
          </w:tcPr>
          <w:p>
            <w:pPr>
              <w:spacing w:after="0" w:line="129" w:lineRule="exact"/>
              <w:rPr>
                <w:sz w:val="20"/>
                <w:szCs w:val="20"/>
                <w:color w:val="auto"/>
              </w:rPr>
            </w:pPr>
            <w:r>
              <w:rPr>
                <w:rFonts w:ascii="Times New Roman" w:cs="Times New Roman" w:eastAsia="Times New Roman" w:hAnsi="Times New Roman"/>
                <w:sz w:val="13"/>
                <w:szCs w:val="13"/>
                <w:color w:val="auto"/>
                <w:w w:val="99"/>
              </w:rPr>
              <w:t>taxes, and tax penalties. If you</w:t>
            </w:r>
          </w:p>
        </w:tc>
        <w:tc>
          <w:tcPr>
            <w:tcW w:w="480" w:type="dxa"/>
            <w:vAlign w:val="bottom"/>
            <w:tcBorders>
              <w:top w:val="single" w:sz="8" w:color="auto"/>
            </w:tcBorders>
            <w:gridSpan w:val="8"/>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have not</w:t>
            </w:r>
          </w:p>
        </w:tc>
        <w:tc>
          <w:tcPr>
            <w:tcW w:w="20" w:type="dxa"/>
            <w:vAlign w:val="bottom"/>
          </w:tcPr>
          <w:p>
            <w:pPr>
              <w:spacing w:after="0"/>
              <w:rPr>
                <w:sz w:val="11"/>
                <w:szCs w:val="11"/>
                <w:color w:val="auto"/>
              </w:rPr>
            </w:pPr>
          </w:p>
        </w:tc>
        <w:tc>
          <w:tcPr>
            <w:tcW w:w="720" w:type="dxa"/>
            <w:vAlign w:val="bottom"/>
            <w:gridSpan w:val="9"/>
          </w:tcPr>
          <w:p>
            <w:pPr>
              <w:ind w:left="20"/>
              <w:spacing w:after="0" w:line="129" w:lineRule="exact"/>
              <w:rPr>
                <w:sz w:val="20"/>
                <w:szCs w:val="20"/>
                <w:color w:val="auto"/>
              </w:rPr>
            </w:pPr>
            <w:r>
              <w:rPr>
                <w:rFonts w:ascii="Times New Roman" w:cs="Times New Roman" w:eastAsia="Times New Roman" w:hAnsi="Times New Roman"/>
                <w:sz w:val="13"/>
                <w:szCs w:val="13"/>
                <w:color w:val="auto"/>
                <w:w w:val="99"/>
              </w:rPr>
              <w:t>exercised the</w:t>
            </w: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17"/>
          </w:tcPr>
          <w:p>
            <w:pPr>
              <w:jc w:val="right"/>
              <w:spacing w:after="0" w:line="129" w:lineRule="exact"/>
              <w:rPr>
                <w:sz w:val="20"/>
                <w:szCs w:val="20"/>
                <w:color w:val="auto"/>
              </w:rPr>
            </w:pPr>
            <w:r>
              <w:rPr>
                <w:rFonts w:ascii="Times New Roman" w:cs="Times New Roman" w:eastAsia="Times New Roman" w:hAnsi="Times New Roman"/>
                <w:sz w:val="13"/>
                <w:szCs w:val="13"/>
                <w:color w:val="auto"/>
                <w:w w:val="98"/>
              </w:rPr>
              <w:t>Performance Lock,</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080" w:type="dxa"/>
            <w:vAlign w:val="bottom"/>
          </w:tcPr>
          <w:p>
            <w:pPr>
              <w:spacing w:after="0"/>
              <w:rPr>
                <w:sz w:val="10"/>
                <w:szCs w:val="10"/>
                <w:color w:val="auto"/>
              </w:rPr>
            </w:pPr>
          </w:p>
        </w:tc>
        <w:tc>
          <w:tcPr>
            <w:tcW w:w="2860" w:type="dxa"/>
            <w:vAlign w:val="bottom"/>
            <w:gridSpan w:val="47"/>
          </w:tcPr>
          <w:p>
            <w:pPr>
              <w:spacing w:after="0" w:line="119" w:lineRule="exact"/>
              <w:rPr>
                <w:sz w:val="20"/>
                <w:szCs w:val="20"/>
                <w:color w:val="auto"/>
              </w:rPr>
            </w:pPr>
            <w:r>
              <w:rPr>
                <w:rFonts w:ascii="Times New Roman" w:cs="Times New Roman" w:eastAsia="Times New Roman" w:hAnsi="Times New Roman"/>
                <w:sz w:val="13"/>
                <w:szCs w:val="13"/>
                <w:color w:val="auto"/>
              </w:rPr>
              <w:t>amounts removed from a Shield Option or from the</w:t>
            </w:r>
          </w:p>
        </w:tc>
        <w:tc>
          <w:tcPr>
            <w:tcW w:w="960" w:type="dxa"/>
            <w:vAlign w:val="bottom"/>
            <w:tcBorders>
              <w:top w:val="single" w:sz="8" w:color="auto"/>
            </w:tcBorders>
            <w:gridSpan w:val="16"/>
          </w:tcPr>
          <w:p>
            <w:pPr>
              <w:spacing w:after="0" w:line="119" w:lineRule="exact"/>
              <w:rPr>
                <w:sz w:val="20"/>
                <w:szCs w:val="20"/>
                <w:color w:val="auto"/>
              </w:rPr>
            </w:pPr>
            <w:r>
              <w:rPr>
                <w:rFonts w:ascii="Times New Roman" w:cs="Times New Roman" w:eastAsia="Times New Roman" w:hAnsi="Times New Roman"/>
                <w:sz w:val="13"/>
                <w:szCs w:val="13"/>
                <w:color w:val="auto"/>
                <w:w w:val="93"/>
              </w:rPr>
              <w:t>Contract before the</w:t>
            </w:r>
          </w:p>
        </w:tc>
        <w:tc>
          <w:tcPr>
            <w:tcW w:w="480" w:type="dxa"/>
            <w:vAlign w:val="bottom"/>
            <w:gridSpan w:val="7"/>
          </w:tcPr>
          <w:p>
            <w:pPr>
              <w:jc w:val="right"/>
              <w:ind w:right="160"/>
              <w:spacing w:after="0" w:line="119" w:lineRule="exact"/>
              <w:rPr>
                <w:sz w:val="20"/>
                <w:szCs w:val="20"/>
                <w:color w:val="auto"/>
              </w:rPr>
            </w:pPr>
            <w:r>
              <w:rPr>
                <w:rFonts w:ascii="Times New Roman" w:cs="Times New Roman" w:eastAsia="Times New Roman" w:hAnsi="Times New Roman"/>
                <w:sz w:val="13"/>
                <w:szCs w:val="13"/>
                <w:color w:val="auto"/>
                <w:w w:val="91"/>
              </w:rPr>
              <w:t>end of</w:t>
            </w: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line="20" w:lineRule="exact"/>
              <w:rPr>
                <w:sz w:val="1"/>
                <w:szCs w:val="1"/>
                <w:color w:val="auto"/>
              </w:rPr>
            </w:pPr>
          </w:p>
        </w:tc>
        <w:tc>
          <w:tcPr>
            <w:tcW w:w="1340" w:type="dxa"/>
            <w:vAlign w:val="bottom"/>
            <w:gridSpan w:val="22"/>
            <w:vMerge w:val="restart"/>
          </w:tcPr>
          <w:p>
            <w:pPr>
              <w:spacing w:after="0"/>
              <w:rPr>
                <w:sz w:val="20"/>
                <w:szCs w:val="20"/>
                <w:color w:val="auto"/>
              </w:rPr>
            </w:pPr>
            <w:r>
              <w:rPr>
                <w:rFonts w:ascii="Times New Roman" w:cs="Times New Roman" w:eastAsia="Times New Roman" w:hAnsi="Times New Roman"/>
                <w:sz w:val="13"/>
                <w:szCs w:val="13"/>
                <w:color w:val="auto"/>
                <w:w w:val="99"/>
              </w:rPr>
              <w:t>a Term may also result in</w:t>
            </w: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80" w:type="dxa"/>
            <w:vAlign w:val="bottom"/>
            <w:vMerge w:val="continue"/>
          </w:tcPr>
          <w:p>
            <w:pPr>
              <w:spacing w:after="0"/>
              <w:rPr>
                <w:sz w:val="11"/>
                <w:szCs w:val="11"/>
                <w:color w:val="auto"/>
              </w:rPr>
            </w:pPr>
          </w:p>
        </w:tc>
        <w:tc>
          <w:tcPr>
            <w:tcW w:w="1340" w:type="dxa"/>
            <w:vAlign w:val="bottom"/>
            <w:gridSpan w:val="22"/>
            <w:vMerge w:val="continue"/>
          </w:tcPr>
          <w:p>
            <w:pPr>
              <w:spacing w:after="0"/>
              <w:rPr>
                <w:sz w:val="11"/>
                <w:szCs w:val="11"/>
                <w:color w:val="auto"/>
              </w:rPr>
            </w:pPr>
          </w:p>
        </w:tc>
        <w:tc>
          <w:tcPr>
            <w:tcW w:w="20" w:type="dxa"/>
            <w:vAlign w:val="bottom"/>
          </w:tcPr>
          <w:p>
            <w:pPr>
              <w:spacing w:after="0"/>
              <w:rPr>
                <w:sz w:val="11"/>
                <w:szCs w:val="11"/>
                <w:color w:val="auto"/>
              </w:rPr>
            </w:pPr>
          </w:p>
        </w:tc>
        <w:tc>
          <w:tcPr>
            <w:tcW w:w="2940" w:type="dxa"/>
            <w:vAlign w:val="bottom"/>
            <w:gridSpan w:val="47"/>
          </w:tcPr>
          <w:p>
            <w:pPr>
              <w:spacing w:after="0" w:line="129" w:lineRule="exact"/>
              <w:rPr>
                <w:sz w:val="20"/>
                <w:szCs w:val="20"/>
                <w:color w:val="auto"/>
              </w:rPr>
            </w:pPr>
            <w:r>
              <w:rPr>
                <w:rFonts w:ascii="Times New Roman" w:cs="Times New Roman" w:eastAsia="Times New Roman" w:hAnsi="Times New Roman"/>
                <w:sz w:val="13"/>
                <w:szCs w:val="13"/>
                <w:color w:val="auto"/>
              </w:rPr>
              <w:t>a negative Interim Value and proportional reduction</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line="20" w:lineRule="exact"/>
              <w:rPr>
                <w:sz w:val="1"/>
                <w:szCs w:val="1"/>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w w:val="76"/>
              </w:rPr>
              <w:t>to</w:t>
            </w:r>
          </w:p>
        </w:tc>
        <w:tc>
          <w:tcPr>
            <w:tcW w:w="1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560" w:type="dxa"/>
            <w:vAlign w:val="bottom"/>
            <w:gridSpan w:val="27"/>
            <w:vMerge w:val="restart"/>
          </w:tcPr>
          <w:p>
            <w:pPr>
              <w:spacing w:after="0"/>
              <w:rPr>
                <w:sz w:val="20"/>
                <w:szCs w:val="20"/>
                <w:color w:val="auto"/>
              </w:rPr>
            </w:pPr>
            <w:r>
              <w:rPr>
                <w:rFonts w:ascii="Times New Roman" w:cs="Times New Roman" w:eastAsia="Times New Roman" w:hAnsi="Times New Roman"/>
                <w:sz w:val="13"/>
                <w:szCs w:val="13"/>
                <w:color w:val="auto"/>
                <w:w w:val="94"/>
              </w:rPr>
              <w:t>Investment Amount associated</w:t>
            </w: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8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30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3"/>
                <w:szCs w:val="13"/>
                <w:color w:val="auto"/>
              </w:rPr>
              <w:t>the</w:t>
            </w:r>
          </w:p>
        </w:tc>
        <w:tc>
          <w:tcPr>
            <w:tcW w:w="1560" w:type="dxa"/>
            <w:vAlign w:val="bottom"/>
            <w:gridSpan w:val="27"/>
            <w:vMerge w:val="continue"/>
          </w:tcPr>
          <w:p>
            <w:pPr>
              <w:spacing w:after="0"/>
              <w:rPr>
                <w:sz w:val="11"/>
                <w:szCs w:val="11"/>
                <w:color w:val="auto"/>
              </w:rPr>
            </w:pPr>
          </w:p>
        </w:tc>
        <w:tc>
          <w:tcPr>
            <w:tcW w:w="2360" w:type="dxa"/>
            <w:vAlign w:val="bottom"/>
            <w:gridSpan w:val="39"/>
          </w:tcPr>
          <w:p>
            <w:pPr>
              <w:ind w:left="40"/>
              <w:spacing w:after="0" w:line="129" w:lineRule="exact"/>
              <w:rPr>
                <w:sz w:val="20"/>
                <w:szCs w:val="20"/>
                <w:color w:val="auto"/>
              </w:rPr>
            </w:pPr>
            <w:r>
              <w:rPr>
                <w:rFonts w:ascii="Times New Roman" w:cs="Times New Roman" w:eastAsia="Times New Roman" w:hAnsi="Times New Roman"/>
                <w:sz w:val="13"/>
                <w:szCs w:val="13"/>
                <w:color w:val="auto"/>
              </w:rPr>
              <w:t>with the Shield Option, as well as loss of</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080" w:type="dxa"/>
            <w:vAlign w:val="bottom"/>
          </w:tcPr>
          <w:p>
            <w:pPr>
              <w:spacing w:after="0"/>
              <w:rPr>
                <w:sz w:val="10"/>
                <w:szCs w:val="10"/>
                <w:color w:val="auto"/>
              </w:rPr>
            </w:pPr>
          </w:p>
        </w:tc>
        <w:tc>
          <w:tcPr>
            <w:tcW w:w="320" w:type="dxa"/>
            <w:vAlign w:val="bottom"/>
            <w:gridSpan w:val="3"/>
          </w:tcPr>
          <w:p>
            <w:pPr>
              <w:spacing w:after="0" w:line="119" w:lineRule="exact"/>
              <w:rPr>
                <w:sz w:val="20"/>
                <w:szCs w:val="20"/>
                <w:color w:val="auto"/>
              </w:rPr>
            </w:pPr>
            <w:r>
              <w:rPr>
                <w:rFonts w:ascii="Times New Roman" w:cs="Times New Roman" w:eastAsia="Times New Roman" w:hAnsi="Times New Roman"/>
                <w:sz w:val="13"/>
                <w:szCs w:val="13"/>
                <w:color w:val="auto"/>
                <w:w w:val="72"/>
              </w:rPr>
              <w:t>positive</w:t>
            </w: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18"/>
          </w:tcPr>
          <w:p>
            <w:pPr>
              <w:spacing w:after="0" w:line="119" w:lineRule="exact"/>
              <w:rPr>
                <w:sz w:val="20"/>
                <w:szCs w:val="20"/>
                <w:color w:val="auto"/>
              </w:rPr>
            </w:pPr>
            <w:r>
              <w:rPr>
                <w:rFonts w:ascii="Times New Roman" w:cs="Times New Roman" w:eastAsia="Times New Roman" w:hAnsi="Times New Roman"/>
                <w:sz w:val="13"/>
                <w:szCs w:val="13"/>
                <w:color w:val="auto"/>
                <w:w w:val="88"/>
              </w:rPr>
              <w:t>Index Performance</w:t>
            </w:r>
          </w:p>
        </w:tc>
        <w:tc>
          <w:tcPr>
            <w:tcW w:w="200" w:type="dxa"/>
            <w:vAlign w:val="bottom"/>
            <w:gridSpan w:val="2"/>
          </w:tcPr>
          <w:p>
            <w:pPr>
              <w:jc w:val="center"/>
              <w:ind w:right="40"/>
              <w:spacing w:after="0" w:line="11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gridSpan w:val="2"/>
          </w:tcPr>
          <w:p>
            <w:pPr>
              <w:spacing w:after="0"/>
              <w:rPr>
                <w:sz w:val="10"/>
                <w:szCs w:val="10"/>
                <w:color w:val="auto"/>
              </w:rPr>
            </w:pPr>
          </w:p>
        </w:tc>
        <w:tc>
          <w:tcPr>
            <w:tcW w:w="40" w:type="dxa"/>
            <w:vAlign w:val="bottom"/>
            <w:tcBorders>
              <w:top w:val="single" w:sz="8" w:color="auto"/>
            </w:tcBorders>
            <w:gridSpan w:val="2"/>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gridSpan w:val="3"/>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560" w:type="dxa"/>
            <w:vAlign w:val="bottom"/>
            <w:tcBorders>
              <w:right w:val="single" w:sz="8" w:color="auto"/>
            </w:tcBorders>
            <w:gridSpan w:val="7"/>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80" w:type="dxa"/>
            <w:vAlign w:val="bottom"/>
            <w:gridSpan w:val="3"/>
            <w:shd w:val="clear" w:color="auto" w:fill="000000"/>
          </w:tcPr>
          <w:p>
            <w:pPr>
              <w:spacing w:after="0" w:line="20" w:lineRule="exact"/>
              <w:rPr>
                <w:sz w:val="1"/>
                <w:szCs w:val="1"/>
                <w:color w:val="auto"/>
              </w:rPr>
            </w:pPr>
          </w:p>
        </w:tc>
        <w:tc>
          <w:tcPr>
            <w:tcW w:w="520" w:type="dxa"/>
            <w:vAlign w:val="bottom"/>
            <w:tcBorders>
              <w:left w:val="single" w:sz="8" w:color="auto"/>
              <w:right w:val="single" w:sz="8" w:color="auto"/>
            </w:tcBorders>
            <w:gridSpan w:val="10"/>
            <w:shd w:val="clear" w:color="auto" w:fill="000000"/>
          </w:tcPr>
          <w:p>
            <w:pPr>
              <w:spacing w:after="0" w:line="20" w:lineRule="exact"/>
              <w:rPr>
                <w:sz w:val="1"/>
                <w:szCs w:val="1"/>
                <w:color w:val="auto"/>
              </w:rPr>
            </w:pPr>
          </w:p>
        </w:tc>
        <w:tc>
          <w:tcPr>
            <w:tcW w:w="3960" w:type="dxa"/>
            <w:vAlign w:val="bottom"/>
            <w:gridSpan w:val="4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080" w:type="dxa"/>
            <w:vAlign w:val="bottom"/>
          </w:tcPr>
          <w:p>
            <w:pPr>
              <w:spacing w:after="0"/>
              <w:rPr>
                <w:sz w:val="11"/>
                <w:szCs w:val="11"/>
                <w:color w:val="auto"/>
              </w:rPr>
            </w:pPr>
          </w:p>
        </w:tc>
        <w:tc>
          <w:tcPr>
            <w:tcW w:w="4300" w:type="dxa"/>
            <w:vAlign w:val="bottom"/>
            <w:gridSpan w:val="70"/>
          </w:tcPr>
          <w:p>
            <w:pPr>
              <w:spacing w:after="0" w:line="136" w:lineRule="exact"/>
              <w:rPr>
                <w:sz w:val="20"/>
                <w:szCs w:val="20"/>
                <w:color w:val="auto"/>
              </w:rPr>
            </w:pPr>
            <w:r>
              <w:rPr>
                <w:rFonts w:ascii="Times New Roman" w:cs="Times New Roman" w:eastAsia="Times New Roman" w:hAnsi="Times New Roman"/>
                <w:sz w:val="13"/>
                <w:szCs w:val="13"/>
                <w:color w:val="auto"/>
              </w:rPr>
              <w:t>Withdrawals (including RMDs and systematic withdrawals) will reduce your</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4300" w:type="dxa"/>
            <w:vAlign w:val="bottom"/>
            <w:gridSpan w:val="70"/>
          </w:tcPr>
          <w:p>
            <w:pPr>
              <w:spacing w:after="0" w:line="142" w:lineRule="exact"/>
              <w:rPr>
                <w:sz w:val="20"/>
                <w:szCs w:val="20"/>
                <w:color w:val="auto"/>
              </w:rPr>
            </w:pPr>
            <w:r>
              <w:rPr>
                <w:rFonts w:ascii="Times New Roman" w:cs="Times New Roman" w:eastAsia="Times New Roman" w:hAnsi="Times New Roman"/>
                <w:sz w:val="13"/>
                <w:szCs w:val="13"/>
                <w:color w:val="auto"/>
              </w:rPr>
              <w:t>Account Value and the death benefit, perhaps significantly. The reduction may</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Borders>
              <w:right w:val="single" w:sz="8" w:color="auto"/>
            </w:tcBorders>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0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700" w:type="dxa"/>
            <w:vAlign w:val="bottom"/>
            <w:tcBorders>
              <w:left w:val="single" w:sz="8" w:color="auto"/>
            </w:tcBorders>
            <w:gridSpan w:val="6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1080" w:type="dxa"/>
            <w:vAlign w:val="bottom"/>
          </w:tcPr>
          <w:p>
            <w:pPr>
              <w:spacing w:after="0"/>
              <w:rPr>
                <w:sz w:val="10"/>
                <w:szCs w:val="10"/>
                <w:color w:val="auto"/>
              </w:rPr>
            </w:pPr>
          </w:p>
        </w:tc>
        <w:tc>
          <w:tcPr>
            <w:tcW w:w="4300" w:type="dxa"/>
            <w:vAlign w:val="bottom"/>
            <w:gridSpan w:val="70"/>
          </w:tcPr>
          <w:p>
            <w:pPr>
              <w:spacing w:after="0" w:line="126" w:lineRule="exact"/>
              <w:rPr>
                <w:sz w:val="20"/>
                <w:szCs w:val="20"/>
                <w:color w:val="auto"/>
              </w:rPr>
            </w:pPr>
            <w:r>
              <w:rPr>
                <w:rFonts w:ascii="Times New Roman" w:cs="Times New Roman" w:eastAsia="Times New Roman" w:hAnsi="Times New Roman"/>
                <w:sz w:val="13"/>
                <w:szCs w:val="13"/>
                <w:color w:val="auto"/>
              </w:rPr>
              <w:t>be more than the amount withdrawn.</w:t>
            </w: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4300" w:type="dxa"/>
            <w:vAlign w:val="bottom"/>
            <w:gridSpan w:val="70"/>
          </w:tcPr>
          <w:p>
            <w:pPr>
              <w:spacing w:after="0" w:line="142" w:lineRule="exact"/>
              <w:rPr>
                <w:sz w:val="20"/>
                <w:szCs w:val="20"/>
                <w:color w:val="auto"/>
              </w:rPr>
            </w:pPr>
            <w:r>
              <w:rPr>
                <w:rFonts w:ascii="Times New Roman" w:cs="Times New Roman" w:eastAsia="Times New Roman" w:hAnsi="Times New Roman"/>
                <w:sz w:val="13"/>
                <w:szCs w:val="13"/>
                <w:color w:val="auto"/>
              </w:rPr>
              <w:t>If you have not exercised the Performance Lock, withdrawals from the Shield</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60" w:type="dxa"/>
            <w:vAlign w:val="bottom"/>
            <w:tcBorders>
              <w:right w:val="single" w:sz="8" w:color="auto"/>
            </w:tcBorders>
            <w:gridSpan w:val="27"/>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8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gridSpan w:val="3"/>
            <w:shd w:val="clear" w:color="auto" w:fill="000000"/>
          </w:tcPr>
          <w:p>
            <w:pPr>
              <w:spacing w:after="0" w:line="20" w:lineRule="exact"/>
              <w:rPr>
                <w:sz w:val="1"/>
                <w:szCs w:val="1"/>
                <w:color w:val="auto"/>
              </w:rPr>
            </w:pPr>
          </w:p>
        </w:tc>
        <w:tc>
          <w:tcPr>
            <w:tcW w:w="300" w:type="dxa"/>
            <w:vAlign w:val="bottom"/>
            <w:tcBorders>
              <w:left w:val="single" w:sz="8" w:color="auto"/>
              <w:right w:val="single" w:sz="8" w:color="auto"/>
            </w:tcBorders>
            <w:gridSpan w:val="5"/>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600" w:type="dxa"/>
            <w:vAlign w:val="bottom"/>
            <w:tcBorders>
              <w:left w:val="single" w:sz="8" w:color="auto"/>
            </w:tcBorders>
            <w:gridSpan w:val="26"/>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80" w:type="dxa"/>
            <w:vAlign w:val="bottom"/>
          </w:tcPr>
          <w:p>
            <w:pPr>
              <w:spacing w:after="0"/>
              <w:rPr>
                <w:sz w:val="11"/>
                <w:szCs w:val="11"/>
                <w:color w:val="auto"/>
              </w:rPr>
            </w:pPr>
          </w:p>
        </w:tc>
        <w:tc>
          <w:tcPr>
            <w:tcW w:w="2500" w:type="dxa"/>
            <w:vAlign w:val="bottom"/>
            <w:gridSpan w:val="42"/>
          </w:tcPr>
          <w:p>
            <w:pPr>
              <w:spacing w:after="0" w:line="129" w:lineRule="exact"/>
              <w:rPr>
                <w:sz w:val="20"/>
                <w:szCs w:val="20"/>
                <w:color w:val="auto"/>
              </w:rPr>
            </w:pPr>
            <w:r>
              <w:rPr>
                <w:rFonts w:ascii="Times New Roman" w:cs="Times New Roman" w:eastAsia="Times New Roman" w:hAnsi="Times New Roman"/>
                <w:sz w:val="13"/>
                <w:szCs w:val="13"/>
                <w:color w:val="auto"/>
                <w:w w:val="94"/>
              </w:rPr>
              <w:t>Options during a Term will reduce the Investment</w:t>
            </w:r>
          </w:p>
        </w:tc>
        <w:tc>
          <w:tcPr>
            <w:tcW w:w="160" w:type="dxa"/>
            <w:vAlign w:val="bottom"/>
          </w:tcPr>
          <w:p>
            <w:pPr>
              <w:spacing w:after="0"/>
              <w:rPr>
                <w:sz w:val="11"/>
                <w:szCs w:val="11"/>
                <w:color w:val="auto"/>
              </w:rPr>
            </w:pPr>
          </w:p>
        </w:tc>
        <w:tc>
          <w:tcPr>
            <w:tcW w:w="1440" w:type="dxa"/>
            <w:vAlign w:val="bottom"/>
            <w:gridSpan w:val="25"/>
          </w:tcPr>
          <w:p>
            <w:pPr>
              <w:spacing w:after="0" w:line="129" w:lineRule="exact"/>
              <w:rPr>
                <w:sz w:val="20"/>
                <w:szCs w:val="20"/>
                <w:color w:val="auto"/>
              </w:rPr>
            </w:pPr>
            <w:r>
              <w:rPr>
                <w:rFonts w:ascii="Times New Roman" w:cs="Times New Roman" w:eastAsia="Times New Roman" w:hAnsi="Times New Roman"/>
                <w:sz w:val="13"/>
                <w:szCs w:val="13"/>
                <w:color w:val="auto"/>
                <w:w w:val="98"/>
              </w:rPr>
              <w:t>Amount associated with the</w:t>
            </w:r>
          </w:p>
        </w:tc>
        <w:tc>
          <w:tcPr>
            <w:tcW w:w="4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080" w:type="dxa"/>
            <w:vAlign w:val="bottom"/>
          </w:tcPr>
          <w:p>
            <w:pPr>
              <w:spacing w:after="0"/>
              <w:rPr>
                <w:sz w:val="10"/>
                <w:szCs w:val="10"/>
                <w:color w:val="auto"/>
              </w:rPr>
            </w:pPr>
          </w:p>
        </w:tc>
        <w:tc>
          <w:tcPr>
            <w:tcW w:w="400" w:type="dxa"/>
            <w:vAlign w:val="bottom"/>
            <w:tcBorders>
              <w:top w:val="single" w:sz="8" w:color="auto"/>
            </w:tcBorders>
            <w:gridSpan w:val="5"/>
          </w:tcPr>
          <w:p>
            <w:pPr>
              <w:spacing w:after="0" w:line="119" w:lineRule="exact"/>
              <w:rPr>
                <w:sz w:val="20"/>
                <w:szCs w:val="20"/>
                <w:color w:val="auto"/>
              </w:rPr>
            </w:pPr>
            <w:r>
              <w:rPr>
                <w:rFonts w:ascii="Times New Roman" w:cs="Times New Roman" w:eastAsia="Times New Roman" w:hAnsi="Times New Roman"/>
                <w:sz w:val="13"/>
                <w:szCs w:val="13"/>
                <w:color w:val="auto"/>
              </w:rPr>
              <w:t>Shield</w:t>
            </w:r>
          </w:p>
        </w:tc>
        <w:tc>
          <w:tcPr>
            <w:tcW w:w="520" w:type="dxa"/>
            <w:vAlign w:val="bottom"/>
            <w:gridSpan w:val="9"/>
          </w:tcPr>
          <w:p>
            <w:pPr>
              <w:spacing w:after="0" w:line="119" w:lineRule="exact"/>
              <w:rPr>
                <w:sz w:val="20"/>
                <w:szCs w:val="20"/>
                <w:color w:val="auto"/>
              </w:rPr>
            </w:pPr>
            <w:r>
              <w:rPr>
                <w:rFonts w:ascii="Times New Roman" w:cs="Times New Roman" w:eastAsia="Times New Roman" w:hAnsi="Times New Roman"/>
                <w:sz w:val="13"/>
                <w:szCs w:val="13"/>
                <w:color w:val="auto"/>
                <w:w w:val="95"/>
              </w:rPr>
              <w:t>Option by</w:t>
            </w:r>
          </w:p>
        </w:tc>
        <w:tc>
          <w:tcPr>
            <w:tcW w:w="260" w:type="dxa"/>
            <w:vAlign w:val="bottom"/>
            <w:tcBorders>
              <w:top w:val="single" w:sz="8" w:color="auto"/>
            </w:tcBorders>
            <w:gridSpan w:val="5"/>
          </w:tcPr>
          <w:p>
            <w:pPr>
              <w:spacing w:after="0" w:line="119" w:lineRule="exact"/>
              <w:rPr>
                <w:sz w:val="20"/>
                <w:szCs w:val="20"/>
                <w:color w:val="auto"/>
              </w:rPr>
            </w:pPr>
            <w:r>
              <w:rPr>
                <w:rFonts w:ascii="Times New Roman" w:cs="Times New Roman" w:eastAsia="Times New Roman" w:hAnsi="Times New Roman"/>
                <w:sz w:val="13"/>
                <w:szCs w:val="13"/>
                <w:color w:val="auto"/>
              </w:rPr>
              <w:t>the</w:t>
            </w:r>
          </w:p>
        </w:tc>
        <w:tc>
          <w:tcPr>
            <w:tcW w:w="880" w:type="dxa"/>
            <w:vAlign w:val="bottom"/>
            <w:gridSpan w:val="15"/>
          </w:tcPr>
          <w:p>
            <w:pPr>
              <w:jc w:val="right"/>
              <w:ind w:right="80"/>
              <w:spacing w:after="0" w:line="119" w:lineRule="exact"/>
              <w:rPr>
                <w:sz w:val="20"/>
                <w:szCs w:val="20"/>
                <w:color w:val="auto"/>
              </w:rPr>
            </w:pPr>
            <w:r>
              <w:rPr>
                <w:rFonts w:ascii="Times New Roman" w:cs="Times New Roman" w:eastAsia="Times New Roman" w:hAnsi="Times New Roman"/>
                <w:sz w:val="13"/>
                <w:szCs w:val="13"/>
                <w:color w:val="auto"/>
                <w:w w:val="91"/>
              </w:rPr>
              <w:t>same proportion</w:t>
            </w:r>
          </w:p>
        </w:tc>
        <w:tc>
          <w:tcPr>
            <w:tcW w:w="1040" w:type="dxa"/>
            <w:vAlign w:val="bottom"/>
            <w:tcBorders>
              <w:top w:val="single" w:sz="8" w:color="auto"/>
            </w:tcBorders>
            <w:gridSpan w:val="17"/>
          </w:tcPr>
          <w:p>
            <w:pPr>
              <w:spacing w:after="0" w:line="119" w:lineRule="exact"/>
              <w:rPr>
                <w:sz w:val="20"/>
                <w:szCs w:val="20"/>
                <w:color w:val="auto"/>
              </w:rPr>
            </w:pPr>
            <w:r>
              <w:rPr>
                <w:rFonts w:ascii="Times New Roman" w:cs="Times New Roman" w:eastAsia="Times New Roman" w:hAnsi="Times New Roman"/>
                <w:sz w:val="13"/>
                <w:szCs w:val="13"/>
                <w:color w:val="auto"/>
                <w:w w:val="89"/>
              </w:rPr>
              <w:t>that the Interim Value</w:t>
            </w:r>
          </w:p>
        </w:tc>
        <w:tc>
          <w:tcPr>
            <w:tcW w:w="20" w:type="dxa"/>
            <w:vAlign w:val="bottom"/>
          </w:tcPr>
          <w:p>
            <w:pPr>
              <w:spacing w:after="0"/>
              <w:rPr>
                <w:sz w:val="10"/>
                <w:szCs w:val="10"/>
                <w:color w:val="auto"/>
              </w:rPr>
            </w:pPr>
          </w:p>
        </w:tc>
        <w:tc>
          <w:tcPr>
            <w:tcW w:w="1180" w:type="dxa"/>
            <w:vAlign w:val="bottom"/>
            <w:gridSpan w:val="18"/>
          </w:tcPr>
          <w:p>
            <w:pPr>
              <w:ind w:left="80"/>
              <w:spacing w:after="0" w:line="119" w:lineRule="exact"/>
              <w:rPr>
                <w:sz w:val="20"/>
                <w:szCs w:val="20"/>
                <w:color w:val="auto"/>
              </w:rPr>
            </w:pPr>
            <w:r>
              <w:rPr>
                <w:rFonts w:ascii="Times New Roman" w:cs="Times New Roman" w:eastAsia="Times New Roman" w:hAnsi="Times New Roman"/>
                <w:sz w:val="13"/>
                <w:szCs w:val="13"/>
                <w:color w:val="auto"/>
              </w:rPr>
              <w:t>of that Shield</w:t>
            </w: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80" w:type="dxa"/>
            <w:vAlign w:val="bottom"/>
            <w:tcBorders>
              <w:right w:val="single" w:sz="8" w:color="auto"/>
            </w:tcBorders>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0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80" w:type="dxa"/>
            <w:vAlign w:val="bottom"/>
          </w:tcPr>
          <w:p>
            <w:pPr>
              <w:spacing w:after="0"/>
              <w:rPr>
                <w:sz w:val="11"/>
                <w:szCs w:val="11"/>
                <w:color w:val="auto"/>
              </w:rPr>
            </w:pPr>
          </w:p>
        </w:tc>
        <w:tc>
          <w:tcPr>
            <w:tcW w:w="4300" w:type="dxa"/>
            <w:vAlign w:val="bottom"/>
            <w:gridSpan w:val="70"/>
          </w:tcPr>
          <w:p>
            <w:pPr>
              <w:spacing w:after="0" w:line="129" w:lineRule="exact"/>
              <w:rPr>
                <w:sz w:val="20"/>
                <w:szCs w:val="20"/>
                <w:color w:val="auto"/>
              </w:rPr>
            </w:pPr>
            <w:r>
              <w:rPr>
                <w:rFonts w:ascii="Times New Roman" w:cs="Times New Roman" w:eastAsia="Times New Roman" w:hAnsi="Times New Roman"/>
                <w:sz w:val="13"/>
                <w:szCs w:val="13"/>
                <w:color w:val="auto"/>
              </w:rPr>
              <w:t>Option is reduced by the withdrawal. The proportionate reduction could be</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080" w:type="dxa"/>
            <w:vAlign w:val="bottom"/>
          </w:tcPr>
          <w:p>
            <w:pPr>
              <w:spacing w:after="0"/>
              <w:rPr>
                <w:sz w:val="10"/>
                <w:szCs w:val="10"/>
                <w:color w:val="auto"/>
              </w:rPr>
            </w:pPr>
          </w:p>
        </w:tc>
        <w:tc>
          <w:tcPr>
            <w:tcW w:w="380" w:type="dxa"/>
            <w:vAlign w:val="bottom"/>
            <w:tcBorders>
              <w:top w:val="single" w:sz="8" w:color="auto"/>
            </w:tcBorders>
            <w:gridSpan w:val="4"/>
          </w:tcPr>
          <w:p>
            <w:pPr>
              <w:spacing w:after="0" w:line="119" w:lineRule="exact"/>
              <w:rPr>
                <w:sz w:val="20"/>
                <w:szCs w:val="20"/>
                <w:color w:val="auto"/>
              </w:rPr>
            </w:pPr>
            <w:r>
              <w:rPr>
                <w:rFonts w:ascii="Times New Roman" w:cs="Times New Roman" w:eastAsia="Times New Roman" w:hAnsi="Times New Roman"/>
                <w:sz w:val="13"/>
                <w:szCs w:val="13"/>
                <w:color w:val="auto"/>
                <w:w w:val="94"/>
              </w:rPr>
              <w:t>greater</w:t>
            </w:r>
          </w:p>
        </w:tc>
        <w:tc>
          <w:tcPr>
            <w:tcW w:w="3920" w:type="dxa"/>
            <w:vAlign w:val="bottom"/>
            <w:gridSpan w:val="66"/>
          </w:tcPr>
          <w:p>
            <w:pPr>
              <w:spacing w:after="0" w:line="119" w:lineRule="exact"/>
              <w:rPr>
                <w:sz w:val="20"/>
                <w:szCs w:val="20"/>
                <w:color w:val="auto"/>
              </w:rPr>
            </w:pPr>
            <w:r>
              <w:rPr>
                <w:rFonts w:ascii="Times New Roman" w:cs="Times New Roman" w:eastAsia="Times New Roman" w:hAnsi="Times New Roman"/>
                <w:sz w:val="13"/>
                <w:szCs w:val="13"/>
                <w:color w:val="auto"/>
              </w:rPr>
              <w:t>than the amount withdrawn even if the Index Value has increased.</w:t>
            </w: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80" w:type="dxa"/>
            <w:vAlign w:val="bottom"/>
          </w:tcPr>
          <w:p>
            <w:pPr>
              <w:spacing w:after="0"/>
              <w:rPr>
                <w:sz w:val="11"/>
                <w:szCs w:val="11"/>
                <w:color w:val="auto"/>
              </w:rPr>
            </w:pPr>
          </w:p>
        </w:tc>
        <w:tc>
          <w:tcPr>
            <w:tcW w:w="4300" w:type="dxa"/>
            <w:vAlign w:val="bottom"/>
            <w:gridSpan w:val="70"/>
          </w:tcPr>
          <w:p>
            <w:pPr>
              <w:spacing w:after="0" w:line="129" w:lineRule="exact"/>
              <w:rPr>
                <w:sz w:val="20"/>
                <w:szCs w:val="20"/>
                <w:color w:val="auto"/>
              </w:rPr>
            </w:pPr>
            <w:r>
              <w:rPr>
                <w:rFonts w:ascii="Times New Roman" w:cs="Times New Roman" w:eastAsia="Times New Roman" w:hAnsi="Times New Roman"/>
                <w:sz w:val="13"/>
                <w:szCs w:val="13"/>
                <w:color w:val="auto"/>
              </w:rPr>
              <w:t>Reductions to the Investment Amount will reduce the Interim Value for that</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940" w:type="dxa"/>
            <w:vAlign w:val="bottom"/>
            <w:gridSpan w:val="15"/>
            <w:vMerge w:val="restart"/>
          </w:tcPr>
          <w:p>
            <w:pPr>
              <w:spacing w:after="0"/>
              <w:rPr>
                <w:sz w:val="20"/>
                <w:szCs w:val="20"/>
                <w:color w:val="auto"/>
              </w:rPr>
            </w:pPr>
            <w:r>
              <w:rPr>
                <w:rFonts w:ascii="Times New Roman" w:cs="Times New Roman" w:eastAsia="Times New Roman" w:hAnsi="Times New Roman"/>
                <w:sz w:val="13"/>
                <w:szCs w:val="13"/>
                <w:color w:val="auto"/>
                <w:w w:val="98"/>
              </w:rPr>
              <w:t>Shield Option for</w:t>
            </w: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gridSpan w:val="3"/>
            <w:vMerge w:val="restart"/>
          </w:tcPr>
          <w:p>
            <w:pPr>
              <w:spacing w:after="0" w:line="20" w:lineRule="exact"/>
              <w:rPr>
                <w:sz w:val="1"/>
                <w:szCs w:val="1"/>
                <w:color w:val="auto"/>
              </w:rPr>
            </w:pPr>
          </w:p>
        </w:tc>
        <w:tc>
          <w:tcPr>
            <w:tcW w:w="780" w:type="dxa"/>
            <w:vAlign w:val="bottom"/>
            <w:gridSpan w:val="12"/>
            <w:vMerge w:val="restart"/>
          </w:tcPr>
          <w:p>
            <w:pPr>
              <w:spacing w:after="0"/>
              <w:rPr>
                <w:sz w:val="20"/>
                <w:szCs w:val="20"/>
                <w:color w:val="auto"/>
              </w:rPr>
            </w:pPr>
            <w:r>
              <w:rPr>
                <w:rFonts w:ascii="Times New Roman" w:cs="Times New Roman" w:eastAsia="Times New Roman" w:hAnsi="Times New Roman"/>
                <w:sz w:val="13"/>
                <w:szCs w:val="13"/>
                <w:color w:val="auto"/>
                <w:w w:val="92"/>
              </w:rPr>
              <w:t>Term, and, as a</w:t>
            </w: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80" w:type="dxa"/>
            <w:vAlign w:val="bottom"/>
          </w:tcPr>
          <w:p>
            <w:pPr>
              <w:spacing w:after="0"/>
              <w:rPr>
                <w:sz w:val="11"/>
                <w:szCs w:val="11"/>
                <w:color w:val="auto"/>
              </w:rPr>
            </w:pPr>
          </w:p>
        </w:tc>
        <w:tc>
          <w:tcPr>
            <w:tcW w:w="940" w:type="dxa"/>
            <w:vAlign w:val="bottom"/>
            <w:gridSpan w:val="15"/>
            <w:vMerge w:val="continue"/>
          </w:tcPr>
          <w:p>
            <w:pPr>
              <w:spacing w:after="0"/>
              <w:rPr>
                <w:sz w:val="11"/>
                <w:szCs w:val="11"/>
                <w:color w:val="auto"/>
              </w:rPr>
            </w:pPr>
          </w:p>
        </w:tc>
        <w:tc>
          <w:tcPr>
            <w:tcW w:w="1060" w:type="dxa"/>
            <w:vAlign w:val="bottom"/>
            <w:gridSpan w:val="17"/>
          </w:tcPr>
          <w:p>
            <w:pPr>
              <w:jc w:val="center"/>
              <w:spacing w:after="0" w:line="129" w:lineRule="exact"/>
              <w:rPr>
                <w:sz w:val="20"/>
                <w:szCs w:val="20"/>
                <w:color w:val="auto"/>
              </w:rPr>
            </w:pPr>
            <w:r>
              <w:rPr>
                <w:rFonts w:ascii="Times New Roman" w:cs="Times New Roman" w:eastAsia="Times New Roman" w:hAnsi="Times New Roman"/>
                <w:sz w:val="13"/>
                <w:szCs w:val="13"/>
                <w:color w:val="auto"/>
              </w:rPr>
              <w:t>the remainder of the</w:t>
            </w:r>
          </w:p>
        </w:tc>
        <w:tc>
          <w:tcPr>
            <w:tcW w:w="20" w:type="dxa"/>
            <w:vAlign w:val="bottom"/>
            <w:vMerge w:val="continue"/>
          </w:tcPr>
          <w:p>
            <w:pPr>
              <w:spacing w:after="0"/>
              <w:rPr>
                <w:sz w:val="11"/>
                <w:szCs w:val="11"/>
                <w:color w:val="auto"/>
              </w:rPr>
            </w:pPr>
          </w:p>
        </w:tc>
        <w:tc>
          <w:tcPr>
            <w:tcW w:w="80" w:type="dxa"/>
            <w:vAlign w:val="bottom"/>
            <w:gridSpan w:val="3"/>
            <w:vMerge w:val="continue"/>
          </w:tcPr>
          <w:p>
            <w:pPr>
              <w:spacing w:after="0"/>
              <w:rPr>
                <w:sz w:val="11"/>
                <w:szCs w:val="11"/>
                <w:color w:val="auto"/>
              </w:rPr>
            </w:pPr>
          </w:p>
        </w:tc>
        <w:tc>
          <w:tcPr>
            <w:tcW w:w="780" w:type="dxa"/>
            <w:vAlign w:val="bottom"/>
            <w:gridSpan w:val="12"/>
            <w:vMerge w:val="continue"/>
          </w:tcPr>
          <w:p>
            <w:pPr>
              <w:spacing w:after="0"/>
              <w:rPr>
                <w:sz w:val="11"/>
                <w:szCs w:val="11"/>
                <w:color w:val="auto"/>
              </w:rPr>
            </w:pPr>
          </w:p>
        </w:tc>
        <w:tc>
          <w:tcPr>
            <w:tcW w:w="1420" w:type="dxa"/>
            <w:vAlign w:val="bottom"/>
            <w:gridSpan w:val="22"/>
          </w:tcPr>
          <w:p>
            <w:pPr>
              <w:jc w:val="right"/>
              <w:ind w:right="440"/>
              <w:spacing w:after="0" w:line="129" w:lineRule="exact"/>
              <w:rPr>
                <w:sz w:val="20"/>
                <w:szCs w:val="20"/>
                <w:color w:val="auto"/>
              </w:rPr>
            </w:pPr>
            <w:r>
              <w:rPr>
                <w:rFonts w:ascii="Times New Roman" w:cs="Times New Roman" w:eastAsia="Times New Roman" w:hAnsi="Times New Roman"/>
                <w:sz w:val="13"/>
                <w:szCs w:val="13"/>
                <w:color w:val="auto"/>
              </w:rPr>
              <w:t>result, the positive</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00" w:type="dxa"/>
            <w:vAlign w:val="bottom"/>
            <w:tcBorders>
              <w:left w:val="single" w:sz="8" w:color="auto"/>
              <w:right w:val="single" w:sz="8" w:color="auto"/>
            </w:tcBorders>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gridSpan w:val="27"/>
            <w:vMerge w:val="restart"/>
          </w:tcPr>
          <w:p>
            <w:pPr>
              <w:jc w:val="right"/>
              <w:ind w:right="60"/>
              <w:spacing w:after="0" w:line="139" w:lineRule="exact"/>
              <w:rPr>
                <w:sz w:val="20"/>
                <w:szCs w:val="20"/>
                <w:color w:val="auto"/>
              </w:rPr>
            </w:pPr>
            <w:r>
              <w:rPr>
                <w:rFonts w:ascii="Times New Roman" w:cs="Times New Roman" w:eastAsia="Times New Roman" w:hAnsi="Times New Roman"/>
                <w:sz w:val="13"/>
                <w:szCs w:val="13"/>
                <w:color w:val="auto"/>
                <w:w w:val="99"/>
              </w:rPr>
              <w:t>credited to the remaining</w:t>
            </w: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080" w:type="dxa"/>
            <w:vAlign w:val="bottom"/>
          </w:tcPr>
          <w:p>
            <w:pPr>
              <w:spacing w:after="0"/>
              <w:rPr>
                <w:sz w:val="10"/>
                <w:szCs w:val="10"/>
                <w:color w:val="auto"/>
              </w:rPr>
            </w:pPr>
          </w:p>
        </w:tc>
        <w:tc>
          <w:tcPr>
            <w:tcW w:w="720" w:type="dxa"/>
            <w:vAlign w:val="bottom"/>
            <w:gridSpan w:val="9"/>
          </w:tcPr>
          <w:p>
            <w:pPr>
              <w:spacing w:after="0" w:line="119" w:lineRule="exact"/>
              <w:rPr>
                <w:sz w:val="20"/>
                <w:szCs w:val="20"/>
                <w:color w:val="auto"/>
              </w:rPr>
            </w:pPr>
            <w:r>
              <w:rPr>
                <w:rFonts w:ascii="Times New Roman" w:cs="Times New Roman" w:eastAsia="Times New Roman" w:hAnsi="Times New Roman"/>
                <w:sz w:val="13"/>
                <w:szCs w:val="13"/>
                <w:color w:val="auto"/>
                <w:w w:val="87"/>
              </w:rPr>
              <w:t>interest, if any,</w:t>
            </w:r>
          </w:p>
        </w:tc>
        <w:tc>
          <w:tcPr>
            <w:tcW w:w="1380" w:type="dxa"/>
            <w:vAlign w:val="bottom"/>
            <w:gridSpan w:val="27"/>
            <w:vMerge w:val="continue"/>
          </w:tcPr>
          <w:p>
            <w:pPr>
              <w:spacing w:after="0"/>
              <w:rPr>
                <w:sz w:val="10"/>
                <w:szCs w:val="10"/>
                <w:color w:val="auto"/>
              </w:rPr>
            </w:pPr>
          </w:p>
        </w:tc>
        <w:tc>
          <w:tcPr>
            <w:tcW w:w="60" w:type="dxa"/>
            <w:vAlign w:val="bottom"/>
          </w:tcPr>
          <w:p>
            <w:pPr>
              <w:spacing w:after="0"/>
              <w:rPr>
                <w:sz w:val="10"/>
                <w:szCs w:val="10"/>
                <w:color w:val="auto"/>
              </w:rPr>
            </w:pPr>
          </w:p>
        </w:tc>
        <w:tc>
          <w:tcPr>
            <w:tcW w:w="2140" w:type="dxa"/>
            <w:vAlign w:val="bottom"/>
            <w:gridSpan w:val="33"/>
          </w:tcPr>
          <w:p>
            <w:pPr>
              <w:jc w:val="right"/>
              <w:ind w:right="160"/>
              <w:spacing w:after="0" w:line="119" w:lineRule="exact"/>
              <w:rPr>
                <w:sz w:val="20"/>
                <w:szCs w:val="20"/>
                <w:color w:val="auto"/>
              </w:rPr>
            </w:pPr>
            <w:r>
              <w:rPr>
                <w:rFonts w:ascii="Times New Roman" w:cs="Times New Roman" w:eastAsia="Times New Roman" w:hAnsi="Times New Roman"/>
                <w:sz w:val="13"/>
                <w:szCs w:val="13"/>
                <w:color w:val="auto"/>
              </w:rPr>
              <w:t>Investment Amount on the Term End</w:t>
            </w: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160" w:type="dxa"/>
            <w:vAlign w:val="bottom"/>
            <w:gridSpan w:val="37"/>
            <w:vMerge w:val="restart"/>
          </w:tcPr>
          <w:p>
            <w:pPr>
              <w:spacing w:after="0"/>
              <w:rPr>
                <w:sz w:val="20"/>
                <w:szCs w:val="20"/>
                <w:color w:val="auto"/>
              </w:rPr>
            </w:pPr>
            <w:r>
              <w:rPr>
                <w:rFonts w:ascii="Times New Roman" w:cs="Times New Roman" w:eastAsia="Times New Roman" w:hAnsi="Times New Roman"/>
                <w:sz w:val="13"/>
                <w:szCs w:val="13"/>
                <w:color w:val="auto"/>
                <w:w w:val="97"/>
              </w:rPr>
              <w:t>Date will be less than if you had not taken</w:t>
            </w:r>
          </w:p>
        </w:tc>
        <w:tc>
          <w:tcPr>
            <w:tcW w:w="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gridSpan w:val="5"/>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80" w:type="dxa"/>
            <w:vAlign w:val="bottom"/>
          </w:tcPr>
          <w:p>
            <w:pPr>
              <w:spacing w:after="0"/>
              <w:rPr>
                <w:sz w:val="11"/>
                <w:szCs w:val="11"/>
                <w:color w:val="auto"/>
              </w:rPr>
            </w:pPr>
          </w:p>
        </w:tc>
        <w:tc>
          <w:tcPr>
            <w:tcW w:w="2160" w:type="dxa"/>
            <w:vAlign w:val="bottom"/>
            <w:gridSpan w:val="37"/>
            <w:vMerge w:val="continue"/>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gridSpan w:val="32"/>
          </w:tcPr>
          <w:p>
            <w:pPr>
              <w:jc w:val="right"/>
              <w:ind w:right="160"/>
              <w:spacing w:after="0" w:line="129" w:lineRule="exact"/>
              <w:rPr>
                <w:sz w:val="20"/>
                <w:szCs w:val="20"/>
                <w:color w:val="auto"/>
              </w:rPr>
            </w:pPr>
            <w:r>
              <w:rPr>
                <w:rFonts w:ascii="Times New Roman" w:cs="Times New Roman" w:eastAsia="Times New Roman" w:hAnsi="Times New Roman"/>
                <w:sz w:val="13"/>
                <w:szCs w:val="13"/>
                <w:color w:val="auto"/>
              </w:rPr>
              <w:t>a withdrawal. If you have exercised</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80" w:type="dxa"/>
            <w:vAlign w:val="bottom"/>
          </w:tcPr>
          <w:p>
            <w:pPr>
              <w:spacing w:after="0"/>
              <w:rPr>
                <w:sz w:val="11"/>
                <w:szCs w:val="11"/>
                <w:color w:val="auto"/>
              </w:rPr>
            </w:pPr>
          </w:p>
        </w:tc>
        <w:tc>
          <w:tcPr>
            <w:tcW w:w="18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w w:val="87"/>
              </w:rPr>
              <w:t>the</w:t>
            </w:r>
          </w:p>
        </w:tc>
        <w:tc>
          <w:tcPr>
            <w:tcW w:w="4120" w:type="dxa"/>
            <w:vAlign w:val="bottom"/>
            <w:gridSpan w:val="68"/>
          </w:tcPr>
          <w:p>
            <w:pPr>
              <w:ind w:left="60"/>
              <w:spacing w:after="0" w:line="129" w:lineRule="exact"/>
              <w:rPr>
                <w:sz w:val="20"/>
                <w:szCs w:val="20"/>
                <w:color w:val="auto"/>
              </w:rPr>
            </w:pPr>
            <w:r>
              <w:rPr>
                <w:rFonts w:ascii="Times New Roman" w:cs="Times New Roman" w:eastAsia="Times New Roman" w:hAnsi="Times New Roman"/>
                <w:sz w:val="13"/>
                <w:szCs w:val="13"/>
                <w:color w:val="auto"/>
              </w:rPr>
              <w:t>Performance Lock, a withdrawal will reduce the Performance Lock Value</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gridSpan w:val="2"/>
            <w:vMerge w:val="restart"/>
          </w:tcPr>
          <w:p>
            <w:pPr>
              <w:spacing w:after="0" w:line="146" w:lineRule="exact"/>
              <w:rPr>
                <w:sz w:val="20"/>
                <w:szCs w:val="20"/>
                <w:color w:val="auto"/>
              </w:rPr>
            </w:pPr>
            <w:r>
              <w:rPr>
                <w:rFonts w:ascii="Times New Roman" w:cs="Times New Roman" w:eastAsia="Times New Roman" w:hAnsi="Times New Roman"/>
                <w:sz w:val="13"/>
                <w:szCs w:val="13"/>
                <w:color w:val="auto"/>
              </w:rPr>
              <w:t>by</w:t>
            </w:r>
          </w:p>
        </w:tc>
        <w:tc>
          <w:tcPr>
            <w:tcW w:w="300" w:type="dxa"/>
            <w:vAlign w:val="bottom"/>
            <w:tcBorders>
              <w:left w:val="single" w:sz="8" w:color="auto"/>
              <w:right w:val="single" w:sz="8" w:color="auto"/>
            </w:tcBorders>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gridSpan w:val="5"/>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1080" w:type="dxa"/>
            <w:vAlign w:val="bottom"/>
          </w:tcPr>
          <w:p>
            <w:pPr>
              <w:spacing w:after="0"/>
              <w:rPr>
                <w:sz w:val="10"/>
                <w:szCs w:val="10"/>
                <w:color w:val="auto"/>
              </w:rPr>
            </w:pPr>
          </w:p>
        </w:tc>
        <w:tc>
          <w:tcPr>
            <w:tcW w:w="180" w:type="dxa"/>
            <w:vAlign w:val="bottom"/>
            <w:gridSpan w:val="2"/>
            <w:vMerge w:val="continue"/>
          </w:tcPr>
          <w:p>
            <w:pPr>
              <w:spacing w:after="0"/>
              <w:rPr>
                <w:sz w:val="10"/>
                <w:szCs w:val="10"/>
                <w:color w:val="auto"/>
              </w:rPr>
            </w:pPr>
          </w:p>
        </w:tc>
        <w:tc>
          <w:tcPr>
            <w:tcW w:w="4120" w:type="dxa"/>
            <w:vAlign w:val="bottom"/>
            <w:gridSpan w:val="68"/>
          </w:tcPr>
          <w:p>
            <w:pPr>
              <w:spacing w:after="0" w:line="126" w:lineRule="exact"/>
              <w:rPr>
                <w:sz w:val="20"/>
                <w:szCs w:val="20"/>
                <w:color w:val="auto"/>
              </w:rPr>
            </w:pPr>
            <w:r>
              <w:rPr>
                <w:rFonts w:ascii="Times New Roman" w:cs="Times New Roman" w:eastAsia="Times New Roman" w:hAnsi="Times New Roman"/>
                <w:sz w:val="13"/>
                <w:szCs w:val="13"/>
                <w:color w:val="auto"/>
              </w:rPr>
              <w:t>the dollar amount of the withdrawal.</w:t>
            </w: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4300" w:type="dxa"/>
            <w:vAlign w:val="bottom"/>
            <w:gridSpan w:val="70"/>
          </w:tcPr>
          <w:p>
            <w:pPr>
              <w:spacing w:after="0" w:line="142" w:lineRule="exact"/>
              <w:rPr>
                <w:sz w:val="20"/>
                <w:szCs w:val="20"/>
                <w:color w:val="auto"/>
              </w:rPr>
            </w:pPr>
            <w:r>
              <w:rPr>
                <w:rFonts w:ascii="Times New Roman" w:cs="Times New Roman" w:eastAsia="Times New Roman" w:hAnsi="Times New Roman"/>
                <w:sz w:val="13"/>
                <w:szCs w:val="13"/>
                <w:color w:val="auto"/>
              </w:rPr>
              <w:t>During the Accumulation Period you may transfer your Account Value to or</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4"/>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gridSpan w:val="5"/>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80" w:type="dxa"/>
            <w:vAlign w:val="bottom"/>
          </w:tcPr>
          <w:p>
            <w:pPr>
              <w:spacing w:after="0"/>
              <w:rPr>
                <w:sz w:val="11"/>
                <w:szCs w:val="11"/>
                <w:color w:val="auto"/>
              </w:rPr>
            </w:pPr>
          </w:p>
        </w:tc>
        <w:tc>
          <w:tcPr>
            <w:tcW w:w="4300" w:type="dxa"/>
            <w:vAlign w:val="bottom"/>
            <w:gridSpan w:val="70"/>
          </w:tcPr>
          <w:p>
            <w:pPr>
              <w:spacing w:after="0" w:line="129" w:lineRule="exact"/>
              <w:rPr>
                <w:sz w:val="20"/>
                <w:szCs w:val="20"/>
                <w:color w:val="auto"/>
              </w:rPr>
            </w:pPr>
            <w:r>
              <w:rPr>
                <w:rFonts w:ascii="Times New Roman" w:cs="Times New Roman" w:eastAsia="Times New Roman" w:hAnsi="Times New Roman"/>
                <w:sz w:val="13"/>
                <w:szCs w:val="13"/>
                <w:color w:val="auto"/>
              </w:rPr>
              <w:t>from the Fixed Account (if available), to or from the Shield Option(s), and from</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4"/>
            <w:shd w:val="clear" w:color="auto" w:fill="000000"/>
          </w:tcPr>
          <w:p>
            <w:pPr>
              <w:spacing w:after="0" w:line="20" w:lineRule="exact"/>
              <w:rPr>
                <w:sz w:val="1"/>
                <w:szCs w:val="1"/>
                <w:color w:val="auto"/>
              </w:rPr>
            </w:pPr>
          </w:p>
        </w:tc>
        <w:tc>
          <w:tcPr>
            <w:tcW w:w="1540" w:type="dxa"/>
            <w:vAlign w:val="bottom"/>
            <w:gridSpan w:val="24"/>
            <w:vMerge w:val="restart"/>
          </w:tcPr>
          <w:p>
            <w:pPr>
              <w:ind w:left="20"/>
              <w:spacing w:after="0" w:line="139" w:lineRule="exact"/>
              <w:rPr>
                <w:sz w:val="20"/>
                <w:szCs w:val="20"/>
                <w:color w:val="auto"/>
              </w:rPr>
            </w:pPr>
            <w:r>
              <w:rPr>
                <w:rFonts w:ascii="Times New Roman" w:cs="Times New Roman" w:eastAsia="Times New Roman" w:hAnsi="Times New Roman"/>
                <w:sz w:val="13"/>
                <w:szCs w:val="13"/>
                <w:color w:val="auto"/>
              </w:rPr>
              <w:t>you have not exercised the</w:t>
            </w:r>
          </w:p>
        </w:tc>
        <w:tc>
          <w:tcPr>
            <w:tcW w:w="40" w:type="dxa"/>
            <w:vAlign w:val="bottom"/>
            <w:gridSpan w:val="2"/>
            <w:shd w:val="clear" w:color="auto" w:fill="000000"/>
          </w:tcPr>
          <w:p>
            <w:pPr>
              <w:spacing w:after="0" w:line="20" w:lineRule="exact"/>
              <w:rPr>
                <w:sz w:val="1"/>
                <w:szCs w:val="1"/>
                <w:color w:val="auto"/>
              </w:rPr>
            </w:pPr>
          </w:p>
        </w:tc>
        <w:tc>
          <w:tcPr>
            <w:tcW w:w="200" w:type="dxa"/>
            <w:vAlign w:val="bottom"/>
            <w:gridSpan w:val="4"/>
            <w:shd w:val="clear" w:color="auto" w:fill="000000"/>
          </w:tcPr>
          <w:p>
            <w:pPr>
              <w:spacing w:after="0" w:line="20" w:lineRule="exact"/>
              <w:rPr>
                <w:sz w:val="1"/>
                <w:szCs w:val="1"/>
                <w:color w:val="auto"/>
              </w:rPr>
            </w:pPr>
          </w:p>
        </w:tc>
        <w:tc>
          <w:tcPr>
            <w:tcW w:w="18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gridSpan w:val="5"/>
            <w:vMerge w:val="restart"/>
          </w:tcPr>
          <w:p>
            <w:pPr>
              <w:spacing w:after="0" w:line="20" w:lineRule="exact"/>
              <w:rPr>
                <w:sz w:val="1"/>
                <w:szCs w:val="1"/>
                <w:color w:val="auto"/>
              </w:rPr>
            </w:pPr>
          </w:p>
        </w:tc>
        <w:tc>
          <w:tcPr>
            <w:tcW w:w="320" w:type="dxa"/>
            <w:vAlign w:val="bottom"/>
            <w:gridSpan w:val="4"/>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080" w:type="dxa"/>
            <w:vAlign w:val="bottom"/>
          </w:tcPr>
          <w:p>
            <w:pPr>
              <w:spacing w:after="0"/>
              <w:rPr>
                <w:sz w:val="10"/>
                <w:szCs w:val="10"/>
                <w:color w:val="auto"/>
              </w:rPr>
            </w:pPr>
          </w:p>
        </w:tc>
        <w:tc>
          <w:tcPr>
            <w:tcW w:w="1260" w:type="dxa"/>
            <w:vAlign w:val="bottom"/>
            <w:gridSpan w:val="20"/>
          </w:tcPr>
          <w:p>
            <w:pPr>
              <w:spacing w:after="0" w:line="119" w:lineRule="exact"/>
              <w:rPr>
                <w:sz w:val="20"/>
                <w:szCs w:val="20"/>
                <w:color w:val="auto"/>
              </w:rPr>
            </w:pPr>
            <w:r>
              <w:rPr>
                <w:rFonts w:ascii="Times New Roman" w:cs="Times New Roman" w:eastAsia="Times New Roman" w:hAnsi="Times New Roman"/>
                <w:sz w:val="13"/>
                <w:szCs w:val="13"/>
                <w:color w:val="auto"/>
                <w:w w:val="99"/>
              </w:rPr>
              <w:t>the Holding Account. If</w:t>
            </w:r>
          </w:p>
        </w:tc>
        <w:tc>
          <w:tcPr>
            <w:tcW w:w="1540" w:type="dxa"/>
            <w:vAlign w:val="bottom"/>
            <w:gridSpan w:val="24"/>
            <w:vMerge w:val="continue"/>
          </w:tcPr>
          <w:p>
            <w:pPr>
              <w:spacing w:after="0"/>
              <w:rPr>
                <w:sz w:val="10"/>
                <w:szCs w:val="10"/>
                <w:color w:val="auto"/>
              </w:rPr>
            </w:pPr>
          </w:p>
        </w:tc>
        <w:tc>
          <w:tcPr>
            <w:tcW w:w="880" w:type="dxa"/>
            <w:vAlign w:val="bottom"/>
            <w:gridSpan w:val="17"/>
          </w:tcPr>
          <w:p>
            <w:pPr>
              <w:spacing w:after="0" w:line="119" w:lineRule="exact"/>
              <w:rPr>
                <w:sz w:val="20"/>
                <w:szCs w:val="20"/>
                <w:color w:val="auto"/>
              </w:rPr>
            </w:pPr>
            <w:r>
              <w:rPr>
                <w:rFonts w:ascii="Times New Roman" w:cs="Times New Roman" w:eastAsia="Times New Roman" w:hAnsi="Times New Roman"/>
                <w:sz w:val="13"/>
                <w:szCs w:val="13"/>
                <w:color w:val="auto"/>
                <w:w w:val="84"/>
              </w:rPr>
              <w:t>Performance Lock,</w:t>
            </w:r>
          </w:p>
        </w:tc>
        <w:tc>
          <w:tcPr>
            <w:tcW w:w="300" w:type="dxa"/>
            <w:vAlign w:val="bottom"/>
            <w:gridSpan w:val="5"/>
            <w:vMerge w:val="continue"/>
          </w:tcPr>
          <w:p>
            <w:pPr>
              <w:spacing w:after="0"/>
              <w:rPr>
                <w:sz w:val="10"/>
                <w:szCs w:val="10"/>
                <w:color w:val="auto"/>
              </w:rPr>
            </w:pPr>
          </w:p>
        </w:tc>
        <w:tc>
          <w:tcPr>
            <w:tcW w:w="320" w:type="dxa"/>
            <w:vAlign w:val="bottom"/>
            <w:gridSpan w:val="4"/>
            <w:vMerge w:val="continue"/>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tcBorders>
              <w:left w:val="single" w:sz="8" w:color="auto"/>
            </w:tcBorders>
            <w:gridSpan w:val="5"/>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00" w:type="dxa"/>
            <w:vAlign w:val="bottom"/>
            <w:gridSpan w:val="4"/>
            <w:shd w:val="clear" w:color="auto" w:fill="000000"/>
          </w:tcPr>
          <w:p>
            <w:pPr>
              <w:spacing w:after="0" w:line="20" w:lineRule="exact"/>
              <w:rPr>
                <w:sz w:val="1"/>
                <w:szCs w:val="1"/>
                <w:color w:val="auto"/>
              </w:rPr>
            </w:pPr>
          </w:p>
        </w:tc>
        <w:tc>
          <w:tcPr>
            <w:tcW w:w="18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gridSpan w:val="5"/>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080" w:type="dxa"/>
            <w:vAlign w:val="bottom"/>
          </w:tcPr>
          <w:p>
            <w:pPr>
              <w:spacing w:after="0"/>
              <w:rPr>
                <w:sz w:val="11"/>
                <w:szCs w:val="11"/>
                <w:color w:val="auto"/>
              </w:rPr>
            </w:pPr>
          </w:p>
        </w:tc>
        <w:tc>
          <w:tcPr>
            <w:tcW w:w="4300" w:type="dxa"/>
            <w:vAlign w:val="bottom"/>
            <w:gridSpan w:val="70"/>
          </w:tcPr>
          <w:p>
            <w:pPr>
              <w:spacing w:after="0" w:line="136" w:lineRule="exact"/>
              <w:rPr>
                <w:sz w:val="20"/>
                <w:szCs w:val="20"/>
                <w:color w:val="auto"/>
              </w:rPr>
            </w:pPr>
            <w:r>
              <w:rPr>
                <w:rFonts w:ascii="Times New Roman" w:cs="Times New Roman" w:eastAsia="Times New Roman" w:hAnsi="Times New Roman"/>
                <w:sz w:val="13"/>
                <w:szCs w:val="13"/>
                <w:color w:val="auto"/>
              </w:rPr>
              <w:t>transfers may be made, according to your instructions, only during the</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4300" w:type="dxa"/>
            <w:vAlign w:val="bottom"/>
            <w:gridSpan w:val="70"/>
          </w:tcPr>
          <w:p>
            <w:pPr>
              <w:spacing w:after="0" w:line="142" w:lineRule="exact"/>
              <w:rPr>
                <w:sz w:val="20"/>
                <w:szCs w:val="20"/>
                <w:color w:val="auto"/>
              </w:rPr>
            </w:pPr>
            <w:r>
              <w:rPr>
                <w:rFonts w:ascii="Times New Roman" w:cs="Times New Roman" w:eastAsia="Times New Roman" w:hAnsi="Times New Roman"/>
                <w:sz w:val="13"/>
                <w:szCs w:val="13"/>
                <w:color w:val="auto"/>
              </w:rPr>
              <w:t>Transfer Period following the Term End Date.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Borders>
              <w:right w:val="single" w:sz="8" w:color="auto"/>
            </w:tcBorders>
          </w:tcPr>
          <w:p>
            <w:pPr>
              <w:spacing w:after="0" w:line="20" w:lineRule="exact"/>
              <w:rPr>
                <w:sz w:val="1"/>
                <w:szCs w:val="1"/>
                <w:color w:val="auto"/>
              </w:rPr>
            </w:pPr>
          </w:p>
        </w:tc>
        <w:tc>
          <w:tcPr>
            <w:tcW w:w="560" w:type="dxa"/>
            <w:vAlign w:val="bottom"/>
            <w:gridSpan w:val="7"/>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gridSpan w:val="3"/>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080" w:type="dxa"/>
            <w:vAlign w:val="bottom"/>
          </w:tcPr>
          <w:p>
            <w:pPr>
              <w:spacing w:after="0"/>
              <w:rPr>
                <w:sz w:val="10"/>
                <w:szCs w:val="10"/>
                <w:color w:val="auto"/>
              </w:rPr>
            </w:pPr>
          </w:p>
        </w:tc>
        <w:tc>
          <w:tcPr>
            <w:tcW w:w="4300" w:type="dxa"/>
            <w:vAlign w:val="bottom"/>
            <w:gridSpan w:val="70"/>
          </w:tcPr>
          <w:p>
            <w:pPr>
              <w:spacing w:after="0" w:line="119" w:lineRule="exact"/>
              <w:rPr>
                <w:sz w:val="20"/>
                <w:szCs w:val="20"/>
                <w:color w:val="auto"/>
              </w:rPr>
            </w:pPr>
            <w:r>
              <w:rPr>
                <w:rFonts w:ascii="Times New Roman" w:cs="Times New Roman" w:eastAsia="Times New Roman" w:hAnsi="Times New Roman"/>
                <w:sz w:val="13"/>
                <w:szCs w:val="13"/>
                <w:color w:val="auto"/>
              </w:rPr>
              <w:t>If you have exercised the Performance Lock for a multi-year Term, you may</w:t>
            </w: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360" w:type="dxa"/>
            <w:vAlign w:val="bottom"/>
            <w:gridSpan w:val="23"/>
            <w:vMerge w:val="restart"/>
          </w:tcPr>
          <w:p>
            <w:pPr>
              <w:spacing w:after="0"/>
              <w:rPr>
                <w:sz w:val="20"/>
                <w:szCs w:val="20"/>
                <w:color w:val="auto"/>
              </w:rPr>
            </w:pPr>
            <w:r>
              <w:rPr>
                <w:rFonts w:ascii="Times New Roman" w:cs="Times New Roman" w:eastAsia="Times New Roman" w:hAnsi="Times New Roman"/>
                <w:sz w:val="13"/>
                <w:szCs w:val="13"/>
                <w:color w:val="auto"/>
              </w:rPr>
              <w:t>transfer the Performance</w:t>
            </w:r>
          </w:p>
        </w:tc>
        <w:tc>
          <w:tcPr>
            <w:tcW w:w="100" w:type="dxa"/>
            <w:vAlign w:val="bottom"/>
            <w:tcBorders>
              <w:right w:val="single" w:sz="8" w:color="auto"/>
            </w:tcBorders>
            <w:gridSpan w:val="2"/>
            <w:shd w:val="clear" w:color="auto" w:fill="000000"/>
          </w:tcPr>
          <w:p>
            <w:pPr>
              <w:spacing w:after="0" w:line="20" w:lineRule="exact"/>
              <w:rPr>
                <w:sz w:val="1"/>
                <w:szCs w:val="1"/>
                <w:color w:val="auto"/>
              </w:rPr>
            </w:pPr>
          </w:p>
        </w:tc>
        <w:tc>
          <w:tcPr>
            <w:tcW w:w="260" w:type="dxa"/>
            <w:vAlign w:val="bottom"/>
            <w:tcBorders>
              <w:right w:val="single" w:sz="8" w:color="auto"/>
            </w:tcBorders>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gridSpan w:val="3"/>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80" w:type="dxa"/>
            <w:vAlign w:val="bottom"/>
            <w:gridSpan w:val="1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prior to the</w:t>
            </w: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80" w:type="dxa"/>
            <w:vAlign w:val="bottom"/>
          </w:tcPr>
          <w:p>
            <w:pPr>
              <w:spacing w:after="0"/>
              <w:rPr>
                <w:sz w:val="11"/>
                <w:szCs w:val="11"/>
                <w:color w:val="auto"/>
              </w:rPr>
            </w:pPr>
          </w:p>
        </w:tc>
        <w:tc>
          <w:tcPr>
            <w:tcW w:w="1360" w:type="dxa"/>
            <w:vAlign w:val="bottom"/>
            <w:gridSpan w:val="23"/>
            <w:vMerge w:val="continue"/>
          </w:tcPr>
          <w:p>
            <w:pPr>
              <w:spacing w:after="0"/>
              <w:rPr>
                <w:sz w:val="11"/>
                <w:szCs w:val="11"/>
                <w:color w:val="auto"/>
              </w:rPr>
            </w:pPr>
          </w:p>
        </w:tc>
        <w:tc>
          <w:tcPr>
            <w:tcW w:w="980" w:type="dxa"/>
            <w:vAlign w:val="bottom"/>
            <w:gridSpan w:val="17"/>
          </w:tcPr>
          <w:p>
            <w:pPr>
              <w:spacing w:after="0" w:line="129" w:lineRule="exact"/>
              <w:rPr>
                <w:sz w:val="20"/>
                <w:szCs w:val="20"/>
                <w:color w:val="auto"/>
              </w:rPr>
            </w:pPr>
            <w:r>
              <w:rPr>
                <w:rFonts w:ascii="Times New Roman" w:cs="Times New Roman" w:eastAsia="Times New Roman" w:hAnsi="Times New Roman"/>
                <w:sz w:val="13"/>
                <w:szCs w:val="13"/>
                <w:color w:val="auto"/>
                <w:w w:val="96"/>
              </w:rPr>
              <w:t>Lock Value on any</w:t>
            </w:r>
          </w:p>
        </w:tc>
        <w:tc>
          <w:tcPr>
            <w:tcW w:w="60" w:type="dxa"/>
            <w:vAlign w:val="bottom"/>
          </w:tcPr>
          <w:p>
            <w:pPr>
              <w:spacing w:after="0"/>
              <w:rPr>
                <w:sz w:val="11"/>
                <w:szCs w:val="11"/>
                <w:color w:val="auto"/>
              </w:rPr>
            </w:pPr>
          </w:p>
        </w:tc>
        <w:tc>
          <w:tcPr>
            <w:tcW w:w="1120" w:type="dxa"/>
            <w:vAlign w:val="bottom"/>
            <w:gridSpan w:val="17"/>
          </w:tcPr>
          <w:p>
            <w:pPr>
              <w:spacing w:after="0" w:line="129" w:lineRule="exact"/>
              <w:rPr>
                <w:sz w:val="20"/>
                <w:szCs w:val="20"/>
                <w:color w:val="auto"/>
              </w:rPr>
            </w:pPr>
            <w:r>
              <w:rPr>
                <w:rFonts w:ascii="Times New Roman" w:cs="Times New Roman" w:eastAsia="Times New Roman" w:hAnsi="Times New Roman"/>
                <w:sz w:val="13"/>
                <w:szCs w:val="13"/>
                <w:color w:val="auto"/>
                <w:w w:val="97"/>
              </w:rPr>
              <w:t>Contract Anniversary</w:t>
            </w:r>
          </w:p>
        </w:tc>
        <w:tc>
          <w:tcPr>
            <w:tcW w:w="780" w:type="dxa"/>
            <w:vAlign w:val="bottom"/>
            <w:gridSpan w:val="12"/>
            <w:vMerge w:val="continue"/>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gridSpan w:val="6"/>
            <w:shd w:val="clear" w:color="auto" w:fill="000000"/>
          </w:tcPr>
          <w:p>
            <w:pPr>
              <w:spacing w:after="0" w:line="20" w:lineRule="exact"/>
              <w:rPr>
                <w:sz w:val="1"/>
                <w:szCs w:val="1"/>
                <w:color w:val="auto"/>
              </w:rPr>
            </w:pPr>
          </w:p>
        </w:tc>
        <w:tc>
          <w:tcPr>
            <w:tcW w:w="160" w:type="dxa"/>
            <w:vAlign w:val="bottom"/>
            <w:tcBorders>
              <w:right w:val="single" w:sz="8" w:color="auto"/>
            </w:tcBorders>
            <w:gridSpan w:val="4"/>
            <w:shd w:val="clear" w:color="auto" w:fill="000000"/>
          </w:tcPr>
          <w:p>
            <w:pPr>
              <w:spacing w:after="0" w:line="20" w:lineRule="exact"/>
              <w:rPr>
                <w:sz w:val="1"/>
                <w:szCs w:val="1"/>
                <w:color w:val="auto"/>
              </w:rPr>
            </w:pPr>
          </w:p>
        </w:tc>
        <w:tc>
          <w:tcPr>
            <w:tcW w:w="260" w:type="dxa"/>
            <w:vAlign w:val="bottom"/>
            <w:tcBorders>
              <w:right w:val="single" w:sz="8" w:color="auto"/>
            </w:tcBorders>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Borders>
              <w:right w:val="single" w:sz="8" w:color="auto"/>
            </w:tcBorders>
            <w:gridSpan w:val="3"/>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00" w:type="dxa"/>
            <w:vAlign w:val="bottom"/>
            <w:gridSpan w:val="4"/>
            <w:shd w:val="clear" w:color="auto" w:fill="000000"/>
          </w:tcPr>
          <w:p>
            <w:pPr>
              <w:spacing w:after="0" w:line="20" w:lineRule="exact"/>
              <w:rPr>
                <w:sz w:val="1"/>
                <w:szCs w:val="1"/>
                <w:color w:val="auto"/>
              </w:rPr>
            </w:pPr>
          </w:p>
        </w:tc>
        <w:tc>
          <w:tcPr>
            <w:tcW w:w="260" w:type="dxa"/>
            <w:vAlign w:val="bottom"/>
            <w:gridSpan w:val="5"/>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80" w:type="dxa"/>
            <w:vAlign w:val="bottom"/>
          </w:tcPr>
          <w:p>
            <w:pPr>
              <w:spacing w:after="0"/>
              <w:rPr>
                <w:sz w:val="11"/>
                <w:szCs w:val="11"/>
                <w:color w:val="auto"/>
              </w:rPr>
            </w:pPr>
          </w:p>
        </w:tc>
        <w:tc>
          <w:tcPr>
            <w:tcW w:w="1940" w:type="dxa"/>
            <w:vAlign w:val="bottom"/>
            <w:gridSpan w:val="31"/>
          </w:tcPr>
          <w:p>
            <w:pPr>
              <w:spacing w:after="0" w:line="129" w:lineRule="exact"/>
              <w:rPr>
                <w:sz w:val="20"/>
                <w:szCs w:val="20"/>
                <w:color w:val="auto"/>
              </w:rPr>
            </w:pPr>
            <w:r>
              <w:rPr>
                <w:rFonts w:ascii="Times New Roman" w:cs="Times New Roman" w:eastAsia="Times New Roman" w:hAnsi="Times New Roman"/>
                <w:sz w:val="13"/>
                <w:szCs w:val="13"/>
                <w:color w:val="auto"/>
                <w:w w:val="96"/>
              </w:rPr>
              <w:t>end of the Term and on the Term End</w:t>
            </w:r>
          </w:p>
        </w:tc>
        <w:tc>
          <w:tcPr>
            <w:tcW w:w="2360" w:type="dxa"/>
            <w:vAlign w:val="bottom"/>
            <w:gridSpan w:val="39"/>
          </w:tcPr>
          <w:p>
            <w:pPr>
              <w:ind w:left="60"/>
              <w:spacing w:after="0" w:line="129" w:lineRule="exact"/>
              <w:rPr>
                <w:sz w:val="20"/>
                <w:szCs w:val="20"/>
                <w:color w:val="auto"/>
              </w:rPr>
            </w:pPr>
            <w:r>
              <w:rPr>
                <w:rFonts w:ascii="Times New Roman" w:cs="Times New Roman" w:eastAsia="Times New Roman" w:hAnsi="Times New Roman"/>
                <w:sz w:val="13"/>
                <w:szCs w:val="13"/>
                <w:color w:val="auto"/>
              </w:rPr>
              <w:t>Date. If you transfer the Performance</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60" w:type="dxa"/>
            <w:vAlign w:val="bottom"/>
            <w:gridSpan w:val="7"/>
            <w:vMerge w:val="restart"/>
          </w:tcPr>
          <w:p>
            <w:pPr>
              <w:spacing w:after="0" w:line="139" w:lineRule="exact"/>
              <w:rPr>
                <w:sz w:val="20"/>
                <w:szCs w:val="20"/>
                <w:color w:val="auto"/>
              </w:rPr>
            </w:pPr>
            <w:r>
              <w:rPr>
                <w:rFonts w:ascii="Times New Roman" w:cs="Times New Roman" w:eastAsia="Times New Roman" w:hAnsi="Times New Roman"/>
                <w:sz w:val="13"/>
                <w:szCs w:val="13"/>
                <w:color w:val="auto"/>
                <w:w w:val="88"/>
              </w:rPr>
              <w:t>Lock Value</w:t>
            </w: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160" w:type="dxa"/>
            <w:vAlign w:val="bottom"/>
            <w:tcBorders>
              <w:right w:val="single" w:sz="8" w:color="auto"/>
            </w:tcBorders>
            <w:gridSpan w:val="4"/>
          </w:tcPr>
          <w:p>
            <w:pPr>
              <w:spacing w:after="0" w:line="20" w:lineRule="exact"/>
              <w:rPr>
                <w:sz w:val="1"/>
                <w:szCs w:val="1"/>
                <w:color w:val="auto"/>
              </w:rPr>
            </w:pPr>
          </w:p>
        </w:tc>
        <w:tc>
          <w:tcPr>
            <w:tcW w:w="260" w:type="dxa"/>
            <w:vAlign w:val="bottom"/>
            <w:tcBorders>
              <w:right w:val="single" w:sz="8" w:color="auto"/>
            </w:tcBorders>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gridSpan w:val="4"/>
            <w:shd w:val="clear" w:color="auto" w:fill="000000"/>
          </w:tcPr>
          <w:p>
            <w:pPr>
              <w:spacing w:after="0" w:line="20" w:lineRule="exact"/>
              <w:rPr>
                <w:sz w:val="1"/>
                <w:szCs w:val="1"/>
                <w:color w:val="auto"/>
              </w:rPr>
            </w:pPr>
          </w:p>
        </w:tc>
        <w:tc>
          <w:tcPr>
            <w:tcW w:w="80" w:type="dxa"/>
            <w:vAlign w:val="bottom"/>
            <w:tcBorders>
              <w:left w:val="single" w:sz="8" w:color="auto"/>
            </w:tcBorders>
            <w:gridSpan w:val="3"/>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gridSpan w:val="6"/>
            <w:shd w:val="clear" w:color="auto" w:fill="000000"/>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080" w:type="dxa"/>
            <w:vAlign w:val="bottom"/>
          </w:tcPr>
          <w:p>
            <w:pPr>
              <w:spacing w:after="0"/>
              <w:rPr>
                <w:sz w:val="10"/>
                <w:szCs w:val="10"/>
                <w:color w:val="auto"/>
              </w:rPr>
            </w:pPr>
          </w:p>
        </w:tc>
        <w:tc>
          <w:tcPr>
            <w:tcW w:w="560" w:type="dxa"/>
            <w:vAlign w:val="bottom"/>
            <w:gridSpan w:val="7"/>
            <w:vMerge w:val="continue"/>
          </w:tcPr>
          <w:p>
            <w:pPr>
              <w:spacing w:after="0"/>
              <w:rPr>
                <w:sz w:val="10"/>
                <w:szCs w:val="10"/>
                <w:color w:val="auto"/>
              </w:rPr>
            </w:pPr>
          </w:p>
        </w:tc>
        <w:tc>
          <w:tcPr>
            <w:tcW w:w="60" w:type="dxa"/>
            <w:vAlign w:val="bottom"/>
          </w:tcPr>
          <w:p>
            <w:pPr>
              <w:spacing w:after="0"/>
              <w:rPr>
                <w:sz w:val="10"/>
                <w:szCs w:val="10"/>
                <w:color w:val="auto"/>
              </w:rPr>
            </w:pPr>
          </w:p>
        </w:tc>
        <w:tc>
          <w:tcPr>
            <w:tcW w:w="3680" w:type="dxa"/>
            <w:vAlign w:val="bottom"/>
            <w:gridSpan w:val="62"/>
          </w:tcPr>
          <w:p>
            <w:pPr>
              <w:spacing w:after="0" w:line="119" w:lineRule="exact"/>
              <w:rPr>
                <w:sz w:val="20"/>
                <w:szCs w:val="20"/>
                <w:color w:val="auto"/>
              </w:rPr>
            </w:pPr>
            <w:r>
              <w:rPr>
                <w:rFonts w:ascii="Times New Roman" w:cs="Times New Roman" w:eastAsia="Times New Roman" w:hAnsi="Times New Roman"/>
                <w:sz w:val="13"/>
                <w:szCs w:val="13"/>
                <w:color w:val="auto"/>
              </w:rPr>
              <w:t>on a Contract Anniversary before the Term End Date, you may only</w:t>
            </w: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20" w:type="dxa"/>
            <w:vAlign w:val="bottom"/>
            <w:tcBorders>
              <w:right w:val="single" w:sz="8" w:color="auto"/>
            </w:tcBorders>
            <w:gridSpan w:val="8"/>
            <w:shd w:val="clear" w:color="auto" w:fill="000000"/>
          </w:tcPr>
          <w:p>
            <w:pPr>
              <w:spacing w:after="0" w:line="20" w:lineRule="exact"/>
              <w:rPr>
                <w:sz w:val="1"/>
                <w:szCs w:val="1"/>
                <w:color w:val="auto"/>
              </w:rPr>
            </w:pPr>
          </w:p>
        </w:tc>
        <w:tc>
          <w:tcPr>
            <w:tcW w:w="260" w:type="dxa"/>
            <w:vAlign w:val="bottom"/>
            <w:gridSpan w:val="5"/>
            <w:vMerge w:val="restart"/>
          </w:tcPr>
          <w:p>
            <w:pPr>
              <w:spacing w:after="0"/>
              <w:rPr>
                <w:sz w:val="20"/>
                <w:szCs w:val="20"/>
                <w:color w:val="auto"/>
              </w:rPr>
            </w:pPr>
            <w:r>
              <w:rPr>
                <w:rFonts w:ascii="Times New Roman" w:cs="Times New Roman" w:eastAsia="Times New Roman" w:hAnsi="Times New Roman"/>
                <w:sz w:val="13"/>
                <w:szCs w:val="13"/>
                <w:color w:val="auto"/>
                <w:w w:val="80"/>
              </w:rPr>
              <w:t>entire</w:t>
            </w:r>
          </w:p>
        </w:tc>
        <w:tc>
          <w:tcPr>
            <w:tcW w:w="6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gridSpan w:val="6"/>
            <w:shd w:val="clear" w:color="auto" w:fill="000000"/>
          </w:tcPr>
          <w:p>
            <w:pPr>
              <w:spacing w:after="0" w:line="20" w:lineRule="exact"/>
              <w:rPr>
                <w:sz w:val="1"/>
                <w:szCs w:val="1"/>
                <w:color w:val="auto"/>
              </w:rPr>
            </w:pPr>
          </w:p>
        </w:tc>
        <w:tc>
          <w:tcPr>
            <w:tcW w:w="420" w:type="dxa"/>
            <w:vAlign w:val="bottom"/>
            <w:tcBorders>
              <w:right w:val="single" w:sz="8" w:color="auto"/>
            </w:tcBorders>
            <w:gridSpan w:val="7"/>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gridSpan w:val="4"/>
            <w:shd w:val="clear" w:color="auto" w:fill="000000"/>
          </w:tcPr>
          <w:p>
            <w:pPr>
              <w:spacing w:after="0" w:line="20" w:lineRule="exact"/>
              <w:rPr>
                <w:sz w:val="1"/>
                <w:szCs w:val="1"/>
                <w:color w:val="auto"/>
              </w:rPr>
            </w:pPr>
          </w:p>
        </w:tc>
        <w:tc>
          <w:tcPr>
            <w:tcW w:w="80" w:type="dxa"/>
            <w:vAlign w:val="bottom"/>
            <w:tcBorders>
              <w:left w:val="single" w:sz="8" w:color="auto"/>
            </w:tcBorders>
            <w:gridSpan w:val="3"/>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00" w:type="dxa"/>
            <w:vAlign w:val="bottom"/>
            <w:gridSpan w:val="4"/>
            <w:shd w:val="clear" w:color="auto" w:fill="000000"/>
          </w:tcPr>
          <w:p>
            <w:pPr>
              <w:spacing w:after="0" w:line="20" w:lineRule="exact"/>
              <w:rPr>
                <w:sz w:val="1"/>
                <w:szCs w:val="1"/>
                <w:color w:val="auto"/>
              </w:rPr>
            </w:pPr>
          </w:p>
        </w:tc>
        <w:tc>
          <w:tcPr>
            <w:tcW w:w="380" w:type="dxa"/>
            <w:vAlign w:val="bottom"/>
            <w:gridSpan w:val="6"/>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1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80" w:type="dxa"/>
            <w:vAlign w:val="bottom"/>
          </w:tcPr>
          <w:p>
            <w:pPr>
              <w:spacing w:after="0"/>
              <w:rPr>
                <w:sz w:val="11"/>
                <w:szCs w:val="11"/>
                <w:color w:val="auto"/>
              </w:rPr>
            </w:pPr>
          </w:p>
        </w:tc>
        <w:tc>
          <w:tcPr>
            <w:tcW w:w="620" w:type="dxa"/>
            <w:vAlign w:val="bottom"/>
            <w:gridSpan w:val="8"/>
          </w:tcPr>
          <w:p>
            <w:pPr>
              <w:spacing w:after="0" w:line="129" w:lineRule="exact"/>
              <w:rPr>
                <w:sz w:val="20"/>
                <w:szCs w:val="20"/>
                <w:color w:val="auto"/>
              </w:rPr>
            </w:pPr>
            <w:r>
              <w:rPr>
                <w:rFonts w:ascii="Times New Roman" w:cs="Times New Roman" w:eastAsia="Times New Roman" w:hAnsi="Times New Roman"/>
                <w:sz w:val="13"/>
                <w:szCs w:val="13"/>
                <w:color w:val="auto"/>
                <w:w w:val="98"/>
              </w:rPr>
              <w:t>transfer the</w:t>
            </w:r>
          </w:p>
        </w:tc>
        <w:tc>
          <w:tcPr>
            <w:tcW w:w="260" w:type="dxa"/>
            <w:vAlign w:val="bottom"/>
            <w:gridSpan w:val="5"/>
            <w:vMerge w:val="continue"/>
          </w:tcPr>
          <w:p>
            <w:pPr>
              <w:spacing w:after="0"/>
              <w:rPr>
                <w:sz w:val="11"/>
                <w:szCs w:val="11"/>
                <w:color w:val="auto"/>
              </w:rPr>
            </w:pPr>
          </w:p>
        </w:tc>
        <w:tc>
          <w:tcPr>
            <w:tcW w:w="3420" w:type="dxa"/>
            <w:vAlign w:val="bottom"/>
            <w:gridSpan w:val="57"/>
          </w:tcPr>
          <w:p>
            <w:pPr>
              <w:ind w:left="80"/>
              <w:spacing w:after="0" w:line="129" w:lineRule="exact"/>
              <w:rPr>
                <w:sz w:val="20"/>
                <w:szCs w:val="20"/>
                <w:color w:val="auto"/>
              </w:rPr>
            </w:pPr>
            <w:r>
              <w:rPr>
                <w:rFonts w:ascii="Times New Roman" w:cs="Times New Roman" w:eastAsia="Times New Roman" w:hAnsi="Times New Roman"/>
                <w:sz w:val="13"/>
                <w:szCs w:val="13"/>
                <w:color w:val="auto"/>
              </w:rPr>
              <w:t>amount of the Performance Lock Value. If you transfer the</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80" w:type="dxa"/>
            <w:vAlign w:val="bottom"/>
          </w:tcPr>
          <w:p>
            <w:pPr>
              <w:spacing w:after="0"/>
              <w:rPr>
                <w:sz w:val="11"/>
                <w:szCs w:val="11"/>
                <w:color w:val="auto"/>
              </w:rPr>
            </w:pPr>
          </w:p>
        </w:tc>
        <w:tc>
          <w:tcPr>
            <w:tcW w:w="1720" w:type="dxa"/>
            <w:vAlign w:val="bottom"/>
            <w:gridSpan w:val="28"/>
          </w:tcPr>
          <w:p>
            <w:pPr>
              <w:spacing w:after="0" w:line="129" w:lineRule="exact"/>
              <w:rPr>
                <w:sz w:val="20"/>
                <w:szCs w:val="20"/>
                <w:color w:val="auto"/>
              </w:rPr>
            </w:pPr>
            <w:r>
              <w:rPr>
                <w:rFonts w:ascii="Times New Roman" w:cs="Times New Roman" w:eastAsia="Times New Roman" w:hAnsi="Times New Roman"/>
                <w:sz w:val="13"/>
                <w:szCs w:val="13"/>
                <w:color w:val="auto"/>
              </w:rPr>
              <w:t>Performance Lock Value on the</w:t>
            </w:r>
          </w:p>
        </w:tc>
        <w:tc>
          <w:tcPr>
            <w:tcW w:w="1320" w:type="dxa"/>
            <w:vAlign w:val="bottom"/>
            <w:tcBorders>
              <w:top w:val="single" w:sz="8" w:color="auto"/>
            </w:tcBorders>
            <w:gridSpan w:val="22"/>
          </w:tcPr>
          <w:p>
            <w:pPr>
              <w:jc w:val="center"/>
              <w:ind w:right="20"/>
              <w:spacing w:after="0" w:line="129" w:lineRule="exact"/>
              <w:rPr>
                <w:sz w:val="20"/>
                <w:szCs w:val="20"/>
                <w:color w:val="auto"/>
              </w:rPr>
            </w:pPr>
            <w:r>
              <w:rPr>
                <w:rFonts w:ascii="Times New Roman" w:cs="Times New Roman" w:eastAsia="Times New Roman" w:hAnsi="Times New Roman"/>
                <w:sz w:val="13"/>
                <w:szCs w:val="13"/>
                <w:color w:val="auto"/>
                <w:w w:val="98"/>
              </w:rPr>
              <w:t>Term End Date, you may</w:t>
            </w:r>
          </w:p>
        </w:tc>
        <w:tc>
          <w:tcPr>
            <w:tcW w:w="1260" w:type="dxa"/>
            <w:vAlign w:val="bottom"/>
            <w:gridSpan w:val="20"/>
          </w:tcPr>
          <w:p>
            <w:pPr>
              <w:jc w:val="right"/>
              <w:ind w:right="440"/>
              <w:spacing w:after="0" w:line="129" w:lineRule="exact"/>
              <w:rPr>
                <w:sz w:val="20"/>
                <w:szCs w:val="20"/>
                <w:color w:val="auto"/>
              </w:rPr>
            </w:pPr>
            <w:r>
              <w:rPr>
                <w:rFonts w:ascii="Times New Roman" w:cs="Times New Roman" w:eastAsia="Times New Roman" w:hAnsi="Times New Roman"/>
                <w:sz w:val="13"/>
                <w:szCs w:val="13"/>
                <w:color w:val="auto"/>
              </w:rPr>
              <w:t>transfer all or a</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0" w:type="dxa"/>
            <w:vAlign w:val="bottom"/>
            <w:gridSpan w:val="10"/>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gridSpan w:val="3"/>
            <w:shd w:val="clear" w:color="auto" w:fill="000000"/>
          </w:tcPr>
          <w:p>
            <w:pPr>
              <w:spacing w:after="0" w:line="20" w:lineRule="exact"/>
              <w:rPr>
                <w:sz w:val="1"/>
                <w:szCs w:val="1"/>
                <w:color w:val="auto"/>
              </w:rPr>
            </w:pPr>
          </w:p>
        </w:tc>
        <w:tc>
          <w:tcPr>
            <w:tcW w:w="360" w:type="dxa"/>
            <w:vAlign w:val="bottom"/>
            <w:tcBorders>
              <w:left w:val="single" w:sz="8" w:color="auto"/>
            </w:tcBorders>
            <w:gridSpan w:val="6"/>
            <w:shd w:val="clear" w:color="auto" w:fill="000000"/>
          </w:tcPr>
          <w:p>
            <w:pPr>
              <w:spacing w:after="0" w:line="20" w:lineRule="exact"/>
              <w:rPr>
                <w:sz w:val="1"/>
                <w:szCs w:val="1"/>
                <w:color w:val="auto"/>
              </w:rPr>
            </w:pPr>
          </w:p>
        </w:tc>
        <w:tc>
          <w:tcPr>
            <w:tcW w:w="420" w:type="dxa"/>
            <w:vAlign w:val="bottom"/>
            <w:tcBorders>
              <w:right w:val="single" w:sz="8" w:color="auto"/>
            </w:tcBorders>
            <w:gridSpan w:val="7"/>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gridSpan w:val="4"/>
            <w:shd w:val="clear" w:color="auto" w:fill="000000"/>
          </w:tcPr>
          <w:p>
            <w:pPr>
              <w:spacing w:after="0" w:line="20" w:lineRule="exact"/>
              <w:rPr>
                <w:sz w:val="1"/>
                <w:szCs w:val="1"/>
                <w:color w:val="auto"/>
              </w:rPr>
            </w:pPr>
          </w:p>
        </w:tc>
        <w:tc>
          <w:tcPr>
            <w:tcW w:w="80" w:type="dxa"/>
            <w:vAlign w:val="bottom"/>
            <w:tcBorders>
              <w:left w:val="single" w:sz="8" w:color="auto"/>
            </w:tcBorders>
            <w:gridSpan w:val="3"/>
            <w:shd w:val="clear" w:color="auto" w:fill="000000"/>
          </w:tcPr>
          <w:p>
            <w:pPr>
              <w:spacing w:after="0" w:line="20" w:lineRule="exact"/>
              <w:rPr>
                <w:sz w:val="1"/>
                <w:szCs w:val="1"/>
                <w:color w:val="auto"/>
              </w:rPr>
            </w:pPr>
          </w:p>
        </w:tc>
        <w:tc>
          <w:tcPr>
            <w:tcW w:w="400" w:type="dxa"/>
            <w:vAlign w:val="bottom"/>
            <w:tcBorders>
              <w:left w:val="single" w:sz="8" w:color="auto"/>
              <w:right w:val="single" w:sz="8" w:color="auto"/>
            </w:tcBorders>
            <w:gridSpan w:val="6"/>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40" w:type="dxa"/>
            <w:vAlign w:val="bottom"/>
            <w:gridSpan w:val="1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1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080" w:type="dxa"/>
            <w:vAlign w:val="bottom"/>
          </w:tcPr>
          <w:p>
            <w:pPr>
              <w:spacing w:after="0"/>
              <w:rPr>
                <w:sz w:val="10"/>
                <w:szCs w:val="10"/>
                <w:color w:val="auto"/>
              </w:rPr>
            </w:pPr>
          </w:p>
        </w:tc>
        <w:tc>
          <w:tcPr>
            <w:tcW w:w="4300" w:type="dxa"/>
            <w:vAlign w:val="bottom"/>
            <w:gridSpan w:val="70"/>
          </w:tcPr>
          <w:p>
            <w:pPr>
              <w:spacing w:after="0" w:line="119" w:lineRule="exact"/>
              <w:rPr>
                <w:sz w:val="20"/>
                <w:szCs w:val="20"/>
                <w:color w:val="auto"/>
              </w:rPr>
            </w:pPr>
            <w:r>
              <w:rPr>
                <w:rFonts w:ascii="Times New Roman" w:cs="Times New Roman" w:eastAsia="Times New Roman" w:hAnsi="Times New Roman"/>
                <w:sz w:val="13"/>
                <w:szCs w:val="13"/>
                <w:color w:val="auto"/>
              </w:rPr>
              <w:t>portion of your Performance Lock Value during the Transfer Period. Partial</w:t>
            </w: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080" w:type="dxa"/>
            <w:vAlign w:val="bottom"/>
          </w:tcPr>
          <w:p>
            <w:pPr>
              <w:spacing w:after="0"/>
              <w:rPr>
                <w:sz w:val="11"/>
                <w:szCs w:val="11"/>
                <w:color w:val="auto"/>
              </w:rPr>
            </w:pPr>
          </w:p>
        </w:tc>
        <w:tc>
          <w:tcPr>
            <w:tcW w:w="820" w:type="dxa"/>
            <w:vAlign w:val="bottom"/>
            <w:gridSpan w:val="11"/>
          </w:tcPr>
          <w:p>
            <w:pPr>
              <w:spacing w:after="0" w:line="129" w:lineRule="exact"/>
              <w:rPr>
                <w:sz w:val="20"/>
                <w:szCs w:val="20"/>
                <w:color w:val="auto"/>
              </w:rPr>
            </w:pPr>
            <w:r>
              <w:rPr>
                <w:rFonts w:ascii="Times New Roman" w:cs="Times New Roman" w:eastAsia="Times New Roman" w:hAnsi="Times New Roman"/>
                <w:sz w:val="13"/>
                <w:szCs w:val="13"/>
                <w:color w:val="auto"/>
              </w:rPr>
              <w:t>transfers of the</w:t>
            </w:r>
          </w:p>
        </w:tc>
        <w:tc>
          <w:tcPr>
            <w:tcW w:w="40" w:type="dxa"/>
            <w:vAlign w:val="bottom"/>
          </w:tcPr>
          <w:p>
            <w:pPr>
              <w:spacing w:after="0"/>
              <w:rPr>
                <w:sz w:val="11"/>
                <w:szCs w:val="11"/>
                <w:color w:val="auto"/>
              </w:rPr>
            </w:pPr>
          </w:p>
        </w:tc>
        <w:tc>
          <w:tcPr>
            <w:tcW w:w="1240" w:type="dxa"/>
            <w:vAlign w:val="bottom"/>
            <w:tcBorders>
              <w:top w:val="single" w:sz="8" w:color="auto"/>
            </w:tcBorders>
            <w:gridSpan w:val="24"/>
          </w:tcPr>
          <w:p>
            <w:pPr>
              <w:jc w:val="center"/>
              <w:spacing w:after="0" w:line="129" w:lineRule="exact"/>
              <w:rPr>
                <w:sz w:val="20"/>
                <w:szCs w:val="20"/>
                <w:color w:val="auto"/>
              </w:rPr>
            </w:pPr>
            <w:r>
              <w:rPr>
                <w:rFonts w:ascii="Times New Roman" w:cs="Times New Roman" w:eastAsia="Times New Roman" w:hAnsi="Times New Roman"/>
                <w:sz w:val="13"/>
                <w:szCs w:val="13"/>
                <w:color w:val="auto"/>
                <w:w w:val="96"/>
              </w:rPr>
              <w:t>Performance Lock Value</w:t>
            </w:r>
          </w:p>
        </w:tc>
        <w:tc>
          <w:tcPr>
            <w:tcW w:w="700" w:type="dxa"/>
            <w:vAlign w:val="bottom"/>
            <w:gridSpan w:val="8"/>
          </w:tcPr>
          <w:p>
            <w:pPr>
              <w:jc w:val="center"/>
              <w:ind w:right="74"/>
              <w:spacing w:after="0" w:line="129" w:lineRule="exact"/>
              <w:rPr>
                <w:sz w:val="20"/>
                <w:szCs w:val="20"/>
                <w:color w:val="auto"/>
              </w:rPr>
            </w:pPr>
            <w:r>
              <w:rPr>
                <w:rFonts w:ascii="Times New Roman" w:cs="Times New Roman" w:eastAsia="Times New Roman" w:hAnsi="Times New Roman"/>
                <w:sz w:val="13"/>
                <w:szCs w:val="13"/>
                <w:color w:val="auto"/>
              </w:rPr>
              <w:t>are only</w:t>
            </w:r>
          </w:p>
        </w:tc>
        <w:tc>
          <w:tcPr>
            <w:tcW w:w="780" w:type="dxa"/>
            <w:vAlign w:val="bottom"/>
            <w:tcBorders>
              <w:top w:val="single" w:sz="8" w:color="auto"/>
            </w:tcBorders>
            <w:gridSpan w:val="15"/>
          </w:tcPr>
          <w:p>
            <w:pPr>
              <w:spacing w:after="0" w:line="129" w:lineRule="exact"/>
              <w:rPr>
                <w:sz w:val="20"/>
                <w:szCs w:val="20"/>
                <w:color w:val="auto"/>
              </w:rPr>
            </w:pPr>
            <w:r>
              <w:rPr>
                <w:rFonts w:ascii="Times New Roman" w:cs="Times New Roman" w:eastAsia="Times New Roman" w:hAnsi="Times New Roman"/>
                <w:sz w:val="13"/>
                <w:szCs w:val="13"/>
                <w:color w:val="auto"/>
                <w:w w:val="84"/>
              </w:rPr>
              <w:t>permitted during</w:t>
            </w:r>
          </w:p>
        </w:tc>
        <w:tc>
          <w:tcPr>
            <w:tcW w:w="720" w:type="dxa"/>
            <w:vAlign w:val="bottom"/>
            <w:gridSpan w:val="11"/>
          </w:tcPr>
          <w:p>
            <w:pPr>
              <w:spacing w:after="0" w:line="129" w:lineRule="exact"/>
              <w:rPr>
                <w:sz w:val="20"/>
                <w:szCs w:val="20"/>
                <w:color w:val="auto"/>
              </w:rPr>
            </w:pPr>
            <w:r>
              <w:rPr>
                <w:rFonts w:ascii="Times New Roman" w:cs="Times New Roman" w:eastAsia="Times New Roman" w:hAnsi="Times New Roman"/>
                <w:sz w:val="13"/>
                <w:szCs w:val="13"/>
                <w:color w:val="auto"/>
              </w:rPr>
              <w:t>the</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20" w:type="dxa"/>
            <w:vAlign w:val="bottom"/>
            <w:gridSpan w:val="11"/>
            <w:vMerge w:val="restart"/>
          </w:tcPr>
          <w:p>
            <w:pPr>
              <w:spacing w:after="0"/>
              <w:rPr>
                <w:sz w:val="20"/>
                <w:szCs w:val="20"/>
                <w:color w:val="auto"/>
              </w:rPr>
            </w:pPr>
            <w:r>
              <w:rPr>
                <w:rFonts w:ascii="Times New Roman" w:cs="Times New Roman" w:eastAsia="Times New Roman" w:hAnsi="Times New Roman"/>
                <w:sz w:val="13"/>
                <w:szCs w:val="13"/>
                <w:color w:val="auto"/>
                <w:w w:val="98"/>
              </w:rPr>
              <w:t>Transfer Period</w:t>
            </w:r>
          </w:p>
        </w:tc>
        <w:tc>
          <w:tcPr>
            <w:tcW w:w="120" w:type="dxa"/>
            <w:vAlign w:val="bottom"/>
            <w:gridSpan w:val="4"/>
            <w:shd w:val="clear" w:color="auto" w:fill="000000"/>
          </w:tcPr>
          <w:p>
            <w:pPr>
              <w:spacing w:after="0" w:line="20" w:lineRule="exact"/>
              <w:rPr>
                <w:sz w:val="1"/>
                <w:szCs w:val="1"/>
                <w:color w:val="auto"/>
              </w:rPr>
            </w:pPr>
          </w:p>
        </w:tc>
        <w:tc>
          <w:tcPr>
            <w:tcW w:w="800" w:type="dxa"/>
            <w:vAlign w:val="bottom"/>
            <w:tcBorders>
              <w:left w:val="single" w:sz="8" w:color="auto"/>
            </w:tcBorders>
            <w:gridSpan w:val="14"/>
            <w:shd w:val="clear" w:color="auto" w:fill="000000"/>
          </w:tcPr>
          <w:p>
            <w:pPr>
              <w:spacing w:after="0" w:line="20" w:lineRule="exact"/>
              <w:rPr>
                <w:sz w:val="1"/>
                <w:szCs w:val="1"/>
                <w:color w:val="auto"/>
              </w:rPr>
            </w:pPr>
          </w:p>
        </w:tc>
        <w:tc>
          <w:tcPr>
            <w:tcW w:w="280" w:type="dxa"/>
            <w:vAlign w:val="bottom"/>
            <w:gridSpan w:val="4"/>
            <w:shd w:val="clear" w:color="auto" w:fill="000000"/>
          </w:tcPr>
          <w:p>
            <w:pPr>
              <w:spacing w:after="0" w:line="20" w:lineRule="exact"/>
              <w:rPr>
                <w:sz w:val="1"/>
                <w:szCs w:val="1"/>
                <w:color w:val="auto"/>
              </w:rPr>
            </w:pPr>
          </w:p>
        </w:tc>
        <w:tc>
          <w:tcPr>
            <w:tcW w:w="80" w:type="dxa"/>
            <w:vAlign w:val="bottom"/>
            <w:tcBorders>
              <w:left w:val="single" w:sz="8" w:color="auto"/>
            </w:tcBorders>
            <w:gridSpan w:val="3"/>
            <w:shd w:val="clear" w:color="auto" w:fill="000000"/>
          </w:tcPr>
          <w:p>
            <w:pPr>
              <w:spacing w:after="0" w:line="20" w:lineRule="exact"/>
              <w:rPr>
                <w:sz w:val="1"/>
                <w:szCs w:val="1"/>
                <w:color w:val="auto"/>
              </w:rPr>
            </w:pPr>
          </w:p>
        </w:tc>
        <w:tc>
          <w:tcPr>
            <w:tcW w:w="740" w:type="dxa"/>
            <w:vAlign w:val="bottom"/>
            <w:gridSpan w:val="10"/>
          </w:tcPr>
          <w:p>
            <w:pPr>
              <w:spacing w:after="0" w:line="20" w:lineRule="exact"/>
              <w:rPr>
                <w:sz w:val="1"/>
                <w:szCs w:val="1"/>
                <w:color w:val="auto"/>
              </w:rPr>
            </w:pPr>
          </w:p>
        </w:tc>
        <w:tc>
          <w:tcPr>
            <w:tcW w:w="800" w:type="dxa"/>
            <w:vAlign w:val="bottom"/>
            <w:gridSpan w:val="14"/>
          </w:tcPr>
          <w:p>
            <w:pPr>
              <w:spacing w:after="0" w:line="20" w:lineRule="exact"/>
              <w:rPr>
                <w:sz w:val="1"/>
                <w:szCs w:val="1"/>
                <w:color w:val="auto"/>
              </w:rPr>
            </w:pPr>
          </w:p>
        </w:tc>
        <w:tc>
          <w:tcPr>
            <w:tcW w:w="660" w:type="dxa"/>
            <w:vAlign w:val="bottom"/>
            <w:gridSpan w:val="1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80" w:type="dxa"/>
            <w:vAlign w:val="bottom"/>
          </w:tcPr>
          <w:p>
            <w:pPr>
              <w:spacing w:after="0"/>
              <w:rPr>
                <w:sz w:val="11"/>
                <w:szCs w:val="11"/>
                <w:color w:val="auto"/>
              </w:rPr>
            </w:pPr>
          </w:p>
        </w:tc>
        <w:tc>
          <w:tcPr>
            <w:tcW w:w="820" w:type="dxa"/>
            <w:vAlign w:val="bottom"/>
            <w:gridSpan w:val="11"/>
            <w:vMerge w:val="continue"/>
          </w:tcPr>
          <w:p>
            <w:pPr>
              <w:spacing w:after="0"/>
              <w:rPr>
                <w:sz w:val="11"/>
                <w:szCs w:val="11"/>
                <w:color w:val="auto"/>
              </w:rPr>
            </w:pPr>
          </w:p>
        </w:tc>
        <w:tc>
          <w:tcPr>
            <w:tcW w:w="3480" w:type="dxa"/>
            <w:vAlign w:val="bottom"/>
            <w:gridSpan w:val="59"/>
          </w:tcPr>
          <w:p>
            <w:pPr>
              <w:ind w:left="20"/>
              <w:spacing w:after="0" w:line="129" w:lineRule="exact"/>
              <w:rPr>
                <w:sz w:val="20"/>
                <w:szCs w:val="20"/>
                <w:color w:val="auto"/>
              </w:rPr>
            </w:pPr>
            <w:r>
              <w:rPr>
                <w:rFonts w:ascii="Times New Roman" w:cs="Times New Roman" w:eastAsia="Times New Roman" w:hAnsi="Times New Roman"/>
                <w:sz w:val="13"/>
                <w:szCs w:val="13"/>
                <w:color w:val="auto"/>
              </w:rPr>
              <w:t>at the end of the Term. See “TRANSFERS.”</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0" w:type="dxa"/>
            <w:vAlign w:val="bottom"/>
            <w:gridSpan w:val="10"/>
            <w:shd w:val="clear" w:color="auto" w:fill="000000"/>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800" w:type="dxa"/>
            <w:vAlign w:val="bottom"/>
            <w:gridSpan w:val="14"/>
          </w:tcPr>
          <w:p>
            <w:pPr>
              <w:spacing w:after="0" w:line="20" w:lineRule="exact"/>
              <w:rPr>
                <w:sz w:val="1"/>
                <w:szCs w:val="1"/>
                <w:color w:val="auto"/>
              </w:rPr>
            </w:pPr>
          </w:p>
        </w:tc>
        <w:tc>
          <w:tcPr>
            <w:tcW w:w="280" w:type="dxa"/>
            <w:vAlign w:val="bottom"/>
            <w:gridSpan w:val="4"/>
            <w:shd w:val="clear" w:color="auto" w:fill="000000"/>
          </w:tcPr>
          <w:p>
            <w:pPr>
              <w:spacing w:after="0" w:line="20" w:lineRule="exact"/>
              <w:rPr>
                <w:sz w:val="1"/>
                <w:szCs w:val="1"/>
                <w:color w:val="auto"/>
              </w:rPr>
            </w:pPr>
          </w:p>
        </w:tc>
        <w:tc>
          <w:tcPr>
            <w:tcW w:w="820" w:type="dxa"/>
            <w:vAlign w:val="bottom"/>
            <w:gridSpan w:val="13"/>
          </w:tcPr>
          <w:p>
            <w:pPr>
              <w:spacing w:after="0" w:line="20" w:lineRule="exact"/>
              <w:rPr>
                <w:sz w:val="1"/>
                <w:szCs w:val="1"/>
                <w:color w:val="auto"/>
              </w:rPr>
            </w:pPr>
          </w:p>
        </w:tc>
        <w:tc>
          <w:tcPr>
            <w:tcW w:w="800" w:type="dxa"/>
            <w:vAlign w:val="bottom"/>
            <w:gridSpan w:val="14"/>
          </w:tcPr>
          <w:p>
            <w:pPr>
              <w:spacing w:after="0" w:line="20" w:lineRule="exact"/>
              <w:rPr>
                <w:sz w:val="1"/>
                <w:szCs w:val="1"/>
                <w:color w:val="auto"/>
              </w:rPr>
            </w:pPr>
          </w:p>
        </w:tc>
        <w:tc>
          <w:tcPr>
            <w:tcW w:w="660" w:type="dxa"/>
            <w:vAlign w:val="bottom"/>
            <w:gridSpan w:val="1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080" w:type="dxa"/>
            <w:vAlign w:val="bottom"/>
          </w:tcPr>
          <w:p>
            <w:pPr>
              <w:spacing w:after="0"/>
              <w:rPr>
                <w:sz w:val="10"/>
                <w:szCs w:val="10"/>
                <w:color w:val="auto"/>
              </w:rPr>
            </w:pPr>
          </w:p>
        </w:tc>
        <w:tc>
          <w:tcPr>
            <w:tcW w:w="4300" w:type="dxa"/>
            <w:vAlign w:val="bottom"/>
            <w:gridSpan w:val="70"/>
          </w:tcPr>
          <w:p>
            <w:pPr>
              <w:spacing w:after="0" w:line="119" w:lineRule="exact"/>
              <w:rPr>
                <w:sz w:val="20"/>
                <w:szCs w:val="20"/>
                <w:color w:val="auto"/>
              </w:rPr>
            </w:pPr>
            <w:r>
              <w:rPr>
                <w:rFonts w:ascii="Times New Roman" w:cs="Times New Roman" w:eastAsia="Times New Roman" w:hAnsi="Times New Roman"/>
                <w:sz w:val="13"/>
                <w:szCs w:val="13"/>
                <w:color w:val="auto"/>
              </w:rPr>
              <w:t>If you do not provide transfer instructions during the Transfer Period following</w:t>
            </w: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940" w:type="dxa"/>
            <w:vAlign w:val="bottom"/>
            <w:gridSpan w:val="15"/>
          </w:tcPr>
          <w:p>
            <w:pPr>
              <w:spacing w:after="0" w:line="20" w:lineRule="exact"/>
              <w:rPr>
                <w:sz w:val="1"/>
                <w:szCs w:val="1"/>
                <w:color w:val="auto"/>
              </w:rPr>
            </w:pPr>
          </w:p>
        </w:tc>
        <w:tc>
          <w:tcPr>
            <w:tcW w:w="1900" w:type="dxa"/>
            <w:vAlign w:val="bottom"/>
            <w:gridSpan w:val="31"/>
          </w:tcPr>
          <w:p>
            <w:pPr>
              <w:spacing w:after="0" w:line="20" w:lineRule="exact"/>
              <w:rPr>
                <w:sz w:val="1"/>
                <w:szCs w:val="1"/>
                <w:color w:val="auto"/>
              </w:rPr>
            </w:pPr>
          </w:p>
        </w:tc>
        <w:tc>
          <w:tcPr>
            <w:tcW w:w="800" w:type="dxa"/>
            <w:vAlign w:val="bottom"/>
            <w:tcBorders>
              <w:right w:val="single" w:sz="8" w:color="auto"/>
            </w:tcBorders>
            <w:gridSpan w:val="14"/>
            <w:shd w:val="clear" w:color="auto" w:fill="000000"/>
          </w:tcPr>
          <w:p>
            <w:pPr>
              <w:spacing w:after="0" w:line="20" w:lineRule="exact"/>
              <w:rPr>
                <w:sz w:val="1"/>
                <w:szCs w:val="1"/>
                <w:color w:val="auto"/>
              </w:rPr>
            </w:pPr>
          </w:p>
        </w:tc>
        <w:tc>
          <w:tcPr>
            <w:tcW w:w="660" w:type="dxa"/>
            <w:vAlign w:val="bottom"/>
            <w:gridSpan w:val="10"/>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80" w:type="dxa"/>
            <w:vAlign w:val="bottom"/>
          </w:tcPr>
          <w:p>
            <w:pPr>
              <w:spacing w:after="0"/>
              <w:rPr>
                <w:sz w:val="11"/>
                <w:szCs w:val="11"/>
                <w:color w:val="auto"/>
              </w:rPr>
            </w:pPr>
          </w:p>
        </w:tc>
        <w:tc>
          <w:tcPr>
            <w:tcW w:w="3640" w:type="dxa"/>
            <w:vAlign w:val="bottom"/>
            <w:gridSpan w:val="60"/>
          </w:tcPr>
          <w:p>
            <w:pPr>
              <w:spacing w:after="0" w:line="129" w:lineRule="exact"/>
              <w:rPr>
                <w:sz w:val="20"/>
                <w:szCs w:val="20"/>
                <w:color w:val="auto"/>
              </w:rPr>
            </w:pPr>
            <w:r>
              <w:rPr>
                <w:rFonts w:ascii="Times New Roman" w:cs="Times New Roman" w:eastAsia="Times New Roman" w:hAnsi="Times New Roman"/>
                <w:sz w:val="13"/>
                <w:szCs w:val="13"/>
                <w:color w:val="auto"/>
              </w:rPr>
              <w:t>the Term End Date, the following procedures will apply:</w:t>
            </w:r>
          </w:p>
        </w:tc>
        <w:tc>
          <w:tcPr>
            <w:tcW w:w="660" w:type="dxa"/>
            <w:vAlign w:val="bottom"/>
            <w:gridSpan w:val="10"/>
            <w:vMerge w:val="continue"/>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60" w:type="dxa"/>
            <w:vAlign w:val="bottom"/>
            <w:gridSpan w:val="3"/>
          </w:tcPr>
          <w:p>
            <w:pPr>
              <w:spacing w:after="0" w:line="20" w:lineRule="exact"/>
              <w:rPr>
                <w:sz w:val="1"/>
                <w:szCs w:val="1"/>
                <w:color w:val="auto"/>
              </w:rPr>
            </w:pPr>
          </w:p>
        </w:tc>
        <w:tc>
          <w:tcPr>
            <w:tcW w:w="2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0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80" w:type="dxa"/>
            <w:vAlign w:val="bottom"/>
            <w:gridSpan w:val="3"/>
            <w:shd w:val="clear" w:color="auto" w:fill="000000"/>
          </w:tcPr>
          <w:p>
            <w:pPr>
              <w:spacing w:after="0" w:line="20" w:lineRule="exact"/>
              <w:rPr>
                <w:sz w:val="1"/>
                <w:szCs w:val="1"/>
                <w:color w:val="auto"/>
              </w:rPr>
            </w:pPr>
          </w:p>
        </w:tc>
        <w:tc>
          <w:tcPr>
            <w:tcW w:w="4480" w:type="dxa"/>
            <w:vAlign w:val="bottom"/>
            <w:tcBorders>
              <w:left w:val="single" w:sz="8" w:color="auto"/>
            </w:tcBorders>
            <w:gridSpan w:val="5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06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613918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9">
                      <a:extLst>
                        <a:ext uri="{28A0092B-C50C-407E-A947-70E740481C1C}"/>
                      </a:extLst>
                    </a:blip>
                    <a:srcRect/>
                    <a:stretch>
                      <a:fillRect/>
                    </a:stretch>
                  </pic:blipFill>
                  <pic:spPr bwMode="auto">
                    <a:xfrm>
                      <a:off x="0" y="0"/>
                      <a:ext cx="7193915" cy="6139180"/>
                    </a:xfrm>
                    <a:prstGeom prst="rect">
                      <a:avLst/>
                    </a:prstGeom>
                    <a:noFill/>
                  </pic:spPr>
                </pic:pic>
              </a:graphicData>
            </a:graphic>
          </wp:anchor>
        </w:drawing>
        <w:t> </w:t>
      </w:r>
    </w:p>
    <w:p>
      <w:pPr>
        <w:spacing w:after="0" w:line="1" w:lineRule="exact"/>
        <w:rPr>
          <w:sz w:val="20"/>
          <w:szCs w:val="20"/>
          <w:color w:val="auto"/>
        </w:rPr>
      </w:pPr>
    </w:p>
    <w:p>
      <w:pPr>
        <w:ind w:left="1180" w:right="4319" w:hanging="112"/>
        <w:spacing w:after="0" w:line="238" w:lineRule="auto"/>
        <w:tabs>
          <w:tab w:leader="none" w:pos="1166"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w:t>
      </w:r>
      <w:r>
        <w:rPr>
          <w:rFonts w:ascii="Times New Roman" w:cs="Times New Roman" w:eastAsia="Times New Roman" w:hAnsi="Times New Roman"/>
          <w:sz w:val="13"/>
          <w:szCs w:val="13"/>
          <w:u w:val="single" w:color="auto"/>
          <w:color w:val="auto"/>
        </w:rPr>
        <w:t>Investment Amount</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Performance Lock Value</w:t>
      </w:r>
      <w:r>
        <w:rPr>
          <w:rFonts w:ascii="Times New Roman" w:cs="Times New Roman" w:eastAsia="Times New Roman" w:hAnsi="Times New Roman"/>
          <w:sz w:val="13"/>
          <w:szCs w:val="13"/>
          <w:color w:val="auto"/>
        </w:rPr>
        <w:t xml:space="preserve"> allocated to the </w:t>
      </w:r>
      <w:r>
        <w:rPr>
          <w:rFonts w:ascii="Times New Roman" w:cs="Times New Roman" w:eastAsia="Times New Roman" w:hAnsi="Times New Roman"/>
          <w:sz w:val="13"/>
          <w:szCs w:val="13"/>
          <w:u w:val="single" w:color="auto"/>
          <w:color w:val="auto"/>
        </w:rPr>
        <w:t>Shield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Option</w:t>
      </w:r>
      <w:r>
        <w:rPr>
          <w:rFonts w:ascii="Times New Roman" w:cs="Times New Roman" w:eastAsia="Times New Roman" w:hAnsi="Times New Roman"/>
          <w:sz w:val="13"/>
          <w:szCs w:val="13"/>
          <w:color w:val="auto"/>
        </w:rPr>
        <w:t xml:space="preserve"> that has reached its </w:t>
      </w:r>
      <w:r>
        <w:rPr>
          <w:rFonts w:ascii="Times New Roman" w:cs="Times New Roman" w:eastAsia="Times New Roman" w:hAnsi="Times New Roman"/>
          <w:sz w:val="13"/>
          <w:szCs w:val="13"/>
          <w:u w:val="single" w:color="auto"/>
          <w:color w:val="auto"/>
        </w:rPr>
        <w:t>Term End Date</w:t>
      </w:r>
      <w:r>
        <w:rPr>
          <w:rFonts w:ascii="Times New Roman" w:cs="Times New Roman" w:eastAsia="Times New Roman" w:hAnsi="Times New Roman"/>
          <w:sz w:val="13"/>
          <w:szCs w:val="13"/>
          <w:color w:val="auto"/>
        </w:rPr>
        <w:t xml:space="preserve"> will automatically be renewed into the same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for a new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color w:val="auto"/>
        </w:rPr>
        <w:t xml:space="preserve">, subject to the new </w:t>
      </w:r>
      <w:r>
        <w:rPr>
          <w:rFonts w:ascii="Times New Roman" w:cs="Times New Roman" w:eastAsia="Times New Roman" w:hAnsi="Times New Roman"/>
          <w:sz w:val="13"/>
          <w:szCs w:val="13"/>
          <w:u w:val="single" w:color="auto"/>
          <w:color w:val="auto"/>
        </w:rPr>
        <w:t>Cap Rate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Step Rate</w:t>
      </w:r>
      <w:r>
        <w:rPr>
          <w:rFonts w:ascii="Times New Roman" w:cs="Times New Roman" w:eastAsia="Times New Roman" w:hAnsi="Times New Roman"/>
          <w:sz w:val="13"/>
          <w:szCs w:val="13"/>
          <w:color w:val="auto"/>
        </w:rPr>
        <w:t xml:space="preserve"> , or </w:t>
      </w:r>
      <w:r>
        <w:rPr>
          <w:rFonts w:ascii="Times New Roman" w:cs="Times New Roman" w:eastAsia="Times New Roman" w:hAnsi="Times New Roman"/>
          <w:sz w:val="13"/>
          <w:szCs w:val="13"/>
          <w:u w:val="single" w:color="auto"/>
          <w:color w:val="auto"/>
        </w:rPr>
        <w:t>Edge Rate</w:t>
      </w:r>
      <w:r>
        <w:rPr>
          <w:rFonts w:ascii="Times New Roman" w:cs="Times New Roman" w:eastAsia="Times New Roman" w:hAnsi="Times New Roman"/>
          <w:sz w:val="13"/>
          <w:szCs w:val="13"/>
          <w:color w:val="auto"/>
        </w:rPr>
        <w:t xml:space="preserve">, as applicable, declared for that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u w:val="single" w:color="auto"/>
          <w:color w:val="auto"/>
        </w:rPr>
        <w:t>Performance Lock Value</w:t>
      </w:r>
      <w:r>
        <w:rPr>
          <w:rFonts w:ascii="Times New Roman" w:cs="Times New Roman" w:eastAsia="Times New Roman" w:hAnsi="Times New Roman"/>
          <w:sz w:val="13"/>
          <w:szCs w:val="13"/>
          <w:color w:val="auto"/>
        </w:rPr>
        <w:t xml:space="preserve"> will no longer be locked for the new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color w:val="auto"/>
        </w:rPr>
        <w:t>.</w:t>
      </w:r>
    </w:p>
    <w:p>
      <w:pPr>
        <w:spacing w:after="0" w:line="2" w:lineRule="exact"/>
        <w:rPr>
          <w:rFonts w:ascii="Times New Roman" w:cs="Times New Roman" w:eastAsia="Times New Roman" w:hAnsi="Times New Roman"/>
          <w:sz w:val="13"/>
          <w:szCs w:val="13"/>
          <w:color w:val="auto"/>
        </w:rPr>
      </w:pPr>
    </w:p>
    <w:p>
      <w:pPr>
        <w:ind w:left="1180" w:right="4199" w:hanging="112"/>
        <w:spacing w:after="0" w:line="230" w:lineRule="auto"/>
        <w:tabs>
          <w:tab w:leader="none" w:pos="1166"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the same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is no longer available for investment at the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End Date</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u w:val="single" w:color="auto"/>
          <w:color w:val="auto"/>
        </w:rPr>
        <w:t>Investment Amount</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Performance Lock Value</w:t>
      </w:r>
      <w:r>
        <w:rPr>
          <w:rFonts w:ascii="Times New Roman" w:cs="Times New Roman" w:eastAsia="Times New Roman" w:hAnsi="Times New Roman"/>
          <w:sz w:val="13"/>
          <w:szCs w:val="13"/>
          <w:color w:val="auto"/>
        </w:rPr>
        <w:t xml:space="preserve"> in that </w:t>
      </w:r>
      <w:r>
        <w:rPr>
          <w:rFonts w:ascii="Times New Roman" w:cs="Times New Roman" w:eastAsia="Times New Roman" w:hAnsi="Times New Roman"/>
          <w:sz w:val="13"/>
          <w:szCs w:val="13"/>
          <w:u w:val="single" w:color="auto"/>
          <w:color w:val="auto"/>
        </w:rPr>
        <w:t>Shield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Option</w:t>
      </w:r>
      <w:r>
        <w:rPr>
          <w:rFonts w:ascii="Times New Roman" w:cs="Times New Roman" w:eastAsia="Times New Roman" w:hAnsi="Times New Roman"/>
          <w:sz w:val="13"/>
          <w:szCs w:val="13"/>
          <w:color w:val="auto"/>
        </w:rPr>
        <w:t xml:space="preserve"> will automatically be transferred to the </w:t>
      </w:r>
      <w:r>
        <w:rPr>
          <w:rFonts w:ascii="Times New Roman" w:cs="Times New Roman" w:eastAsia="Times New Roman" w:hAnsi="Times New Roman"/>
          <w:sz w:val="13"/>
          <w:szCs w:val="13"/>
          <w:u w:val="single" w:color="auto"/>
          <w:color w:val="auto"/>
        </w:rPr>
        <w:t>Fixed Account</w:t>
      </w:r>
      <w:r>
        <w:rPr>
          <w:rFonts w:ascii="Times New Roman" w:cs="Times New Roman" w:eastAsia="Times New Roman" w:hAnsi="Times New Roman"/>
          <w:sz w:val="13"/>
          <w:szCs w:val="13"/>
          <w:color w:val="auto"/>
        </w:rPr>
        <w:t xml:space="preserve">, if available, at the </w:t>
      </w:r>
      <w:r>
        <w:rPr>
          <w:rFonts w:ascii="Times New Roman" w:cs="Times New Roman" w:eastAsia="Times New Roman" w:hAnsi="Times New Roman"/>
          <w:sz w:val="13"/>
          <w:szCs w:val="13"/>
          <w:u w:val="single" w:color="auto"/>
          <w:color w:val="auto"/>
        </w:rPr>
        <w:t>Term End Date</w:t>
      </w:r>
      <w:r>
        <w:rPr>
          <w:rFonts w:ascii="Times New Roman" w:cs="Times New Roman" w:eastAsia="Times New Roman" w:hAnsi="Times New Roman"/>
          <w:sz w:val="13"/>
          <w:szCs w:val="13"/>
          <w:color w:val="auto"/>
        </w:rPr>
        <w:t xml:space="preserve">, subject to the new interest rate declared for that </w:t>
      </w:r>
      <w:r>
        <w:rPr>
          <w:rFonts w:ascii="Times New Roman" w:cs="Times New Roman" w:eastAsia="Times New Roman" w:hAnsi="Times New Roman"/>
          <w:sz w:val="13"/>
          <w:szCs w:val="13"/>
          <w:u w:val="single" w:color="auto"/>
          <w:color w:val="auto"/>
        </w:rPr>
        <w:t>Fixed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Account Term</w:t>
      </w:r>
      <w:r>
        <w:rPr>
          <w:rFonts w:ascii="Times New Roman" w:cs="Times New Roman" w:eastAsia="Times New Roman" w:hAnsi="Times New Roman"/>
          <w:sz w:val="13"/>
          <w:szCs w:val="13"/>
          <w:color w:val="auto"/>
        </w:rPr>
        <w:t xml:space="preserve">. If the </w:t>
      </w:r>
      <w:r>
        <w:rPr>
          <w:rFonts w:ascii="Times New Roman" w:cs="Times New Roman" w:eastAsia="Times New Roman" w:hAnsi="Times New Roman"/>
          <w:sz w:val="13"/>
          <w:szCs w:val="13"/>
          <w:u w:val="single" w:color="auto"/>
          <w:color w:val="auto"/>
        </w:rPr>
        <w:t>Fixed Account</w:t>
      </w:r>
      <w:r>
        <w:rPr>
          <w:rFonts w:ascii="Times New Roman" w:cs="Times New Roman" w:eastAsia="Times New Roman" w:hAnsi="Times New Roman"/>
          <w:sz w:val="13"/>
          <w:szCs w:val="13"/>
          <w:color w:val="auto"/>
        </w:rPr>
        <w:t xml:space="preserve"> is not available, the </w:t>
      </w:r>
      <w:r>
        <w:rPr>
          <w:rFonts w:ascii="Times New Roman" w:cs="Times New Roman" w:eastAsia="Times New Roman" w:hAnsi="Times New Roman"/>
          <w:sz w:val="13"/>
          <w:szCs w:val="13"/>
          <w:u w:val="single" w:color="auto"/>
          <w:color w:val="auto"/>
        </w:rPr>
        <w:t>Investment Amount</w:t>
      </w:r>
      <w:r>
        <w:rPr>
          <w:rFonts w:ascii="Times New Roman" w:cs="Times New Roman" w:eastAsia="Times New Roman" w:hAnsi="Times New Roman"/>
          <w:sz w:val="13"/>
          <w:szCs w:val="13"/>
          <w:color w:val="auto"/>
        </w:rPr>
        <w:t xml:space="preserve"> will automatically be transferred into the </w:t>
      </w:r>
      <w:r>
        <w:rPr>
          <w:rFonts w:ascii="Times New Roman" w:cs="Times New Roman" w:eastAsia="Times New Roman" w:hAnsi="Times New Roman"/>
          <w:sz w:val="13"/>
          <w:szCs w:val="13"/>
          <w:u w:val="single" w:color="auto"/>
          <w:color w:val="auto"/>
        </w:rPr>
        <w:t>Holding Account</w:t>
      </w:r>
      <w:r>
        <w:rPr>
          <w:rFonts w:ascii="Times New Roman" w:cs="Times New Roman" w:eastAsia="Times New Roman" w:hAnsi="Times New Roman"/>
          <w:sz w:val="13"/>
          <w:szCs w:val="13"/>
          <w:color w:val="auto"/>
        </w:rPr>
        <w:t>.</w:t>
      </w:r>
    </w:p>
    <w:p>
      <w:pPr>
        <w:spacing w:after="0" w:line="3" w:lineRule="exact"/>
        <w:rPr>
          <w:rFonts w:ascii="Times New Roman" w:cs="Times New Roman" w:eastAsia="Times New Roman" w:hAnsi="Times New Roman"/>
          <w:sz w:val="13"/>
          <w:szCs w:val="13"/>
          <w:color w:val="auto"/>
        </w:rPr>
      </w:pPr>
    </w:p>
    <w:p>
      <w:pPr>
        <w:ind w:left="1180" w:right="4259" w:hanging="112"/>
        <w:spacing w:after="0" w:line="238" w:lineRule="auto"/>
        <w:tabs>
          <w:tab w:leader="none" w:pos="1166"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you do not provide transfer instructions during the </w:t>
      </w:r>
      <w:r>
        <w:rPr>
          <w:rFonts w:ascii="Times New Roman" w:cs="Times New Roman" w:eastAsia="Times New Roman" w:hAnsi="Times New Roman"/>
          <w:sz w:val="13"/>
          <w:szCs w:val="13"/>
          <w:u w:val="single" w:color="auto"/>
          <w:color w:val="auto"/>
        </w:rPr>
        <w:t>Transfer Period</w:t>
      </w:r>
      <w:r>
        <w:rPr>
          <w:rFonts w:ascii="Times New Roman" w:cs="Times New Roman" w:eastAsia="Times New Roman" w:hAnsi="Times New Roman"/>
          <w:sz w:val="13"/>
          <w:szCs w:val="13"/>
          <w:color w:val="auto"/>
        </w:rPr>
        <w:t xml:space="preserve"> following the </w:t>
      </w:r>
      <w:r>
        <w:rPr>
          <w:rFonts w:ascii="Times New Roman" w:cs="Times New Roman" w:eastAsia="Times New Roman" w:hAnsi="Times New Roman"/>
          <w:sz w:val="13"/>
          <w:szCs w:val="13"/>
          <w:u w:val="single" w:color="auto"/>
          <w:color w:val="auto"/>
        </w:rPr>
        <w:t>Fixed Account Term End Date</w:t>
      </w:r>
      <w:r>
        <w:rPr>
          <w:rFonts w:ascii="Times New Roman" w:cs="Times New Roman" w:eastAsia="Times New Roman" w:hAnsi="Times New Roman"/>
          <w:sz w:val="13"/>
          <w:szCs w:val="13"/>
          <w:color w:val="auto"/>
        </w:rPr>
        <w:t xml:space="preserve">, any </w:t>
      </w:r>
      <w:r>
        <w:rPr>
          <w:rFonts w:ascii="Times New Roman" w:cs="Times New Roman" w:eastAsia="Times New Roman" w:hAnsi="Times New Roman"/>
          <w:sz w:val="13"/>
          <w:szCs w:val="13"/>
          <w:u w:val="single" w:color="auto"/>
          <w:color w:val="auto"/>
        </w:rPr>
        <w:t>Fixed Account Value</w:t>
      </w:r>
      <w:r>
        <w:rPr>
          <w:rFonts w:ascii="Times New Roman" w:cs="Times New Roman" w:eastAsia="Times New Roman" w:hAnsi="Times New Roman"/>
          <w:sz w:val="13"/>
          <w:szCs w:val="13"/>
          <w:color w:val="auto"/>
        </w:rPr>
        <w:t xml:space="preserve"> will remain in the </w:t>
      </w:r>
      <w:r>
        <w:rPr>
          <w:rFonts w:ascii="Times New Roman" w:cs="Times New Roman" w:eastAsia="Times New Roman" w:hAnsi="Times New Roman"/>
          <w:sz w:val="13"/>
          <w:szCs w:val="13"/>
          <w:u w:val="single" w:color="auto"/>
          <w:color w:val="auto"/>
        </w:rPr>
        <w:t>Fixed Account</w:t>
      </w:r>
      <w:r>
        <w:rPr>
          <w:rFonts w:ascii="Times New Roman" w:cs="Times New Roman" w:eastAsia="Times New Roman" w:hAnsi="Times New Roman"/>
          <w:sz w:val="13"/>
          <w:szCs w:val="13"/>
          <w:color w:val="auto"/>
        </w:rPr>
        <w:t xml:space="preserve"> for another </w:t>
      </w:r>
      <w:r>
        <w:rPr>
          <w:rFonts w:ascii="Times New Roman" w:cs="Times New Roman" w:eastAsia="Times New Roman" w:hAnsi="Times New Roman"/>
          <w:sz w:val="13"/>
          <w:szCs w:val="13"/>
          <w:u w:val="single" w:color="auto"/>
          <w:color w:val="auto"/>
        </w:rPr>
        <w:t>Fixed Account Term</w:t>
      </w:r>
      <w:r>
        <w:rPr>
          <w:rFonts w:ascii="Times New Roman" w:cs="Times New Roman" w:eastAsia="Times New Roman" w:hAnsi="Times New Roman"/>
          <w:sz w:val="13"/>
          <w:szCs w:val="13"/>
          <w:color w:val="auto"/>
        </w:rPr>
        <w:t xml:space="preserve">, subject to the new interest rate declared for that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color w:val="auto"/>
        </w:rPr>
        <w:t xml:space="preserve">. If the </w:t>
      </w:r>
      <w:r>
        <w:rPr>
          <w:rFonts w:ascii="Times New Roman" w:cs="Times New Roman" w:eastAsia="Times New Roman" w:hAnsi="Times New Roman"/>
          <w:sz w:val="13"/>
          <w:szCs w:val="13"/>
          <w:u w:val="single" w:color="auto"/>
          <w:color w:val="auto"/>
        </w:rPr>
        <w:t>Fixed Account</w:t>
      </w:r>
      <w:r>
        <w:rPr>
          <w:rFonts w:ascii="Times New Roman" w:cs="Times New Roman" w:eastAsia="Times New Roman" w:hAnsi="Times New Roman"/>
          <w:sz w:val="13"/>
          <w:szCs w:val="13"/>
          <w:color w:val="auto"/>
        </w:rPr>
        <w:t xml:space="preserve"> is no longer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479"/>
          </w:cols>
          <w:pgMar w:left="980" w:top="1196" w:right="1440" w:bottom="1440" w:gutter="0" w:footer="0" w:header="0"/>
        </w:sectPr>
      </w:pPr>
    </w:p>
    <w:bookmarkStart w:id="143" w:name="page144"/>
    <w:bookmarkEnd w:id="143"/>
    <w:tbl>
      <w:tblPr>
        <w:tblLayout w:type="fixed"/>
        <w:tblInd w:w="10" w:type="dxa"/>
        <w:tblCellMar>
          <w:top w:w="0" w:type="dxa"/>
          <w:left w:w="0" w:type="dxa"/>
          <w:bottom w:w="0" w:type="dxa"/>
          <w:right w:w="0" w:type="dxa"/>
        </w:tblCellMar>
      </w:tblPr>
      <w:tr>
        <w:trPr>
          <w:trHeight w:val="179"/>
        </w:trPr>
        <w:tc>
          <w:tcPr>
            <w:tcW w:w="1440" w:type="dxa"/>
            <w:vAlign w:val="bottom"/>
            <w:tcBorders>
              <w:top w:val="single" w:sz="8" w:color="auto"/>
              <w:left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400" w:type="dxa"/>
            <w:vAlign w:val="bottom"/>
            <w:tcBorders>
              <w:top w:val="single" w:sz="8" w:color="auto"/>
              <w:right w:val="single" w:sz="8" w:color="auto"/>
            </w:tcBorders>
            <w:gridSpan w:val="23"/>
          </w:tcPr>
          <w:p>
            <w:pPr>
              <w:jc w:val="center"/>
              <w:ind w:right="2060"/>
              <w:spacing w:after="0"/>
              <w:rPr>
                <w:sz w:val="20"/>
                <w:szCs w:val="20"/>
                <w:color w:val="auto"/>
              </w:rPr>
            </w:pPr>
            <w:r>
              <w:rPr>
                <w:rFonts w:ascii="Times New Roman" w:cs="Times New Roman" w:eastAsia="Times New Roman" w:hAnsi="Times New Roman"/>
                <w:sz w:val="13"/>
                <w:szCs w:val="13"/>
                <w:b w:val="1"/>
                <w:bCs w:val="1"/>
                <w:color w:val="auto"/>
                <w:w w:val="98"/>
              </w:rPr>
              <w:t>Risks</w:t>
            </w:r>
          </w:p>
        </w:tc>
        <w:tc>
          <w:tcPr>
            <w:tcW w:w="80" w:type="dxa"/>
            <w:vAlign w:val="bottom"/>
            <w:tcBorders>
              <w:top w:val="single" w:sz="8" w:color="auto"/>
            </w:tcBorders>
          </w:tcPr>
          <w:p>
            <w:pPr>
              <w:spacing w:after="0"/>
              <w:rPr>
                <w:sz w:val="15"/>
                <w:szCs w:val="15"/>
                <w:color w:val="auto"/>
              </w:rPr>
            </w:pPr>
          </w:p>
        </w:tc>
        <w:tc>
          <w:tcPr>
            <w:tcW w:w="1280" w:type="dxa"/>
            <w:vAlign w:val="bottom"/>
            <w:tcBorders>
              <w:top w:val="single" w:sz="8" w:color="auto"/>
              <w:right w:val="single" w:sz="8" w:color="auto"/>
            </w:tcBorders>
            <w:gridSpan w:val="11"/>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Location in</w:t>
            </w:r>
          </w:p>
        </w:tc>
        <w:tc>
          <w:tcPr>
            <w:tcW w:w="0" w:type="dxa"/>
            <w:vAlign w:val="bottom"/>
          </w:tcPr>
          <w:p>
            <w:pPr>
              <w:spacing w:after="0"/>
              <w:rPr>
                <w:sz w:val="1"/>
                <w:szCs w:val="1"/>
                <w:color w:val="auto"/>
              </w:rPr>
            </w:pPr>
          </w:p>
        </w:tc>
      </w:tr>
      <w:tr>
        <w:trPr>
          <w:trHeight w:val="184"/>
        </w:trPr>
        <w:tc>
          <w:tcPr>
            <w:tcW w:w="1440" w:type="dxa"/>
            <w:vAlign w:val="bottom"/>
            <w:tcBorders>
              <w:left w:val="single" w:sz="8" w:color="auto"/>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80" w:type="dxa"/>
            <w:vAlign w:val="bottom"/>
            <w:tcBorders>
              <w:bottom w:val="single" w:sz="8" w:color="auto"/>
              <w:right w:val="single" w:sz="8" w:color="auto"/>
            </w:tcBorders>
            <w:gridSpan w:val="11"/>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the Prospectus</w:t>
            </w:r>
          </w:p>
        </w:tc>
        <w:tc>
          <w:tcPr>
            <w:tcW w:w="0" w:type="dxa"/>
            <w:vAlign w:val="bottom"/>
          </w:tcPr>
          <w:p>
            <w:pPr>
              <w:spacing w:after="0"/>
              <w:rPr>
                <w:sz w:val="1"/>
                <w:szCs w:val="1"/>
                <w:color w:val="auto"/>
              </w:rPr>
            </w:pPr>
          </w:p>
        </w:tc>
      </w:tr>
      <w:tr>
        <w:trPr>
          <w:trHeight w:val="148"/>
        </w:trPr>
        <w:tc>
          <w:tcPr>
            <w:tcW w:w="1440" w:type="dxa"/>
            <w:vAlign w:val="bottom"/>
            <w:tcBorders>
              <w:left w:val="single" w:sz="8" w:color="auto"/>
              <w:right w:val="single" w:sz="8" w:color="auto"/>
            </w:tcBorders>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40" w:type="dxa"/>
            <w:vAlign w:val="bottom"/>
            <w:tcBorders>
              <w:right w:val="single" w:sz="8" w:color="F0FFFF"/>
            </w:tcBorders>
            <w:shd w:val="clear" w:color="auto" w:fill="F0FFFF"/>
          </w:tcPr>
          <w:p>
            <w:pPr>
              <w:spacing w:after="0"/>
              <w:rPr>
                <w:sz w:val="12"/>
                <w:szCs w:val="12"/>
                <w:color w:val="auto"/>
              </w:rPr>
            </w:pPr>
          </w:p>
        </w:tc>
        <w:tc>
          <w:tcPr>
            <w:tcW w:w="4240" w:type="dxa"/>
            <w:vAlign w:val="bottom"/>
            <w:tcBorders>
              <w:right w:val="single" w:sz="8" w:color="auto"/>
            </w:tcBorders>
            <w:gridSpan w:val="41"/>
            <w:shd w:val="clear" w:color="auto" w:fill="F0FFFF"/>
          </w:tcPr>
          <w:p>
            <w:pPr>
              <w:spacing w:after="0" w:line="149" w:lineRule="exact"/>
              <w:rPr>
                <w:sz w:val="20"/>
                <w:szCs w:val="20"/>
                <w:color w:val="auto"/>
              </w:rPr>
            </w:pPr>
            <w:r>
              <w:rPr>
                <w:rFonts w:ascii="Times New Roman" w:cs="Times New Roman" w:eastAsia="Times New Roman" w:hAnsi="Times New Roman"/>
                <w:sz w:val="13"/>
                <w:szCs w:val="13"/>
                <w:color w:val="auto"/>
              </w:rPr>
              <w:t>available at the Fixed Account Term End Date, the Fixed Account Value will</w:t>
            </w:r>
          </w:p>
        </w:tc>
        <w:tc>
          <w:tcPr>
            <w:tcW w:w="80" w:type="dxa"/>
            <w:vAlign w:val="bottom"/>
            <w:tcBorders>
              <w:right w:val="single" w:sz="8" w:color="F0FFFF"/>
            </w:tcBorders>
            <w:shd w:val="clear" w:color="auto" w:fill="F0FFFF"/>
          </w:tcPr>
          <w:p>
            <w:pPr>
              <w:spacing w:after="0"/>
              <w:rPr>
                <w:sz w:val="12"/>
                <w:szCs w:val="12"/>
                <w:color w:val="auto"/>
              </w:rPr>
            </w:pPr>
          </w:p>
        </w:tc>
        <w:tc>
          <w:tcPr>
            <w:tcW w:w="300" w:type="dxa"/>
            <w:vAlign w:val="bottom"/>
            <w:shd w:val="clear" w:color="auto" w:fill="F0FFFF"/>
          </w:tcPr>
          <w:p>
            <w:pPr>
              <w:spacing w:after="0"/>
              <w:rPr>
                <w:sz w:val="12"/>
                <w:szCs w:val="12"/>
                <w:color w:val="auto"/>
              </w:rPr>
            </w:pPr>
          </w:p>
        </w:tc>
        <w:tc>
          <w:tcPr>
            <w:tcW w:w="120" w:type="dxa"/>
            <w:vAlign w:val="bottom"/>
            <w:tcBorders>
              <w:lef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8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4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200" w:type="dxa"/>
            <w:vAlign w:val="bottom"/>
            <w:tcBorders>
              <w:right w:val="single" w:sz="8" w:color="F0FFFF"/>
            </w:tcBorders>
            <w:gridSpan w:val="2"/>
            <w:shd w:val="clear" w:color="auto" w:fill="F0FFFF"/>
          </w:tcPr>
          <w:p>
            <w:pPr>
              <w:spacing w:after="0" w:line="20" w:lineRule="exact"/>
              <w:rPr>
                <w:sz w:val="1"/>
                <w:szCs w:val="1"/>
                <w:color w:val="auto"/>
              </w:rPr>
            </w:pPr>
          </w:p>
        </w:tc>
        <w:tc>
          <w:tcPr>
            <w:tcW w:w="120" w:type="dxa"/>
            <w:vAlign w:val="bottom"/>
            <w:tcBorders>
              <w:right w:val="single" w:sz="8" w:color="F0FFFF"/>
            </w:tcBorders>
            <w:shd w:val="clear" w:color="auto" w:fill="F0FFFF"/>
          </w:tcPr>
          <w:p>
            <w:pPr>
              <w:spacing w:after="0" w:line="20" w:lineRule="exact"/>
              <w:rPr>
                <w:sz w:val="1"/>
                <w:szCs w:val="1"/>
                <w:color w:val="auto"/>
              </w:rPr>
            </w:pPr>
          </w:p>
        </w:tc>
        <w:tc>
          <w:tcPr>
            <w:tcW w:w="100" w:type="dxa"/>
            <w:vAlign w:val="bottom"/>
            <w:tcBorders>
              <w:right w:val="single" w:sz="8" w:color="F0FFFF"/>
            </w:tcBorders>
            <w:shd w:val="clear" w:color="auto" w:fill="F0FFFF"/>
          </w:tcPr>
          <w:p>
            <w:pPr>
              <w:spacing w:after="0" w:line="20" w:lineRule="exact"/>
              <w:rPr>
                <w:sz w:val="1"/>
                <w:szCs w:val="1"/>
                <w:color w:val="auto"/>
              </w:rPr>
            </w:pPr>
          </w:p>
        </w:tc>
        <w:tc>
          <w:tcPr>
            <w:tcW w:w="240" w:type="dxa"/>
            <w:vAlign w:val="bottom"/>
            <w:tcBorders>
              <w:left w:val="single" w:sz="8" w:color="F0FFFF"/>
            </w:tcBorders>
            <w:gridSpan w:val="2"/>
            <w:shd w:val="clear" w:color="auto" w:fill="F0FFFF"/>
          </w:tcPr>
          <w:p>
            <w:pPr>
              <w:spacing w:after="0" w:line="20" w:lineRule="exact"/>
              <w:rPr>
                <w:sz w:val="1"/>
                <w:szCs w:val="1"/>
                <w:color w:val="auto"/>
              </w:rPr>
            </w:pPr>
          </w:p>
        </w:tc>
        <w:tc>
          <w:tcPr>
            <w:tcW w:w="80" w:type="dxa"/>
            <w:vAlign w:val="bottom"/>
            <w:tcBorders>
              <w:left w:val="single" w:sz="8" w:color="F0FFFF"/>
            </w:tcBorders>
            <w:shd w:val="clear" w:color="auto" w:fill="F0FFFF"/>
          </w:tcPr>
          <w:p>
            <w:pPr>
              <w:spacing w:after="0" w:line="20" w:lineRule="exact"/>
              <w:rPr>
                <w:sz w:val="1"/>
                <w:szCs w:val="1"/>
                <w:color w:val="auto"/>
              </w:rPr>
            </w:pPr>
          </w:p>
        </w:tc>
        <w:tc>
          <w:tcPr>
            <w:tcW w:w="10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80" w:type="dxa"/>
            <w:vAlign w:val="bottom"/>
            <w:tcBorders>
              <w:right w:val="single" w:sz="8" w:color="F0FFFF"/>
            </w:tcBorders>
            <w:gridSpan w:val="2"/>
            <w:shd w:val="clear" w:color="auto" w:fill="F0FFFF"/>
          </w:tcPr>
          <w:p>
            <w:pPr>
              <w:spacing w:after="0" w:line="20" w:lineRule="exact"/>
              <w:rPr>
                <w:sz w:val="1"/>
                <w:szCs w:val="1"/>
                <w:color w:val="auto"/>
              </w:rPr>
            </w:pPr>
          </w:p>
        </w:tc>
        <w:tc>
          <w:tcPr>
            <w:tcW w:w="340" w:type="dxa"/>
            <w:vAlign w:val="bottom"/>
            <w:tcBorders>
              <w:left w:val="single" w:sz="8" w:color="F0FFFF"/>
              <w:right w:val="single" w:sz="8" w:color="auto"/>
            </w:tcBorders>
            <w:shd w:val="clear" w:color="auto" w:fill="F0FFFF"/>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F0FFFF"/>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240" w:type="dxa"/>
            <w:vAlign w:val="bottom"/>
            <w:gridSpan w:val="5"/>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right w:val="single" w:sz="8" w:color="F0FFFF"/>
            </w:tcBorders>
            <w:shd w:val="clear" w:color="auto" w:fill="F0FFFF"/>
          </w:tcPr>
          <w:p>
            <w:pPr>
              <w:spacing w:after="0" w:line="20" w:lineRule="exact"/>
              <w:rPr>
                <w:sz w:val="1"/>
                <w:szCs w:val="1"/>
                <w:color w:val="auto"/>
              </w:rPr>
            </w:pPr>
          </w:p>
        </w:tc>
        <w:tc>
          <w:tcPr>
            <w:tcW w:w="340" w:type="dxa"/>
            <w:vAlign w:val="bottom"/>
            <w:tcBorders>
              <w:left w:val="single" w:sz="8" w:color="F0FFFF"/>
              <w:right w:val="single" w:sz="8" w:color="auto"/>
            </w:tcBorders>
            <w:gridSpan w:val="2"/>
            <w:shd w:val="clear" w:color="auto" w:fill="F0FFFF"/>
          </w:tcPr>
          <w:p>
            <w:pPr>
              <w:spacing w:after="0" w:line="20" w:lineRule="exact"/>
              <w:rPr>
                <w:sz w:val="1"/>
                <w:szCs w:val="1"/>
                <w:color w:val="auto"/>
              </w:rPr>
            </w:pPr>
          </w:p>
        </w:tc>
        <w:tc>
          <w:tcPr>
            <w:tcW w:w="80" w:type="dxa"/>
            <w:vAlign w:val="bottom"/>
            <w:tcBorders>
              <w:right w:val="single" w:sz="8" w:color="F0FFFF"/>
            </w:tcBorders>
            <w:shd w:val="clear" w:color="auto" w:fill="F0FFFF"/>
          </w:tcPr>
          <w:p>
            <w:pPr>
              <w:spacing w:after="0" w:line="20" w:lineRule="exact"/>
              <w:rPr>
                <w:sz w:val="1"/>
                <w:szCs w:val="1"/>
                <w:color w:val="auto"/>
              </w:rPr>
            </w:pPr>
          </w:p>
        </w:tc>
        <w:tc>
          <w:tcPr>
            <w:tcW w:w="300" w:type="dxa"/>
            <w:vAlign w:val="bottom"/>
            <w:shd w:val="clear" w:color="auto" w:fill="F0FFFF"/>
          </w:tcPr>
          <w:p>
            <w:pPr>
              <w:spacing w:after="0" w:line="20" w:lineRule="exact"/>
              <w:rPr>
                <w:sz w:val="1"/>
                <w:szCs w:val="1"/>
                <w:color w:val="auto"/>
              </w:rPr>
            </w:pPr>
          </w:p>
        </w:tc>
        <w:tc>
          <w:tcPr>
            <w:tcW w:w="420" w:type="dxa"/>
            <w:vAlign w:val="bottom"/>
            <w:tcBorders>
              <w:left w:val="single" w:sz="8" w:color="F0FFFF"/>
              <w:right w:val="single" w:sz="8" w:color="F0FFFF"/>
            </w:tcBorders>
            <w:gridSpan w:val="4"/>
            <w:shd w:val="clear" w:color="auto" w:fill="F0FFFF"/>
          </w:tcPr>
          <w:p>
            <w:pPr>
              <w:spacing w:after="0" w:line="20" w:lineRule="exact"/>
              <w:rPr>
                <w:sz w:val="1"/>
                <w:szCs w:val="1"/>
                <w:color w:val="auto"/>
              </w:rPr>
            </w:pPr>
          </w:p>
        </w:tc>
        <w:tc>
          <w:tcPr>
            <w:tcW w:w="560" w:type="dxa"/>
            <w:vAlign w:val="bottom"/>
            <w:tcBorders>
              <w:right w:val="single" w:sz="8" w:color="auto"/>
            </w:tcBorders>
            <w:gridSpan w:val="6"/>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440" w:type="dxa"/>
            <w:vAlign w:val="bottom"/>
            <w:tcBorders>
              <w:left w:val="single" w:sz="8" w:color="auto"/>
              <w:bottom w:val="single" w:sz="8" w:color="auto"/>
              <w:right w:val="single" w:sz="8" w:color="auto"/>
            </w:tcBorders>
            <w:shd w:val="clear" w:color="auto" w:fill="F0FFFF"/>
          </w:tcPr>
          <w:p>
            <w:pPr>
              <w:spacing w:after="0"/>
              <w:rPr>
                <w:sz w:val="16"/>
                <w:szCs w:val="16"/>
                <w:color w:val="auto"/>
              </w:rPr>
            </w:pPr>
          </w:p>
        </w:tc>
        <w:tc>
          <w:tcPr>
            <w:tcW w:w="60" w:type="dxa"/>
            <w:vAlign w:val="bottom"/>
            <w:tcBorders>
              <w:bottom w:val="single" w:sz="8" w:color="auto"/>
            </w:tcBorders>
            <w:shd w:val="clear" w:color="auto" w:fill="F0FFFF"/>
          </w:tcPr>
          <w:p>
            <w:pPr>
              <w:spacing w:after="0"/>
              <w:rPr>
                <w:sz w:val="16"/>
                <w:szCs w:val="16"/>
                <w:color w:val="auto"/>
              </w:rPr>
            </w:pPr>
          </w:p>
        </w:tc>
        <w:tc>
          <w:tcPr>
            <w:tcW w:w="140" w:type="dxa"/>
            <w:vAlign w:val="bottom"/>
            <w:tcBorders>
              <w:bottom w:val="single" w:sz="8" w:color="auto"/>
              <w:right w:val="single" w:sz="8" w:color="F0FFFF"/>
            </w:tcBorders>
            <w:shd w:val="clear" w:color="auto" w:fill="F0FFFF"/>
          </w:tcPr>
          <w:p>
            <w:pPr>
              <w:spacing w:after="0"/>
              <w:rPr>
                <w:sz w:val="16"/>
                <w:szCs w:val="16"/>
                <w:color w:val="auto"/>
              </w:rPr>
            </w:pPr>
          </w:p>
        </w:tc>
        <w:tc>
          <w:tcPr>
            <w:tcW w:w="4240" w:type="dxa"/>
            <w:vAlign w:val="bottom"/>
            <w:tcBorders>
              <w:bottom w:val="single" w:sz="8" w:color="auto"/>
              <w:right w:val="single" w:sz="8" w:color="auto"/>
            </w:tcBorders>
            <w:gridSpan w:val="41"/>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automatically be transferred into the Holding Account.</w:t>
            </w:r>
          </w:p>
        </w:tc>
        <w:tc>
          <w:tcPr>
            <w:tcW w:w="80" w:type="dxa"/>
            <w:vAlign w:val="bottom"/>
            <w:tcBorders>
              <w:bottom w:val="single" w:sz="8" w:color="auto"/>
              <w:right w:val="single" w:sz="8" w:color="F0FFFF"/>
            </w:tcBorders>
            <w:shd w:val="clear" w:color="auto" w:fill="F0FFFF"/>
          </w:tcPr>
          <w:p>
            <w:pPr>
              <w:spacing w:after="0"/>
              <w:rPr>
                <w:sz w:val="16"/>
                <w:szCs w:val="16"/>
                <w:color w:val="auto"/>
              </w:rPr>
            </w:pPr>
          </w:p>
        </w:tc>
        <w:tc>
          <w:tcPr>
            <w:tcW w:w="300" w:type="dxa"/>
            <w:vAlign w:val="bottom"/>
            <w:tcBorders>
              <w:bottom w:val="single" w:sz="8" w:color="auto"/>
            </w:tcBorders>
            <w:shd w:val="clear" w:color="auto" w:fill="F0FFFF"/>
          </w:tcPr>
          <w:p>
            <w:pPr>
              <w:spacing w:after="0"/>
              <w:rPr>
                <w:sz w:val="16"/>
                <w:szCs w:val="16"/>
                <w:color w:val="auto"/>
              </w:rPr>
            </w:pPr>
          </w:p>
        </w:tc>
        <w:tc>
          <w:tcPr>
            <w:tcW w:w="120" w:type="dxa"/>
            <w:vAlign w:val="bottom"/>
            <w:tcBorders>
              <w:left w:val="single" w:sz="8" w:color="F0FFFF"/>
              <w:bottom w:val="single" w:sz="8" w:color="auto"/>
            </w:tcBorders>
            <w:shd w:val="clear" w:color="auto" w:fill="F0FFFF"/>
          </w:tcPr>
          <w:p>
            <w:pPr>
              <w:spacing w:after="0"/>
              <w:rPr>
                <w:sz w:val="16"/>
                <w:szCs w:val="16"/>
                <w:color w:val="auto"/>
              </w:rPr>
            </w:pPr>
          </w:p>
        </w:tc>
        <w:tc>
          <w:tcPr>
            <w:tcW w:w="100" w:type="dxa"/>
            <w:vAlign w:val="bottom"/>
            <w:tcBorders>
              <w:bottom w:val="single" w:sz="8" w:color="auto"/>
            </w:tcBorders>
            <w:shd w:val="clear" w:color="auto" w:fill="F0FFFF"/>
          </w:tcPr>
          <w:p>
            <w:pPr>
              <w:spacing w:after="0"/>
              <w:rPr>
                <w:sz w:val="16"/>
                <w:szCs w:val="16"/>
                <w:color w:val="auto"/>
              </w:rPr>
            </w:pPr>
          </w:p>
        </w:tc>
        <w:tc>
          <w:tcPr>
            <w:tcW w:w="20" w:type="dxa"/>
            <w:vAlign w:val="bottom"/>
            <w:tcBorders>
              <w:bottom w:val="single" w:sz="8" w:color="auto"/>
            </w:tcBorders>
            <w:shd w:val="clear" w:color="auto" w:fill="F0FFFF"/>
          </w:tcPr>
          <w:p>
            <w:pPr>
              <w:spacing w:after="0"/>
              <w:rPr>
                <w:sz w:val="16"/>
                <w:szCs w:val="16"/>
                <w:color w:val="auto"/>
              </w:rPr>
            </w:pPr>
          </w:p>
        </w:tc>
        <w:tc>
          <w:tcPr>
            <w:tcW w:w="180" w:type="dxa"/>
            <w:vAlign w:val="bottom"/>
            <w:tcBorders>
              <w:bottom w:val="single" w:sz="8" w:color="auto"/>
              <w:right w:val="single" w:sz="8" w:color="F0FFFF"/>
            </w:tcBorders>
            <w:shd w:val="clear" w:color="auto" w:fill="F0FFFF"/>
          </w:tcPr>
          <w:p>
            <w:pPr>
              <w:spacing w:after="0"/>
              <w:rPr>
                <w:sz w:val="16"/>
                <w:szCs w:val="16"/>
                <w:color w:val="auto"/>
              </w:rPr>
            </w:pPr>
          </w:p>
        </w:tc>
        <w:tc>
          <w:tcPr>
            <w:tcW w:w="120" w:type="dxa"/>
            <w:vAlign w:val="bottom"/>
            <w:tcBorders>
              <w:bottom w:val="single" w:sz="8" w:color="auto"/>
            </w:tcBorders>
            <w:shd w:val="clear" w:color="auto" w:fill="F0FFFF"/>
          </w:tcPr>
          <w:p>
            <w:pPr>
              <w:spacing w:after="0"/>
              <w:rPr>
                <w:sz w:val="16"/>
                <w:szCs w:val="16"/>
                <w:color w:val="auto"/>
              </w:rPr>
            </w:pPr>
          </w:p>
        </w:tc>
        <w:tc>
          <w:tcPr>
            <w:tcW w:w="120" w:type="dxa"/>
            <w:vAlign w:val="bottom"/>
            <w:tcBorders>
              <w:bottom w:val="single" w:sz="8" w:color="auto"/>
            </w:tcBorders>
            <w:shd w:val="clear" w:color="auto" w:fill="F0FFFF"/>
          </w:tcPr>
          <w:p>
            <w:pPr>
              <w:spacing w:after="0"/>
              <w:rPr>
                <w:sz w:val="16"/>
                <w:szCs w:val="16"/>
                <w:color w:val="auto"/>
              </w:rPr>
            </w:pPr>
          </w:p>
        </w:tc>
        <w:tc>
          <w:tcPr>
            <w:tcW w:w="100" w:type="dxa"/>
            <w:vAlign w:val="bottom"/>
            <w:tcBorders>
              <w:bottom w:val="single" w:sz="8" w:color="auto"/>
            </w:tcBorders>
            <w:shd w:val="clear" w:color="auto" w:fill="F0FFFF"/>
          </w:tcPr>
          <w:p>
            <w:pPr>
              <w:spacing w:after="0"/>
              <w:rPr>
                <w:sz w:val="16"/>
                <w:szCs w:val="16"/>
                <w:color w:val="auto"/>
              </w:rPr>
            </w:pPr>
          </w:p>
        </w:tc>
        <w:tc>
          <w:tcPr>
            <w:tcW w:w="60" w:type="dxa"/>
            <w:vAlign w:val="bottom"/>
            <w:tcBorders>
              <w:bottom w:val="single" w:sz="8" w:color="auto"/>
            </w:tcBorders>
            <w:shd w:val="clear" w:color="auto" w:fill="F0FFFF"/>
          </w:tcPr>
          <w:p>
            <w:pPr>
              <w:spacing w:after="0"/>
              <w:rPr>
                <w:sz w:val="16"/>
                <w:szCs w:val="16"/>
                <w:color w:val="auto"/>
              </w:rPr>
            </w:pPr>
          </w:p>
        </w:tc>
        <w:tc>
          <w:tcPr>
            <w:tcW w:w="20" w:type="dxa"/>
            <w:vAlign w:val="bottom"/>
            <w:tcBorders>
              <w:bottom w:val="single" w:sz="8" w:color="auto"/>
            </w:tcBorders>
            <w:shd w:val="clear" w:color="auto" w:fill="F0FFFF"/>
          </w:tcPr>
          <w:p>
            <w:pPr>
              <w:spacing w:after="0"/>
              <w:rPr>
                <w:sz w:val="16"/>
                <w:szCs w:val="16"/>
                <w:color w:val="auto"/>
              </w:rPr>
            </w:pPr>
          </w:p>
        </w:tc>
        <w:tc>
          <w:tcPr>
            <w:tcW w:w="140" w:type="dxa"/>
            <w:vAlign w:val="bottom"/>
            <w:tcBorders>
              <w:bottom w:val="single" w:sz="8" w:color="auto"/>
              <w:right w:val="single" w:sz="8" w:color="auto"/>
            </w:tcBorders>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440" w:type="dxa"/>
            <w:vAlign w:val="bottom"/>
            <w:tcBorders>
              <w:left w:val="single" w:sz="8" w:color="auto"/>
              <w:right w:val="single" w:sz="8" w:color="auto"/>
            </w:tcBorders>
          </w:tcPr>
          <w:p>
            <w:pPr>
              <w:ind w:left="60"/>
              <w:spacing w:after="0" w:line="139" w:lineRule="exact"/>
              <w:rPr>
                <w:sz w:val="20"/>
                <w:szCs w:val="20"/>
                <w:color w:val="auto"/>
              </w:rPr>
            </w:pPr>
            <w:r>
              <w:rPr>
                <w:rFonts w:ascii="Times New Roman" w:cs="Times New Roman" w:eastAsia="Times New Roman" w:hAnsi="Times New Roman"/>
                <w:sz w:val="13"/>
                <w:szCs w:val="13"/>
                <w:b w:val="1"/>
                <w:bCs w:val="1"/>
                <w:color w:val="auto"/>
              </w:rPr>
              <w:t>What are the Risks</w:t>
            </w:r>
          </w:p>
        </w:tc>
        <w:tc>
          <w:tcPr>
            <w:tcW w:w="60" w:type="dxa"/>
            <w:vAlign w:val="bottom"/>
          </w:tcPr>
          <w:p>
            <w:pPr>
              <w:spacing w:after="0"/>
              <w:rPr>
                <w:sz w:val="12"/>
                <w:szCs w:val="12"/>
                <w:color w:val="auto"/>
              </w:rPr>
            </w:pPr>
          </w:p>
        </w:tc>
        <w:tc>
          <w:tcPr>
            <w:tcW w:w="4380" w:type="dxa"/>
            <w:vAlign w:val="bottom"/>
            <w:tcBorders>
              <w:right w:val="single" w:sz="8" w:color="auto"/>
            </w:tcBorders>
            <w:gridSpan w:val="42"/>
          </w:tcPr>
          <w:p>
            <w:pPr>
              <w:spacing w:after="0" w:line="139" w:lineRule="exact"/>
              <w:rPr>
                <w:sz w:val="20"/>
                <w:szCs w:val="20"/>
                <w:color w:val="auto"/>
              </w:rPr>
            </w:pPr>
            <w:r>
              <w:rPr>
                <w:rFonts w:ascii="Times New Roman" w:cs="Times New Roman" w:eastAsia="Times New Roman" w:hAnsi="Times New Roman"/>
                <w:sz w:val="13"/>
                <w:szCs w:val="13"/>
                <w:color w:val="auto"/>
              </w:rPr>
              <w:t>An investment in the Contract is subject to the risks of poor investment</w:t>
            </w:r>
          </w:p>
        </w:tc>
        <w:tc>
          <w:tcPr>
            <w:tcW w:w="80" w:type="dxa"/>
            <w:vAlign w:val="bottom"/>
          </w:tcPr>
          <w:p>
            <w:pPr>
              <w:spacing w:after="0"/>
              <w:rPr>
                <w:sz w:val="12"/>
                <w:szCs w:val="12"/>
                <w:color w:val="auto"/>
              </w:rPr>
            </w:pPr>
          </w:p>
        </w:tc>
        <w:tc>
          <w:tcPr>
            <w:tcW w:w="1280" w:type="dxa"/>
            <w:vAlign w:val="bottom"/>
            <w:tcBorders>
              <w:right w:val="single" w:sz="8" w:color="auto"/>
            </w:tcBorders>
            <w:gridSpan w:val="11"/>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PRINCIPAL RISKS</w:t>
            </w: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Associated with the</w:t>
            </w: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right w:val="single" w:sz="8" w:color="auto"/>
            </w:tcBorders>
            <w:gridSpan w:val="11"/>
            <w:vMerge w:val="restart"/>
          </w:tcPr>
          <w:p>
            <w:pPr>
              <w:spacing w:after="0"/>
              <w:rPr>
                <w:sz w:val="20"/>
                <w:szCs w:val="20"/>
                <w:color w:val="auto"/>
              </w:rPr>
            </w:pPr>
            <w:r>
              <w:rPr>
                <w:rFonts w:ascii="Times New Roman" w:cs="Times New Roman" w:eastAsia="Times New Roman" w:hAnsi="Times New Roman"/>
                <w:sz w:val="13"/>
                <w:szCs w:val="13"/>
                <w:b w:val="1"/>
                <w:bCs w:val="1"/>
                <w:color w:val="auto"/>
              </w:rPr>
              <w:t>OF INVESTING IN</w:t>
            </w:r>
          </w:p>
        </w:tc>
        <w:tc>
          <w:tcPr>
            <w:tcW w:w="0" w:type="dxa"/>
            <w:vAlign w:val="bottom"/>
          </w:tcPr>
          <w:p>
            <w:pPr>
              <w:spacing w:after="0" w:line="20" w:lineRule="exact"/>
              <w:rPr>
                <w:sz w:val="1"/>
                <w:szCs w:val="1"/>
                <w:color w:val="auto"/>
              </w:rPr>
            </w:pPr>
          </w:p>
        </w:tc>
      </w:tr>
      <w:tr>
        <w:trPr>
          <w:trHeight w:val="139"/>
        </w:trPr>
        <w:tc>
          <w:tcPr>
            <w:tcW w:w="1440" w:type="dxa"/>
            <w:vAlign w:val="bottom"/>
            <w:tcBorders>
              <w:left w:val="single" w:sz="8" w:color="auto"/>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4380" w:type="dxa"/>
            <w:vAlign w:val="bottom"/>
            <w:tcBorders>
              <w:right w:val="single" w:sz="8" w:color="auto"/>
            </w:tcBorders>
            <w:gridSpan w:val="42"/>
          </w:tcPr>
          <w:p>
            <w:pPr>
              <w:spacing w:after="0" w:line="139" w:lineRule="exact"/>
              <w:rPr>
                <w:sz w:val="20"/>
                <w:szCs w:val="20"/>
                <w:color w:val="auto"/>
              </w:rPr>
            </w:pPr>
            <w:r>
              <w:rPr>
                <w:rFonts w:ascii="Times New Roman" w:cs="Times New Roman" w:eastAsia="Times New Roman" w:hAnsi="Times New Roman"/>
                <w:sz w:val="13"/>
                <w:szCs w:val="13"/>
                <w:color w:val="auto"/>
              </w:rPr>
              <w:t>performance and can vary depending on the performance of the Allocation</w:t>
            </w:r>
          </w:p>
        </w:tc>
        <w:tc>
          <w:tcPr>
            <w:tcW w:w="80" w:type="dxa"/>
            <w:vAlign w:val="bottom"/>
          </w:tcPr>
          <w:p>
            <w:pPr>
              <w:spacing w:after="0"/>
              <w:rPr>
                <w:sz w:val="12"/>
                <w:szCs w:val="12"/>
                <w:color w:val="auto"/>
              </w:rPr>
            </w:pPr>
          </w:p>
        </w:tc>
        <w:tc>
          <w:tcPr>
            <w:tcW w:w="1280" w:type="dxa"/>
            <w:vAlign w:val="bottom"/>
            <w:tcBorders>
              <w:right w:val="single" w:sz="8" w:color="auto"/>
            </w:tcBorders>
            <w:gridSpan w:val="1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Investment Options?</w:t>
            </w: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right w:val="single" w:sz="8" w:color="auto"/>
            </w:tcBorders>
            <w:gridSpan w:val="11"/>
            <w:vMerge w:val="restart"/>
          </w:tcPr>
          <w:p>
            <w:pPr>
              <w:spacing w:after="0"/>
              <w:rPr>
                <w:sz w:val="20"/>
                <w:szCs w:val="20"/>
                <w:color w:val="auto"/>
              </w:rPr>
            </w:pPr>
            <w:r>
              <w:rPr>
                <w:rFonts w:ascii="Times New Roman" w:cs="Times New Roman" w:eastAsia="Times New Roman" w:hAnsi="Times New Roman"/>
                <w:sz w:val="13"/>
                <w:szCs w:val="13"/>
                <w:b w:val="1"/>
                <w:bCs w:val="1"/>
                <w:color w:val="auto"/>
              </w:rPr>
              <w:t>THE CONTRACT</w:t>
            </w:r>
          </w:p>
        </w:tc>
        <w:tc>
          <w:tcPr>
            <w:tcW w:w="0" w:type="dxa"/>
            <w:vAlign w:val="bottom"/>
          </w:tcPr>
          <w:p>
            <w:pPr>
              <w:spacing w:after="0" w:line="20" w:lineRule="exact"/>
              <w:rPr>
                <w:sz w:val="1"/>
                <w:szCs w:val="1"/>
                <w:color w:val="auto"/>
              </w:rPr>
            </w:pPr>
          </w:p>
        </w:tc>
      </w:tr>
      <w:tr>
        <w:trPr>
          <w:trHeight w:val="139"/>
        </w:trPr>
        <w:tc>
          <w:tcPr>
            <w:tcW w:w="1440" w:type="dxa"/>
            <w:vAlign w:val="bottom"/>
            <w:tcBorders>
              <w:left w:val="single" w:sz="8" w:color="auto"/>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4380" w:type="dxa"/>
            <w:vAlign w:val="bottom"/>
            <w:tcBorders>
              <w:right w:val="single" w:sz="8" w:color="auto"/>
            </w:tcBorders>
            <w:gridSpan w:val="42"/>
          </w:tcPr>
          <w:p>
            <w:pPr>
              <w:spacing w:after="0" w:line="139" w:lineRule="exact"/>
              <w:rPr>
                <w:sz w:val="20"/>
                <w:szCs w:val="20"/>
                <w:color w:val="auto"/>
              </w:rPr>
            </w:pPr>
            <w:r>
              <w:rPr>
                <w:rFonts w:ascii="Times New Roman" w:cs="Times New Roman" w:eastAsia="Times New Roman" w:hAnsi="Times New Roman"/>
                <w:sz w:val="13"/>
                <w:szCs w:val="13"/>
                <w:color w:val="auto"/>
              </w:rPr>
              <w:t>Options available under the Contract (e.g., the Shield Options). Each Allocation</w:t>
            </w:r>
          </w:p>
        </w:tc>
        <w:tc>
          <w:tcPr>
            <w:tcW w:w="80" w:type="dxa"/>
            <w:vAlign w:val="bottom"/>
          </w:tcPr>
          <w:p>
            <w:pPr>
              <w:spacing w:after="0"/>
              <w:rPr>
                <w:sz w:val="12"/>
                <w:szCs w:val="12"/>
                <w:color w:val="auto"/>
              </w:rPr>
            </w:pPr>
          </w:p>
        </w:tc>
        <w:tc>
          <w:tcPr>
            <w:tcW w:w="1280" w:type="dxa"/>
            <w:vAlign w:val="bottom"/>
            <w:tcBorders>
              <w:right w:val="single" w:sz="8" w:color="auto"/>
            </w:tcBorders>
            <w:gridSpan w:val="1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tcPr>
          <w:p>
            <w:pPr>
              <w:spacing w:after="0" w:line="20" w:lineRule="exact"/>
              <w:rPr>
                <w:sz w:val="1"/>
                <w:szCs w:val="1"/>
                <w:color w:val="auto"/>
              </w:rPr>
            </w:pPr>
          </w:p>
        </w:tc>
        <w:tc>
          <w:tcPr>
            <w:tcW w:w="200" w:type="dxa"/>
            <w:vAlign w:val="bottom"/>
            <w:tcBorders>
              <w:right w:val="single" w:sz="8" w:color="auto"/>
            </w:tcBorders>
            <w:gridSpan w:val="2"/>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0" w:type="dxa"/>
            <w:vAlign w:val="bottom"/>
            <w:tcBorders>
              <w:left w:val="single" w:sz="8" w:color="auto"/>
              <w:right w:val="single" w:sz="8" w:color="auto"/>
            </w:tcBorders>
            <w:gridSpan w:val="10"/>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660" w:type="dxa"/>
            <w:vAlign w:val="bottom"/>
            <w:tcBorders>
              <w:left w:val="single" w:sz="8" w:color="auto"/>
            </w:tcBorders>
            <w:gridSpan w:val="10"/>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 </w:t>
            </w:r>
          </w:p>
        </w:tc>
        <w:tc>
          <w:tcPr>
            <w:tcW w:w="420" w:type="dxa"/>
            <w:vAlign w:val="bottom"/>
            <w:tcBorders>
              <w:left w:val="single" w:sz="8" w:color="auto"/>
              <w:right w:val="single" w:sz="8" w:color="auto"/>
            </w:tcBorders>
            <w:gridSpan w:val="4"/>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Borders>
              <w:right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44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380" w:type="dxa"/>
            <w:vAlign w:val="bottom"/>
            <w:tcBorders>
              <w:right w:val="single" w:sz="8" w:color="auto"/>
            </w:tcBorders>
            <w:gridSpan w:val="42"/>
          </w:tcPr>
          <w:p>
            <w:pPr>
              <w:spacing w:after="0" w:line="139" w:lineRule="exact"/>
              <w:rPr>
                <w:sz w:val="20"/>
                <w:szCs w:val="20"/>
                <w:color w:val="auto"/>
              </w:rPr>
            </w:pPr>
            <w:r>
              <w:rPr>
                <w:rFonts w:ascii="Times New Roman" w:cs="Times New Roman" w:eastAsia="Times New Roman" w:hAnsi="Times New Roman"/>
                <w:sz w:val="13"/>
                <w:szCs w:val="13"/>
                <w:color w:val="auto"/>
              </w:rPr>
              <w:t>Option (including the Fixed Account) will have its own unique risks. You should</w:t>
            </w:r>
          </w:p>
        </w:tc>
        <w:tc>
          <w:tcPr>
            <w:tcW w:w="8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80" w:type="dxa"/>
            <w:vAlign w:val="bottom"/>
            <w:tcBorders>
              <w:right w:val="single" w:sz="8" w:color="auto"/>
            </w:tcBorders>
            <w:gridSpan w:val="11"/>
            <w:vMerge w:val="restart"/>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INDICES</w:t>
            </w:r>
          </w:p>
        </w:tc>
        <w:tc>
          <w:tcPr>
            <w:tcW w:w="0" w:type="dxa"/>
            <w:vAlign w:val="bottom"/>
          </w:tcPr>
          <w:p>
            <w:pPr>
              <w:spacing w:after="0" w:line="20" w:lineRule="exact"/>
              <w:rPr>
                <w:sz w:val="1"/>
                <w:szCs w:val="1"/>
                <w:color w:val="auto"/>
              </w:rPr>
            </w:pPr>
          </w:p>
        </w:tc>
      </w:tr>
      <w:tr>
        <w:trPr>
          <w:trHeight w:val="129"/>
        </w:trPr>
        <w:tc>
          <w:tcPr>
            <w:tcW w:w="1440" w:type="dxa"/>
            <w:vAlign w:val="bottom"/>
            <w:tcBorders>
              <w:left w:val="single" w:sz="8" w:color="auto"/>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380" w:type="dxa"/>
            <w:vAlign w:val="bottom"/>
            <w:tcBorders>
              <w:right w:val="single" w:sz="8" w:color="auto"/>
            </w:tcBorders>
            <w:gridSpan w:val="42"/>
          </w:tcPr>
          <w:p>
            <w:pPr>
              <w:spacing w:after="0" w:line="119" w:lineRule="exact"/>
              <w:rPr>
                <w:sz w:val="20"/>
                <w:szCs w:val="20"/>
                <w:color w:val="auto"/>
              </w:rPr>
            </w:pPr>
            <w:r>
              <w:rPr>
                <w:rFonts w:ascii="Times New Roman" w:cs="Times New Roman" w:eastAsia="Times New Roman" w:hAnsi="Times New Roman"/>
                <w:sz w:val="13"/>
                <w:szCs w:val="13"/>
                <w:color w:val="auto"/>
              </w:rPr>
              <w:t>review the available Allocation Options before making an investment decision.</w:t>
            </w:r>
          </w:p>
        </w:tc>
        <w:tc>
          <w:tcPr>
            <w:tcW w:w="80" w:type="dxa"/>
            <w:vAlign w:val="bottom"/>
            <w:vMerge w:val="continue"/>
          </w:tcPr>
          <w:p>
            <w:pPr>
              <w:spacing w:after="0"/>
              <w:rPr>
                <w:sz w:val="11"/>
                <w:szCs w:val="11"/>
                <w:color w:val="auto"/>
              </w:rPr>
            </w:pPr>
          </w:p>
        </w:tc>
        <w:tc>
          <w:tcPr>
            <w:tcW w:w="1280" w:type="dxa"/>
            <w:vAlign w:val="bottom"/>
            <w:tcBorders>
              <w:right w:val="single" w:sz="8" w:color="auto"/>
            </w:tcBorders>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40" w:type="dxa"/>
            <w:vAlign w:val="bottom"/>
            <w:tcBorders>
              <w:top w:val="single" w:sz="8" w:color="auto"/>
            </w:tcBorders>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rPr>
              <w:t> </w:t>
            </w:r>
          </w:p>
        </w:tc>
        <w:tc>
          <w:tcPr>
            <w:tcW w:w="1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Borders>
              <w:right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440" w:type="dxa"/>
            <w:vAlign w:val="bottom"/>
            <w:tcBorders>
              <w:left w:val="single" w:sz="8" w:color="auto"/>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380" w:type="dxa"/>
            <w:vAlign w:val="bottom"/>
            <w:tcBorders>
              <w:right w:val="single" w:sz="8" w:color="auto"/>
            </w:tcBorders>
            <w:gridSpan w:val="42"/>
          </w:tcPr>
          <w:p>
            <w:pPr>
              <w:spacing w:after="0" w:line="129" w:lineRule="exact"/>
              <w:rPr>
                <w:sz w:val="20"/>
                <w:szCs w:val="20"/>
                <w:color w:val="auto"/>
              </w:rPr>
            </w:pPr>
            <w:r>
              <w:rPr>
                <w:rFonts w:ascii="Times New Roman" w:cs="Times New Roman" w:eastAsia="Times New Roman" w:hAnsi="Times New Roman"/>
                <w:sz w:val="13"/>
                <w:szCs w:val="13"/>
                <w:color w:val="auto"/>
              </w:rPr>
              <w:t>The Cap Rate , Step Rate, and Step Rate Edge (the Rate Crediting Types), as</w:t>
            </w:r>
          </w:p>
        </w:tc>
        <w:tc>
          <w:tcPr>
            <w:tcW w:w="80" w:type="dxa"/>
            <w:vAlign w:val="bottom"/>
            <w:vMerge w:val="continue"/>
          </w:tcPr>
          <w:p>
            <w:pPr>
              <w:spacing w:after="0"/>
              <w:rPr>
                <w:sz w:val="11"/>
                <w:szCs w:val="11"/>
                <w:color w:val="auto"/>
              </w:rPr>
            </w:pPr>
          </w:p>
        </w:tc>
        <w:tc>
          <w:tcPr>
            <w:tcW w:w="540" w:type="dxa"/>
            <w:vAlign w:val="bottom"/>
            <w:gridSpan w:val="4"/>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60" w:type="dxa"/>
            <w:vAlign w:val="bottom"/>
            <w:gridSpan w:val="2"/>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3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960" w:type="dxa"/>
            <w:vAlign w:val="bottom"/>
            <w:gridSpan w:val="7"/>
            <w:vMerge w:val="restart"/>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SHIELD RATES</w:t>
            </w:r>
          </w:p>
        </w:tc>
        <w:tc>
          <w:tcPr>
            <w:tcW w:w="1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Borders>
              <w:right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1440" w:type="dxa"/>
            <w:vAlign w:val="bottom"/>
            <w:tcBorders>
              <w:left w:val="single" w:sz="8" w:color="auto"/>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380" w:type="dxa"/>
            <w:vAlign w:val="bottom"/>
            <w:tcBorders>
              <w:right w:val="single" w:sz="8" w:color="auto"/>
            </w:tcBorders>
            <w:gridSpan w:val="42"/>
            <w:vMerge w:val="restart"/>
          </w:tcPr>
          <w:p>
            <w:pPr>
              <w:spacing w:after="0"/>
              <w:rPr>
                <w:sz w:val="20"/>
                <w:szCs w:val="20"/>
                <w:color w:val="auto"/>
              </w:rPr>
            </w:pPr>
            <w:r>
              <w:rPr>
                <w:rFonts w:ascii="Times New Roman" w:cs="Times New Roman" w:eastAsia="Times New Roman" w:hAnsi="Times New Roman"/>
                <w:sz w:val="13"/>
                <w:szCs w:val="13"/>
                <w:color w:val="auto"/>
              </w:rPr>
              <w:t xml:space="preserve">applicable, will limit positive Index returns (e.g., limited upside). </w:t>
            </w:r>
            <w:r>
              <w:rPr>
                <w:rFonts w:ascii="Times New Roman" w:cs="Times New Roman" w:eastAsia="Times New Roman" w:hAnsi="Times New Roman"/>
                <w:sz w:val="13"/>
                <w:szCs w:val="13"/>
                <w:b w:val="1"/>
                <w:bCs w:val="1"/>
                <w:color w:val="auto"/>
              </w:rPr>
              <w:t>This may</w:t>
            </w:r>
          </w:p>
        </w:tc>
        <w:tc>
          <w:tcPr>
            <w:tcW w:w="80" w:type="dxa"/>
            <w:vAlign w:val="bottom"/>
            <w:vMerge w:val="continue"/>
          </w:tcPr>
          <w:p>
            <w:pPr>
              <w:spacing w:after="0"/>
              <w:rPr>
                <w:sz w:val="9"/>
                <w:szCs w:val="9"/>
                <w:color w:val="auto"/>
              </w:rPr>
            </w:pPr>
          </w:p>
        </w:tc>
        <w:tc>
          <w:tcPr>
            <w:tcW w:w="960" w:type="dxa"/>
            <w:vAlign w:val="bottom"/>
            <w:tcBorders>
              <w:bottom w:val="single" w:sz="8" w:color="auto"/>
            </w:tcBorders>
            <w:gridSpan w:val="7"/>
            <w:vMerge w:val="continue"/>
          </w:tcPr>
          <w:p>
            <w:pPr>
              <w:spacing w:after="0"/>
              <w:rPr>
                <w:sz w:val="9"/>
                <w:szCs w:val="9"/>
                <w:color w:val="auto"/>
              </w:rPr>
            </w:pPr>
          </w:p>
        </w:tc>
        <w:tc>
          <w:tcPr>
            <w:tcW w:w="160" w:type="dxa"/>
            <w:vAlign w:val="bottom"/>
            <w:gridSpan w:val="2"/>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80" w:type="dxa"/>
            <w:vAlign w:val="bottom"/>
            <w:tcBorders>
              <w:right w:val="single" w:sz="8" w:color="auto"/>
            </w:tcBorders>
            <w:gridSpan w:val="42"/>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80" w:type="dxa"/>
            <w:vAlign w:val="bottom"/>
            <w:tcBorders>
              <w:right w:val="single" w:sz="8" w:color="auto"/>
            </w:tcBorders>
            <w:gridSpan w:val="11"/>
            <w:vMerge w:val="restart"/>
          </w:tcPr>
          <w:p>
            <w:pPr>
              <w:spacing w:after="0"/>
              <w:rPr>
                <w:sz w:val="20"/>
                <w:szCs w:val="20"/>
                <w:color w:val="auto"/>
              </w:rPr>
            </w:pPr>
            <w:r>
              <w:rPr>
                <w:rFonts w:ascii="Times New Roman" w:cs="Times New Roman" w:eastAsia="Times New Roman" w:hAnsi="Times New Roman"/>
                <w:sz w:val="13"/>
                <w:szCs w:val="13"/>
                <w:b w:val="1"/>
                <w:bCs w:val="1"/>
                <w:color w:val="auto"/>
              </w:rPr>
              <w:t> </w:t>
            </w:r>
          </w:p>
        </w:tc>
        <w:tc>
          <w:tcPr>
            <w:tcW w:w="0" w:type="dxa"/>
            <w:vAlign w:val="bottom"/>
          </w:tcPr>
          <w:p>
            <w:pPr>
              <w:spacing w:after="0" w:line="20" w:lineRule="exact"/>
              <w:rPr>
                <w:sz w:val="1"/>
                <w:szCs w:val="1"/>
                <w:color w:val="auto"/>
              </w:rPr>
            </w:pPr>
          </w:p>
        </w:tc>
      </w:tr>
      <w:tr>
        <w:trPr>
          <w:trHeight w:val="20"/>
        </w:trPr>
        <w:tc>
          <w:tcPr>
            <w:tcW w:w="14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80" w:type="dxa"/>
            <w:vAlign w:val="bottom"/>
            <w:tcBorders>
              <w:right w:val="single" w:sz="8" w:color="auto"/>
            </w:tcBorders>
            <w:gridSpan w:val="11"/>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440" w:type="dxa"/>
            <w:vAlign w:val="bottom"/>
            <w:tcBorders>
              <w:left w:val="single" w:sz="8" w:color="auto"/>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380" w:type="dxa"/>
            <w:vAlign w:val="bottom"/>
            <w:tcBorders>
              <w:right w:val="single" w:sz="8" w:color="auto"/>
            </w:tcBorders>
            <w:gridSpan w:val="42"/>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result in you earning less than the Index return</w:t>
            </w:r>
            <w:r>
              <w:rPr>
                <w:rFonts w:ascii="Times New Roman" w:cs="Times New Roman" w:eastAsia="Times New Roman" w:hAnsi="Times New Roman"/>
                <w:sz w:val="13"/>
                <w:szCs w:val="13"/>
                <w:color w:val="auto"/>
              </w:rPr>
              <w:t>. For example:</w:t>
            </w:r>
          </w:p>
        </w:tc>
        <w:tc>
          <w:tcPr>
            <w:tcW w:w="80" w:type="dxa"/>
            <w:vAlign w:val="bottom"/>
            <w:vMerge w:val="continue"/>
          </w:tcPr>
          <w:p>
            <w:pPr>
              <w:spacing w:after="0"/>
              <w:rPr>
                <w:sz w:val="10"/>
                <w:szCs w:val="10"/>
                <w:color w:val="auto"/>
              </w:rPr>
            </w:pPr>
          </w:p>
        </w:tc>
        <w:tc>
          <w:tcPr>
            <w:tcW w:w="1280" w:type="dxa"/>
            <w:vAlign w:val="bottom"/>
            <w:tcBorders>
              <w:right w:val="single" w:sz="8" w:color="auto"/>
            </w:tcBorders>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440" w:type="dxa"/>
            <w:vAlign w:val="bottom"/>
            <w:tcBorders>
              <w:left w:val="single" w:sz="8" w:color="auto"/>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80" w:type="dxa"/>
            <w:vAlign w:val="bottom"/>
            <w:vMerge w:val="restart"/>
          </w:tcPr>
          <w:p>
            <w:pPr>
              <w:spacing w:after="0"/>
              <w:rPr>
                <w:sz w:val="9"/>
                <w:szCs w:val="9"/>
                <w:color w:val="auto"/>
              </w:rPr>
            </w:pPr>
          </w:p>
        </w:tc>
        <w:tc>
          <w:tcPr>
            <w:tcW w:w="1140" w:type="dxa"/>
            <w:vAlign w:val="bottom"/>
            <w:tcBorders>
              <w:bottom w:val="single" w:sz="8" w:color="auto"/>
            </w:tcBorders>
            <w:gridSpan w:val="10"/>
          </w:tcPr>
          <w:p>
            <w:pPr>
              <w:spacing w:after="0" w:line="89" w:lineRule="exact"/>
              <w:rPr>
                <w:sz w:val="20"/>
                <w:szCs w:val="20"/>
                <w:color w:val="auto"/>
              </w:rPr>
            </w:pPr>
            <w:r>
              <w:rPr>
                <w:rFonts w:ascii="Times New Roman" w:cs="Times New Roman" w:eastAsia="Times New Roman" w:hAnsi="Times New Roman"/>
                <w:sz w:val="10"/>
                <w:szCs w:val="10"/>
                <w:b w:val="1"/>
                <w:bCs w:val="1"/>
                <w:color w:val="auto"/>
              </w:rPr>
              <w:t>RATE CREDITING</w:t>
            </w:r>
          </w:p>
        </w:tc>
        <w:tc>
          <w:tcPr>
            <w:tcW w:w="140" w:type="dxa"/>
            <w:vAlign w:val="bottom"/>
            <w:tcBorders>
              <w:right w:val="single" w:sz="8" w:color="auto"/>
            </w:tcBorders>
            <w:vMerge w:val="restart"/>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1440" w:type="dxa"/>
            <w:vAlign w:val="bottom"/>
            <w:tcBorders>
              <w:left w:val="single" w:sz="8" w:color="auto"/>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vMerge w:val="continue"/>
          </w:tcPr>
          <w:p>
            <w:pPr>
              <w:spacing w:after="0"/>
              <w:rPr>
                <w:sz w:val="2"/>
                <w:szCs w:val="2"/>
                <w:color w:val="auto"/>
              </w:rPr>
            </w:pPr>
          </w:p>
        </w:tc>
        <w:tc>
          <w:tcPr>
            <w:tcW w:w="420" w:type="dxa"/>
            <w:vAlign w:val="bottom"/>
            <w:gridSpan w:val="2"/>
            <w:vMerge w:val="restart"/>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5"/>
              </w:rPr>
              <w:t>TYPES</w:t>
            </w:r>
          </w:p>
        </w:tc>
        <w:tc>
          <w:tcPr>
            <w:tcW w:w="10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9"/>
        </w:trPr>
        <w:tc>
          <w:tcPr>
            <w:tcW w:w="1440" w:type="dxa"/>
            <w:vAlign w:val="bottom"/>
            <w:tcBorders>
              <w:left w:val="single" w:sz="8" w:color="auto"/>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380" w:type="dxa"/>
            <w:vAlign w:val="bottom"/>
            <w:tcBorders>
              <w:right w:val="single" w:sz="8" w:color="auto"/>
            </w:tcBorders>
            <w:gridSpan w:val="42"/>
            <w:vMerge w:val="restart"/>
          </w:tcPr>
          <w:p>
            <w:pPr>
              <w:spacing w:after="0" w:line="144"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Cap Rate.</w:t>
            </w:r>
            <w:r>
              <w:rPr>
                <w:rFonts w:ascii="Times New Roman" w:cs="Times New Roman" w:eastAsia="Times New Roman" w:hAnsi="Times New Roman"/>
                <w:sz w:val="13"/>
                <w:szCs w:val="13"/>
                <w:color w:val="auto"/>
              </w:rPr>
              <w:t xml:space="preserve"> If the Index Performance is 15%, and the Cap Rate is 10%, we</w:t>
            </w:r>
          </w:p>
        </w:tc>
        <w:tc>
          <w:tcPr>
            <w:tcW w:w="80" w:type="dxa"/>
            <w:vAlign w:val="bottom"/>
          </w:tcPr>
          <w:p>
            <w:pPr>
              <w:spacing w:after="0"/>
              <w:rPr>
                <w:sz w:val="9"/>
                <w:szCs w:val="9"/>
                <w:color w:val="auto"/>
              </w:rPr>
            </w:pPr>
          </w:p>
        </w:tc>
        <w:tc>
          <w:tcPr>
            <w:tcW w:w="420" w:type="dxa"/>
            <w:vAlign w:val="bottom"/>
            <w:tcBorders>
              <w:bottom w:val="single" w:sz="8" w:color="auto"/>
            </w:tcBorders>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gridSpan w:val="3"/>
          </w:tcPr>
          <w:p>
            <w:pPr>
              <w:spacing w:after="0"/>
              <w:rPr>
                <w:sz w:val="9"/>
                <w:szCs w:val="9"/>
                <w:color w:val="auto"/>
              </w:rPr>
            </w:pPr>
          </w:p>
        </w:tc>
        <w:tc>
          <w:tcPr>
            <w:tcW w:w="160" w:type="dxa"/>
            <w:vAlign w:val="bottom"/>
            <w:tcBorders>
              <w:right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80" w:type="dxa"/>
            <w:vAlign w:val="bottom"/>
            <w:tcBorders>
              <w:right w:val="single" w:sz="8" w:color="auto"/>
            </w:tcBorders>
            <w:gridSpan w:val="4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right w:val="single" w:sz="8" w:color="auto"/>
            </w:tcBorders>
            <w:gridSpan w:val="11"/>
            <w:vMerge w:val="restart"/>
          </w:tcPr>
          <w:p>
            <w:pPr>
              <w:spacing w:after="0"/>
              <w:rPr>
                <w:sz w:val="20"/>
                <w:szCs w:val="20"/>
                <w:color w:val="auto"/>
              </w:rPr>
            </w:pPr>
            <w:r>
              <w:rPr>
                <w:rFonts w:ascii="Times New Roman" w:cs="Times New Roman" w:eastAsia="Times New Roman" w:hAnsi="Times New Roman"/>
                <w:sz w:val="13"/>
                <w:szCs w:val="13"/>
                <w:b w:val="1"/>
                <w:bCs w:val="1"/>
                <w:color w:val="auto"/>
              </w:rPr>
              <w:t> </w:t>
            </w:r>
          </w:p>
        </w:tc>
        <w:tc>
          <w:tcPr>
            <w:tcW w:w="0" w:type="dxa"/>
            <w:vAlign w:val="bottom"/>
          </w:tcPr>
          <w:p>
            <w:pPr>
              <w:spacing w:after="0" w:line="20" w:lineRule="exact"/>
              <w:rPr>
                <w:sz w:val="1"/>
                <w:szCs w:val="1"/>
                <w:color w:val="auto"/>
              </w:rPr>
            </w:pPr>
          </w:p>
        </w:tc>
      </w:tr>
      <w:tr>
        <w:trPr>
          <w:trHeight w:val="20"/>
        </w:trPr>
        <w:tc>
          <w:tcPr>
            <w:tcW w:w="14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80" w:type="dxa"/>
            <w:vAlign w:val="bottom"/>
            <w:tcBorders>
              <w:right w:val="single" w:sz="8" w:color="auto"/>
            </w:tcBorders>
            <w:gridSpan w:val="11"/>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440" w:type="dxa"/>
            <w:vAlign w:val="bottom"/>
            <w:tcBorders>
              <w:left w:val="single" w:sz="8" w:color="auto"/>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40" w:type="dxa"/>
            <w:vAlign w:val="bottom"/>
            <w:tcBorders>
              <w:right w:val="single" w:sz="8" w:color="auto"/>
            </w:tcBorders>
            <w:gridSpan w:val="41"/>
          </w:tcPr>
          <w:p>
            <w:pPr>
              <w:spacing w:after="0" w:line="119" w:lineRule="exact"/>
              <w:rPr>
                <w:sz w:val="20"/>
                <w:szCs w:val="20"/>
                <w:color w:val="auto"/>
              </w:rPr>
            </w:pPr>
            <w:r>
              <w:rPr>
                <w:rFonts w:ascii="Times New Roman" w:cs="Times New Roman" w:eastAsia="Times New Roman" w:hAnsi="Times New Roman"/>
                <w:sz w:val="13"/>
                <w:szCs w:val="13"/>
                <w:color w:val="auto"/>
              </w:rPr>
              <w:t>will credit a 10% Performance Rate at the end of the Term.</w:t>
            </w:r>
          </w:p>
        </w:tc>
        <w:tc>
          <w:tcPr>
            <w:tcW w:w="80" w:type="dxa"/>
            <w:vAlign w:val="bottom"/>
            <w:vMerge w:val="continue"/>
          </w:tcPr>
          <w:p>
            <w:pPr>
              <w:spacing w:after="0"/>
              <w:rPr>
                <w:sz w:val="10"/>
                <w:szCs w:val="10"/>
                <w:color w:val="auto"/>
              </w:rPr>
            </w:pPr>
          </w:p>
        </w:tc>
        <w:tc>
          <w:tcPr>
            <w:tcW w:w="1280" w:type="dxa"/>
            <w:vAlign w:val="bottom"/>
            <w:tcBorders>
              <w:right w:val="single" w:sz="8" w:color="auto"/>
            </w:tcBorders>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80" w:type="dxa"/>
            <w:vAlign w:val="bottom"/>
            <w:tcBorders>
              <w:right w:val="single" w:sz="8" w:color="auto"/>
            </w:tcBorders>
            <w:gridSpan w:val="11"/>
            <w:vMerge w:val="restart"/>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THE FIXED</w:t>
            </w:r>
          </w:p>
        </w:tc>
        <w:tc>
          <w:tcPr>
            <w:tcW w:w="0" w:type="dxa"/>
            <w:vAlign w:val="bottom"/>
          </w:tcPr>
          <w:p>
            <w:pPr>
              <w:spacing w:after="0" w:line="20" w:lineRule="exact"/>
              <w:rPr>
                <w:sz w:val="1"/>
                <w:szCs w:val="1"/>
                <w:color w:val="auto"/>
              </w:rPr>
            </w:pPr>
          </w:p>
        </w:tc>
      </w:tr>
      <w:tr>
        <w:trPr>
          <w:trHeight w:val="109"/>
        </w:trPr>
        <w:tc>
          <w:tcPr>
            <w:tcW w:w="1440" w:type="dxa"/>
            <w:vAlign w:val="bottom"/>
            <w:tcBorders>
              <w:left w:val="single" w:sz="8" w:color="auto"/>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4240" w:type="dxa"/>
            <w:vAlign w:val="bottom"/>
            <w:tcBorders>
              <w:right w:val="single" w:sz="8" w:color="auto"/>
            </w:tcBorders>
            <w:gridSpan w:val="41"/>
            <w:vMerge w:val="restart"/>
          </w:tcPr>
          <w:p>
            <w:pPr>
              <w:spacing w:after="0"/>
              <w:rPr>
                <w:sz w:val="20"/>
                <w:szCs w:val="20"/>
                <w:color w:val="auto"/>
              </w:rPr>
            </w:pPr>
            <w:r>
              <w:rPr>
                <w:rFonts w:ascii="Times New Roman" w:cs="Times New Roman" w:eastAsia="Times New Roman" w:hAnsi="Times New Roman"/>
                <w:sz w:val="13"/>
                <w:szCs w:val="13"/>
                <w:b w:val="1"/>
                <w:bCs w:val="1"/>
                <w:color w:val="auto"/>
              </w:rPr>
              <w:t>Step Rate</w:t>
            </w:r>
            <w:r>
              <w:rPr>
                <w:rFonts w:ascii="Times New Roman" w:cs="Times New Roman" w:eastAsia="Times New Roman" w:hAnsi="Times New Roman"/>
                <w:sz w:val="13"/>
                <w:szCs w:val="13"/>
                <w:color w:val="auto"/>
              </w:rPr>
              <w:t>. If the Index Performance is 15%, and the Step Rate is 8%, we</w:t>
            </w:r>
          </w:p>
        </w:tc>
        <w:tc>
          <w:tcPr>
            <w:tcW w:w="80" w:type="dxa"/>
            <w:vAlign w:val="bottom"/>
            <w:vMerge w:val="continue"/>
          </w:tcPr>
          <w:p>
            <w:pPr>
              <w:spacing w:after="0"/>
              <w:rPr>
                <w:sz w:val="9"/>
                <w:szCs w:val="9"/>
                <w:color w:val="auto"/>
              </w:rPr>
            </w:pPr>
          </w:p>
        </w:tc>
        <w:tc>
          <w:tcPr>
            <w:tcW w:w="1280" w:type="dxa"/>
            <w:vAlign w:val="bottom"/>
            <w:tcBorders>
              <w:right w:val="single" w:sz="8" w:color="auto"/>
            </w:tcBorders>
            <w:gridSpan w:val="11"/>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4240" w:type="dxa"/>
            <w:vAlign w:val="bottom"/>
            <w:tcBorders>
              <w:right w:val="single" w:sz="8" w:color="auto"/>
            </w:tcBorders>
            <w:gridSpan w:val="41"/>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
        </w:trPr>
        <w:tc>
          <w:tcPr>
            <w:tcW w:w="1440" w:type="dxa"/>
            <w:vAlign w:val="bottom"/>
            <w:tcBorders>
              <w:left w:val="single" w:sz="8" w:color="auto"/>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4240" w:type="dxa"/>
            <w:vAlign w:val="bottom"/>
            <w:tcBorders>
              <w:right w:val="single" w:sz="8" w:color="auto"/>
            </w:tcBorders>
            <w:gridSpan w:val="41"/>
            <w:vMerge w:val="continue"/>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right w:val="single" w:sz="8" w:color="auto"/>
            </w:tcBorders>
            <w:gridSpan w:val="11"/>
            <w:vMerge w:val="restart"/>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ACCOUNT</w:t>
            </w:r>
          </w:p>
        </w:tc>
        <w:tc>
          <w:tcPr>
            <w:tcW w:w="0" w:type="dxa"/>
            <w:vAlign w:val="bottom"/>
          </w:tcPr>
          <w:p>
            <w:pPr>
              <w:spacing w:after="0" w:line="20" w:lineRule="exact"/>
              <w:rPr>
                <w:sz w:val="1"/>
                <w:szCs w:val="1"/>
                <w:color w:val="auto"/>
              </w:rPr>
            </w:pPr>
          </w:p>
        </w:tc>
      </w:tr>
      <w:tr>
        <w:trPr>
          <w:trHeight w:val="20"/>
        </w:trPr>
        <w:tc>
          <w:tcPr>
            <w:tcW w:w="14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80" w:type="dxa"/>
            <w:vAlign w:val="bottom"/>
            <w:tcBorders>
              <w:right w:val="single" w:sz="8" w:color="auto"/>
            </w:tcBorders>
            <w:gridSpan w:val="11"/>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440" w:type="dxa"/>
            <w:vAlign w:val="bottom"/>
            <w:tcBorders>
              <w:left w:val="single" w:sz="8" w:color="auto"/>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40" w:type="dxa"/>
            <w:vAlign w:val="bottom"/>
            <w:tcBorders>
              <w:right w:val="single" w:sz="8" w:color="auto"/>
            </w:tcBorders>
            <w:gridSpan w:val="41"/>
            <w:vMerge w:val="restart"/>
          </w:tcPr>
          <w:p>
            <w:pPr>
              <w:spacing w:after="0" w:line="139" w:lineRule="exact"/>
              <w:rPr>
                <w:sz w:val="20"/>
                <w:szCs w:val="20"/>
                <w:color w:val="auto"/>
              </w:rPr>
            </w:pPr>
            <w:r>
              <w:rPr>
                <w:rFonts w:ascii="Times New Roman" w:cs="Times New Roman" w:eastAsia="Times New Roman" w:hAnsi="Times New Roman"/>
                <w:sz w:val="13"/>
                <w:szCs w:val="13"/>
                <w:color w:val="auto"/>
              </w:rPr>
              <w:t>will credit an 8% Performance Rate at the end of the Term.</w:t>
            </w:r>
          </w:p>
        </w:tc>
        <w:tc>
          <w:tcPr>
            <w:tcW w:w="80" w:type="dxa"/>
            <w:vAlign w:val="bottom"/>
            <w:vMerge w:val="continue"/>
          </w:tcPr>
          <w:p>
            <w:pPr>
              <w:spacing w:after="0"/>
              <w:rPr>
                <w:sz w:val="7"/>
                <w:szCs w:val="7"/>
                <w:color w:val="auto"/>
              </w:rPr>
            </w:pPr>
          </w:p>
        </w:tc>
        <w:tc>
          <w:tcPr>
            <w:tcW w:w="1280" w:type="dxa"/>
            <w:vAlign w:val="bottom"/>
            <w:tcBorders>
              <w:right w:val="single" w:sz="8" w:color="auto"/>
            </w:tcBorders>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0"/>
        </w:trPr>
        <w:tc>
          <w:tcPr>
            <w:tcW w:w="1440" w:type="dxa"/>
            <w:vAlign w:val="bottom"/>
            <w:tcBorders>
              <w:left w:val="single" w:sz="8" w:color="auto"/>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40" w:type="dxa"/>
            <w:vAlign w:val="bottom"/>
            <w:tcBorders>
              <w:right w:val="single" w:sz="8" w:color="auto"/>
            </w:tcBorders>
            <w:gridSpan w:val="41"/>
            <w:vMerge w:val="continue"/>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14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44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40" w:type="dxa"/>
            <w:vAlign w:val="bottom"/>
            <w:tcBorders>
              <w:right w:val="single" w:sz="8" w:color="auto"/>
            </w:tcBorders>
            <w:gridSpan w:val="41"/>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Edge Rate</w:t>
            </w:r>
            <w:r>
              <w:rPr>
                <w:rFonts w:ascii="Times New Roman" w:cs="Times New Roman" w:eastAsia="Times New Roman" w:hAnsi="Times New Roman"/>
                <w:sz w:val="13"/>
                <w:szCs w:val="13"/>
                <w:color w:val="auto"/>
              </w:rPr>
              <w:t>. If the Index Performance is 15%, the Edge Rate is 7%, and the</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44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40" w:type="dxa"/>
            <w:vAlign w:val="bottom"/>
            <w:tcBorders>
              <w:right w:val="single" w:sz="8" w:color="auto"/>
            </w:tcBorders>
            <w:gridSpan w:val="41"/>
          </w:tcPr>
          <w:p>
            <w:pPr>
              <w:spacing w:after="0" w:line="139" w:lineRule="exact"/>
              <w:rPr>
                <w:sz w:val="20"/>
                <w:szCs w:val="20"/>
                <w:color w:val="auto"/>
              </w:rPr>
            </w:pPr>
            <w:r>
              <w:rPr>
                <w:rFonts w:ascii="Times New Roman" w:cs="Times New Roman" w:eastAsia="Times New Roman" w:hAnsi="Times New Roman"/>
                <w:sz w:val="13"/>
                <w:szCs w:val="13"/>
                <w:color w:val="auto"/>
              </w:rPr>
              <w:t>Shield Option has a Shield Rate of 10%, we will credit a 7% Performance</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right w:val="single" w:sz="8" w:color="auto"/>
            </w:tcBorders>
            <w:gridSpan w:val="3"/>
          </w:tcPr>
          <w:p>
            <w:pPr>
              <w:spacing w:after="0" w:line="20" w:lineRule="exact"/>
              <w:rPr>
                <w:sz w:val="1"/>
                <w:szCs w:val="1"/>
                <w:color w:val="auto"/>
              </w:rPr>
            </w:pPr>
          </w:p>
        </w:tc>
        <w:tc>
          <w:tcPr>
            <w:tcW w:w="2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44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40" w:type="dxa"/>
            <w:vAlign w:val="bottom"/>
            <w:tcBorders>
              <w:right w:val="single" w:sz="8" w:color="auto"/>
            </w:tcBorders>
            <w:gridSpan w:val="41"/>
          </w:tcPr>
          <w:p>
            <w:pPr>
              <w:spacing w:after="0" w:line="139" w:lineRule="exact"/>
              <w:rPr>
                <w:sz w:val="20"/>
                <w:szCs w:val="20"/>
                <w:color w:val="auto"/>
              </w:rPr>
            </w:pPr>
            <w:r>
              <w:rPr>
                <w:rFonts w:ascii="Times New Roman" w:cs="Times New Roman" w:eastAsia="Times New Roman" w:hAnsi="Times New Roman"/>
                <w:sz w:val="13"/>
                <w:szCs w:val="13"/>
                <w:color w:val="auto"/>
              </w:rPr>
              <w:t>Rate at the end of the Term. If the Index Performance is -10%, we will also</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Borders>
              <w:right w:val="single" w:sz="8" w:color="auto"/>
            </w:tcBorders>
            <w:gridSpan w:val="2"/>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44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40" w:type="dxa"/>
            <w:vAlign w:val="bottom"/>
            <w:tcBorders>
              <w:right w:val="single" w:sz="8" w:color="auto"/>
            </w:tcBorders>
            <w:gridSpan w:val="41"/>
          </w:tcPr>
          <w:p>
            <w:pPr>
              <w:spacing w:after="0" w:line="139" w:lineRule="exact"/>
              <w:rPr>
                <w:sz w:val="20"/>
                <w:szCs w:val="20"/>
                <w:color w:val="auto"/>
              </w:rPr>
            </w:pPr>
            <w:r>
              <w:rPr>
                <w:rFonts w:ascii="Times New Roman" w:cs="Times New Roman" w:eastAsia="Times New Roman" w:hAnsi="Times New Roman"/>
                <w:sz w:val="13"/>
                <w:szCs w:val="13"/>
                <w:color w:val="auto"/>
              </w:rPr>
              <w:t>credit a 7% Performance Rate at the end of the Term.</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44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380" w:type="dxa"/>
            <w:vAlign w:val="bottom"/>
            <w:tcBorders>
              <w:right w:val="single" w:sz="8" w:color="auto"/>
            </w:tcBorders>
            <w:gridSpan w:val="42"/>
          </w:tcPr>
          <w:p>
            <w:pPr>
              <w:spacing w:after="0" w:line="139" w:lineRule="exact"/>
              <w:rPr>
                <w:sz w:val="20"/>
                <w:szCs w:val="20"/>
                <w:color w:val="auto"/>
              </w:rPr>
            </w:pPr>
            <w:r>
              <w:rPr>
                <w:rFonts w:ascii="Times New Roman" w:cs="Times New Roman" w:eastAsia="Times New Roman" w:hAnsi="Times New Roman"/>
                <w:sz w:val="13"/>
                <w:szCs w:val="13"/>
                <w:color w:val="auto"/>
              </w:rPr>
              <w:t>The Shield Rate, as applicable, will limit the negative Index returns (e.g.,</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auto"/>
            </w:tcBorders>
            <w:gridSpan w:val="2"/>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44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380" w:type="dxa"/>
            <w:vAlign w:val="bottom"/>
            <w:tcBorders>
              <w:right w:val="single" w:sz="8" w:color="auto"/>
            </w:tcBorders>
            <w:gridSpan w:val="42"/>
          </w:tcPr>
          <w:p>
            <w:pPr>
              <w:spacing w:after="0" w:line="139" w:lineRule="exact"/>
              <w:rPr>
                <w:sz w:val="20"/>
                <w:szCs w:val="20"/>
                <w:color w:val="auto"/>
              </w:rPr>
            </w:pPr>
            <w:r>
              <w:rPr>
                <w:rFonts w:ascii="Times New Roman" w:cs="Times New Roman" w:eastAsia="Times New Roman" w:hAnsi="Times New Roman"/>
                <w:sz w:val="13"/>
                <w:szCs w:val="13"/>
                <w:color w:val="auto"/>
              </w:rPr>
              <w:t>limited protection in the case of market decline). For example, if the Index</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44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380" w:type="dxa"/>
            <w:vAlign w:val="bottom"/>
            <w:tcBorders>
              <w:right w:val="single" w:sz="8" w:color="auto"/>
            </w:tcBorders>
            <w:gridSpan w:val="42"/>
          </w:tcPr>
          <w:p>
            <w:pPr>
              <w:spacing w:after="0" w:line="139" w:lineRule="exact"/>
              <w:rPr>
                <w:sz w:val="20"/>
                <w:szCs w:val="20"/>
                <w:color w:val="auto"/>
              </w:rPr>
            </w:pPr>
            <w:r>
              <w:rPr>
                <w:rFonts w:ascii="Times New Roman" w:cs="Times New Roman" w:eastAsia="Times New Roman" w:hAnsi="Times New Roman"/>
                <w:sz w:val="13"/>
                <w:szCs w:val="13"/>
                <w:color w:val="auto"/>
              </w:rPr>
              <w:t>Performance is -25%, and you invest in a Shield Option with a 10% Shield</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44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380" w:type="dxa"/>
            <w:vAlign w:val="bottom"/>
            <w:tcBorders>
              <w:right w:val="single" w:sz="8" w:color="auto"/>
            </w:tcBorders>
            <w:gridSpan w:val="42"/>
          </w:tcPr>
          <w:p>
            <w:pPr>
              <w:spacing w:after="0" w:line="139" w:lineRule="exact"/>
              <w:rPr>
                <w:sz w:val="20"/>
                <w:szCs w:val="20"/>
                <w:color w:val="auto"/>
              </w:rPr>
            </w:pPr>
            <w:r>
              <w:rPr>
                <w:rFonts w:ascii="Times New Roman" w:cs="Times New Roman" w:eastAsia="Times New Roman" w:hAnsi="Times New Roman"/>
                <w:sz w:val="13"/>
                <w:szCs w:val="13"/>
                <w:color w:val="auto"/>
              </w:rPr>
              <w:t>Rate, we will credit a -15% Performance Rate (the amount of negative Index</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360" w:type="dxa"/>
            <w:vAlign w:val="bottom"/>
            <w:tcBorders>
              <w:left w:val="single" w:sz="8" w:color="auto"/>
            </w:tcBorders>
            <w:gridSpan w:val="4"/>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340" w:type="dxa"/>
            <w:vAlign w:val="bottom"/>
            <w:tcBorders>
              <w:left w:val="single" w:sz="8" w:color="auto"/>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44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380" w:type="dxa"/>
            <w:vAlign w:val="bottom"/>
            <w:tcBorders>
              <w:right w:val="single" w:sz="8" w:color="auto"/>
            </w:tcBorders>
            <w:gridSpan w:val="42"/>
          </w:tcPr>
          <w:p>
            <w:pPr>
              <w:spacing w:after="0" w:line="139" w:lineRule="exact"/>
              <w:rPr>
                <w:sz w:val="20"/>
                <w:szCs w:val="20"/>
                <w:color w:val="auto"/>
              </w:rPr>
            </w:pPr>
            <w:r>
              <w:rPr>
                <w:rFonts w:ascii="Times New Roman" w:cs="Times New Roman" w:eastAsia="Times New Roman" w:hAnsi="Times New Roman"/>
                <w:sz w:val="13"/>
                <w:szCs w:val="13"/>
                <w:color w:val="auto"/>
              </w:rPr>
              <w:t>Performance that exceeds the Shield Rate) at the end of the Term.</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auto"/>
            </w:tcBorders>
            <w:gridSpan w:val="3"/>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360" w:type="dxa"/>
            <w:vAlign w:val="bottom"/>
            <w:tcBorders>
              <w:left w:val="single" w:sz="8" w:color="auto"/>
            </w:tcBorders>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200" w:type="dxa"/>
            <w:vAlign w:val="bottom"/>
            <w:tcBorders>
              <w:left w:val="single" w:sz="8" w:color="auto"/>
            </w:tcBorders>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44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380" w:type="dxa"/>
            <w:vAlign w:val="bottom"/>
            <w:tcBorders>
              <w:right w:val="single" w:sz="8" w:color="auto"/>
            </w:tcBorders>
            <w:gridSpan w:val="42"/>
          </w:tcPr>
          <w:p>
            <w:pPr>
              <w:spacing w:after="0" w:line="139" w:lineRule="exact"/>
              <w:rPr>
                <w:sz w:val="20"/>
                <w:szCs w:val="20"/>
                <w:color w:val="auto"/>
              </w:rPr>
            </w:pPr>
            <w:r>
              <w:rPr>
                <w:rFonts w:ascii="Times New Roman" w:cs="Times New Roman" w:eastAsia="Times New Roman" w:hAnsi="Times New Roman"/>
                <w:sz w:val="13"/>
                <w:szCs w:val="13"/>
                <w:color w:val="auto"/>
              </w:rPr>
              <w:t>Each Index is a “price return index,” not a “total return index,” and therefore</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44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380" w:type="dxa"/>
            <w:vAlign w:val="bottom"/>
            <w:tcBorders>
              <w:right w:val="single" w:sz="8" w:color="auto"/>
            </w:tcBorders>
            <w:gridSpan w:val="42"/>
          </w:tcPr>
          <w:p>
            <w:pPr>
              <w:spacing w:after="0" w:line="139" w:lineRule="exact"/>
              <w:rPr>
                <w:sz w:val="20"/>
                <w:szCs w:val="20"/>
                <w:color w:val="auto"/>
              </w:rPr>
            </w:pPr>
            <w:r>
              <w:rPr>
                <w:rFonts w:ascii="Times New Roman" w:cs="Times New Roman" w:eastAsia="Times New Roman" w:hAnsi="Times New Roman"/>
                <w:sz w:val="13"/>
                <w:szCs w:val="13"/>
                <w:color w:val="auto"/>
              </w:rPr>
              <w:t>does not reflect dividends declared by any of the companies in the Index. This</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tcBorders>
              <w:right w:val="single" w:sz="8" w:color="auto"/>
            </w:tcBorders>
            <w:gridSpan w:val="2"/>
          </w:tcPr>
          <w:p>
            <w:pPr>
              <w:spacing w:after="0" w:line="20" w:lineRule="exact"/>
              <w:rPr>
                <w:sz w:val="1"/>
                <w:szCs w:val="1"/>
                <w:color w:val="auto"/>
              </w:rPr>
            </w:pPr>
          </w:p>
        </w:tc>
        <w:tc>
          <w:tcPr>
            <w:tcW w:w="240" w:type="dxa"/>
            <w:vAlign w:val="bottom"/>
            <w:gridSpan w:val="5"/>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44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380" w:type="dxa"/>
            <w:vAlign w:val="bottom"/>
            <w:tcBorders>
              <w:right w:val="single" w:sz="8" w:color="auto"/>
            </w:tcBorders>
            <w:gridSpan w:val="42"/>
          </w:tcPr>
          <w:p>
            <w:pPr>
              <w:spacing w:after="0" w:line="139" w:lineRule="exact"/>
              <w:rPr>
                <w:sz w:val="20"/>
                <w:szCs w:val="20"/>
                <w:color w:val="auto"/>
              </w:rPr>
            </w:pPr>
            <w:r>
              <w:rPr>
                <w:rFonts w:ascii="Times New Roman" w:cs="Times New Roman" w:eastAsia="Times New Roman" w:hAnsi="Times New Roman"/>
                <w:sz w:val="13"/>
                <w:szCs w:val="13"/>
                <w:color w:val="auto"/>
              </w:rPr>
              <w:t>will reduce the Index Performance and will cause the Index to underperform a</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gridSpan w:val="4"/>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44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380" w:type="dxa"/>
            <w:vAlign w:val="bottom"/>
            <w:tcBorders>
              <w:right w:val="single" w:sz="8" w:color="auto"/>
            </w:tcBorders>
            <w:gridSpan w:val="42"/>
          </w:tcPr>
          <w:p>
            <w:pPr>
              <w:spacing w:after="0" w:line="139" w:lineRule="exact"/>
              <w:rPr>
                <w:sz w:val="20"/>
                <w:szCs w:val="20"/>
                <w:color w:val="auto"/>
              </w:rPr>
            </w:pPr>
            <w:r>
              <w:rPr>
                <w:rFonts w:ascii="Times New Roman" w:cs="Times New Roman" w:eastAsia="Times New Roman" w:hAnsi="Times New Roman"/>
                <w:sz w:val="13"/>
                <w:szCs w:val="13"/>
                <w:color w:val="auto"/>
              </w:rPr>
              <w:t>direct investment in the securities composing the Index.</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1440" w:type="dxa"/>
            <w:vAlign w:val="bottom"/>
            <w:tcBorders>
              <w:left w:val="single" w:sz="8" w:color="auto"/>
              <w:bottom w:val="single" w:sz="8" w:color="auto"/>
              <w:right w:val="single" w:sz="8" w:color="auto"/>
            </w:tcBorders>
          </w:tcPr>
          <w:p>
            <w:pPr>
              <w:spacing w:after="0"/>
              <w:rPr>
                <w:sz w:val="6"/>
                <w:szCs w:val="6"/>
                <w:color w:val="auto"/>
              </w:rPr>
            </w:pPr>
          </w:p>
        </w:tc>
        <w:tc>
          <w:tcPr>
            <w:tcW w:w="2680" w:type="dxa"/>
            <w:vAlign w:val="bottom"/>
            <w:tcBorders>
              <w:bottom w:val="single" w:sz="8" w:color="auto"/>
            </w:tcBorders>
            <w:gridSpan w:val="26"/>
          </w:tcPr>
          <w:p>
            <w:pPr>
              <w:spacing w:after="0"/>
              <w:rPr>
                <w:sz w:val="6"/>
                <w:szCs w:val="6"/>
                <w:color w:val="auto"/>
              </w:rPr>
            </w:pPr>
          </w:p>
        </w:tc>
        <w:tc>
          <w:tcPr>
            <w:tcW w:w="340" w:type="dxa"/>
            <w:vAlign w:val="bottom"/>
            <w:tcBorders>
              <w:top w:val="single" w:sz="8" w:color="auto"/>
              <w:bottom w:val="single" w:sz="8" w:color="auto"/>
            </w:tcBorders>
            <w:gridSpan w:val="2"/>
          </w:tcPr>
          <w:p>
            <w:pPr>
              <w:spacing w:after="0"/>
              <w:rPr>
                <w:sz w:val="6"/>
                <w:szCs w:val="6"/>
                <w:color w:val="auto"/>
              </w:rPr>
            </w:pPr>
          </w:p>
        </w:tc>
        <w:tc>
          <w:tcPr>
            <w:tcW w:w="1420" w:type="dxa"/>
            <w:vAlign w:val="bottom"/>
            <w:tcBorders>
              <w:bottom w:val="single" w:sz="8" w:color="auto"/>
              <w:right w:val="single" w:sz="8" w:color="auto"/>
            </w:tcBorders>
            <w:gridSpan w:val="15"/>
          </w:tcPr>
          <w:p>
            <w:pPr>
              <w:spacing w:after="0"/>
              <w:rPr>
                <w:sz w:val="6"/>
                <w:szCs w:val="6"/>
                <w:color w:val="auto"/>
              </w:rPr>
            </w:pPr>
          </w:p>
        </w:tc>
        <w:tc>
          <w:tcPr>
            <w:tcW w:w="1360" w:type="dxa"/>
            <w:vAlign w:val="bottom"/>
            <w:tcBorders>
              <w:bottom w:val="single" w:sz="8" w:color="auto"/>
              <w:right w:val="single" w:sz="8" w:color="auto"/>
            </w:tcBorders>
            <w:gridSpan w:val="12"/>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1440" w:type="dxa"/>
            <w:vAlign w:val="bottom"/>
            <w:tcBorders>
              <w:left w:val="single" w:sz="8" w:color="auto"/>
              <w:right w:val="single" w:sz="8" w:color="auto"/>
            </w:tcBorders>
            <w:shd w:val="clear" w:color="auto" w:fill="F0FFFF"/>
          </w:tcPr>
          <w:p>
            <w:pPr>
              <w:ind w:left="60"/>
              <w:spacing w:after="0" w:line="139" w:lineRule="exact"/>
              <w:rPr>
                <w:sz w:val="20"/>
                <w:szCs w:val="20"/>
                <w:color w:val="auto"/>
              </w:rPr>
            </w:pPr>
            <w:r>
              <w:rPr>
                <w:rFonts w:ascii="Times New Roman" w:cs="Times New Roman" w:eastAsia="Times New Roman" w:hAnsi="Times New Roman"/>
                <w:sz w:val="13"/>
                <w:szCs w:val="13"/>
                <w:b w:val="1"/>
                <w:bCs w:val="1"/>
                <w:color w:val="auto"/>
              </w:rPr>
              <w:t>What are the Risks</w:t>
            </w:r>
          </w:p>
        </w:tc>
        <w:tc>
          <w:tcPr>
            <w:tcW w:w="60" w:type="dxa"/>
            <w:vAlign w:val="bottom"/>
            <w:shd w:val="clear" w:color="auto" w:fill="F0FFFF"/>
          </w:tcPr>
          <w:p>
            <w:pPr>
              <w:spacing w:after="0"/>
              <w:rPr>
                <w:sz w:val="12"/>
                <w:szCs w:val="12"/>
                <w:color w:val="auto"/>
              </w:rPr>
            </w:pPr>
          </w:p>
        </w:tc>
        <w:tc>
          <w:tcPr>
            <w:tcW w:w="4380" w:type="dxa"/>
            <w:vAlign w:val="bottom"/>
            <w:tcBorders>
              <w:right w:val="single" w:sz="8" w:color="auto"/>
            </w:tcBorders>
            <w:gridSpan w:val="42"/>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An investment in the Contract is subject to the risks related to us. Any</w:t>
            </w:r>
          </w:p>
        </w:tc>
        <w:tc>
          <w:tcPr>
            <w:tcW w:w="80" w:type="dxa"/>
            <w:vAlign w:val="bottom"/>
            <w:tcBorders>
              <w:right w:val="single" w:sz="8" w:color="F0FFFF"/>
            </w:tcBorders>
            <w:shd w:val="clear" w:color="auto" w:fill="F0FFFF"/>
          </w:tcPr>
          <w:p>
            <w:pPr>
              <w:spacing w:after="0"/>
              <w:rPr>
                <w:sz w:val="12"/>
                <w:szCs w:val="12"/>
                <w:color w:val="auto"/>
              </w:rPr>
            </w:pPr>
          </w:p>
        </w:tc>
        <w:tc>
          <w:tcPr>
            <w:tcW w:w="1280" w:type="dxa"/>
            <w:vAlign w:val="bottom"/>
            <w:tcBorders>
              <w:right w:val="single" w:sz="8" w:color="auto"/>
            </w:tcBorders>
            <w:gridSpan w:val="11"/>
            <w:shd w:val="clear" w:color="auto" w:fill="F0FFFF"/>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PRINCIPAL RISKS</w:t>
            </w: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vMerge w:val="restart"/>
            <w:shd w:val="clear" w:color="auto" w:fill="F0FFFF"/>
          </w:tcPr>
          <w:p>
            <w:pPr>
              <w:ind w:left="60"/>
              <w:spacing w:after="0"/>
              <w:rPr>
                <w:sz w:val="20"/>
                <w:szCs w:val="20"/>
                <w:color w:val="auto"/>
              </w:rPr>
            </w:pPr>
            <w:r>
              <w:rPr>
                <w:rFonts w:ascii="Times New Roman" w:cs="Times New Roman" w:eastAsia="Times New Roman" w:hAnsi="Times New Roman"/>
                <w:sz w:val="13"/>
                <w:szCs w:val="13"/>
                <w:b w:val="1"/>
                <w:bCs w:val="1"/>
                <w:color w:val="auto"/>
              </w:rPr>
              <w:t>Related to the</w:t>
            </w:r>
          </w:p>
        </w:tc>
        <w:tc>
          <w:tcPr>
            <w:tcW w:w="60" w:type="dxa"/>
            <w:vAlign w:val="bottom"/>
            <w:shd w:val="clear" w:color="auto" w:fill="F0FFFF"/>
          </w:tcPr>
          <w:p>
            <w:pPr>
              <w:spacing w:after="0" w:line="20" w:lineRule="exact"/>
              <w:rPr>
                <w:sz w:val="1"/>
                <w:szCs w:val="1"/>
                <w:color w:val="auto"/>
              </w:rPr>
            </w:pPr>
          </w:p>
        </w:tc>
        <w:tc>
          <w:tcPr>
            <w:tcW w:w="260" w:type="dxa"/>
            <w:vAlign w:val="bottom"/>
            <w:tcBorders>
              <w:right w:val="single" w:sz="8" w:color="F0FFFF"/>
            </w:tcBorders>
            <w:gridSpan w:val="2"/>
            <w:shd w:val="clear" w:color="auto" w:fill="F0FFFF"/>
          </w:tcPr>
          <w:p>
            <w:pPr>
              <w:spacing w:after="0" w:line="20" w:lineRule="exact"/>
              <w:rPr>
                <w:sz w:val="1"/>
                <w:szCs w:val="1"/>
                <w:color w:val="auto"/>
              </w:rPr>
            </w:pPr>
          </w:p>
        </w:tc>
        <w:tc>
          <w:tcPr>
            <w:tcW w:w="600" w:type="dxa"/>
            <w:vAlign w:val="bottom"/>
            <w:tcBorders>
              <w:right w:val="single" w:sz="8" w:color="F0FFFF"/>
            </w:tcBorders>
            <w:gridSpan w:val="7"/>
            <w:shd w:val="clear" w:color="auto" w:fill="F0FFFF"/>
          </w:tcPr>
          <w:p>
            <w:pPr>
              <w:spacing w:after="0" w:line="20" w:lineRule="exact"/>
              <w:rPr>
                <w:sz w:val="1"/>
                <w:szCs w:val="1"/>
                <w:color w:val="auto"/>
              </w:rPr>
            </w:pPr>
          </w:p>
        </w:tc>
        <w:tc>
          <w:tcPr>
            <w:tcW w:w="340" w:type="dxa"/>
            <w:vAlign w:val="bottom"/>
            <w:tcBorders>
              <w:left w:val="single" w:sz="8" w:color="F0FFFF"/>
              <w:right w:val="single" w:sz="8" w:color="auto"/>
            </w:tcBorders>
            <w:shd w:val="clear" w:color="auto" w:fill="F0FFFF"/>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tcBorders>
              <w:right w:val="single" w:sz="8" w:color="F0FFFF"/>
            </w:tcBorders>
            <w:shd w:val="clear" w:color="auto" w:fill="F0FFFF"/>
          </w:tcPr>
          <w:p>
            <w:pPr>
              <w:spacing w:after="0" w:line="20" w:lineRule="exact"/>
              <w:rPr>
                <w:sz w:val="1"/>
                <w:szCs w:val="1"/>
                <w:color w:val="auto"/>
              </w:rPr>
            </w:pPr>
          </w:p>
        </w:tc>
        <w:tc>
          <w:tcPr>
            <w:tcW w:w="560" w:type="dxa"/>
            <w:vAlign w:val="bottom"/>
            <w:tcBorders>
              <w:left w:val="single" w:sz="8" w:color="F0FFFF"/>
              <w:right w:val="single" w:sz="8" w:color="F0FFFF"/>
            </w:tcBorders>
            <w:gridSpan w:val="7"/>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6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tcBorders>
              <w:right w:val="single" w:sz="8" w:color="F0FFFF"/>
            </w:tcBorders>
            <w:gridSpan w:val="2"/>
            <w:shd w:val="clear" w:color="auto" w:fill="F0FFFF"/>
          </w:tcPr>
          <w:p>
            <w:pPr>
              <w:spacing w:after="0" w:line="20" w:lineRule="exact"/>
              <w:rPr>
                <w:sz w:val="1"/>
                <w:szCs w:val="1"/>
                <w:color w:val="auto"/>
              </w:rPr>
            </w:pPr>
          </w:p>
        </w:tc>
        <w:tc>
          <w:tcPr>
            <w:tcW w:w="220" w:type="dxa"/>
            <w:vAlign w:val="bottom"/>
            <w:tcBorders>
              <w:left w:val="single" w:sz="8" w:color="F0FFFF"/>
              <w:right w:val="single" w:sz="8" w:color="F0FFFF"/>
            </w:tcBorders>
            <w:gridSpan w:val="3"/>
            <w:shd w:val="clear" w:color="auto" w:fill="F0FFFF"/>
          </w:tcPr>
          <w:p>
            <w:pPr>
              <w:spacing w:after="0" w:line="20" w:lineRule="exact"/>
              <w:rPr>
                <w:sz w:val="1"/>
                <w:szCs w:val="1"/>
                <w:color w:val="auto"/>
              </w:rPr>
            </w:pPr>
          </w:p>
        </w:tc>
        <w:tc>
          <w:tcPr>
            <w:tcW w:w="200" w:type="dxa"/>
            <w:vAlign w:val="bottom"/>
            <w:tcBorders>
              <w:left w:val="single" w:sz="8" w:color="F0FFFF"/>
              <w:right w:val="single" w:sz="8" w:color="F0FFFF"/>
            </w:tcBorders>
            <w:gridSpan w:val="2"/>
            <w:shd w:val="clear" w:color="auto" w:fill="F0FFFF"/>
          </w:tcPr>
          <w:p>
            <w:pPr>
              <w:spacing w:after="0" w:line="20" w:lineRule="exact"/>
              <w:rPr>
                <w:sz w:val="1"/>
                <w:szCs w:val="1"/>
                <w:color w:val="auto"/>
              </w:rPr>
            </w:pPr>
          </w:p>
        </w:tc>
        <w:tc>
          <w:tcPr>
            <w:tcW w:w="440" w:type="dxa"/>
            <w:vAlign w:val="bottom"/>
            <w:tcBorders>
              <w:right w:val="single" w:sz="8" w:color="F0FFFF"/>
            </w:tcBorders>
            <w:gridSpan w:val="7"/>
            <w:shd w:val="clear" w:color="auto" w:fill="F0FFFF"/>
          </w:tcPr>
          <w:p>
            <w:pPr>
              <w:spacing w:after="0" w:line="20" w:lineRule="exact"/>
              <w:rPr>
                <w:sz w:val="1"/>
                <w:szCs w:val="1"/>
                <w:color w:val="auto"/>
              </w:rPr>
            </w:pPr>
          </w:p>
        </w:tc>
        <w:tc>
          <w:tcPr>
            <w:tcW w:w="340" w:type="dxa"/>
            <w:vAlign w:val="bottom"/>
            <w:tcBorders>
              <w:left w:val="single" w:sz="8" w:color="F0FFFF"/>
              <w:right w:val="single" w:sz="8" w:color="auto"/>
            </w:tcBorders>
            <w:gridSpan w:val="2"/>
            <w:shd w:val="clear" w:color="auto" w:fill="F0FFFF"/>
          </w:tcPr>
          <w:p>
            <w:pPr>
              <w:spacing w:after="0" w:line="20" w:lineRule="exact"/>
              <w:rPr>
                <w:sz w:val="1"/>
                <w:szCs w:val="1"/>
                <w:color w:val="auto"/>
              </w:rPr>
            </w:pPr>
          </w:p>
        </w:tc>
        <w:tc>
          <w:tcPr>
            <w:tcW w:w="80" w:type="dxa"/>
            <w:vAlign w:val="bottom"/>
            <w:tcBorders>
              <w:right w:val="single" w:sz="8" w:color="F0FFFF"/>
            </w:tcBorders>
            <w:shd w:val="clear" w:color="auto" w:fill="F0FFFF"/>
          </w:tcPr>
          <w:p>
            <w:pPr>
              <w:spacing w:after="0" w:line="20" w:lineRule="exact"/>
              <w:rPr>
                <w:sz w:val="1"/>
                <w:szCs w:val="1"/>
                <w:color w:val="auto"/>
              </w:rPr>
            </w:pPr>
          </w:p>
        </w:tc>
        <w:tc>
          <w:tcPr>
            <w:tcW w:w="1280" w:type="dxa"/>
            <w:vAlign w:val="bottom"/>
            <w:tcBorders>
              <w:right w:val="single" w:sz="8" w:color="auto"/>
            </w:tcBorders>
            <w:gridSpan w:val="11"/>
            <w:vMerge w:val="restart"/>
            <w:shd w:val="clear" w:color="auto" w:fill="F0FFFF"/>
          </w:tcPr>
          <w:p>
            <w:pPr>
              <w:spacing w:after="0"/>
              <w:rPr>
                <w:sz w:val="20"/>
                <w:szCs w:val="20"/>
                <w:color w:val="auto"/>
              </w:rPr>
            </w:pPr>
            <w:r>
              <w:rPr>
                <w:rFonts w:ascii="Times New Roman" w:cs="Times New Roman" w:eastAsia="Times New Roman" w:hAnsi="Times New Roman"/>
                <w:sz w:val="13"/>
                <w:szCs w:val="13"/>
                <w:b w:val="1"/>
                <w:bCs w:val="1"/>
                <w:color w:val="auto"/>
              </w:rPr>
              <w:t>OF INVESTING IN</w:t>
            </w:r>
          </w:p>
        </w:tc>
        <w:tc>
          <w:tcPr>
            <w:tcW w:w="0" w:type="dxa"/>
            <w:vAlign w:val="bottom"/>
          </w:tcPr>
          <w:p>
            <w:pPr>
              <w:spacing w:after="0" w:line="20" w:lineRule="exact"/>
              <w:rPr>
                <w:sz w:val="1"/>
                <w:szCs w:val="1"/>
                <w:color w:val="auto"/>
              </w:rPr>
            </w:pPr>
          </w:p>
        </w:tc>
      </w:tr>
      <w:tr>
        <w:trPr>
          <w:trHeight w:val="139"/>
        </w:trPr>
        <w:tc>
          <w:tcPr>
            <w:tcW w:w="1440" w:type="dxa"/>
            <w:vAlign w:val="bottom"/>
            <w:tcBorders>
              <w:left w:val="single" w:sz="8" w:color="auto"/>
              <w:right w:val="single" w:sz="8" w:color="auto"/>
            </w:tcBorders>
            <w:vMerge w:val="continue"/>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4380" w:type="dxa"/>
            <w:vAlign w:val="bottom"/>
            <w:tcBorders>
              <w:right w:val="single" w:sz="8" w:color="auto"/>
            </w:tcBorders>
            <w:gridSpan w:val="42"/>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obligations (including under any Fixed Account and Shield Options),</w:t>
            </w:r>
          </w:p>
        </w:tc>
        <w:tc>
          <w:tcPr>
            <w:tcW w:w="80" w:type="dxa"/>
            <w:vAlign w:val="bottom"/>
            <w:tcBorders>
              <w:right w:val="single" w:sz="8" w:color="F0FFFF"/>
            </w:tcBorders>
            <w:shd w:val="clear" w:color="auto" w:fill="F0FFFF"/>
          </w:tcPr>
          <w:p>
            <w:pPr>
              <w:spacing w:after="0"/>
              <w:rPr>
                <w:sz w:val="12"/>
                <w:szCs w:val="12"/>
                <w:color w:val="auto"/>
              </w:rPr>
            </w:pPr>
          </w:p>
        </w:tc>
        <w:tc>
          <w:tcPr>
            <w:tcW w:w="1280" w:type="dxa"/>
            <w:vAlign w:val="bottom"/>
            <w:tcBorders>
              <w:right w:val="single" w:sz="8" w:color="auto"/>
            </w:tcBorders>
            <w:gridSpan w:val="11"/>
            <w:vMerge w:val="continue"/>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vMerge w:val="restart"/>
            <w:shd w:val="clear" w:color="auto" w:fill="F0FFFF"/>
          </w:tcPr>
          <w:p>
            <w:pPr>
              <w:ind w:left="60"/>
              <w:spacing w:after="0"/>
              <w:rPr>
                <w:sz w:val="20"/>
                <w:szCs w:val="20"/>
                <w:color w:val="auto"/>
              </w:rPr>
            </w:pPr>
            <w:r>
              <w:rPr>
                <w:rFonts w:ascii="Times New Roman" w:cs="Times New Roman" w:eastAsia="Times New Roman" w:hAnsi="Times New Roman"/>
                <w:sz w:val="13"/>
                <w:szCs w:val="13"/>
                <w:b w:val="1"/>
                <w:bCs w:val="1"/>
                <w:color w:val="auto"/>
              </w:rPr>
              <w:t>Insurance Company?</w:t>
            </w:r>
          </w:p>
        </w:tc>
        <w:tc>
          <w:tcPr>
            <w:tcW w:w="60" w:type="dxa"/>
            <w:vAlign w:val="bottom"/>
            <w:shd w:val="clear" w:color="auto" w:fill="F0FFFF"/>
          </w:tcPr>
          <w:p>
            <w:pPr>
              <w:spacing w:after="0" w:line="20" w:lineRule="exact"/>
              <w:rPr>
                <w:sz w:val="1"/>
                <w:szCs w:val="1"/>
                <w:color w:val="auto"/>
              </w:rPr>
            </w:pPr>
          </w:p>
        </w:tc>
        <w:tc>
          <w:tcPr>
            <w:tcW w:w="260" w:type="dxa"/>
            <w:vAlign w:val="bottom"/>
            <w:tcBorders>
              <w:right w:val="single" w:sz="8" w:color="F0FFFF"/>
            </w:tcBorders>
            <w:gridSpan w:val="2"/>
            <w:shd w:val="clear" w:color="auto" w:fill="F0FFFF"/>
          </w:tcPr>
          <w:p>
            <w:pPr>
              <w:spacing w:after="0" w:line="20" w:lineRule="exact"/>
              <w:rPr>
                <w:sz w:val="1"/>
                <w:szCs w:val="1"/>
                <w:color w:val="auto"/>
              </w:rPr>
            </w:pPr>
          </w:p>
        </w:tc>
        <w:tc>
          <w:tcPr>
            <w:tcW w:w="600" w:type="dxa"/>
            <w:vAlign w:val="bottom"/>
            <w:tcBorders>
              <w:right w:val="single" w:sz="8" w:color="F0FFFF"/>
            </w:tcBorders>
            <w:gridSpan w:val="7"/>
            <w:shd w:val="clear" w:color="auto" w:fill="F0FFFF"/>
          </w:tcPr>
          <w:p>
            <w:pPr>
              <w:spacing w:after="0" w:line="20" w:lineRule="exact"/>
              <w:rPr>
                <w:sz w:val="1"/>
                <w:szCs w:val="1"/>
                <w:color w:val="auto"/>
              </w:rPr>
            </w:pPr>
          </w:p>
        </w:tc>
        <w:tc>
          <w:tcPr>
            <w:tcW w:w="34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140" w:type="dxa"/>
            <w:vAlign w:val="bottom"/>
            <w:tcBorders>
              <w:right w:val="single" w:sz="8" w:color="F0FFFF"/>
            </w:tcBorders>
            <w:shd w:val="clear" w:color="auto" w:fill="F0FFFF"/>
          </w:tcPr>
          <w:p>
            <w:pPr>
              <w:spacing w:after="0" w:line="20" w:lineRule="exact"/>
              <w:rPr>
                <w:sz w:val="1"/>
                <w:szCs w:val="1"/>
                <w:color w:val="auto"/>
              </w:rPr>
            </w:pPr>
          </w:p>
        </w:tc>
        <w:tc>
          <w:tcPr>
            <w:tcW w:w="360" w:type="dxa"/>
            <w:vAlign w:val="bottom"/>
            <w:tcBorders>
              <w:right w:val="single" w:sz="8" w:color="F0FFFF"/>
            </w:tcBorders>
            <w:gridSpan w:val="4"/>
            <w:shd w:val="clear" w:color="auto" w:fill="F0FFFF"/>
          </w:tcPr>
          <w:p>
            <w:pPr>
              <w:spacing w:after="0" w:line="20" w:lineRule="exact"/>
              <w:rPr>
                <w:sz w:val="1"/>
                <w:szCs w:val="1"/>
                <w:color w:val="auto"/>
              </w:rPr>
            </w:pPr>
          </w:p>
        </w:tc>
        <w:tc>
          <w:tcPr>
            <w:tcW w:w="560" w:type="dxa"/>
            <w:vAlign w:val="bottom"/>
            <w:tcBorders>
              <w:left w:val="single" w:sz="8" w:color="F0FFFF"/>
              <w:right w:val="single" w:sz="8" w:color="auto"/>
            </w:tcBorders>
            <w:gridSpan w:val="7"/>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F0FF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F0FFFF"/>
          </w:tcPr>
          <w:p>
            <w:pPr>
              <w:spacing w:after="0" w:line="20" w:lineRule="exact"/>
              <w:rPr>
                <w:sz w:val="1"/>
                <w:szCs w:val="1"/>
                <w:color w:val="auto"/>
              </w:rPr>
            </w:pPr>
          </w:p>
        </w:tc>
        <w:tc>
          <w:tcPr>
            <w:tcW w:w="28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440" w:type="dxa"/>
            <w:vAlign w:val="bottom"/>
            <w:tcBorders>
              <w:right w:val="single" w:sz="8" w:color="F0FFFF"/>
            </w:tcBorders>
            <w:gridSpan w:val="7"/>
            <w:shd w:val="clear" w:color="auto" w:fill="F0FFFF"/>
          </w:tcPr>
          <w:p>
            <w:pPr>
              <w:spacing w:after="0" w:line="20" w:lineRule="exact"/>
              <w:rPr>
                <w:sz w:val="1"/>
                <w:szCs w:val="1"/>
                <w:color w:val="auto"/>
              </w:rPr>
            </w:pPr>
          </w:p>
        </w:tc>
        <w:tc>
          <w:tcPr>
            <w:tcW w:w="340" w:type="dxa"/>
            <w:vAlign w:val="bottom"/>
            <w:tcBorders>
              <w:left w:val="single" w:sz="8" w:color="F0FFFF"/>
              <w:right w:val="single" w:sz="8" w:color="auto"/>
            </w:tcBorders>
            <w:gridSpan w:val="2"/>
            <w:shd w:val="clear" w:color="auto" w:fill="F0FFFF"/>
          </w:tcPr>
          <w:p>
            <w:pPr>
              <w:spacing w:after="0" w:line="20" w:lineRule="exact"/>
              <w:rPr>
                <w:sz w:val="1"/>
                <w:szCs w:val="1"/>
                <w:color w:val="auto"/>
              </w:rPr>
            </w:pPr>
          </w:p>
        </w:tc>
        <w:tc>
          <w:tcPr>
            <w:tcW w:w="80" w:type="dxa"/>
            <w:vAlign w:val="bottom"/>
            <w:tcBorders>
              <w:right w:val="single" w:sz="8" w:color="F0FFFF"/>
            </w:tcBorders>
            <w:shd w:val="clear" w:color="auto" w:fill="F0FFFF"/>
          </w:tcPr>
          <w:p>
            <w:pPr>
              <w:spacing w:after="0" w:line="20" w:lineRule="exact"/>
              <w:rPr>
                <w:sz w:val="1"/>
                <w:szCs w:val="1"/>
                <w:color w:val="auto"/>
              </w:rPr>
            </w:pPr>
          </w:p>
        </w:tc>
        <w:tc>
          <w:tcPr>
            <w:tcW w:w="1280" w:type="dxa"/>
            <w:vAlign w:val="bottom"/>
            <w:tcBorders>
              <w:right w:val="single" w:sz="8" w:color="auto"/>
            </w:tcBorders>
            <w:gridSpan w:val="11"/>
            <w:vMerge w:val="restart"/>
            <w:shd w:val="clear" w:color="auto" w:fill="F0FFFF"/>
          </w:tcPr>
          <w:p>
            <w:pPr>
              <w:spacing w:after="0"/>
              <w:rPr>
                <w:sz w:val="20"/>
                <w:szCs w:val="20"/>
                <w:color w:val="auto"/>
              </w:rPr>
            </w:pPr>
            <w:r>
              <w:rPr>
                <w:rFonts w:ascii="Times New Roman" w:cs="Times New Roman" w:eastAsia="Times New Roman" w:hAnsi="Times New Roman"/>
                <w:sz w:val="13"/>
                <w:szCs w:val="13"/>
                <w:b w:val="1"/>
                <w:bCs w:val="1"/>
                <w:color w:val="auto"/>
              </w:rPr>
              <w:t>THE CONTRACT</w:t>
            </w:r>
          </w:p>
        </w:tc>
        <w:tc>
          <w:tcPr>
            <w:tcW w:w="0" w:type="dxa"/>
            <w:vAlign w:val="bottom"/>
          </w:tcPr>
          <w:p>
            <w:pPr>
              <w:spacing w:after="0" w:line="20" w:lineRule="exact"/>
              <w:rPr>
                <w:sz w:val="1"/>
                <w:szCs w:val="1"/>
                <w:color w:val="auto"/>
              </w:rPr>
            </w:pPr>
          </w:p>
        </w:tc>
      </w:tr>
      <w:tr>
        <w:trPr>
          <w:trHeight w:val="139"/>
        </w:trPr>
        <w:tc>
          <w:tcPr>
            <w:tcW w:w="1440" w:type="dxa"/>
            <w:vAlign w:val="bottom"/>
            <w:tcBorders>
              <w:left w:val="single" w:sz="8" w:color="auto"/>
              <w:right w:val="single" w:sz="8" w:color="auto"/>
            </w:tcBorders>
            <w:vMerge w:val="continue"/>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4380" w:type="dxa"/>
            <w:vAlign w:val="bottom"/>
            <w:tcBorders>
              <w:right w:val="single" w:sz="8" w:color="auto"/>
            </w:tcBorders>
            <w:gridSpan w:val="42"/>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guarantees, or benefits are subject to our claims-paying ability. More</w:t>
            </w:r>
          </w:p>
        </w:tc>
        <w:tc>
          <w:tcPr>
            <w:tcW w:w="80" w:type="dxa"/>
            <w:vAlign w:val="bottom"/>
            <w:tcBorders>
              <w:right w:val="single" w:sz="8" w:color="F0FFFF"/>
            </w:tcBorders>
            <w:shd w:val="clear" w:color="auto" w:fill="F0FFFF"/>
          </w:tcPr>
          <w:p>
            <w:pPr>
              <w:spacing w:after="0"/>
              <w:rPr>
                <w:sz w:val="12"/>
                <w:szCs w:val="12"/>
                <w:color w:val="auto"/>
              </w:rPr>
            </w:pPr>
          </w:p>
        </w:tc>
        <w:tc>
          <w:tcPr>
            <w:tcW w:w="1280" w:type="dxa"/>
            <w:vAlign w:val="bottom"/>
            <w:tcBorders>
              <w:right w:val="single" w:sz="8" w:color="auto"/>
            </w:tcBorders>
            <w:gridSpan w:val="11"/>
            <w:vMerge w:val="continue"/>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440" w:type="dxa"/>
            <w:vAlign w:val="bottom"/>
            <w:tcBorders>
              <w:top w:val="single" w:sz="8" w:color="F0FFFF"/>
              <w:left w:val="single" w:sz="8" w:color="auto"/>
              <w:right w:val="single" w:sz="8" w:color="auto"/>
            </w:tcBorders>
            <w:shd w:val="clear" w:color="auto" w:fill="F0FFFF"/>
          </w:tcPr>
          <w:p>
            <w:pPr>
              <w:spacing w:after="0"/>
              <w:rPr>
                <w:sz w:val="13"/>
                <w:szCs w:val="13"/>
                <w:color w:val="auto"/>
              </w:rPr>
            </w:pPr>
          </w:p>
        </w:tc>
        <w:tc>
          <w:tcPr>
            <w:tcW w:w="60" w:type="dxa"/>
            <w:vAlign w:val="bottom"/>
            <w:tcBorders>
              <w:top w:val="single" w:sz="8" w:color="F0FFFF"/>
            </w:tcBorders>
            <w:shd w:val="clear" w:color="auto" w:fill="F0FFFF"/>
          </w:tcPr>
          <w:p>
            <w:pPr>
              <w:spacing w:after="0"/>
              <w:rPr>
                <w:sz w:val="13"/>
                <w:szCs w:val="13"/>
                <w:color w:val="auto"/>
              </w:rPr>
            </w:pPr>
          </w:p>
        </w:tc>
        <w:tc>
          <w:tcPr>
            <w:tcW w:w="4380" w:type="dxa"/>
            <w:vAlign w:val="bottom"/>
            <w:tcBorders>
              <w:top w:val="single" w:sz="8" w:color="F0FFFF"/>
              <w:right w:val="single" w:sz="8" w:color="auto"/>
            </w:tcBorders>
            <w:gridSpan w:val="42"/>
            <w:shd w:val="clear" w:color="auto" w:fill="F0FFFF"/>
          </w:tcPr>
          <w:p>
            <w:pPr>
              <w:spacing w:after="0"/>
              <w:rPr>
                <w:sz w:val="20"/>
                <w:szCs w:val="20"/>
                <w:color w:val="auto"/>
              </w:rPr>
            </w:pPr>
            <w:r>
              <w:rPr>
                <w:rFonts w:ascii="Times New Roman" w:cs="Times New Roman" w:eastAsia="Times New Roman" w:hAnsi="Times New Roman"/>
                <w:sz w:val="13"/>
                <w:szCs w:val="13"/>
                <w:color w:val="auto"/>
              </w:rPr>
              <w:t>information about us, including our appliable financial strength ratings, is</w:t>
            </w:r>
          </w:p>
        </w:tc>
        <w:tc>
          <w:tcPr>
            <w:tcW w:w="80" w:type="dxa"/>
            <w:vAlign w:val="bottom"/>
            <w:tcBorders>
              <w:top w:val="single" w:sz="8" w:color="F0FFFF"/>
              <w:right w:val="single" w:sz="8" w:color="F0FFFF"/>
            </w:tcBorders>
            <w:shd w:val="clear" w:color="auto" w:fill="F0FFFF"/>
          </w:tcPr>
          <w:p>
            <w:pPr>
              <w:spacing w:after="0"/>
              <w:rPr>
                <w:sz w:val="13"/>
                <w:szCs w:val="13"/>
                <w:color w:val="auto"/>
              </w:rPr>
            </w:pPr>
          </w:p>
        </w:tc>
        <w:tc>
          <w:tcPr>
            <w:tcW w:w="300" w:type="dxa"/>
            <w:vAlign w:val="bottom"/>
            <w:tcBorders>
              <w:top w:val="single" w:sz="8" w:color="F0FFFF"/>
            </w:tcBorders>
            <w:shd w:val="clear" w:color="auto" w:fill="F0FFFF"/>
          </w:tcPr>
          <w:p>
            <w:pPr>
              <w:spacing w:after="0"/>
              <w:rPr>
                <w:sz w:val="13"/>
                <w:szCs w:val="13"/>
                <w:color w:val="auto"/>
              </w:rPr>
            </w:pPr>
          </w:p>
        </w:tc>
        <w:tc>
          <w:tcPr>
            <w:tcW w:w="120" w:type="dxa"/>
            <w:vAlign w:val="bottom"/>
            <w:tcBorders>
              <w:top w:val="single" w:sz="8" w:color="auto"/>
              <w:left w:val="single" w:sz="8" w:color="F0FFFF"/>
            </w:tcBorders>
            <w:shd w:val="clear" w:color="auto" w:fill="F0FFFF"/>
          </w:tcPr>
          <w:p>
            <w:pPr>
              <w:spacing w:after="0"/>
              <w:rPr>
                <w:sz w:val="13"/>
                <w:szCs w:val="13"/>
                <w:color w:val="auto"/>
              </w:rPr>
            </w:pPr>
          </w:p>
        </w:tc>
        <w:tc>
          <w:tcPr>
            <w:tcW w:w="100" w:type="dxa"/>
            <w:vAlign w:val="bottom"/>
            <w:tcBorders>
              <w:top w:val="single" w:sz="8" w:color="auto"/>
            </w:tcBorders>
            <w:shd w:val="clear" w:color="auto" w:fill="F0FFFF"/>
          </w:tcPr>
          <w:p>
            <w:pPr>
              <w:spacing w:after="0"/>
              <w:rPr>
                <w:sz w:val="13"/>
                <w:szCs w:val="13"/>
                <w:color w:val="auto"/>
              </w:rPr>
            </w:pPr>
          </w:p>
        </w:tc>
        <w:tc>
          <w:tcPr>
            <w:tcW w:w="20" w:type="dxa"/>
            <w:vAlign w:val="bottom"/>
            <w:tcBorders>
              <w:top w:val="single" w:sz="8" w:color="auto"/>
            </w:tcBorders>
            <w:shd w:val="clear" w:color="auto" w:fill="F0FFFF"/>
          </w:tcPr>
          <w:p>
            <w:pPr>
              <w:spacing w:after="0"/>
              <w:rPr>
                <w:sz w:val="13"/>
                <w:szCs w:val="13"/>
                <w:color w:val="auto"/>
              </w:rPr>
            </w:pPr>
          </w:p>
        </w:tc>
        <w:tc>
          <w:tcPr>
            <w:tcW w:w="180" w:type="dxa"/>
            <w:vAlign w:val="bottom"/>
            <w:tcBorders>
              <w:top w:val="single" w:sz="8" w:color="auto"/>
              <w:right w:val="single" w:sz="8" w:color="F0FFFF"/>
            </w:tcBorders>
            <w:shd w:val="clear" w:color="auto" w:fill="F0FFFF"/>
          </w:tcPr>
          <w:p>
            <w:pPr>
              <w:spacing w:after="0"/>
              <w:rPr>
                <w:sz w:val="13"/>
                <w:szCs w:val="13"/>
                <w:color w:val="auto"/>
              </w:rPr>
            </w:pPr>
          </w:p>
        </w:tc>
        <w:tc>
          <w:tcPr>
            <w:tcW w:w="120" w:type="dxa"/>
            <w:vAlign w:val="bottom"/>
            <w:tcBorders>
              <w:top w:val="single" w:sz="8" w:color="auto"/>
            </w:tcBorders>
            <w:shd w:val="clear" w:color="auto" w:fill="F0FFFF"/>
          </w:tcPr>
          <w:p>
            <w:pPr>
              <w:spacing w:after="0"/>
              <w:rPr>
                <w:sz w:val="13"/>
                <w:szCs w:val="13"/>
                <w:color w:val="auto"/>
              </w:rPr>
            </w:pPr>
          </w:p>
        </w:tc>
        <w:tc>
          <w:tcPr>
            <w:tcW w:w="120" w:type="dxa"/>
            <w:vAlign w:val="bottom"/>
            <w:tcBorders>
              <w:top w:val="single" w:sz="8" w:color="auto"/>
            </w:tcBorders>
            <w:shd w:val="clear" w:color="auto" w:fill="F0FFFF"/>
          </w:tcPr>
          <w:p>
            <w:pPr>
              <w:spacing w:after="0"/>
              <w:rPr>
                <w:sz w:val="13"/>
                <w:szCs w:val="13"/>
                <w:color w:val="auto"/>
              </w:rPr>
            </w:pPr>
          </w:p>
        </w:tc>
        <w:tc>
          <w:tcPr>
            <w:tcW w:w="100" w:type="dxa"/>
            <w:vAlign w:val="bottom"/>
            <w:tcBorders>
              <w:top w:val="single" w:sz="8" w:color="auto"/>
            </w:tcBorders>
            <w:shd w:val="clear" w:color="auto" w:fill="F0FFFF"/>
          </w:tcPr>
          <w:p>
            <w:pPr>
              <w:spacing w:after="0"/>
              <w:rPr>
                <w:sz w:val="13"/>
                <w:szCs w:val="13"/>
                <w:color w:val="auto"/>
              </w:rPr>
            </w:pPr>
          </w:p>
        </w:tc>
        <w:tc>
          <w:tcPr>
            <w:tcW w:w="60" w:type="dxa"/>
            <w:vAlign w:val="bottom"/>
            <w:tcBorders>
              <w:top w:val="single" w:sz="8" w:color="F0FFFF"/>
            </w:tcBorders>
            <w:shd w:val="clear" w:color="auto" w:fill="F0FFFF"/>
          </w:tcPr>
          <w:p>
            <w:pPr>
              <w:spacing w:after="0"/>
              <w:rPr>
                <w:sz w:val="13"/>
                <w:szCs w:val="13"/>
                <w:color w:val="auto"/>
              </w:rPr>
            </w:pPr>
          </w:p>
        </w:tc>
        <w:tc>
          <w:tcPr>
            <w:tcW w:w="20" w:type="dxa"/>
            <w:vAlign w:val="bottom"/>
            <w:tcBorders>
              <w:top w:val="single" w:sz="8" w:color="F0FFFF"/>
            </w:tcBorders>
            <w:shd w:val="clear" w:color="auto" w:fill="F0FFFF"/>
          </w:tcPr>
          <w:p>
            <w:pPr>
              <w:spacing w:after="0"/>
              <w:rPr>
                <w:sz w:val="13"/>
                <w:szCs w:val="13"/>
                <w:color w:val="auto"/>
              </w:rPr>
            </w:pPr>
          </w:p>
        </w:tc>
        <w:tc>
          <w:tcPr>
            <w:tcW w:w="140" w:type="dxa"/>
            <w:vAlign w:val="bottom"/>
            <w:tcBorders>
              <w:top w:val="single" w:sz="8" w:color="F0FFFF"/>
              <w:right w:val="single" w:sz="8" w:color="auto"/>
            </w:tcBorders>
            <w:shd w:val="clear" w:color="auto" w:fill="F0FF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440" w:type="dxa"/>
            <w:vAlign w:val="bottom"/>
            <w:tcBorders>
              <w:left w:val="single" w:sz="8" w:color="auto"/>
              <w:bottom w:val="single" w:sz="8" w:color="auto"/>
              <w:right w:val="single" w:sz="8" w:color="auto"/>
            </w:tcBorders>
            <w:shd w:val="clear" w:color="auto" w:fill="F0FFFF"/>
          </w:tcPr>
          <w:p>
            <w:pPr>
              <w:spacing w:after="0"/>
              <w:rPr>
                <w:sz w:val="15"/>
                <w:szCs w:val="15"/>
                <w:color w:val="auto"/>
              </w:rPr>
            </w:pPr>
          </w:p>
        </w:tc>
        <w:tc>
          <w:tcPr>
            <w:tcW w:w="60" w:type="dxa"/>
            <w:vAlign w:val="bottom"/>
            <w:tcBorders>
              <w:bottom w:val="single" w:sz="8" w:color="auto"/>
            </w:tcBorders>
            <w:shd w:val="clear" w:color="auto" w:fill="F0FFFF"/>
          </w:tcPr>
          <w:p>
            <w:pPr>
              <w:spacing w:after="0"/>
              <w:rPr>
                <w:sz w:val="15"/>
                <w:szCs w:val="15"/>
                <w:color w:val="auto"/>
              </w:rPr>
            </w:pPr>
          </w:p>
        </w:tc>
        <w:tc>
          <w:tcPr>
            <w:tcW w:w="4380" w:type="dxa"/>
            <w:vAlign w:val="bottom"/>
            <w:tcBorders>
              <w:bottom w:val="single" w:sz="8" w:color="auto"/>
              <w:right w:val="single" w:sz="8" w:color="auto"/>
            </w:tcBorders>
            <w:gridSpan w:val="42"/>
            <w:shd w:val="clear" w:color="auto" w:fill="F0FFFF"/>
          </w:tcPr>
          <w:p>
            <w:pPr>
              <w:spacing w:after="0"/>
              <w:rPr>
                <w:sz w:val="20"/>
                <w:szCs w:val="20"/>
                <w:color w:val="auto"/>
              </w:rPr>
            </w:pPr>
            <w:r>
              <w:rPr>
                <w:rFonts w:ascii="Times New Roman" w:cs="Times New Roman" w:eastAsia="Times New Roman" w:hAnsi="Times New Roman"/>
                <w:sz w:val="13"/>
                <w:szCs w:val="13"/>
                <w:color w:val="auto"/>
              </w:rPr>
              <w:t>available upon request by contacting us at (888) 243-1968.</w:t>
            </w:r>
          </w:p>
        </w:tc>
        <w:tc>
          <w:tcPr>
            <w:tcW w:w="80" w:type="dxa"/>
            <w:vAlign w:val="bottom"/>
            <w:tcBorders>
              <w:bottom w:val="single" w:sz="8" w:color="auto"/>
              <w:right w:val="single" w:sz="8" w:color="F0FFFF"/>
            </w:tcBorders>
            <w:shd w:val="clear" w:color="auto" w:fill="F0FFFF"/>
          </w:tcPr>
          <w:p>
            <w:pPr>
              <w:spacing w:after="0"/>
              <w:rPr>
                <w:sz w:val="15"/>
                <w:szCs w:val="15"/>
                <w:color w:val="auto"/>
              </w:rPr>
            </w:pPr>
          </w:p>
        </w:tc>
        <w:tc>
          <w:tcPr>
            <w:tcW w:w="300" w:type="dxa"/>
            <w:vAlign w:val="bottom"/>
            <w:tcBorders>
              <w:bottom w:val="single" w:sz="8" w:color="auto"/>
            </w:tcBorders>
            <w:shd w:val="clear" w:color="auto" w:fill="F0FFFF"/>
          </w:tcPr>
          <w:p>
            <w:pPr>
              <w:spacing w:after="0"/>
              <w:rPr>
                <w:sz w:val="15"/>
                <w:szCs w:val="15"/>
                <w:color w:val="auto"/>
              </w:rPr>
            </w:pPr>
          </w:p>
        </w:tc>
        <w:tc>
          <w:tcPr>
            <w:tcW w:w="120" w:type="dxa"/>
            <w:vAlign w:val="bottom"/>
            <w:tcBorders>
              <w:left w:val="single" w:sz="8" w:color="F0FFFF"/>
              <w:bottom w:val="single" w:sz="8" w:color="auto"/>
            </w:tcBorders>
            <w:shd w:val="clear" w:color="auto" w:fill="F0FFFF"/>
          </w:tcPr>
          <w:p>
            <w:pPr>
              <w:spacing w:after="0"/>
              <w:rPr>
                <w:sz w:val="15"/>
                <w:szCs w:val="15"/>
                <w:color w:val="auto"/>
              </w:rPr>
            </w:pPr>
          </w:p>
        </w:tc>
        <w:tc>
          <w:tcPr>
            <w:tcW w:w="100" w:type="dxa"/>
            <w:vAlign w:val="bottom"/>
            <w:tcBorders>
              <w:bottom w:val="single" w:sz="8" w:color="auto"/>
            </w:tcBorders>
            <w:shd w:val="clear" w:color="auto" w:fill="F0FFFF"/>
          </w:tcPr>
          <w:p>
            <w:pPr>
              <w:spacing w:after="0"/>
              <w:rPr>
                <w:sz w:val="15"/>
                <w:szCs w:val="15"/>
                <w:color w:val="auto"/>
              </w:rPr>
            </w:pPr>
          </w:p>
        </w:tc>
        <w:tc>
          <w:tcPr>
            <w:tcW w:w="20" w:type="dxa"/>
            <w:vAlign w:val="bottom"/>
            <w:tcBorders>
              <w:bottom w:val="single" w:sz="8" w:color="auto"/>
            </w:tcBorders>
            <w:shd w:val="clear" w:color="auto" w:fill="F0FFFF"/>
          </w:tcPr>
          <w:p>
            <w:pPr>
              <w:spacing w:after="0"/>
              <w:rPr>
                <w:sz w:val="15"/>
                <w:szCs w:val="15"/>
                <w:color w:val="auto"/>
              </w:rPr>
            </w:pPr>
          </w:p>
        </w:tc>
        <w:tc>
          <w:tcPr>
            <w:tcW w:w="180" w:type="dxa"/>
            <w:vAlign w:val="bottom"/>
            <w:tcBorders>
              <w:bottom w:val="single" w:sz="8" w:color="auto"/>
              <w:right w:val="single" w:sz="8" w:color="F0FFFF"/>
            </w:tcBorders>
            <w:shd w:val="clear" w:color="auto" w:fill="F0FFFF"/>
          </w:tcPr>
          <w:p>
            <w:pPr>
              <w:spacing w:after="0"/>
              <w:rPr>
                <w:sz w:val="15"/>
                <w:szCs w:val="15"/>
                <w:color w:val="auto"/>
              </w:rPr>
            </w:pPr>
          </w:p>
        </w:tc>
        <w:tc>
          <w:tcPr>
            <w:tcW w:w="120" w:type="dxa"/>
            <w:vAlign w:val="bottom"/>
            <w:tcBorders>
              <w:bottom w:val="single" w:sz="8" w:color="auto"/>
            </w:tcBorders>
            <w:shd w:val="clear" w:color="auto" w:fill="F0FFFF"/>
          </w:tcPr>
          <w:p>
            <w:pPr>
              <w:spacing w:after="0"/>
              <w:rPr>
                <w:sz w:val="15"/>
                <w:szCs w:val="15"/>
                <w:color w:val="auto"/>
              </w:rPr>
            </w:pPr>
          </w:p>
        </w:tc>
        <w:tc>
          <w:tcPr>
            <w:tcW w:w="120" w:type="dxa"/>
            <w:vAlign w:val="bottom"/>
            <w:tcBorders>
              <w:bottom w:val="single" w:sz="8" w:color="auto"/>
            </w:tcBorders>
            <w:shd w:val="clear" w:color="auto" w:fill="F0FFFF"/>
          </w:tcPr>
          <w:p>
            <w:pPr>
              <w:spacing w:after="0"/>
              <w:rPr>
                <w:sz w:val="15"/>
                <w:szCs w:val="15"/>
                <w:color w:val="auto"/>
              </w:rPr>
            </w:pPr>
          </w:p>
        </w:tc>
        <w:tc>
          <w:tcPr>
            <w:tcW w:w="100" w:type="dxa"/>
            <w:vAlign w:val="bottom"/>
            <w:tcBorders>
              <w:bottom w:val="single" w:sz="8" w:color="auto"/>
            </w:tcBorders>
            <w:shd w:val="clear" w:color="auto" w:fill="F0FFFF"/>
          </w:tcPr>
          <w:p>
            <w:pPr>
              <w:spacing w:after="0"/>
              <w:rPr>
                <w:sz w:val="15"/>
                <w:szCs w:val="15"/>
                <w:color w:val="auto"/>
              </w:rPr>
            </w:pPr>
          </w:p>
        </w:tc>
        <w:tc>
          <w:tcPr>
            <w:tcW w:w="60" w:type="dxa"/>
            <w:vAlign w:val="bottom"/>
            <w:tcBorders>
              <w:bottom w:val="single" w:sz="8" w:color="auto"/>
            </w:tcBorders>
            <w:shd w:val="clear" w:color="auto" w:fill="F0FFFF"/>
          </w:tcPr>
          <w:p>
            <w:pPr>
              <w:spacing w:after="0"/>
              <w:rPr>
                <w:sz w:val="15"/>
                <w:szCs w:val="15"/>
                <w:color w:val="auto"/>
              </w:rPr>
            </w:pPr>
          </w:p>
        </w:tc>
        <w:tc>
          <w:tcPr>
            <w:tcW w:w="20" w:type="dxa"/>
            <w:vAlign w:val="bottom"/>
            <w:tcBorders>
              <w:bottom w:val="single" w:sz="8" w:color="auto"/>
            </w:tcBorders>
            <w:shd w:val="clear" w:color="auto" w:fill="F0FFFF"/>
          </w:tcPr>
          <w:p>
            <w:pPr>
              <w:spacing w:after="0"/>
              <w:rPr>
                <w:sz w:val="15"/>
                <w:szCs w:val="15"/>
                <w:color w:val="auto"/>
              </w:rPr>
            </w:pPr>
          </w:p>
        </w:tc>
        <w:tc>
          <w:tcPr>
            <w:tcW w:w="140" w:type="dxa"/>
            <w:vAlign w:val="bottom"/>
            <w:tcBorders>
              <w:bottom w:val="single" w:sz="8" w:color="auto"/>
              <w:right w:val="single" w:sz="8" w:color="auto"/>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440" w:type="dxa"/>
            <w:vAlign w:val="bottom"/>
            <w:tcBorders>
              <w:left w:val="single" w:sz="8" w:color="auto"/>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80" w:type="dxa"/>
            <w:vAlign w:val="bottom"/>
            <w:tcBorders>
              <w:bottom w:val="single" w:sz="8" w:color="auto"/>
              <w:right w:val="single" w:sz="8" w:color="auto"/>
            </w:tcBorders>
            <w:gridSpan w:val="27"/>
          </w:tcPr>
          <w:p>
            <w:pPr>
              <w:jc w:val="center"/>
              <w:ind w:right="1800"/>
              <w:spacing w:after="0"/>
              <w:rPr>
                <w:sz w:val="20"/>
                <w:szCs w:val="20"/>
                <w:color w:val="auto"/>
              </w:rPr>
            </w:pPr>
            <w:r>
              <w:rPr>
                <w:rFonts w:ascii="Times New Roman" w:cs="Times New Roman" w:eastAsia="Times New Roman" w:hAnsi="Times New Roman"/>
                <w:sz w:val="13"/>
                <w:szCs w:val="13"/>
                <w:b w:val="1"/>
                <w:bCs w:val="1"/>
                <w:color w:val="auto"/>
              </w:rPr>
              <w:t>Restrictions</w:t>
            </w: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440" w:type="dxa"/>
            <w:vAlign w:val="bottom"/>
            <w:tcBorders>
              <w:left w:val="single" w:sz="8" w:color="auto"/>
              <w:right w:val="single" w:sz="8" w:color="auto"/>
            </w:tcBorders>
            <w:shd w:val="clear" w:color="auto" w:fill="F0FFFF"/>
          </w:tcPr>
          <w:p>
            <w:pPr>
              <w:ind w:left="60"/>
              <w:spacing w:after="0" w:line="144" w:lineRule="exact"/>
              <w:rPr>
                <w:sz w:val="20"/>
                <w:szCs w:val="20"/>
                <w:color w:val="auto"/>
              </w:rPr>
            </w:pPr>
            <w:r>
              <w:rPr>
                <w:rFonts w:ascii="Times New Roman" w:cs="Times New Roman" w:eastAsia="Times New Roman" w:hAnsi="Times New Roman"/>
                <w:sz w:val="13"/>
                <w:szCs w:val="13"/>
                <w:b w:val="1"/>
                <w:bCs w:val="1"/>
                <w:color w:val="auto"/>
              </w:rPr>
              <w:t>Are There Restrictions</w:t>
            </w:r>
          </w:p>
        </w:tc>
        <w:tc>
          <w:tcPr>
            <w:tcW w:w="60" w:type="dxa"/>
            <w:vAlign w:val="bottom"/>
            <w:shd w:val="clear" w:color="auto" w:fill="F0FFFF"/>
          </w:tcPr>
          <w:p>
            <w:pPr>
              <w:spacing w:after="0"/>
              <w:rPr>
                <w:sz w:val="12"/>
                <w:szCs w:val="12"/>
                <w:color w:val="auto"/>
              </w:rPr>
            </w:pPr>
          </w:p>
        </w:tc>
        <w:tc>
          <w:tcPr>
            <w:tcW w:w="4380" w:type="dxa"/>
            <w:vAlign w:val="bottom"/>
            <w:tcBorders>
              <w:right w:val="single" w:sz="8" w:color="auto"/>
            </w:tcBorders>
            <w:gridSpan w:val="42"/>
            <w:shd w:val="clear" w:color="auto" w:fill="F0FFFF"/>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Yes.</w:t>
            </w:r>
          </w:p>
        </w:tc>
        <w:tc>
          <w:tcPr>
            <w:tcW w:w="80" w:type="dxa"/>
            <w:vAlign w:val="bottom"/>
            <w:tcBorders>
              <w:right w:val="single" w:sz="8" w:color="F0FFFF"/>
            </w:tcBorders>
            <w:shd w:val="clear" w:color="auto" w:fill="F0FFFF"/>
          </w:tcPr>
          <w:p>
            <w:pPr>
              <w:spacing w:after="0"/>
              <w:rPr>
                <w:sz w:val="12"/>
                <w:szCs w:val="12"/>
                <w:color w:val="auto"/>
              </w:rPr>
            </w:pPr>
          </w:p>
        </w:tc>
        <w:tc>
          <w:tcPr>
            <w:tcW w:w="1280" w:type="dxa"/>
            <w:vAlign w:val="bottom"/>
            <w:tcBorders>
              <w:right w:val="single" w:sz="8" w:color="auto"/>
            </w:tcBorders>
            <w:gridSpan w:val="11"/>
            <w:shd w:val="clear" w:color="auto" w:fill="F0FFFF"/>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PRINCIPAL RISKS</w:t>
            </w:r>
          </w:p>
        </w:tc>
        <w:tc>
          <w:tcPr>
            <w:tcW w:w="0" w:type="dxa"/>
            <w:vAlign w:val="bottom"/>
          </w:tcPr>
          <w:p>
            <w:pPr>
              <w:spacing w:after="0"/>
              <w:rPr>
                <w:sz w:val="1"/>
                <w:szCs w:val="1"/>
                <w:color w:val="auto"/>
              </w:rPr>
            </w:pPr>
          </w:p>
        </w:tc>
      </w:tr>
      <w:tr>
        <w:trPr>
          <w:trHeight w:val="139"/>
        </w:trPr>
        <w:tc>
          <w:tcPr>
            <w:tcW w:w="1440" w:type="dxa"/>
            <w:vAlign w:val="bottom"/>
            <w:tcBorders>
              <w:left w:val="single" w:sz="8" w:color="auto"/>
              <w:right w:val="single" w:sz="8" w:color="auto"/>
            </w:tcBorders>
            <w:shd w:val="clear" w:color="auto" w:fill="F0FFFF"/>
          </w:tcPr>
          <w:p>
            <w:pPr>
              <w:ind w:left="60"/>
              <w:spacing w:after="0" w:line="139" w:lineRule="exact"/>
              <w:rPr>
                <w:sz w:val="20"/>
                <w:szCs w:val="20"/>
                <w:color w:val="auto"/>
              </w:rPr>
            </w:pPr>
            <w:r>
              <w:rPr>
                <w:rFonts w:ascii="Times New Roman" w:cs="Times New Roman" w:eastAsia="Times New Roman" w:hAnsi="Times New Roman"/>
                <w:sz w:val="13"/>
                <w:szCs w:val="13"/>
                <w:b w:val="1"/>
                <w:bCs w:val="1"/>
                <w:color w:val="auto"/>
              </w:rPr>
              <w:t>on the Investment</w:t>
            </w:r>
          </w:p>
        </w:tc>
        <w:tc>
          <w:tcPr>
            <w:tcW w:w="60" w:type="dxa"/>
            <w:vAlign w:val="bottom"/>
            <w:shd w:val="clear" w:color="auto" w:fill="F0FFFF"/>
          </w:tcPr>
          <w:p>
            <w:pPr>
              <w:spacing w:after="0"/>
              <w:rPr>
                <w:sz w:val="12"/>
                <w:szCs w:val="12"/>
                <w:color w:val="auto"/>
              </w:rPr>
            </w:pPr>
          </w:p>
        </w:tc>
        <w:tc>
          <w:tcPr>
            <w:tcW w:w="140" w:type="dxa"/>
            <w:vAlign w:val="bottom"/>
            <w:tcBorders>
              <w:right w:val="single" w:sz="8" w:color="F0FFFF"/>
            </w:tcBorders>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tcBorders>
              <w:right w:val="single" w:sz="8" w:color="F0FFFF"/>
            </w:tcBorders>
            <w:shd w:val="clear" w:color="auto" w:fill="F0FFFF"/>
          </w:tcPr>
          <w:p>
            <w:pPr>
              <w:spacing w:after="0"/>
              <w:rPr>
                <w:sz w:val="12"/>
                <w:szCs w:val="12"/>
                <w:color w:val="auto"/>
              </w:rPr>
            </w:pPr>
          </w:p>
        </w:tc>
        <w:tc>
          <w:tcPr>
            <w:tcW w:w="100" w:type="dxa"/>
            <w:vAlign w:val="bottom"/>
            <w:tcBorders>
              <w:left w:val="single" w:sz="8" w:color="F0FFFF"/>
            </w:tcBorders>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0" w:type="dxa"/>
            <w:vAlign w:val="bottom"/>
            <w:tcBorders>
              <w:left w:val="single" w:sz="8" w:color="F0FFFF"/>
            </w:tcBorders>
            <w:shd w:val="clear" w:color="auto" w:fill="F0FFFF"/>
          </w:tcPr>
          <w:p>
            <w:pPr>
              <w:spacing w:after="0"/>
              <w:rPr>
                <w:sz w:val="12"/>
                <w:szCs w:val="12"/>
                <w:color w:val="auto"/>
              </w:rPr>
            </w:pPr>
          </w:p>
        </w:tc>
        <w:tc>
          <w:tcPr>
            <w:tcW w:w="100" w:type="dxa"/>
            <w:vAlign w:val="bottom"/>
            <w:tcBorders>
              <w:left w:val="single" w:sz="8" w:color="F0FFFF"/>
              <w:right w:val="single" w:sz="8" w:color="F0FFFF"/>
            </w:tcBorders>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40" w:type="dxa"/>
            <w:vAlign w:val="bottom"/>
            <w:tcBorders>
              <w:right w:val="single" w:sz="8" w:color="F0FFFF"/>
            </w:tcBorders>
            <w:shd w:val="clear" w:color="auto" w:fill="F0FFFF"/>
          </w:tcPr>
          <w:p>
            <w:pPr>
              <w:spacing w:after="0"/>
              <w:rPr>
                <w:sz w:val="12"/>
                <w:szCs w:val="12"/>
                <w:color w:val="auto"/>
              </w:rPr>
            </w:pPr>
          </w:p>
        </w:tc>
        <w:tc>
          <w:tcPr>
            <w:tcW w:w="340" w:type="dxa"/>
            <w:vAlign w:val="bottom"/>
            <w:tcBorders>
              <w:left w:val="single" w:sz="8" w:color="F0FFFF"/>
              <w:right w:val="single" w:sz="8" w:color="F0FFFF"/>
            </w:tcBorders>
            <w:shd w:val="clear" w:color="auto" w:fill="F0FFFF"/>
          </w:tcPr>
          <w:p>
            <w:pPr>
              <w:spacing w:after="0"/>
              <w:rPr>
                <w:sz w:val="12"/>
                <w:szCs w:val="12"/>
                <w:color w:val="auto"/>
              </w:rPr>
            </w:pPr>
          </w:p>
        </w:tc>
        <w:tc>
          <w:tcPr>
            <w:tcW w:w="140" w:type="dxa"/>
            <w:vAlign w:val="bottom"/>
            <w:tcBorders>
              <w:right w:val="single" w:sz="8" w:color="F0FFFF"/>
            </w:tcBorders>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0" w:type="dxa"/>
            <w:vAlign w:val="bottom"/>
            <w:tcBorders>
              <w:right w:val="single" w:sz="8" w:color="F0FFFF"/>
            </w:tcBorders>
            <w:shd w:val="clear" w:color="auto" w:fill="F0FFFF"/>
          </w:tcPr>
          <w:p>
            <w:pPr>
              <w:spacing w:after="0"/>
              <w:rPr>
                <w:sz w:val="12"/>
                <w:szCs w:val="12"/>
                <w:color w:val="auto"/>
              </w:rPr>
            </w:pPr>
          </w:p>
        </w:tc>
        <w:tc>
          <w:tcPr>
            <w:tcW w:w="60" w:type="dxa"/>
            <w:vAlign w:val="bottom"/>
            <w:tcBorders>
              <w:right w:val="single" w:sz="8" w:color="F0FFFF"/>
            </w:tcBorders>
            <w:shd w:val="clear" w:color="auto" w:fill="F0FFFF"/>
          </w:tcPr>
          <w:p>
            <w:pPr>
              <w:spacing w:after="0"/>
              <w:rPr>
                <w:sz w:val="12"/>
                <w:szCs w:val="12"/>
                <w:color w:val="auto"/>
              </w:rPr>
            </w:pPr>
          </w:p>
        </w:tc>
        <w:tc>
          <w:tcPr>
            <w:tcW w:w="80" w:type="dxa"/>
            <w:vAlign w:val="bottom"/>
            <w:tcBorders>
              <w:right w:val="single" w:sz="8" w:color="F0FFFF"/>
            </w:tcBorders>
            <w:shd w:val="clear" w:color="auto" w:fill="F0FFFF"/>
          </w:tcPr>
          <w:p>
            <w:pPr>
              <w:spacing w:after="0"/>
              <w:rPr>
                <w:sz w:val="12"/>
                <w:szCs w:val="12"/>
                <w:color w:val="auto"/>
              </w:rPr>
            </w:pPr>
          </w:p>
        </w:tc>
        <w:tc>
          <w:tcPr>
            <w:tcW w:w="100" w:type="dxa"/>
            <w:vAlign w:val="bottom"/>
            <w:tcBorders>
              <w:left w:val="single" w:sz="8" w:color="F0FFFF"/>
            </w:tcBorders>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100" w:type="dxa"/>
            <w:vAlign w:val="bottom"/>
            <w:tcBorders>
              <w:left w:val="single" w:sz="8" w:color="F0FFFF"/>
            </w:tcBorders>
            <w:shd w:val="clear" w:color="auto" w:fill="F0FFFF"/>
          </w:tcPr>
          <w:p>
            <w:pPr>
              <w:spacing w:after="0"/>
              <w:rPr>
                <w:sz w:val="12"/>
                <w:szCs w:val="12"/>
                <w:color w:val="auto"/>
              </w:rPr>
            </w:pPr>
          </w:p>
        </w:tc>
        <w:tc>
          <w:tcPr>
            <w:tcW w:w="40" w:type="dxa"/>
            <w:vAlign w:val="bottom"/>
            <w:tcBorders>
              <w:right w:val="single" w:sz="8" w:color="F0FFFF"/>
            </w:tcBorders>
            <w:shd w:val="clear" w:color="auto" w:fill="F0FFFF"/>
          </w:tcPr>
          <w:p>
            <w:pPr>
              <w:spacing w:after="0"/>
              <w:rPr>
                <w:sz w:val="12"/>
                <w:szCs w:val="12"/>
                <w:color w:val="auto"/>
              </w:rPr>
            </w:pPr>
          </w:p>
        </w:tc>
        <w:tc>
          <w:tcPr>
            <w:tcW w:w="120" w:type="dxa"/>
            <w:vAlign w:val="bottom"/>
            <w:tcBorders>
              <w:left w:val="single" w:sz="8" w:color="F0FFFF"/>
              <w:right w:val="single" w:sz="8" w:color="F0FFFF"/>
            </w:tcBorders>
            <w:shd w:val="clear" w:color="auto" w:fill="F0FFFF"/>
          </w:tcPr>
          <w:p>
            <w:pPr>
              <w:spacing w:after="0"/>
              <w:rPr>
                <w:sz w:val="12"/>
                <w:szCs w:val="12"/>
                <w:color w:val="auto"/>
              </w:rPr>
            </w:pPr>
          </w:p>
        </w:tc>
        <w:tc>
          <w:tcPr>
            <w:tcW w:w="100" w:type="dxa"/>
            <w:vAlign w:val="bottom"/>
            <w:tcBorders>
              <w:left w:val="single" w:sz="8" w:color="F0FFFF"/>
            </w:tcBorders>
            <w:shd w:val="clear" w:color="auto" w:fill="F0FFFF"/>
          </w:tcPr>
          <w:p>
            <w:pPr>
              <w:spacing w:after="0"/>
              <w:rPr>
                <w:sz w:val="12"/>
                <w:szCs w:val="12"/>
                <w:color w:val="auto"/>
              </w:rPr>
            </w:pPr>
          </w:p>
        </w:tc>
        <w:tc>
          <w:tcPr>
            <w:tcW w:w="60" w:type="dxa"/>
            <w:vAlign w:val="bottom"/>
            <w:tcBorders>
              <w:right w:val="single" w:sz="8" w:color="F0FFFF"/>
            </w:tcBorders>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60" w:type="dxa"/>
            <w:vAlign w:val="bottom"/>
            <w:tcBorders>
              <w:left w:val="single" w:sz="8" w:color="F0FFFF"/>
              <w:right w:val="single" w:sz="8" w:color="F0FFFF"/>
            </w:tcBorders>
            <w:shd w:val="clear" w:color="auto" w:fill="F0FFFF"/>
          </w:tcPr>
          <w:p>
            <w:pPr>
              <w:spacing w:after="0"/>
              <w:rPr>
                <w:sz w:val="12"/>
                <w:szCs w:val="12"/>
                <w:color w:val="auto"/>
              </w:rPr>
            </w:pPr>
          </w:p>
        </w:tc>
        <w:tc>
          <w:tcPr>
            <w:tcW w:w="280" w:type="dxa"/>
            <w:vAlign w:val="bottom"/>
            <w:tcBorders>
              <w:right w:val="single" w:sz="8" w:color="F0FFFF"/>
            </w:tcBorders>
            <w:shd w:val="clear" w:color="auto" w:fill="F0FFFF"/>
          </w:tcPr>
          <w:p>
            <w:pPr>
              <w:spacing w:after="0"/>
              <w:rPr>
                <w:sz w:val="12"/>
                <w:szCs w:val="12"/>
                <w:color w:val="auto"/>
              </w:rPr>
            </w:pPr>
          </w:p>
        </w:tc>
        <w:tc>
          <w:tcPr>
            <w:tcW w:w="60" w:type="dxa"/>
            <w:vAlign w:val="bottom"/>
            <w:tcBorders>
              <w:right w:val="single" w:sz="8" w:color="F0FFFF"/>
            </w:tcBorders>
            <w:shd w:val="clear" w:color="auto" w:fill="F0FFFF"/>
          </w:tcPr>
          <w:p>
            <w:pPr>
              <w:spacing w:after="0"/>
              <w:rPr>
                <w:sz w:val="12"/>
                <w:szCs w:val="12"/>
                <w:color w:val="auto"/>
              </w:rPr>
            </w:pPr>
          </w:p>
        </w:tc>
        <w:tc>
          <w:tcPr>
            <w:tcW w:w="220" w:type="dxa"/>
            <w:vAlign w:val="bottom"/>
            <w:tcBorders>
              <w:left w:val="single" w:sz="8" w:color="F0FFFF"/>
              <w:right w:val="single" w:sz="8" w:color="F0FFFF"/>
            </w:tcBorders>
            <w:shd w:val="clear" w:color="auto" w:fill="F0FFFF"/>
          </w:tcPr>
          <w:p>
            <w:pPr>
              <w:spacing w:after="0"/>
              <w:rPr>
                <w:sz w:val="12"/>
                <w:szCs w:val="12"/>
                <w:color w:val="auto"/>
              </w:rPr>
            </w:pPr>
          </w:p>
        </w:tc>
        <w:tc>
          <w:tcPr>
            <w:tcW w:w="80" w:type="dxa"/>
            <w:vAlign w:val="bottom"/>
            <w:tcBorders>
              <w:left w:val="single" w:sz="8" w:color="F0FFFF"/>
            </w:tcBorders>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80" w:type="dxa"/>
            <w:vAlign w:val="bottom"/>
            <w:tcBorders>
              <w:right w:val="single" w:sz="8" w:color="F0FFFF"/>
            </w:tcBorders>
            <w:shd w:val="clear" w:color="auto" w:fill="F0FFFF"/>
          </w:tcPr>
          <w:p>
            <w:pPr>
              <w:spacing w:after="0"/>
              <w:rPr>
                <w:sz w:val="12"/>
                <w:szCs w:val="12"/>
                <w:color w:val="auto"/>
              </w:rPr>
            </w:pPr>
          </w:p>
        </w:tc>
        <w:tc>
          <w:tcPr>
            <w:tcW w:w="80" w:type="dxa"/>
            <w:vAlign w:val="bottom"/>
            <w:tcBorders>
              <w:left w:val="single" w:sz="8" w:color="F0FFFF"/>
            </w:tcBorders>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0" w:type="dxa"/>
            <w:vAlign w:val="bottom"/>
            <w:tcBorders>
              <w:left w:val="single" w:sz="8" w:color="F0FFFF"/>
            </w:tcBorders>
            <w:shd w:val="clear" w:color="auto" w:fill="F0FFFF"/>
          </w:tcPr>
          <w:p>
            <w:pPr>
              <w:spacing w:after="0"/>
              <w:rPr>
                <w:sz w:val="12"/>
                <w:szCs w:val="12"/>
                <w:color w:val="auto"/>
              </w:rPr>
            </w:pPr>
          </w:p>
        </w:tc>
        <w:tc>
          <w:tcPr>
            <w:tcW w:w="100" w:type="dxa"/>
            <w:vAlign w:val="bottom"/>
            <w:tcBorders>
              <w:left w:val="single" w:sz="8" w:color="F0FFFF"/>
              <w:right w:val="single" w:sz="8" w:color="F0FFFF"/>
            </w:tcBorders>
            <w:shd w:val="clear" w:color="auto" w:fill="F0FFFF"/>
          </w:tcPr>
          <w:p>
            <w:pPr>
              <w:spacing w:after="0"/>
              <w:rPr>
                <w:sz w:val="12"/>
                <w:szCs w:val="12"/>
                <w:color w:val="auto"/>
              </w:rPr>
            </w:pPr>
          </w:p>
        </w:tc>
        <w:tc>
          <w:tcPr>
            <w:tcW w:w="200" w:type="dxa"/>
            <w:vAlign w:val="bottom"/>
            <w:tcBorders>
              <w:left w:val="single" w:sz="8" w:color="F0FFFF"/>
            </w:tcBorders>
            <w:shd w:val="clear" w:color="auto" w:fill="F0FFFF"/>
          </w:tcPr>
          <w:p>
            <w:pPr>
              <w:spacing w:after="0"/>
              <w:rPr>
                <w:sz w:val="12"/>
                <w:szCs w:val="12"/>
                <w:color w:val="auto"/>
              </w:rPr>
            </w:pPr>
          </w:p>
        </w:tc>
        <w:tc>
          <w:tcPr>
            <w:tcW w:w="140" w:type="dxa"/>
            <w:vAlign w:val="bottom"/>
            <w:tcBorders>
              <w:right w:val="single" w:sz="8" w:color="auto"/>
            </w:tcBorders>
            <w:shd w:val="clear" w:color="auto" w:fill="F0FFFF"/>
          </w:tcPr>
          <w:p>
            <w:pPr>
              <w:spacing w:after="0"/>
              <w:rPr>
                <w:sz w:val="12"/>
                <w:szCs w:val="12"/>
                <w:color w:val="auto"/>
              </w:rPr>
            </w:pPr>
          </w:p>
        </w:tc>
        <w:tc>
          <w:tcPr>
            <w:tcW w:w="80" w:type="dxa"/>
            <w:vAlign w:val="bottom"/>
            <w:tcBorders>
              <w:right w:val="single" w:sz="8" w:color="F0FFFF"/>
            </w:tcBorders>
            <w:shd w:val="clear" w:color="auto" w:fill="F0FFFF"/>
          </w:tcPr>
          <w:p>
            <w:pPr>
              <w:spacing w:after="0"/>
              <w:rPr>
                <w:sz w:val="12"/>
                <w:szCs w:val="12"/>
                <w:color w:val="auto"/>
              </w:rPr>
            </w:pPr>
          </w:p>
        </w:tc>
        <w:tc>
          <w:tcPr>
            <w:tcW w:w="1280" w:type="dxa"/>
            <w:vAlign w:val="bottom"/>
            <w:tcBorders>
              <w:right w:val="single" w:sz="8" w:color="auto"/>
            </w:tcBorders>
            <w:gridSpan w:val="11"/>
            <w:shd w:val="clear" w:color="auto" w:fill="F0FFFF"/>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OF INVESTING IN</w:t>
            </w:r>
          </w:p>
        </w:tc>
        <w:tc>
          <w:tcPr>
            <w:tcW w:w="0" w:type="dxa"/>
            <w:vAlign w:val="bottom"/>
          </w:tcPr>
          <w:p>
            <w:pPr>
              <w:spacing w:after="0"/>
              <w:rPr>
                <w:sz w:val="1"/>
                <w:szCs w:val="1"/>
                <w:color w:val="auto"/>
              </w:rPr>
            </w:pPr>
          </w:p>
        </w:tc>
      </w:tr>
      <w:tr>
        <w:trPr>
          <w:trHeight w:val="144"/>
        </w:trPr>
        <w:tc>
          <w:tcPr>
            <w:tcW w:w="1440" w:type="dxa"/>
            <w:vAlign w:val="bottom"/>
            <w:tcBorders>
              <w:left w:val="single" w:sz="8" w:color="auto"/>
              <w:right w:val="single" w:sz="8" w:color="auto"/>
            </w:tcBorders>
            <w:shd w:val="clear" w:color="auto" w:fill="F0FFFF"/>
          </w:tcPr>
          <w:p>
            <w:pPr>
              <w:ind w:left="60"/>
              <w:spacing w:after="0" w:line="144" w:lineRule="exact"/>
              <w:rPr>
                <w:sz w:val="20"/>
                <w:szCs w:val="20"/>
                <w:color w:val="auto"/>
              </w:rPr>
            </w:pPr>
            <w:r>
              <w:rPr>
                <w:rFonts w:ascii="Times New Roman" w:cs="Times New Roman" w:eastAsia="Times New Roman" w:hAnsi="Times New Roman"/>
                <w:sz w:val="13"/>
                <w:szCs w:val="13"/>
                <w:b w:val="1"/>
                <w:bCs w:val="1"/>
                <w:color w:val="auto"/>
              </w:rPr>
              <w:t>Options?</w:t>
            </w:r>
          </w:p>
        </w:tc>
        <w:tc>
          <w:tcPr>
            <w:tcW w:w="60" w:type="dxa"/>
            <w:vAlign w:val="bottom"/>
            <w:shd w:val="clear" w:color="auto" w:fill="F0FFFF"/>
          </w:tcPr>
          <w:p>
            <w:pPr>
              <w:spacing w:after="0"/>
              <w:rPr>
                <w:sz w:val="12"/>
                <w:szCs w:val="12"/>
                <w:color w:val="auto"/>
              </w:rPr>
            </w:pPr>
          </w:p>
        </w:tc>
        <w:tc>
          <w:tcPr>
            <w:tcW w:w="4380" w:type="dxa"/>
            <w:vAlign w:val="bottom"/>
            <w:tcBorders>
              <w:right w:val="single" w:sz="8" w:color="auto"/>
            </w:tcBorders>
            <w:gridSpan w:val="42"/>
            <w:shd w:val="clear" w:color="auto" w:fill="F0FFFF"/>
          </w:tcPr>
          <w:p>
            <w:pPr>
              <w:spacing w:after="0" w:line="144" w:lineRule="exact"/>
              <w:rPr>
                <w:sz w:val="20"/>
                <w:szCs w:val="20"/>
                <w:color w:val="auto"/>
              </w:rPr>
            </w:pPr>
            <w:r>
              <w:rPr>
                <w:rFonts w:ascii="Times New Roman" w:cs="Times New Roman" w:eastAsia="Times New Roman" w:hAnsi="Times New Roman"/>
                <w:sz w:val="13"/>
                <w:szCs w:val="13"/>
                <w:color w:val="auto"/>
              </w:rPr>
              <w:t>● Limits on transfers.</w:t>
            </w:r>
          </w:p>
        </w:tc>
        <w:tc>
          <w:tcPr>
            <w:tcW w:w="80" w:type="dxa"/>
            <w:vAlign w:val="bottom"/>
            <w:tcBorders>
              <w:right w:val="single" w:sz="8" w:color="F0FFFF"/>
            </w:tcBorders>
            <w:shd w:val="clear" w:color="auto" w:fill="F0FFFF"/>
          </w:tcPr>
          <w:p>
            <w:pPr>
              <w:spacing w:after="0"/>
              <w:rPr>
                <w:sz w:val="12"/>
                <w:szCs w:val="12"/>
                <w:color w:val="auto"/>
              </w:rPr>
            </w:pPr>
          </w:p>
        </w:tc>
        <w:tc>
          <w:tcPr>
            <w:tcW w:w="1280" w:type="dxa"/>
            <w:vAlign w:val="bottom"/>
            <w:tcBorders>
              <w:right w:val="single" w:sz="8" w:color="auto"/>
            </w:tcBorders>
            <w:gridSpan w:val="11"/>
            <w:shd w:val="clear" w:color="auto" w:fill="F0FFFF"/>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THE CONTRACT</w:t>
            </w:r>
          </w:p>
        </w:tc>
        <w:tc>
          <w:tcPr>
            <w:tcW w:w="0" w:type="dxa"/>
            <w:vAlign w:val="bottom"/>
          </w:tcPr>
          <w:p>
            <w:pPr>
              <w:spacing w:after="0"/>
              <w:rPr>
                <w:sz w:val="1"/>
                <w:szCs w:val="1"/>
                <w:color w:val="auto"/>
              </w:rPr>
            </w:pPr>
          </w:p>
        </w:tc>
      </w:tr>
      <w:tr>
        <w:trPr>
          <w:trHeight w:val="129"/>
        </w:trPr>
        <w:tc>
          <w:tcPr>
            <w:tcW w:w="1440" w:type="dxa"/>
            <w:vAlign w:val="bottom"/>
            <w:tcBorders>
              <w:top w:val="single" w:sz="8" w:color="F0FFFF"/>
              <w:left w:val="single" w:sz="8" w:color="auto"/>
              <w:right w:val="single" w:sz="8" w:color="auto"/>
            </w:tcBorders>
            <w:shd w:val="clear" w:color="auto" w:fill="F0FFFF"/>
          </w:tcPr>
          <w:p>
            <w:pPr>
              <w:spacing w:after="0"/>
              <w:rPr>
                <w:sz w:val="11"/>
                <w:szCs w:val="11"/>
                <w:color w:val="auto"/>
              </w:rPr>
            </w:pPr>
          </w:p>
        </w:tc>
        <w:tc>
          <w:tcPr>
            <w:tcW w:w="60" w:type="dxa"/>
            <w:vAlign w:val="bottom"/>
            <w:tcBorders>
              <w:top w:val="single" w:sz="8" w:color="F0FFFF"/>
            </w:tcBorders>
            <w:shd w:val="clear" w:color="auto" w:fill="F0FFFF"/>
          </w:tcPr>
          <w:p>
            <w:pPr>
              <w:spacing w:after="0"/>
              <w:rPr>
                <w:sz w:val="11"/>
                <w:szCs w:val="11"/>
                <w:color w:val="auto"/>
              </w:rPr>
            </w:pPr>
          </w:p>
        </w:tc>
        <w:tc>
          <w:tcPr>
            <w:tcW w:w="140" w:type="dxa"/>
            <w:vAlign w:val="bottom"/>
            <w:tcBorders>
              <w:top w:val="single" w:sz="8" w:color="F0FFFF"/>
              <w:right w:val="single" w:sz="8" w:color="F0FFFF"/>
            </w:tcBorders>
            <w:shd w:val="clear" w:color="auto" w:fill="F0FFFF"/>
          </w:tcPr>
          <w:p>
            <w:pPr>
              <w:spacing w:after="0"/>
              <w:rPr>
                <w:sz w:val="11"/>
                <w:szCs w:val="11"/>
                <w:color w:val="auto"/>
              </w:rPr>
            </w:pPr>
          </w:p>
        </w:tc>
        <w:tc>
          <w:tcPr>
            <w:tcW w:w="4240" w:type="dxa"/>
            <w:vAlign w:val="bottom"/>
            <w:tcBorders>
              <w:top w:val="single" w:sz="8" w:color="F0FFFF"/>
              <w:right w:val="single" w:sz="8" w:color="auto"/>
            </w:tcBorders>
            <w:gridSpan w:val="41"/>
            <w:shd w:val="clear" w:color="auto" w:fill="F0FFFF"/>
          </w:tcPr>
          <w:p>
            <w:pPr>
              <w:spacing w:after="0" w:line="129" w:lineRule="exact"/>
              <w:rPr>
                <w:sz w:val="20"/>
                <w:szCs w:val="20"/>
                <w:color w:val="auto"/>
              </w:rPr>
            </w:pPr>
            <w:r>
              <w:rPr>
                <w:rFonts w:ascii="Times New Roman" w:cs="Times New Roman" w:eastAsia="Times New Roman" w:hAnsi="Times New Roman"/>
                <w:sz w:val="13"/>
                <w:szCs w:val="13"/>
                <w:color w:val="auto"/>
              </w:rPr>
              <w:t>○  Transfers may only be made during the Accumulation Period, and only to</w:t>
            </w:r>
          </w:p>
        </w:tc>
        <w:tc>
          <w:tcPr>
            <w:tcW w:w="80" w:type="dxa"/>
            <w:vAlign w:val="bottom"/>
            <w:tcBorders>
              <w:top w:val="single" w:sz="8" w:color="F0FFFF"/>
              <w:right w:val="single" w:sz="8" w:color="F0FFFF"/>
            </w:tcBorders>
            <w:shd w:val="clear" w:color="auto" w:fill="F0FFFF"/>
          </w:tcPr>
          <w:p>
            <w:pPr>
              <w:spacing w:after="0"/>
              <w:rPr>
                <w:sz w:val="11"/>
                <w:szCs w:val="11"/>
                <w:color w:val="auto"/>
              </w:rPr>
            </w:pPr>
          </w:p>
        </w:tc>
        <w:tc>
          <w:tcPr>
            <w:tcW w:w="300" w:type="dxa"/>
            <w:vAlign w:val="bottom"/>
            <w:tcBorders>
              <w:top w:val="single" w:sz="8" w:color="F0FFFF"/>
            </w:tcBorders>
            <w:shd w:val="clear" w:color="auto" w:fill="F0FF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 </w:t>
            </w:r>
          </w:p>
        </w:tc>
        <w:tc>
          <w:tcPr>
            <w:tcW w:w="220" w:type="dxa"/>
            <w:vAlign w:val="bottom"/>
            <w:tcBorders>
              <w:top w:val="single" w:sz="8" w:color="auto"/>
              <w:left w:val="single" w:sz="8" w:color="F0FFFF"/>
            </w:tcBorders>
            <w:gridSpan w:val="2"/>
            <w:shd w:val="clear" w:color="auto" w:fill="F0FFFF"/>
          </w:tcPr>
          <w:p>
            <w:pPr>
              <w:spacing w:after="0"/>
              <w:rPr>
                <w:sz w:val="11"/>
                <w:szCs w:val="11"/>
                <w:color w:val="auto"/>
              </w:rPr>
            </w:pPr>
          </w:p>
        </w:tc>
        <w:tc>
          <w:tcPr>
            <w:tcW w:w="320" w:type="dxa"/>
            <w:vAlign w:val="bottom"/>
            <w:tcBorders>
              <w:top w:val="single" w:sz="8" w:color="auto"/>
            </w:tcBorders>
            <w:gridSpan w:val="3"/>
            <w:shd w:val="clear" w:color="auto" w:fill="F0FFFF"/>
          </w:tcPr>
          <w:p>
            <w:pPr>
              <w:spacing w:after="0"/>
              <w:rPr>
                <w:sz w:val="11"/>
                <w:szCs w:val="11"/>
                <w:color w:val="auto"/>
              </w:rPr>
            </w:pPr>
          </w:p>
        </w:tc>
        <w:tc>
          <w:tcPr>
            <w:tcW w:w="220" w:type="dxa"/>
            <w:vAlign w:val="bottom"/>
            <w:tcBorders>
              <w:top w:val="single" w:sz="8" w:color="auto"/>
            </w:tcBorders>
            <w:gridSpan w:val="2"/>
            <w:shd w:val="clear" w:color="auto" w:fill="F0FFFF"/>
          </w:tcPr>
          <w:p>
            <w:pPr>
              <w:spacing w:after="0"/>
              <w:rPr>
                <w:sz w:val="11"/>
                <w:szCs w:val="11"/>
                <w:color w:val="auto"/>
              </w:rPr>
            </w:pPr>
          </w:p>
        </w:tc>
        <w:tc>
          <w:tcPr>
            <w:tcW w:w="60" w:type="dxa"/>
            <w:vAlign w:val="bottom"/>
            <w:tcBorders>
              <w:top w:val="single" w:sz="8" w:color="F0FFFF"/>
            </w:tcBorders>
            <w:shd w:val="clear" w:color="auto" w:fill="F0FFFF"/>
          </w:tcPr>
          <w:p>
            <w:pPr>
              <w:spacing w:after="0"/>
              <w:rPr>
                <w:sz w:val="11"/>
                <w:szCs w:val="11"/>
                <w:color w:val="auto"/>
              </w:rPr>
            </w:pPr>
          </w:p>
        </w:tc>
        <w:tc>
          <w:tcPr>
            <w:tcW w:w="160" w:type="dxa"/>
            <w:vAlign w:val="bottom"/>
            <w:tcBorders>
              <w:top w:val="single" w:sz="8" w:color="F0FFFF"/>
              <w:right w:val="single" w:sz="8" w:color="auto"/>
            </w:tcBorders>
            <w:gridSpan w:val="2"/>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140" w:type="dxa"/>
            <w:vAlign w:val="bottom"/>
            <w:tcBorders>
              <w:right w:val="single" w:sz="8" w:color="F0FFFF"/>
            </w:tcBorders>
            <w:shd w:val="clear" w:color="auto" w:fill="F0FFFF"/>
          </w:tcPr>
          <w:p>
            <w:pPr>
              <w:spacing w:after="0" w:line="20" w:lineRule="exact"/>
              <w:rPr>
                <w:sz w:val="1"/>
                <w:szCs w:val="1"/>
                <w:color w:val="auto"/>
              </w:rPr>
            </w:pPr>
          </w:p>
        </w:tc>
        <w:tc>
          <w:tcPr>
            <w:tcW w:w="2300" w:type="dxa"/>
            <w:vAlign w:val="bottom"/>
            <w:gridSpan w:val="22"/>
            <w:vMerge w:val="restart"/>
            <w:shd w:val="clear" w:color="auto" w:fill="F0FFFF"/>
          </w:tcPr>
          <w:p>
            <w:pPr>
              <w:ind w:left="100"/>
              <w:spacing w:after="0"/>
              <w:rPr>
                <w:sz w:val="20"/>
                <w:szCs w:val="20"/>
                <w:color w:val="auto"/>
              </w:rPr>
            </w:pPr>
            <w:r>
              <w:rPr>
                <w:rFonts w:ascii="Times New Roman" w:cs="Times New Roman" w:eastAsia="Times New Roman" w:hAnsi="Times New Roman"/>
                <w:sz w:val="13"/>
                <w:szCs w:val="13"/>
                <w:color w:val="auto"/>
              </w:rPr>
              <w:t>or from the Fixed Account, to or from the</w:t>
            </w:r>
          </w:p>
        </w:tc>
        <w:tc>
          <w:tcPr>
            <w:tcW w:w="20" w:type="dxa"/>
            <w:vAlign w:val="bottom"/>
            <w:shd w:val="clear" w:color="auto" w:fill="000000"/>
          </w:tcPr>
          <w:p>
            <w:pPr>
              <w:spacing w:after="0" w:line="20" w:lineRule="exact"/>
              <w:rPr>
                <w:sz w:val="1"/>
                <w:szCs w:val="1"/>
                <w:color w:val="auto"/>
              </w:rPr>
            </w:pPr>
          </w:p>
        </w:tc>
        <w:tc>
          <w:tcPr>
            <w:tcW w:w="720" w:type="dxa"/>
            <w:vAlign w:val="bottom"/>
            <w:tcBorders>
              <w:left w:val="single" w:sz="8" w:color="auto"/>
              <w:right w:val="single" w:sz="8" w:color="auto"/>
            </w:tcBorders>
            <w:gridSpan w:val="4"/>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440" w:type="dxa"/>
            <w:vAlign w:val="bottom"/>
            <w:tcBorders>
              <w:right w:val="single" w:sz="8" w:color="F0FFFF"/>
            </w:tcBorders>
            <w:gridSpan w:val="7"/>
            <w:shd w:val="clear" w:color="auto" w:fill="F0FFFF"/>
          </w:tcPr>
          <w:p>
            <w:pPr>
              <w:spacing w:after="0" w:line="20" w:lineRule="exact"/>
              <w:rPr>
                <w:sz w:val="1"/>
                <w:szCs w:val="1"/>
                <w:color w:val="auto"/>
              </w:rPr>
            </w:pPr>
          </w:p>
        </w:tc>
        <w:tc>
          <w:tcPr>
            <w:tcW w:w="340" w:type="dxa"/>
            <w:vAlign w:val="bottom"/>
            <w:tcBorders>
              <w:left w:val="single" w:sz="8" w:color="F0FFFF"/>
              <w:right w:val="single" w:sz="8" w:color="auto"/>
            </w:tcBorders>
            <w:gridSpan w:val="2"/>
            <w:shd w:val="clear" w:color="auto" w:fill="F0FFFF"/>
          </w:tcPr>
          <w:p>
            <w:pPr>
              <w:spacing w:after="0" w:line="20" w:lineRule="exact"/>
              <w:rPr>
                <w:sz w:val="1"/>
                <w:szCs w:val="1"/>
                <w:color w:val="auto"/>
              </w:rPr>
            </w:pPr>
          </w:p>
        </w:tc>
        <w:tc>
          <w:tcPr>
            <w:tcW w:w="80" w:type="dxa"/>
            <w:vAlign w:val="bottom"/>
            <w:tcBorders>
              <w:right w:val="single" w:sz="8" w:color="F0FFFF"/>
            </w:tcBorders>
            <w:shd w:val="clear" w:color="auto" w:fill="F0FFFF"/>
          </w:tcPr>
          <w:p>
            <w:pPr>
              <w:spacing w:after="0" w:line="20" w:lineRule="exact"/>
              <w:rPr>
                <w:sz w:val="1"/>
                <w:szCs w:val="1"/>
                <w:color w:val="auto"/>
              </w:rPr>
            </w:pPr>
          </w:p>
        </w:tc>
        <w:tc>
          <w:tcPr>
            <w:tcW w:w="1280" w:type="dxa"/>
            <w:vAlign w:val="bottom"/>
            <w:tcBorders>
              <w:right w:val="single" w:sz="8" w:color="auto"/>
            </w:tcBorders>
            <w:gridSpan w:val="11"/>
            <w:vMerge w:val="restart"/>
            <w:shd w:val="clear" w:color="auto" w:fill="F0FFFF"/>
          </w:tcPr>
          <w:p>
            <w:pPr>
              <w:spacing w:after="0"/>
              <w:rPr>
                <w:sz w:val="20"/>
                <w:szCs w:val="20"/>
                <w:color w:val="auto"/>
              </w:rPr>
            </w:pPr>
            <w:r>
              <w:rPr>
                <w:rFonts w:ascii="Times New Roman" w:cs="Times New Roman" w:eastAsia="Times New Roman" w:hAnsi="Times New Roman"/>
                <w:sz w:val="13"/>
                <w:szCs w:val="13"/>
                <w:b w:val="1"/>
                <w:bCs w:val="1"/>
                <w:color w:val="auto"/>
              </w:rPr>
              <w:t>PURCHASE</w:t>
            </w:r>
          </w:p>
        </w:tc>
        <w:tc>
          <w:tcPr>
            <w:tcW w:w="0" w:type="dxa"/>
            <w:vAlign w:val="bottom"/>
          </w:tcPr>
          <w:p>
            <w:pPr>
              <w:spacing w:after="0" w:line="20" w:lineRule="exact"/>
              <w:rPr>
                <w:sz w:val="1"/>
                <w:szCs w:val="1"/>
                <w:color w:val="auto"/>
              </w:rPr>
            </w:pPr>
          </w:p>
        </w:tc>
      </w:tr>
      <w:tr>
        <w:trPr>
          <w:trHeight w:val="129"/>
        </w:trPr>
        <w:tc>
          <w:tcPr>
            <w:tcW w:w="1440" w:type="dxa"/>
            <w:vAlign w:val="bottom"/>
            <w:tcBorders>
              <w:left w:val="single" w:sz="8" w:color="auto"/>
              <w:right w:val="single" w:sz="8" w:color="auto"/>
            </w:tcBorders>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140" w:type="dxa"/>
            <w:vAlign w:val="bottom"/>
            <w:tcBorders>
              <w:right w:val="single" w:sz="8" w:color="F0FFFF"/>
            </w:tcBorders>
            <w:shd w:val="clear" w:color="auto" w:fill="F0FFFF"/>
          </w:tcPr>
          <w:p>
            <w:pPr>
              <w:spacing w:after="0"/>
              <w:rPr>
                <w:sz w:val="11"/>
                <w:szCs w:val="11"/>
                <w:color w:val="auto"/>
              </w:rPr>
            </w:pPr>
          </w:p>
        </w:tc>
        <w:tc>
          <w:tcPr>
            <w:tcW w:w="2300" w:type="dxa"/>
            <w:vAlign w:val="bottom"/>
            <w:gridSpan w:val="22"/>
            <w:vMerge w:val="continue"/>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1920" w:type="dxa"/>
            <w:vAlign w:val="bottom"/>
            <w:tcBorders>
              <w:left w:val="single" w:sz="8" w:color="F0FFFF"/>
              <w:right w:val="single" w:sz="8" w:color="auto"/>
            </w:tcBorders>
            <w:gridSpan w:val="18"/>
            <w:shd w:val="clear" w:color="auto" w:fill="F0FFFF"/>
          </w:tcPr>
          <w:p>
            <w:pPr>
              <w:ind w:left="20"/>
              <w:spacing w:after="0" w:line="129" w:lineRule="exact"/>
              <w:rPr>
                <w:sz w:val="20"/>
                <w:szCs w:val="20"/>
                <w:color w:val="auto"/>
              </w:rPr>
            </w:pPr>
            <w:r>
              <w:rPr>
                <w:rFonts w:ascii="Times New Roman" w:cs="Times New Roman" w:eastAsia="Times New Roman" w:hAnsi="Times New Roman"/>
                <w:sz w:val="13"/>
                <w:szCs w:val="13"/>
                <w:color w:val="auto"/>
              </w:rPr>
              <w:t>Shield Option(s), and from the</w:t>
            </w:r>
          </w:p>
        </w:tc>
        <w:tc>
          <w:tcPr>
            <w:tcW w:w="80" w:type="dxa"/>
            <w:vAlign w:val="bottom"/>
            <w:tcBorders>
              <w:right w:val="single" w:sz="8" w:color="F0FFFF"/>
            </w:tcBorders>
            <w:shd w:val="clear" w:color="auto" w:fill="F0FFFF"/>
          </w:tcPr>
          <w:p>
            <w:pPr>
              <w:spacing w:after="0"/>
              <w:rPr>
                <w:sz w:val="11"/>
                <w:szCs w:val="11"/>
                <w:color w:val="auto"/>
              </w:rPr>
            </w:pPr>
          </w:p>
        </w:tc>
        <w:tc>
          <w:tcPr>
            <w:tcW w:w="1280" w:type="dxa"/>
            <w:vAlign w:val="bottom"/>
            <w:tcBorders>
              <w:right w:val="single" w:sz="8" w:color="auto"/>
            </w:tcBorders>
            <w:gridSpan w:val="11"/>
            <w:vMerge w:val="continue"/>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140" w:type="dxa"/>
            <w:vAlign w:val="bottom"/>
            <w:tcBorders>
              <w:right w:val="single" w:sz="8" w:color="F0FFFF"/>
            </w:tcBorders>
            <w:shd w:val="clear" w:color="auto" w:fill="F0FFFF"/>
          </w:tcPr>
          <w:p>
            <w:pPr>
              <w:spacing w:after="0" w:line="20" w:lineRule="exact"/>
              <w:rPr>
                <w:sz w:val="1"/>
                <w:szCs w:val="1"/>
                <w:color w:val="auto"/>
              </w:rPr>
            </w:pPr>
          </w:p>
        </w:tc>
        <w:tc>
          <w:tcPr>
            <w:tcW w:w="120" w:type="dxa"/>
            <w:vAlign w:val="bottom"/>
            <w:tcBorders>
              <w:right w:val="single" w:sz="8" w:color="F0FFFF"/>
            </w:tcBorders>
            <w:shd w:val="clear" w:color="auto" w:fill="F0FFFF"/>
          </w:tcPr>
          <w:p>
            <w:pPr>
              <w:spacing w:after="0" w:line="20" w:lineRule="exact"/>
              <w:rPr>
                <w:sz w:val="1"/>
                <w:szCs w:val="1"/>
                <w:color w:val="auto"/>
              </w:rPr>
            </w:pPr>
          </w:p>
        </w:tc>
        <w:tc>
          <w:tcPr>
            <w:tcW w:w="600" w:type="dxa"/>
            <w:vAlign w:val="bottom"/>
            <w:tcBorders>
              <w:right w:val="single" w:sz="8" w:color="F0FFFF"/>
            </w:tcBorders>
            <w:gridSpan w:val="7"/>
            <w:shd w:val="clear" w:color="auto" w:fill="F0FFFF"/>
          </w:tcPr>
          <w:p>
            <w:pPr>
              <w:spacing w:after="0" w:line="20" w:lineRule="exact"/>
              <w:rPr>
                <w:sz w:val="1"/>
                <w:szCs w:val="1"/>
                <w:color w:val="auto"/>
              </w:rPr>
            </w:pPr>
          </w:p>
        </w:tc>
        <w:tc>
          <w:tcPr>
            <w:tcW w:w="3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gridSpan w:val="4"/>
            <w:shd w:val="clear" w:color="auto" w:fill="000000"/>
          </w:tcPr>
          <w:p>
            <w:pPr>
              <w:spacing w:after="0" w:line="20" w:lineRule="exact"/>
              <w:rPr>
                <w:sz w:val="1"/>
                <w:szCs w:val="1"/>
                <w:color w:val="auto"/>
              </w:rPr>
            </w:pPr>
          </w:p>
        </w:tc>
        <w:tc>
          <w:tcPr>
            <w:tcW w:w="560" w:type="dxa"/>
            <w:vAlign w:val="bottom"/>
            <w:tcBorders>
              <w:left w:val="single" w:sz="8" w:color="F0FFFF"/>
              <w:right w:val="single" w:sz="8" w:color="F0FFFF"/>
            </w:tcBorders>
            <w:gridSpan w:val="7"/>
            <w:vMerge w:val="restart"/>
            <w:shd w:val="clear" w:color="auto" w:fill="F0FFFF"/>
          </w:tcPr>
          <w:p>
            <w:pPr>
              <w:spacing w:after="0" w:line="20" w:lineRule="exact"/>
              <w:rPr>
                <w:sz w:val="1"/>
                <w:szCs w:val="1"/>
                <w:color w:val="auto"/>
              </w:rPr>
            </w:pPr>
          </w:p>
        </w:tc>
        <w:tc>
          <w:tcPr>
            <w:tcW w:w="200" w:type="dxa"/>
            <w:vAlign w:val="bottom"/>
            <w:gridSpan w:val="2"/>
            <w:vMerge w:val="restart"/>
            <w:shd w:val="clear" w:color="auto" w:fill="F0FFFF"/>
          </w:tcPr>
          <w:p>
            <w:pPr>
              <w:spacing w:after="0" w:line="20" w:lineRule="exact"/>
              <w:rPr>
                <w:sz w:val="1"/>
                <w:szCs w:val="1"/>
                <w:color w:val="auto"/>
              </w:rPr>
            </w:pPr>
          </w:p>
        </w:tc>
        <w:tc>
          <w:tcPr>
            <w:tcW w:w="720" w:type="dxa"/>
            <w:vAlign w:val="bottom"/>
            <w:tcBorders>
              <w:left w:val="single" w:sz="8" w:color="F0FFFF"/>
              <w:right w:val="single" w:sz="8" w:color="auto"/>
            </w:tcBorders>
            <w:gridSpan w:val="4"/>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200" w:type="dxa"/>
            <w:vAlign w:val="bottom"/>
            <w:tcBorders>
              <w:left w:val="single" w:sz="8" w:color="F0FFFF"/>
              <w:right w:val="single" w:sz="8" w:color="F0FFFF"/>
            </w:tcBorders>
            <w:gridSpan w:val="2"/>
            <w:vMerge w:val="restart"/>
            <w:shd w:val="clear" w:color="auto" w:fill="F0FFFF"/>
          </w:tcPr>
          <w:p>
            <w:pPr>
              <w:spacing w:after="0" w:line="20" w:lineRule="exact"/>
              <w:rPr>
                <w:sz w:val="1"/>
                <w:szCs w:val="1"/>
                <w:color w:val="auto"/>
              </w:rPr>
            </w:pPr>
          </w:p>
        </w:tc>
        <w:tc>
          <w:tcPr>
            <w:tcW w:w="440" w:type="dxa"/>
            <w:vAlign w:val="bottom"/>
            <w:tcBorders>
              <w:right w:val="single" w:sz="8" w:color="F0FFFF"/>
            </w:tcBorders>
            <w:gridSpan w:val="7"/>
            <w:vMerge w:val="restart"/>
            <w:shd w:val="clear" w:color="auto" w:fill="F0FFFF"/>
          </w:tcPr>
          <w:p>
            <w:pPr>
              <w:spacing w:after="0" w:line="20" w:lineRule="exact"/>
              <w:rPr>
                <w:sz w:val="1"/>
                <w:szCs w:val="1"/>
                <w:color w:val="auto"/>
              </w:rPr>
            </w:pPr>
          </w:p>
        </w:tc>
        <w:tc>
          <w:tcPr>
            <w:tcW w:w="340" w:type="dxa"/>
            <w:vAlign w:val="bottom"/>
            <w:tcBorders>
              <w:left w:val="single" w:sz="8" w:color="F0FFFF"/>
              <w:right w:val="single" w:sz="8" w:color="auto"/>
            </w:tcBorders>
            <w:gridSpan w:val="2"/>
            <w:vMerge w:val="restart"/>
            <w:shd w:val="clear" w:color="auto" w:fill="F0FFFF"/>
          </w:tcPr>
          <w:p>
            <w:pPr>
              <w:spacing w:after="0" w:line="20" w:lineRule="exact"/>
              <w:rPr>
                <w:sz w:val="1"/>
                <w:szCs w:val="1"/>
                <w:color w:val="auto"/>
              </w:rPr>
            </w:pPr>
          </w:p>
        </w:tc>
        <w:tc>
          <w:tcPr>
            <w:tcW w:w="80" w:type="dxa"/>
            <w:vAlign w:val="bottom"/>
            <w:tcBorders>
              <w:right w:val="single" w:sz="8" w:color="F0FFFF"/>
            </w:tcBorders>
            <w:shd w:val="clear" w:color="auto" w:fill="F0FFFF"/>
          </w:tcPr>
          <w:p>
            <w:pPr>
              <w:spacing w:after="0" w:line="20" w:lineRule="exact"/>
              <w:rPr>
                <w:sz w:val="1"/>
                <w:szCs w:val="1"/>
                <w:color w:val="auto"/>
              </w:rPr>
            </w:pPr>
          </w:p>
        </w:tc>
        <w:tc>
          <w:tcPr>
            <w:tcW w:w="1280" w:type="dxa"/>
            <w:vAlign w:val="bottom"/>
            <w:tcBorders>
              <w:right w:val="single" w:sz="8" w:color="auto"/>
            </w:tcBorders>
            <w:gridSpan w:val="11"/>
            <w:vMerge w:val="restart"/>
            <w:shd w:val="clear" w:color="auto" w:fill="F0FFFF"/>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 </w:t>
            </w:r>
          </w:p>
        </w:tc>
        <w:tc>
          <w:tcPr>
            <w:tcW w:w="0" w:type="dxa"/>
            <w:vAlign w:val="bottom"/>
          </w:tcPr>
          <w:p>
            <w:pPr>
              <w:spacing w:after="0" w:line="20" w:lineRule="exact"/>
              <w:rPr>
                <w:sz w:val="1"/>
                <w:szCs w:val="1"/>
                <w:color w:val="auto"/>
              </w:rPr>
            </w:pPr>
          </w:p>
        </w:tc>
      </w:tr>
      <w:tr>
        <w:trPr>
          <w:trHeight w:val="119"/>
        </w:trPr>
        <w:tc>
          <w:tcPr>
            <w:tcW w:w="1440" w:type="dxa"/>
            <w:vAlign w:val="bottom"/>
            <w:tcBorders>
              <w:left w:val="single" w:sz="8" w:color="auto"/>
              <w:right w:val="single" w:sz="8" w:color="auto"/>
            </w:tcBorders>
            <w:shd w:val="clear" w:color="auto" w:fill="F0FFFF"/>
          </w:tcPr>
          <w:p>
            <w:pPr>
              <w:spacing w:after="0"/>
              <w:rPr>
                <w:sz w:val="10"/>
                <w:szCs w:val="10"/>
                <w:color w:val="auto"/>
              </w:rPr>
            </w:pPr>
          </w:p>
        </w:tc>
        <w:tc>
          <w:tcPr>
            <w:tcW w:w="60" w:type="dxa"/>
            <w:vAlign w:val="bottom"/>
            <w:shd w:val="clear" w:color="auto" w:fill="F0FFFF"/>
          </w:tcPr>
          <w:p>
            <w:pPr>
              <w:spacing w:after="0"/>
              <w:rPr>
                <w:sz w:val="10"/>
                <w:szCs w:val="10"/>
                <w:color w:val="auto"/>
              </w:rPr>
            </w:pPr>
          </w:p>
        </w:tc>
        <w:tc>
          <w:tcPr>
            <w:tcW w:w="140" w:type="dxa"/>
            <w:vAlign w:val="bottom"/>
            <w:tcBorders>
              <w:right w:val="single" w:sz="8" w:color="F0FFFF"/>
            </w:tcBorders>
            <w:shd w:val="clear" w:color="auto" w:fill="F0FFFF"/>
          </w:tcPr>
          <w:p>
            <w:pPr>
              <w:spacing w:after="0"/>
              <w:rPr>
                <w:sz w:val="10"/>
                <w:szCs w:val="10"/>
                <w:color w:val="auto"/>
              </w:rPr>
            </w:pPr>
          </w:p>
        </w:tc>
        <w:tc>
          <w:tcPr>
            <w:tcW w:w="1560" w:type="dxa"/>
            <w:vAlign w:val="bottom"/>
            <w:tcBorders>
              <w:right w:val="single" w:sz="8" w:color="F0FFFF"/>
            </w:tcBorders>
            <w:gridSpan w:val="14"/>
            <w:shd w:val="clear" w:color="auto" w:fill="F0FFFF"/>
          </w:tcPr>
          <w:p>
            <w:pPr>
              <w:ind w:left="100"/>
              <w:spacing w:after="0" w:line="119" w:lineRule="exact"/>
              <w:rPr>
                <w:sz w:val="20"/>
                <w:szCs w:val="20"/>
                <w:color w:val="auto"/>
              </w:rPr>
            </w:pPr>
            <w:r>
              <w:rPr>
                <w:rFonts w:ascii="Times New Roman" w:cs="Times New Roman" w:eastAsia="Times New Roman" w:hAnsi="Times New Roman"/>
                <w:sz w:val="13"/>
                <w:szCs w:val="13"/>
                <w:color w:val="auto"/>
              </w:rPr>
              <w:t>Holding Account.</w:t>
            </w:r>
          </w:p>
        </w:tc>
        <w:tc>
          <w:tcPr>
            <w:tcW w:w="560" w:type="dxa"/>
            <w:vAlign w:val="bottom"/>
            <w:tcBorders>
              <w:left w:val="single" w:sz="8" w:color="F0FFFF"/>
              <w:right w:val="single" w:sz="8" w:color="F0FFFF"/>
            </w:tcBorders>
            <w:gridSpan w:val="7"/>
            <w:vMerge w:val="continue"/>
            <w:shd w:val="clear" w:color="auto" w:fill="F0FFFF"/>
          </w:tcPr>
          <w:p>
            <w:pPr>
              <w:spacing w:after="0"/>
              <w:rPr>
                <w:sz w:val="10"/>
                <w:szCs w:val="10"/>
                <w:color w:val="auto"/>
              </w:rPr>
            </w:pPr>
          </w:p>
        </w:tc>
        <w:tc>
          <w:tcPr>
            <w:tcW w:w="200" w:type="dxa"/>
            <w:vAlign w:val="bottom"/>
            <w:gridSpan w:val="2"/>
            <w:vMerge w:val="continue"/>
            <w:shd w:val="clear" w:color="auto" w:fill="F0FFFF"/>
          </w:tcPr>
          <w:p>
            <w:pPr>
              <w:spacing w:after="0"/>
              <w:rPr>
                <w:sz w:val="10"/>
                <w:szCs w:val="10"/>
                <w:color w:val="auto"/>
              </w:rPr>
            </w:pPr>
          </w:p>
        </w:tc>
        <w:tc>
          <w:tcPr>
            <w:tcW w:w="720" w:type="dxa"/>
            <w:vAlign w:val="bottom"/>
            <w:tcBorders>
              <w:left w:val="single" w:sz="8" w:color="F0FFFF"/>
              <w:right w:val="single" w:sz="8" w:color="F0FFFF"/>
            </w:tcBorders>
            <w:gridSpan w:val="4"/>
            <w:shd w:val="clear" w:color="auto" w:fill="F0FFFF"/>
          </w:tcPr>
          <w:p>
            <w:pPr>
              <w:spacing w:after="0"/>
              <w:rPr>
                <w:sz w:val="10"/>
                <w:szCs w:val="10"/>
                <w:color w:val="auto"/>
              </w:rPr>
            </w:pPr>
          </w:p>
        </w:tc>
        <w:tc>
          <w:tcPr>
            <w:tcW w:w="220" w:type="dxa"/>
            <w:vAlign w:val="bottom"/>
            <w:tcBorders>
              <w:left w:val="single" w:sz="8" w:color="F0FFFF"/>
              <w:right w:val="single" w:sz="8" w:color="F0FFFF"/>
            </w:tcBorders>
            <w:gridSpan w:val="3"/>
            <w:shd w:val="clear" w:color="auto" w:fill="F0FFFF"/>
          </w:tcPr>
          <w:p>
            <w:pPr>
              <w:spacing w:after="0"/>
              <w:rPr>
                <w:sz w:val="10"/>
                <w:szCs w:val="10"/>
                <w:color w:val="auto"/>
              </w:rPr>
            </w:pPr>
          </w:p>
        </w:tc>
        <w:tc>
          <w:tcPr>
            <w:tcW w:w="200" w:type="dxa"/>
            <w:vAlign w:val="bottom"/>
            <w:tcBorders>
              <w:left w:val="single" w:sz="8" w:color="F0FFFF"/>
              <w:right w:val="single" w:sz="8" w:color="F0FFFF"/>
            </w:tcBorders>
            <w:gridSpan w:val="2"/>
            <w:vMerge w:val="continue"/>
            <w:shd w:val="clear" w:color="auto" w:fill="F0FFFF"/>
          </w:tcPr>
          <w:p>
            <w:pPr>
              <w:spacing w:after="0"/>
              <w:rPr>
                <w:sz w:val="10"/>
                <w:szCs w:val="10"/>
                <w:color w:val="auto"/>
              </w:rPr>
            </w:pPr>
          </w:p>
        </w:tc>
        <w:tc>
          <w:tcPr>
            <w:tcW w:w="440" w:type="dxa"/>
            <w:vAlign w:val="bottom"/>
            <w:tcBorders>
              <w:right w:val="single" w:sz="8" w:color="F0FFFF"/>
            </w:tcBorders>
            <w:gridSpan w:val="7"/>
            <w:vMerge w:val="continue"/>
            <w:shd w:val="clear" w:color="auto" w:fill="F0FFFF"/>
          </w:tcPr>
          <w:p>
            <w:pPr>
              <w:spacing w:after="0"/>
              <w:rPr>
                <w:sz w:val="10"/>
                <w:szCs w:val="10"/>
                <w:color w:val="auto"/>
              </w:rPr>
            </w:pPr>
          </w:p>
        </w:tc>
        <w:tc>
          <w:tcPr>
            <w:tcW w:w="340" w:type="dxa"/>
            <w:vAlign w:val="bottom"/>
            <w:tcBorders>
              <w:left w:val="single" w:sz="8" w:color="F0FFFF"/>
              <w:right w:val="single" w:sz="8" w:color="auto"/>
            </w:tcBorders>
            <w:gridSpan w:val="2"/>
            <w:vMerge w:val="continue"/>
            <w:shd w:val="clear" w:color="auto" w:fill="F0FFFF"/>
          </w:tcPr>
          <w:p>
            <w:pPr>
              <w:spacing w:after="0"/>
              <w:rPr>
                <w:sz w:val="10"/>
                <w:szCs w:val="10"/>
                <w:color w:val="auto"/>
              </w:rPr>
            </w:pPr>
          </w:p>
        </w:tc>
        <w:tc>
          <w:tcPr>
            <w:tcW w:w="80" w:type="dxa"/>
            <w:vAlign w:val="bottom"/>
            <w:tcBorders>
              <w:right w:val="single" w:sz="8" w:color="F0FFFF"/>
            </w:tcBorders>
            <w:shd w:val="clear" w:color="auto" w:fill="F0FFFF"/>
          </w:tcPr>
          <w:p>
            <w:pPr>
              <w:spacing w:after="0"/>
              <w:rPr>
                <w:sz w:val="10"/>
                <w:szCs w:val="10"/>
                <w:color w:val="auto"/>
              </w:rPr>
            </w:pPr>
          </w:p>
        </w:tc>
        <w:tc>
          <w:tcPr>
            <w:tcW w:w="1280" w:type="dxa"/>
            <w:vAlign w:val="bottom"/>
            <w:tcBorders>
              <w:right w:val="single" w:sz="8" w:color="auto"/>
            </w:tcBorders>
            <w:gridSpan w:val="11"/>
            <w:vMerge w:val="continue"/>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440" w:type="dxa"/>
            <w:vAlign w:val="bottom"/>
            <w:tcBorders>
              <w:top w:val="single" w:sz="8" w:color="F0FFFF"/>
              <w:left w:val="single" w:sz="8" w:color="auto"/>
              <w:right w:val="single" w:sz="8" w:color="auto"/>
            </w:tcBorders>
            <w:shd w:val="clear" w:color="auto" w:fill="F0FFFF"/>
          </w:tcPr>
          <w:p>
            <w:pPr>
              <w:spacing w:after="0"/>
              <w:rPr>
                <w:sz w:val="11"/>
                <w:szCs w:val="11"/>
                <w:color w:val="auto"/>
              </w:rPr>
            </w:pPr>
          </w:p>
        </w:tc>
        <w:tc>
          <w:tcPr>
            <w:tcW w:w="60" w:type="dxa"/>
            <w:vAlign w:val="bottom"/>
            <w:tcBorders>
              <w:top w:val="single" w:sz="8" w:color="F0FFFF"/>
            </w:tcBorders>
            <w:shd w:val="clear" w:color="auto" w:fill="F0FFFF"/>
          </w:tcPr>
          <w:p>
            <w:pPr>
              <w:spacing w:after="0"/>
              <w:rPr>
                <w:sz w:val="11"/>
                <w:szCs w:val="11"/>
                <w:color w:val="auto"/>
              </w:rPr>
            </w:pPr>
          </w:p>
        </w:tc>
        <w:tc>
          <w:tcPr>
            <w:tcW w:w="140" w:type="dxa"/>
            <w:vAlign w:val="bottom"/>
            <w:tcBorders>
              <w:top w:val="single" w:sz="8" w:color="F0FFFF"/>
              <w:right w:val="single" w:sz="8" w:color="F0FFFF"/>
            </w:tcBorders>
            <w:shd w:val="clear" w:color="auto" w:fill="F0FFFF"/>
          </w:tcPr>
          <w:p>
            <w:pPr>
              <w:spacing w:after="0"/>
              <w:rPr>
                <w:sz w:val="11"/>
                <w:szCs w:val="11"/>
                <w:color w:val="auto"/>
              </w:rPr>
            </w:pPr>
          </w:p>
        </w:tc>
        <w:tc>
          <w:tcPr>
            <w:tcW w:w="120" w:type="dxa"/>
            <w:vAlign w:val="bottom"/>
            <w:tcBorders>
              <w:top w:val="single" w:sz="8" w:color="F0FFFF"/>
              <w:right w:val="single" w:sz="8" w:color="F0FFFF"/>
            </w:tcBorders>
            <w:shd w:val="clear" w:color="auto" w:fill="F0FF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top w:val="single" w:sz="8" w:color="auto"/>
              <w:right w:val="single" w:sz="8" w:color="F0FFFF"/>
            </w:tcBorders>
            <w:gridSpan w:val="8"/>
            <w:shd w:val="clear" w:color="auto" w:fill="F0FFFF"/>
          </w:tcPr>
          <w:p>
            <w:pPr>
              <w:ind w:left="80"/>
              <w:spacing w:after="0" w:line="129" w:lineRule="exact"/>
              <w:rPr>
                <w:sz w:val="20"/>
                <w:szCs w:val="20"/>
                <w:color w:val="auto"/>
              </w:rPr>
            </w:pPr>
            <w:r>
              <w:rPr>
                <w:rFonts w:ascii="Times New Roman" w:cs="Times New Roman" w:eastAsia="Times New Roman" w:hAnsi="Times New Roman"/>
                <w:sz w:val="13"/>
                <w:szCs w:val="13"/>
                <w:color w:val="auto"/>
              </w:rPr>
              <w:t>Transfers may</w:t>
            </w:r>
          </w:p>
        </w:tc>
        <w:tc>
          <w:tcPr>
            <w:tcW w:w="3180" w:type="dxa"/>
            <w:vAlign w:val="bottom"/>
            <w:tcBorders>
              <w:top w:val="single" w:sz="8" w:color="F0FFFF"/>
              <w:right w:val="single" w:sz="8" w:color="auto"/>
            </w:tcBorders>
            <w:gridSpan w:val="32"/>
            <w:shd w:val="clear" w:color="auto" w:fill="F0FFFF"/>
          </w:tcPr>
          <w:p>
            <w:pPr>
              <w:spacing w:after="0" w:line="129" w:lineRule="exact"/>
              <w:rPr>
                <w:sz w:val="20"/>
                <w:szCs w:val="20"/>
                <w:color w:val="auto"/>
              </w:rPr>
            </w:pPr>
            <w:r>
              <w:rPr>
                <w:rFonts w:ascii="Times New Roman" w:cs="Times New Roman" w:eastAsia="Times New Roman" w:hAnsi="Times New Roman"/>
                <w:sz w:val="13"/>
                <w:szCs w:val="13"/>
                <w:color w:val="auto"/>
              </w:rPr>
              <w:t>not be made into the Holding Account.</w:t>
            </w:r>
          </w:p>
        </w:tc>
        <w:tc>
          <w:tcPr>
            <w:tcW w:w="80" w:type="dxa"/>
            <w:vAlign w:val="bottom"/>
            <w:tcBorders>
              <w:top w:val="single" w:sz="8" w:color="F0FFFF"/>
              <w:right w:val="single" w:sz="8" w:color="F0FFFF"/>
            </w:tcBorders>
            <w:shd w:val="clear" w:color="auto" w:fill="F0FFFF"/>
          </w:tcPr>
          <w:p>
            <w:pPr>
              <w:spacing w:after="0"/>
              <w:rPr>
                <w:sz w:val="11"/>
                <w:szCs w:val="11"/>
                <w:color w:val="auto"/>
              </w:rPr>
            </w:pPr>
          </w:p>
        </w:tc>
        <w:tc>
          <w:tcPr>
            <w:tcW w:w="1280" w:type="dxa"/>
            <w:vAlign w:val="bottom"/>
            <w:tcBorders>
              <w:top w:val="single" w:sz="8" w:color="F0FFFF"/>
              <w:right w:val="single" w:sz="8" w:color="auto"/>
            </w:tcBorders>
            <w:gridSpan w:val="11"/>
            <w:shd w:val="clear" w:color="auto" w:fill="F0FF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SHIELD OPTIONS</w:t>
            </w: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140" w:type="dxa"/>
            <w:vAlign w:val="bottom"/>
            <w:tcBorders>
              <w:right w:val="single" w:sz="8" w:color="F0FFFF"/>
            </w:tcBorders>
            <w:shd w:val="clear" w:color="auto" w:fill="F0FFFF"/>
          </w:tcPr>
          <w:p>
            <w:pPr>
              <w:spacing w:after="0" w:line="20" w:lineRule="exact"/>
              <w:rPr>
                <w:sz w:val="1"/>
                <w:szCs w:val="1"/>
                <w:color w:val="auto"/>
              </w:rPr>
            </w:pPr>
          </w:p>
        </w:tc>
        <w:tc>
          <w:tcPr>
            <w:tcW w:w="720" w:type="dxa"/>
            <w:vAlign w:val="bottom"/>
            <w:tcBorders>
              <w:right w:val="single" w:sz="8" w:color="F0FFFF"/>
            </w:tcBorders>
            <w:gridSpan w:val="8"/>
            <w:shd w:val="clear" w:color="auto" w:fill="F0FFFF"/>
          </w:tcPr>
          <w:p>
            <w:pPr>
              <w:spacing w:after="0" w:line="20" w:lineRule="exact"/>
              <w:rPr>
                <w:sz w:val="1"/>
                <w:szCs w:val="1"/>
                <w:color w:val="auto"/>
              </w:rPr>
            </w:pPr>
          </w:p>
        </w:tc>
        <w:tc>
          <w:tcPr>
            <w:tcW w:w="480" w:type="dxa"/>
            <w:vAlign w:val="bottom"/>
            <w:tcBorders>
              <w:left w:val="single" w:sz="8" w:color="F0FFFF"/>
              <w:right w:val="single" w:sz="8" w:color="F0FFFF"/>
            </w:tcBorders>
            <w:gridSpan w:val="2"/>
            <w:shd w:val="clear" w:color="auto" w:fill="F0FFFF"/>
          </w:tcPr>
          <w:p>
            <w:pPr>
              <w:spacing w:after="0" w:line="20" w:lineRule="exact"/>
              <w:rPr>
                <w:sz w:val="1"/>
                <w:szCs w:val="1"/>
                <w:color w:val="auto"/>
              </w:rPr>
            </w:pPr>
          </w:p>
        </w:tc>
        <w:tc>
          <w:tcPr>
            <w:tcW w:w="920" w:type="dxa"/>
            <w:vAlign w:val="bottom"/>
            <w:tcBorders>
              <w:right w:val="single" w:sz="8" w:color="auto"/>
            </w:tcBorders>
            <w:gridSpan w:val="11"/>
            <w:shd w:val="clear" w:color="auto" w:fill="F0FFFF"/>
          </w:tcPr>
          <w:p>
            <w:pPr>
              <w:spacing w:after="0" w:line="20" w:lineRule="exact"/>
              <w:rPr>
                <w:sz w:val="1"/>
                <w:szCs w:val="1"/>
                <w:color w:val="auto"/>
              </w:rPr>
            </w:pPr>
          </w:p>
        </w:tc>
        <w:tc>
          <w:tcPr>
            <w:tcW w:w="920" w:type="dxa"/>
            <w:vAlign w:val="bottom"/>
            <w:tcBorders>
              <w:right w:val="single" w:sz="8" w:color="F0FFFF"/>
            </w:tcBorders>
            <w:gridSpan w:val="6"/>
            <w:shd w:val="clear" w:color="auto" w:fill="000000"/>
          </w:tcPr>
          <w:p>
            <w:pPr>
              <w:spacing w:after="0" w:line="20" w:lineRule="exact"/>
              <w:rPr>
                <w:sz w:val="1"/>
                <w:szCs w:val="1"/>
                <w:color w:val="auto"/>
              </w:rPr>
            </w:pPr>
          </w:p>
        </w:tc>
        <w:tc>
          <w:tcPr>
            <w:tcW w:w="420" w:type="dxa"/>
            <w:vAlign w:val="bottom"/>
            <w:tcBorders>
              <w:left w:val="single" w:sz="8" w:color="F0FFFF"/>
              <w:right w:val="single" w:sz="8" w:color="F0FFFF"/>
            </w:tcBorders>
            <w:gridSpan w:val="5"/>
            <w:shd w:val="clear" w:color="auto" w:fill="F0FFFF"/>
          </w:tcPr>
          <w:p>
            <w:pPr>
              <w:spacing w:after="0" w:line="20" w:lineRule="exact"/>
              <w:rPr>
                <w:sz w:val="1"/>
                <w:szCs w:val="1"/>
                <w:color w:val="auto"/>
              </w:rPr>
            </w:pPr>
          </w:p>
        </w:tc>
        <w:tc>
          <w:tcPr>
            <w:tcW w:w="440" w:type="dxa"/>
            <w:vAlign w:val="bottom"/>
            <w:tcBorders>
              <w:right w:val="single" w:sz="8" w:color="F0FFFF"/>
            </w:tcBorders>
            <w:gridSpan w:val="7"/>
            <w:shd w:val="clear" w:color="auto" w:fill="F0FFFF"/>
          </w:tcPr>
          <w:p>
            <w:pPr>
              <w:spacing w:after="0" w:line="20" w:lineRule="exact"/>
              <w:rPr>
                <w:sz w:val="1"/>
                <w:szCs w:val="1"/>
                <w:color w:val="auto"/>
              </w:rPr>
            </w:pPr>
          </w:p>
        </w:tc>
        <w:tc>
          <w:tcPr>
            <w:tcW w:w="340" w:type="dxa"/>
            <w:vAlign w:val="bottom"/>
            <w:tcBorders>
              <w:left w:val="single" w:sz="8" w:color="F0FFFF"/>
              <w:right w:val="single" w:sz="8" w:color="auto"/>
            </w:tcBorders>
            <w:gridSpan w:val="2"/>
            <w:shd w:val="clear" w:color="auto" w:fill="F0FFFF"/>
          </w:tcPr>
          <w:p>
            <w:pPr>
              <w:spacing w:after="0" w:line="20" w:lineRule="exact"/>
              <w:rPr>
                <w:sz w:val="1"/>
                <w:szCs w:val="1"/>
                <w:color w:val="auto"/>
              </w:rPr>
            </w:pPr>
          </w:p>
        </w:tc>
        <w:tc>
          <w:tcPr>
            <w:tcW w:w="80" w:type="dxa"/>
            <w:vAlign w:val="bottom"/>
            <w:tcBorders>
              <w:right w:val="single" w:sz="8" w:color="F0FFFF"/>
            </w:tcBorders>
            <w:shd w:val="clear" w:color="auto" w:fill="F0FF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160" w:type="dxa"/>
            <w:vAlign w:val="bottom"/>
            <w:tcBorders>
              <w:right w:val="single" w:sz="8" w:color="auto"/>
            </w:tcBorders>
            <w:gridSpan w:val="2"/>
            <w:vMerge w:val="restart"/>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440" w:type="dxa"/>
            <w:vAlign w:val="bottom"/>
            <w:tcBorders>
              <w:left w:val="single" w:sz="8" w:color="auto"/>
              <w:right w:val="single" w:sz="8" w:color="auto"/>
            </w:tcBorders>
            <w:shd w:val="clear" w:color="auto" w:fill="F0FFFF"/>
          </w:tcPr>
          <w:p>
            <w:pPr>
              <w:spacing w:after="0"/>
              <w:rPr>
                <w:sz w:val="10"/>
                <w:szCs w:val="10"/>
                <w:color w:val="auto"/>
              </w:rPr>
            </w:pPr>
          </w:p>
        </w:tc>
        <w:tc>
          <w:tcPr>
            <w:tcW w:w="60" w:type="dxa"/>
            <w:vAlign w:val="bottom"/>
            <w:shd w:val="clear" w:color="auto" w:fill="F0FFFF"/>
          </w:tcPr>
          <w:p>
            <w:pPr>
              <w:spacing w:after="0"/>
              <w:rPr>
                <w:sz w:val="10"/>
                <w:szCs w:val="10"/>
                <w:color w:val="auto"/>
              </w:rPr>
            </w:pPr>
          </w:p>
        </w:tc>
        <w:tc>
          <w:tcPr>
            <w:tcW w:w="140" w:type="dxa"/>
            <w:vAlign w:val="bottom"/>
            <w:tcBorders>
              <w:right w:val="single" w:sz="8" w:color="F0FFFF"/>
            </w:tcBorders>
            <w:shd w:val="clear" w:color="auto" w:fill="F0FFFF"/>
          </w:tcPr>
          <w:p>
            <w:pPr>
              <w:spacing w:after="0"/>
              <w:rPr>
                <w:sz w:val="10"/>
                <w:szCs w:val="10"/>
                <w:color w:val="auto"/>
              </w:rPr>
            </w:pPr>
          </w:p>
        </w:tc>
        <w:tc>
          <w:tcPr>
            <w:tcW w:w="4240" w:type="dxa"/>
            <w:vAlign w:val="bottom"/>
            <w:tcBorders>
              <w:right w:val="single" w:sz="8" w:color="auto"/>
            </w:tcBorders>
            <w:gridSpan w:val="41"/>
            <w:shd w:val="clear" w:color="auto" w:fill="F0FFFF"/>
          </w:tcPr>
          <w:p>
            <w:pPr>
              <w:spacing w:after="0" w:line="124" w:lineRule="exact"/>
              <w:rPr>
                <w:sz w:val="20"/>
                <w:szCs w:val="20"/>
                <w:color w:val="auto"/>
              </w:rPr>
            </w:pPr>
            <w:r>
              <w:rPr>
                <w:rFonts w:ascii="Times New Roman" w:cs="Times New Roman" w:eastAsia="Times New Roman" w:hAnsi="Times New Roman"/>
                <w:sz w:val="13"/>
                <w:szCs w:val="13"/>
                <w:color w:val="auto"/>
              </w:rPr>
              <w:t>○  If you have not exercised the Performance Lock, transfers among the</w:t>
            </w:r>
          </w:p>
        </w:tc>
        <w:tc>
          <w:tcPr>
            <w:tcW w:w="80" w:type="dxa"/>
            <w:vAlign w:val="bottom"/>
            <w:tcBorders>
              <w:right w:val="single" w:sz="8" w:color="F0FFFF"/>
            </w:tcBorders>
            <w:shd w:val="clear" w:color="auto" w:fill="F0FFFF"/>
          </w:tcPr>
          <w:p>
            <w:pPr>
              <w:spacing w:after="0"/>
              <w:rPr>
                <w:sz w:val="10"/>
                <w:szCs w:val="10"/>
                <w:color w:val="auto"/>
              </w:rPr>
            </w:pPr>
          </w:p>
        </w:tc>
        <w:tc>
          <w:tcPr>
            <w:tcW w:w="1120" w:type="dxa"/>
            <w:vAlign w:val="bottom"/>
            <w:gridSpan w:val="9"/>
            <w:shd w:val="clear" w:color="auto" w:fill="F0FFFF"/>
          </w:tcPr>
          <w:p>
            <w:pPr>
              <w:spacing w:after="0" w:line="124" w:lineRule="exact"/>
              <w:rPr>
                <w:sz w:val="20"/>
                <w:szCs w:val="20"/>
                <w:color w:val="auto"/>
              </w:rPr>
            </w:pPr>
            <w:r>
              <w:rPr>
                <w:rFonts w:ascii="Times New Roman" w:cs="Times New Roman" w:eastAsia="Times New Roman" w:hAnsi="Times New Roman"/>
                <w:sz w:val="13"/>
                <w:szCs w:val="13"/>
                <w:b w:val="1"/>
                <w:bCs w:val="1"/>
                <w:color w:val="auto"/>
              </w:rPr>
              <w:t> </w:t>
            </w:r>
          </w:p>
        </w:tc>
        <w:tc>
          <w:tcPr>
            <w:tcW w:w="160" w:type="dxa"/>
            <w:vAlign w:val="bottom"/>
            <w:tcBorders>
              <w:right w:val="single" w:sz="8" w:color="auto"/>
            </w:tcBorders>
            <w:gridSpan w:val="2"/>
            <w:vMerge w:val="continue"/>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40" w:type="dxa"/>
            <w:vAlign w:val="bottom"/>
            <w:tcBorders>
              <w:left w:val="single" w:sz="8" w:color="auto"/>
              <w:right w:val="single" w:sz="8" w:color="auto"/>
            </w:tcBorders>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40" w:type="dxa"/>
            <w:vAlign w:val="bottom"/>
            <w:tcBorders>
              <w:right w:val="single" w:sz="8" w:color="F0FFFF"/>
            </w:tcBorders>
            <w:shd w:val="clear" w:color="auto" w:fill="F0FFFF"/>
          </w:tcPr>
          <w:p>
            <w:pPr>
              <w:spacing w:after="0"/>
              <w:rPr>
                <w:sz w:val="12"/>
                <w:szCs w:val="12"/>
                <w:color w:val="auto"/>
              </w:rPr>
            </w:pPr>
          </w:p>
        </w:tc>
        <w:tc>
          <w:tcPr>
            <w:tcW w:w="4240" w:type="dxa"/>
            <w:vAlign w:val="bottom"/>
            <w:tcBorders>
              <w:right w:val="single" w:sz="8" w:color="auto"/>
            </w:tcBorders>
            <w:gridSpan w:val="41"/>
            <w:shd w:val="clear" w:color="auto" w:fill="F0FFFF"/>
          </w:tcPr>
          <w:p>
            <w:pPr>
              <w:ind w:left="100"/>
              <w:spacing w:after="0"/>
              <w:rPr>
                <w:sz w:val="20"/>
                <w:szCs w:val="20"/>
                <w:color w:val="auto"/>
              </w:rPr>
            </w:pPr>
            <w:r>
              <w:rPr>
                <w:rFonts w:ascii="Times New Roman" w:cs="Times New Roman" w:eastAsia="Times New Roman" w:hAnsi="Times New Roman"/>
                <w:sz w:val="13"/>
                <w:szCs w:val="13"/>
                <w:color w:val="auto"/>
              </w:rPr>
              <w:t>Fixed Account and the Shield Options may only be made during the</w:t>
            </w:r>
          </w:p>
        </w:tc>
        <w:tc>
          <w:tcPr>
            <w:tcW w:w="80" w:type="dxa"/>
            <w:vAlign w:val="bottom"/>
            <w:tcBorders>
              <w:right w:val="single" w:sz="8" w:color="F0FFFF"/>
            </w:tcBorders>
            <w:shd w:val="clear" w:color="auto" w:fill="F0FFFF"/>
          </w:tcPr>
          <w:p>
            <w:pPr>
              <w:spacing w:after="0"/>
              <w:rPr>
                <w:sz w:val="12"/>
                <w:szCs w:val="12"/>
                <w:color w:val="auto"/>
              </w:rPr>
            </w:pPr>
          </w:p>
        </w:tc>
        <w:tc>
          <w:tcPr>
            <w:tcW w:w="1280" w:type="dxa"/>
            <w:vAlign w:val="bottom"/>
            <w:tcBorders>
              <w:right w:val="single" w:sz="8" w:color="auto"/>
            </w:tcBorders>
            <w:gridSpan w:val="11"/>
            <w:shd w:val="clear" w:color="auto" w:fill="F0FFFF"/>
          </w:tcPr>
          <w:p>
            <w:pPr>
              <w:spacing w:after="0"/>
              <w:rPr>
                <w:sz w:val="20"/>
                <w:szCs w:val="20"/>
                <w:color w:val="auto"/>
              </w:rPr>
            </w:pPr>
            <w:r>
              <w:rPr>
                <w:rFonts w:ascii="Times New Roman" w:cs="Times New Roman" w:eastAsia="Times New Roman" w:hAnsi="Times New Roman"/>
                <w:sz w:val="13"/>
                <w:szCs w:val="13"/>
                <w:b w:val="1"/>
                <w:bCs w:val="1"/>
                <w:color w:val="auto"/>
              </w:rPr>
              <w:t>ADDITION OR</w:t>
            </w:r>
          </w:p>
        </w:tc>
        <w:tc>
          <w:tcPr>
            <w:tcW w:w="0" w:type="dxa"/>
            <w:vAlign w:val="bottom"/>
          </w:tcPr>
          <w:p>
            <w:pPr>
              <w:spacing w:after="0"/>
              <w:rPr>
                <w:sz w:val="1"/>
                <w:szCs w:val="1"/>
                <w:color w:val="auto"/>
              </w:rPr>
            </w:pPr>
          </w:p>
        </w:tc>
      </w:tr>
      <w:tr>
        <w:trPr>
          <w:trHeight w:val="149"/>
        </w:trPr>
        <w:tc>
          <w:tcPr>
            <w:tcW w:w="1440" w:type="dxa"/>
            <w:vAlign w:val="bottom"/>
            <w:tcBorders>
              <w:left w:val="single" w:sz="8" w:color="auto"/>
              <w:right w:val="single" w:sz="8" w:color="auto"/>
            </w:tcBorders>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40" w:type="dxa"/>
            <w:vAlign w:val="bottom"/>
            <w:tcBorders>
              <w:right w:val="single" w:sz="8" w:color="F0FFFF"/>
            </w:tcBorders>
            <w:shd w:val="clear" w:color="auto" w:fill="F0FFFF"/>
          </w:tcPr>
          <w:p>
            <w:pPr>
              <w:spacing w:after="0"/>
              <w:rPr>
                <w:sz w:val="12"/>
                <w:szCs w:val="12"/>
                <w:color w:val="auto"/>
              </w:rPr>
            </w:pPr>
          </w:p>
        </w:tc>
        <w:tc>
          <w:tcPr>
            <w:tcW w:w="4240" w:type="dxa"/>
            <w:vAlign w:val="bottom"/>
            <w:tcBorders>
              <w:right w:val="single" w:sz="8" w:color="auto"/>
            </w:tcBorders>
            <w:gridSpan w:val="41"/>
            <w:shd w:val="clear" w:color="auto" w:fill="F0FFFF"/>
          </w:tcPr>
          <w:p>
            <w:pPr>
              <w:ind w:left="100"/>
              <w:spacing w:after="0"/>
              <w:rPr>
                <w:sz w:val="20"/>
                <w:szCs w:val="20"/>
                <w:color w:val="auto"/>
              </w:rPr>
            </w:pPr>
            <w:r>
              <w:rPr>
                <w:rFonts w:ascii="Times New Roman" w:cs="Times New Roman" w:eastAsia="Times New Roman" w:hAnsi="Times New Roman"/>
                <w:sz w:val="13"/>
                <w:szCs w:val="13"/>
                <w:color w:val="auto"/>
              </w:rPr>
              <w:t>Transfer Period at the end of each Term.</w:t>
            </w:r>
          </w:p>
        </w:tc>
        <w:tc>
          <w:tcPr>
            <w:tcW w:w="80" w:type="dxa"/>
            <w:vAlign w:val="bottom"/>
            <w:tcBorders>
              <w:right w:val="single" w:sz="8" w:color="F0FFFF"/>
            </w:tcBorders>
            <w:shd w:val="clear" w:color="auto" w:fill="F0FFFF"/>
          </w:tcPr>
          <w:p>
            <w:pPr>
              <w:spacing w:after="0"/>
              <w:rPr>
                <w:sz w:val="12"/>
                <w:szCs w:val="12"/>
                <w:color w:val="auto"/>
              </w:rPr>
            </w:pPr>
          </w:p>
        </w:tc>
        <w:tc>
          <w:tcPr>
            <w:tcW w:w="1280" w:type="dxa"/>
            <w:vAlign w:val="bottom"/>
            <w:tcBorders>
              <w:right w:val="single" w:sz="8" w:color="auto"/>
            </w:tcBorders>
            <w:gridSpan w:val="11"/>
            <w:shd w:val="clear" w:color="auto" w:fill="F0FFFF"/>
          </w:tcPr>
          <w:p>
            <w:pPr>
              <w:spacing w:after="0"/>
              <w:rPr>
                <w:sz w:val="20"/>
                <w:szCs w:val="20"/>
                <w:color w:val="auto"/>
              </w:rPr>
            </w:pPr>
            <w:r>
              <w:rPr>
                <w:rFonts w:ascii="Times New Roman" w:cs="Times New Roman" w:eastAsia="Times New Roman" w:hAnsi="Times New Roman"/>
                <w:sz w:val="13"/>
                <w:szCs w:val="13"/>
                <w:b w:val="1"/>
                <w:bCs w:val="1"/>
                <w:color w:val="auto"/>
              </w:rPr>
              <w:t>DISCONTINUANCE</w:t>
            </w:r>
          </w:p>
        </w:tc>
        <w:tc>
          <w:tcPr>
            <w:tcW w:w="0" w:type="dxa"/>
            <w:vAlign w:val="bottom"/>
          </w:tcPr>
          <w:p>
            <w:pPr>
              <w:spacing w:after="0"/>
              <w:rPr>
                <w:sz w:val="1"/>
                <w:szCs w:val="1"/>
                <w:color w:val="auto"/>
              </w:rPr>
            </w:pPr>
          </w:p>
        </w:tc>
      </w:tr>
      <w:tr>
        <w:trPr>
          <w:trHeight w:val="144"/>
        </w:trPr>
        <w:tc>
          <w:tcPr>
            <w:tcW w:w="1440" w:type="dxa"/>
            <w:vAlign w:val="bottom"/>
            <w:tcBorders>
              <w:left w:val="single" w:sz="8" w:color="auto"/>
              <w:right w:val="single" w:sz="8" w:color="auto"/>
            </w:tcBorders>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40" w:type="dxa"/>
            <w:vAlign w:val="bottom"/>
            <w:tcBorders>
              <w:right w:val="single" w:sz="8" w:color="F0FFFF"/>
            </w:tcBorders>
            <w:shd w:val="clear" w:color="auto" w:fill="F0FFFF"/>
          </w:tcPr>
          <w:p>
            <w:pPr>
              <w:spacing w:after="0"/>
              <w:rPr>
                <w:sz w:val="12"/>
                <w:szCs w:val="12"/>
                <w:color w:val="auto"/>
              </w:rPr>
            </w:pPr>
          </w:p>
        </w:tc>
        <w:tc>
          <w:tcPr>
            <w:tcW w:w="4240" w:type="dxa"/>
            <w:vAlign w:val="bottom"/>
            <w:tcBorders>
              <w:right w:val="single" w:sz="8" w:color="auto"/>
            </w:tcBorders>
            <w:gridSpan w:val="41"/>
            <w:shd w:val="clear" w:color="auto" w:fill="F0FFFF"/>
          </w:tcPr>
          <w:p>
            <w:pPr>
              <w:spacing w:after="0" w:line="144" w:lineRule="exact"/>
              <w:rPr>
                <w:sz w:val="20"/>
                <w:szCs w:val="20"/>
                <w:color w:val="auto"/>
              </w:rPr>
            </w:pPr>
            <w:r>
              <w:rPr>
                <w:rFonts w:ascii="Times New Roman" w:cs="Times New Roman" w:eastAsia="Times New Roman" w:hAnsi="Times New Roman"/>
                <w:sz w:val="13"/>
                <w:szCs w:val="13"/>
                <w:color w:val="auto"/>
              </w:rPr>
              <w:t>○  If you have exercised the Performance Lock, you may transfer on any</w:t>
            </w:r>
          </w:p>
        </w:tc>
        <w:tc>
          <w:tcPr>
            <w:tcW w:w="80" w:type="dxa"/>
            <w:vAlign w:val="bottom"/>
            <w:tcBorders>
              <w:right w:val="single" w:sz="8" w:color="F0FFFF"/>
            </w:tcBorders>
            <w:shd w:val="clear" w:color="auto" w:fill="F0FFFF"/>
          </w:tcPr>
          <w:p>
            <w:pPr>
              <w:spacing w:after="0"/>
              <w:rPr>
                <w:sz w:val="12"/>
                <w:szCs w:val="12"/>
                <w:color w:val="auto"/>
              </w:rPr>
            </w:pPr>
          </w:p>
        </w:tc>
        <w:tc>
          <w:tcPr>
            <w:tcW w:w="1280" w:type="dxa"/>
            <w:vAlign w:val="bottom"/>
            <w:tcBorders>
              <w:right w:val="single" w:sz="8" w:color="auto"/>
            </w:tcBorders>
            <w:gridSpan w:val="11"/>
            <w:shd w:val="clear" w:color="auto" w:fill="F0FFFF"/>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OF A SHIELD</w:t>
            </w: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140" w:type="dxa"/>
            <w:vAlign w:val="bottom"/>
            <w:tcBorders>
              <w:right w:val="single" w:sz="8" w:color="F0FFFF"/>
            </w:tcBorders>
            <w:shd w:val="clear" w:color="auto" w:fill="F0FFFF"/>
          </w:tcPr>
          <w:p>
            <w:pPr>
              <w:spacing w:after="0" w:line="20" w:lineRule="exact"/>
              <w:rPr>
                <w:sz w:val="1"/>
                <w:szCs w:val="1"/>
                <w:color w:val="auto"/>
              </w:rPr>
            </w:pPr>
          </w:p>
        </w:tc>
        <w:tc>
          <w:tcPr>
            <w:tcW w:w="4240" w:type="dxa"/>
            <w:vAlign w:val="bottom"/>
            <w:tcBorders>
              <w:right w:val="single" w:sz="8" w:color="auto"/>
            </w:tcBorders>
            <w:gridSpan w:val="41"/>
            <w:vMerge w:val="restart"/>
            <w:shd w:val="clear" w:color="auto" w:fill="F0FFFF"/>
          </w:tcPr>
          <w:p>
            <w:pPr>
              <w:ind w:left="100"/>
              <w:spacing w:after="0" w:line="139" w:lineRule="exact"/>
              <w:rPr>
                <w:sz w:val="20"/>
                <w:szCs w:val="20"/>
                <w:color w:val="auto"/>
              </w:rPr>
            </w:pPr>
            <w:r>
              <w:rPr>
                <w:rFonts w:ascii="Times New Roman" w:cs="Times New Roman" w:eastAsia="Times New Roman" w:hAnsi="Times New Roman"/>
                <w:sz w:val="13"/>
                <w:szCs w:val="13"/>
                <w:color w:val="auto"/>
              </w:rPr>
              <w:t>Contract Anniversary prior to the end of the Term and on the Term End</w:t>
            </w:r>
          </w:p>
        </w:tc>
        <w:tc>
          <w:tcPr>
            <w:tcW w:w="80" w:type="dxa"/>
            <w:vAlign w:val="bottom"/>
            <w:tcBorders>
              <w:right w:val="single" w:sz="8" w:color="F0FFFF"/>
            </w:tcBorders>
            <w:shd w:val="clear" w:color="auto" w:fill="F0FFFF"/>
          </w:tcPr>
          <w:p>
            <w:pPr>
              <w:spacing w:after="0" w:line="20" w:lineRule="exact"/>
              <w:rPr>
                <w:sz w:val="1"/>
                <w:szCs w:val="1"/>
                <w:color w:val="auto"/>
              </w:rPr>
            </w:pPr>
          </w:p>
        </w:tc>
        <w:tc>
          <w:tcPr>
            <w:tcW w:w="300" w:type="dxa"/>
            <w:vAlign w:val="bottom"/>
            <w:shd w:val="clear" w:color="auto" w:fill="F0FFFF"/>
          </w:tcPr>
          <w:p>
            <w:pPr>
              <w:spacing w:after="0" w:line="20" w:lineRule="exact"/>
              <w:rPr>
                <w:sz w:val="1"/>
                <w:szCs w:val="1"/>
                <w:color w:val="auto"/>
              </w:rPr>
            </w:pPr>
          </w:p>
        </w:tc>
        <w:tc>
          <w:tcPr>
            <w:tcW w:w="220" w:type="dxa"/>
            <w:vAlign w:val="bottom"/>
            <w:tcBorders>
              <w:left w:val="single" w:sz="8" w:color="F0FFFF"/>
            </w:tcBorders>
            <w:gridSpan w:val="2"/>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440" w:type="dxa"/>
            <w:vAlign w:val="bottom"/>
            <w:tcBorders>
              <w:right w:val="single" w:sz="8" w:color="auto"/>
            </w:tcBorders>
            <w:gridSpan w:val="5"/>
            <w:vMerge w:val="restart"/>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440" w:type="dxa"/>
            <w:vAlign w:val="bottom"/>
            <w:tcBorders>
              <w:left w:val="single" w:sz="8" w:color="auto"/>
              <w:right w:val="single" w:sz="8" w:color="auto"/>
            </w:tcBorders>
            <w:shd w:val="clear" w:color="auto" w:fill="F0FFFF"/>
          </w:tcPr>
          <w:p>
            <w:pPr>
              <w:spacing w:after="0"/>
              <w:rPr>
                <w:sz w:val="10"/>
                <w:szCs w:val="10"/>
                <w:color w:val="auto"/>
              </w:rPr>
            </w:pPr>
          </w:p>
        </w:tc>
        <w:tc>
          <w:tcPr>
            <w:tcW w:w="60" w:type="dxa"/>
            <w:vAlign w:val="bottom"/>
            <w:shd w:val="clear" w:color="auto" w:fill="F0FFFF"/>
          </w:tcPr>
          <w:p>
            <w:pPr>
              <w:spacing w:after="0"/>
              <w:rPr>
                <w:sz w:val="10"/>
                <w:szCs w:val="10"/>
                <w:color w:val="auto"/>
              </w:rPr>
            </w:pPr>
          </w:p>
        </w:tc>
        <w:tc>
          <w:tcPr>
            <w:tcW w:w="140" w:type="dxa"/>
            <w:vAlign w:val="bottom"/>
            <w:tcBorders>
              <w:right w:val="single" w:sz="8" w:color="F0FFFF"/>
            </w:tcBorders>
            <w:shd w:val="clear" w:color="auto" w:fill="F0FFFF"/>
          </w:tcPr>
          <w:p>
            <w:pPr>
              <w:spacing w:after="0"/>
              <w:rPr>
                <w:sz w:val="10"/>
                <w:szCs w:val="10"/>
                <w:color w:val="auto"/>
              </w:rPr>
            </w:pPr>
          </w:p>
        </w:tc>
        <w:tc>
          <w:tcPr>
            <w:tcW w:w="4240" w:type="dxa"/>
            <w:vAlign w:val="bottom"/>
            <w:tcBorders>
              <w:right w:val="single" w:sz="8" w:color="auto"/>
            </w:tcBorders>
            <w:gridSpan w:val="41"/>
            <w:vMerge w:val="continue"/>
            <w:shd w:val="clear" w:color="auto" w:fill="F0FFFF"/>
          </w:tcPr>
          <w:p>
            <w:pPr>
              <w:spacing w:after="0"/>
              <w:rPr>
                <w:sz w:val="10"/>
                <w:szCs w:val="10"/>
                <w:color w:val="auto"/>
              </w:rPr>
            </w:pPr>
          </w:p>
        </w:tc>
        <w:tc>
          <w:tcPr>
            <w:tcW w:w="80" w:type="dxa"/>
            <w:vAlign w:val="bottom"/>
            <w:tcBorders>
              <w:right w:val="single" w:sz="8" w:color="F0FFFF"/>
            </w:tcBorders>
            <w:shd w:val="clear" w:color="auto" w:fill="F0FFFF"/>
          </w:tcPr>
          <w:p>
            <w:pPr>
              <w:spacing w:after="0"/>
              <w:rPr>
                <w:sz w:val="10"/>
                <w:szCs w:val="10"/>
                <w:color w:val="auto"/>
              </w:rPr>
            </w:pPr>
          </w:p>
        </w:tc>
        <w:tc>
          <w:tcPr>
            <w:tcW w:w="840" w:type="dxa"/>
            <w:vAlign w:val="bottom"/>
            <w:gridSpan w:val="6"/>
            <w:shd w:val="clear" w:color="auto" w:fill="F0FFFF"/>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OPTION</w:t>
            </w:r>
          </w:p>
        </w:tc>
        <w:tc>
          <w:tcPr>
            <w:tcW w:w="440" w:type="dxa"/>
            <w:vAlign w:val="bottom"/>
            <w:tcBorders>
              <w:right w:val="single" w:sz="8" w:color="auto"/>
            </w:tcBorders>
            <w:gridSpan w:val="5"/>
            <w:vMerge w:val="continue"/>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440" w:type="dxa"/>
            <w:vAlign w:val="bottom"/>
            <w:tcBorders>
              <w:top w:val="single" w:sz="8" w:color="F0FFFF"/>
              <w:left w:val="single" w:sz="8" w:color="auto"/>
              <w:right w:val="single" w:sz="8" w:color="auto"/>
            </w:tcBorders>
            <w:shd w:val="clear" w:color="auto" w:fill="F0FFFF"/>
          </w:tcPr>
          <w:p>
            <w:pPr>
              <w:spacing w:after="0"/>
              <w:rPr>
                <w:sz w:val="11"/>
                <w:szCs w:val="11"/>
                <w:color w:val="auto"/>
              </w:rPr>
            </w:pPr>
          </w:p>
        </w:tc>
        <w:tc>
          <w:tcPr>
            <w:tcW w:w="60" w:type="dxa"/>
            <w:vAlign w:val="bottom"/>
            <w:tcBorders>
              <w:top w:val="single" w:sz="8" w:color="F0FFFF"/>
            </w:tcBorders>
            <w:shd w:val="clear" w:color="auto" w:fill="F0FFFF"/>
          </w:tcPr>
          <w:p>
            <w:pPr>
              <w:spacing w:after="0"/>
              <w:rPr>
                <w:sz w:val="11"/>
                <w:szCs w:val="11"/>
                <w:color w:val="auto"/>
              </w:rPr>
            </w:pPr>
          </w:p>
        </w:tc>
        <w:tc>
          <w:tcPr>
            <w:tcW w:w="140" w:type="dxa"/>
            <w:vAlign w:val="bottom"/>
            <w:tcBorders>
              <w:top w:val="single" w:sz="8" w:color="F0FFFF"/>
              <w:right w:val="single" w:sz="8" w:color="F0FFFF"/>
            </w:tcBorders>
            <w:shd w:val="clear" w:color="auto" w:fill="F0FFFF"/>
          </w:tcPr>
          <w:p>
            <w:pPr>
              <w:spacing w:after="0"/>
              <w:rPr>
                <w:sz w:val="11"/>
                <w:szCs w:val="11"/>
                <w:color w:val="auto"/>
              </w:rPr>
            </w:pPr>
          </w:p>
        </w:tc>
        <w:tc>
          <w:tcPr>
            <w:tcW w:w="4240" w:type="dxa"/>
            <w:vAlign w:val="bottom"/>
            <w:tcBorders>
              <w:top w:val="single" w:sz="8" w:color="F0FFFF"/>
              <w:right w:val="single" w:sz="8" w:color="auto"/>
            </w:tcBorders>
            <w:gridSpan w:val="41"/>
            <w:shd w:val="clear" w:color="auto" w:fill="F0FFFF"/>
          </w:tcPr>
          <w:p>
            <w:pPr>
              <w:ind w:left="100"/>
              <w:spacing w:after="0" w:line="134" w:lineRule="exact"/>
              <w:rPr>
                <w:sz w:val="20"/>
                <w:szCs w:val="20"/>
                <w:color w:val="auto"/>
              </w:rPr>
            </w:pPr>
            <w:r>
              <w:rPr>
                <w:rFonts w:ascii="Times New Roman" w:cs="Times New Roman" w:eastAsia="Times New Roman" w:hAnsi="Times New Roman"/>
                <w:sz w:val="13"/>
                <w:szCs w:val="13"/>
                <w:color w:val="auto"/>
              </w:rPr>
              <w:t>Date. If you transfer the Performance Lock Value on a Contract</w:t>
            </w:r>
          </w:p>
        </w:tc>
        <w:tc>
          <w:tcPr>
            <w:tcW w:w="80" w:type="dxa"/>
            <w:vAlign w:val="bottom"/>
            <w:tcBorders>
              <w:top w:val="single" w:sz="8" w:color="F0FFFF"/>
              <w:right w:val="single" w:sz="8" w:color="F0FFFF"/>
            </w:tcBorders>
            <w:shd w:val="clear" w:color="auto" w:fill="F0FFFF"/>
          </w:tcPr>
          <w:p>
            <w:pPr>
              <w:spacing w:after="0"/>
              <w:rPr>
                <w:sz w:val="11"/>
                <w:szCs w:val="11"/>
                <w:color w:val="auto"/>
              </w:rPr>
            </w:pPr>
          </w:p>
        </w:tc>
        <w:tc>
          <w:tcPr>
            <w:tcW w:w="520" w:type="dxa"/>
            <w:vAlign w:val="bottom"/>
            <w:tcBorders>
              <w:top w:val="single" w:sz="8" w:color="auto"/>
            </w:tcBorders>
            <w:gridSpan w:val="3"/>
            <w:shd w:val="clear" w:color="auto" w:fill="F0FFFF"/>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 </w:t>
            </w:r>
          </w:p>
        </w:tc>
        <w:tc>
          <w:tcPr>
            <w:tcW w:w="760" w:type="dxa"/>
            <w:vAlign w:val="bottom"/>
            <w:tcBorders>
              <w:top w:val="single" w:sz="8" w:color="F0FFFF"/>
              <w:right w:val="single" w:sz="8" w:color="auto"/>
            </w:tcBorders>
            <w:gridSpan w:val="8"/>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440" w:type="dxa"/>
            <w:vAlign w:val="bottom"/>
            <w:tcBorders>
              <w:left w:val="single" w:sz="8" w:color="auto"/>
              <w:right w:val="single" w:sz="8" w:color="auto"/>
            </w:tcBorders>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40" w:type="dxa"/>
            <w:vAlign w:val="bottom"/>
            <w:tcBorders>
              <w:right w:val="single" w:sz="8" w:color="F0FFFF"/>
            </w:tcBorders>
            <w:shd w:val="clear" w:color="auto" w:fill="F0FFFF"/>
          </w:tcPr>
          <w:p>
            <w:pPr>
              <w:spacing w:after="0"/>
              <w:rPr>
                <w:sz w:val="12"/>
                <w:szCs w:val="12"/>
                <w:color w:val="auto"/>
              </w:rPr>
            </w:pPr>
          </w:p>
        </w:tc>
        <w:tc>
          <w:tcPr>
            <w:tcW w:w="4240" w:type="dxa"/>
            <w:vAlign w:val="bottom"/>
            <w:tcBorders>
              <w:right w:val="single" w:sz="8" w:color="auto"/>
            </w:tcBorders>
            <w:gridSpan w:val="41"/>
            <w:shd w:val="clear" w:color="auto" w:fill="F0FFFF"/>
          </w:tcPr>
          <w:p>
            <w:pPr>
              <w:ind w:left="100"/>
              <w:spacing w:after="0" w:line="139" w:lineRule="exact"/>
              <w:rPr>
                <w:sz w:val="20"/>
                <w:szCs w:val="20"/>
                <w:color w:val="auto"/>
              </w:rPr>
            </w:pPr>
            <w:r>
              <w:rPr>
                <w:rFonts w:ascii="Times New Roman" w:cs="Times New Roman" w:eastAsia="Times New Roman" w:hAnsi="Times New Roman"/>
                <w:sz w:val="13"/>
                <w:szCs w:val="13"/>
                <w:color w:val="auto"/>
              </w:rPr>
              <w:t>Anniversary before the Term End Date, you may only transfer the entire</w:t>
            </w:r>
          </w:p>
        </w:tc>
        <w:tc>
          <w:tcPr>
            <w:tcW w:w="80" w:type="dxa"/>
            <w:vAlign w:val="bottom"/>
            <w:tcBorders>
              <w:right w:val="single" w:sz="8" w:color="F0FFFF"/>
            </w:tcBorders>
            <w:shd w:val="clear" w:color="auto" w:fill="F0FFFF"/>
          </w:tcPr>
          <w:p>
            <w:pPr>
              <w:spacing w:after="0"/>
              <w:rPr>
                <w:sz w:val="12"/>
                <w:szCs w:val="12"/>
                <w:color w:val="auto"/>
              </w:rPr>
            </w:pPr>
          </w:p>
        </w:tc>
        <w:tc>
          <w:tcPr>
            <w:tcW w:w="1280" w:type="dxa"/>
            <w:vAlign w:val="bottom"/>
            <w:tcBorders>
              <w:right w:val="single" w:sz="8" w:color="auto"/>
            </w:tcBorders>
            <w:gridSpan w:val="11"/>
            <w:shd w:val="clear" w:color="auto" w:fill="F0FFFF"/>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TRANSFERS</w:t>
            </w:r>
          </w:p>
        </w:tc>
        <w:tc>
          <w:tcPr>
            <w:tcW w:w="0" w:type="dxa"/>
            <w:vAlign w:val="bottom"/>
          </w:tcPr>
          <w:p>
            <w:pPr>
              <w:spacing w:after="0"/>
              <w:rPr>
                <w:sz w:val="1"/>
                <w:szCs w:val="1"/>
                <w:color w:val="auto"/>
              </w:rPr>
            </w:pPr>
          </w:p>
        </w:tc>
      </w:tr>
      <w:tr>
        <w:trPr>
          <w:trHeight w:val="149"/>
        </w:trPr>
        <w:tc>
          <w:tcPr>
            <w:tcW w:w="1440" w:type="dxa"/>
            <w:vAlign w:val="bottom"/>
            <w:tcBorders>
              <w:left w:val="single" w:sz="8" w:color="auto"/>
              <w:right w:val="single" w:sz="8" w:color="auto"/>
            </w:tcBorders>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40" w:type="dxa"/>
            <w:vAlign w:val="bottom"/>
            <w:tcBorders>
              <w:right w:val="single" w:sz="8" w:color="F0FFFF"/>
            </w:tcBorders>
            <w:shd w:val="clear" w:color="auto" w:fill="F0FFFF"/>
          </w:tcPr>
          <w:p>
            <w:pPr>
              <w:spacing w:after="0"/>
              <w:rPr>
                <w:sz w:val="12"/>
                <w:szCs w:val="12"/>
                <w:color w:val="auto"/>
              </w:rPr>
            </w:pPr>
          </w:p>
        </w:tc>
        <w:tc>
          <w:tcPr>
            <w:tcW w:w="4240" w:type="dxa"/>
            <w:vAlign w:val="bottom"/>
            <w:tcBorders>
              <w:right w:val="single" w:sz="8" w:color="auto"/>
            </w:tcBorders>
            <w:gridSpan w:val="41"/>
            <w:shd w:val="clear" w:color="auto" w:fill="F0FFFF"/>
          </w:tcPr>
          <w:p>
            <w:pPr>
              <w:ind w:left="100"/>
              <w:spacing w:after="0"/>
              <w:rPr>
                <w:sz w:val="20"/>
                <w:szCs w:val="20"/>
                <w:color w:val="auto"/>
              </w:rPr>
            </w:pPr>
            <w:r>
              <w:rPr>
                <w:rFonts w:ascii="Times New Roman" w:cs="Times New Roman" w:eastAsia="Times New Roman" w:hAnsi="Times New Roman"/>
                <w:sz w:val="13"/>
                <w:szCs w:val="13"/>
                <w:color w:val="auto"/>
              </w:rPr>
              <w:t>amount of the Performance Lock Value. If you transfer the Performance</w:t>
            </w:r>
          </w:p>
        </w:tc>
        <w:tc>
          <w:tcPr>
            <w:tcW w:w="80" w:type="dxa"/>
            <w:vAlign w:val="bottom"/>
            <w:tcBorders>
              <w:right w:val="single" w:sz="8" w:color="F0FFFF"/>
            </w:tcBorders>
            <w:shd w:val="clear" w:color="auto" w:fill="F0FFFF"/>
          </w:tcPr>
          <w:p>
            <w:pPr>
              <w:spacing w:after="0"/>
              <w:rPr>
                <w:sz w:val="12"/>
                <w:szCs w:val="12"/>
                <w:color w:val="auto"/>
              </w:rPr>
            </w:pPr>
          </w:p>
        </w:tc>
        <w:tc>
          <w:tcPr>
            <w:tcW w:w="1280" w:type="dxa"/>
            <w:vAlign w:val="bottom"/>
            <w:tcBorders>
              <w:right w:val="single" w:sz="8" w:color="auto"/>
            </w:tcBorders>
            <w:gridSpan w:val="11"/>
            <w:shd w:val="clear" w:color="auto" w:fill="F0FFFF"/>
          </w:tcPr>
          <w:p>
            <w:pPr>
              <w:spacing w:after="0"/>
              <w:rPr>
                <w:sz w:val="20"/>
                <w:szCs w:val="20"/>
                <w:color w:val="auto"/>
              </w:rPr>
            </w:pPr>
            <w:r>
              <w:rPr>
                <w:rFonts w:ascii="Times New Roman" w:cs="Times New Roman" w:eastAsia="Times New Roman" w:hAnsi="Times New Roman"/>
                <w:sz w:val="13"/>
                <w:szCs w:val="13"/>
                <w:b w:val="1"/>
                <w:bCs w:val="1"/>
                <w:color w:val="auto"/>
              </w:rPr>
              <w:t> </w:t>
            </w:r>
          </w:p>
        </w:tc>
        <w:tc>
          <w:tcPr>
            <w:tcW w:w="0" w:type="dxa"/>
            <w:vAlign w:val="bottom"/>
          </w:tcPr>
          <w:p>
            <w:pPr>
              <w:spacing w:after="0"/>
              <w:rPr>
                <w:sz w:val="1"/>
                <w:szCs w:val="1"/>
                <w:color w:val="auto"/>
              </w:rPr>
            </w:pPr>
          </w:p>
        </w:tc>
      </w:tr>
      <w:tr>
        <w:trPr>
          <w:trHeight w:val="144"/>
        </w:trPr>
        <w:tc>
          <w:tcPr>
            <w:tcW w:w="1440" w:type="dxa"/>
            <w:vAlign w:val="bottom"/>
            <w:tcBorders>
              <w:left w:val="single" w:sz="8" w:color="auto"/>
              <w:right w:val="single" w:sz="8" w:color="auto"/>
            </w:tcBorders>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40" w:type="dxa"/>
            <w:vAlign w:val="bottom"/>
            <w:tcBorders>
              <w:right w:val="single" w:sz="8" w:color="F0FFFF"/>
            </w:tcBorders>
            <w:shd w:val="clear" w:color="auto" w:fill="F0FFFF"/>
          </w:tcPr>
          <w:p>
            <w:pPr>
              <w:spacing w:after="0"/>
              <w:rPr>
                <w:sz w:val="12"/>
                <w:szCs w:val="12"/>
                <w:color w:val="auto"/>
              </w:rPr>
            </w:pPr>
          </w:p>
        </w:tc>
        <w:tc>
          <w:tcPr>
            <w:tcW w:w="4240" w:type="dxa"/>
            <w:vAlign w:val="bottom"/>
            <w:tcBorders>
              <w:right w:val="single" w:sz="8" w:color="auto"/>
            </w:tcBorders>
            <w:gridSpan w:val="41"/>
            <w:shd w:val="clear" w:color="auto" w:fill="F0FFFF"/>
          </w:tcPr>
          <w:p>
            <w:pPr>
              <w:ind w:left="100"/>
              <w:spacing w:after="0" w:line="144" w:lineRule="exact"/>
              <w:rPr>
                <w:sz w:val="20"/>
                <w:szCs w:val="20"/>
                <w:color w:val="auto"/>
              </w:rPr>
            </w:pPr>
            <w:r>
              <w:rPr>
                <w:rFonts w:ascii="Times New Roman" w:cs="Times New Roman" w:eastAsia="Times New Roman" w:hAnsi="Times New Roman"/>
                <w:sz w:val="13"/>
                <w:szCs w:val="13"/>
                <w:color w:val="auto"/>
              </w:rPr>
              <w:t>Lock Value on the Term End Date, you may transfer all or a portion of the</w:t>
            </w:r>
          </w:p>
        </w:tc>
        <w:tc>
          <w:tcPr>
            <w:tcW w:w="80" w:type="dxa"/>
            <w:vAlign w:val="bottom"/>
            <w:tcBorders>
              <w:right w:val="single" w:sz="8" w:color="F0FFFF"/>
            </w:tcBorders>
            <w:shd w:val="clear" w:color="auto" w:fill="F0FFFF"/>
          </w:tcPr>
          <w:p>
            <w:pPr>
              <w:spacing w:after="0"/>
              <w:rPr>
                <w:sz w:val="12"/>
                <w:szCs w:val="12"/>
                <w:color w:val="auto"/>
              </w:rPr>
            </w:pPr>
          </w:p>
        </w:tc>
        <w:tc>
          <w:tcPr>
            <w:tcW w:w="1280" w:type="dxa"/>
            <w:vAlign w:val="bottom"/>
            <w:tcBorders>
              <w:right w:val="single" w:sz="8" w:color="auto"/>
            </w:tcBorders>
            <w:gridSpan w:val="11"/>
            <w:shd w:val="clear" w:color="auto" w:fill="F0FFFF"/>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THE FIXED</w:t>
            </w: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140" w:type="dxa"/>
            <w:vAlign w:val="bottom"/>
            <w:tcBorders>
              <w:right w:val="single" w:sz="8" w:color="F0FFFF"/>
            </w:tcBorders>
            <w:shd w:val="clear" w:color="auto" w:fill="F0FFFF"/>
          </w:tcPr>
          <w:p>
            <w:pPr>
              <w:spacing w:after="0" w:line="20" w:lineRule="exact"/>
              <w:rPr>
                <w:sz w:val="1"/>
                <w:szCs w:val="1"/>
                <w:color w:val="auto"/>
              </w:rPr>
            </w:pPr>
          </w:p>
        </w:tc>
        <w:tc>
          <w:tcPr>
            <w:tcW w:w="4240" w:type="dxa"/>
            <w:vAlign w:val="bottom"/>
            <w:tcBorders>
              <w:right w:val="single" w:sz="8" w:color="auto"/>
            </w:tcBorders>
            <w:gridSpan w:val="41"/>
            <w:vMerge w:val="restart"/>
            <w:shd w:val="clear" w:color="auto" w:fill="F0FFFF"/>
          </w:tcPr>
          <w:p>
            <w:pPr>
              <w:ind w:left="100"/>
              <w:spacing w:after="0" w:line="139" w:lineRule="exact"/>
              <w:rPr>
                <w:sz w:val="20"/>
                <w:szCs w:val="20"/>
                <w:color w:val="auto"/>
              </w:rPr>
            </w:pPr>
            <w:r>
              <w:rPr>
                <w:rFonts w:ascii="Times New Roman" w:cs="Times New Roman" w:eastAsia="Times New Roman" w:hAnsi="Times New Roman"/>
                <w:sz w:val="13"/>
                <w:szCs w:val="13"/>
                <w:color w:val="auto"/>
              </w:rPr>
              <w:t>Performance Lock Value. Partial transfers of the Performance Lock Value</w:t>
            </w:r>
          </w:p>
        </w:tc>
        <w:tc>
          <w:tcPr>
            <w:tcW w:w="80" w:type="dxa"/>
            <w:vAlign w:val="bottom"/>
            <w:tcBorders>
              <w:right w:val="single" w:sz="8" w:color="F0FFFF"/>
            </w:tcBorders>
            <w:shd w:val="clear" w:color="auto" w:fill="F0FFFF"/>
          </w:tcPr>
          <w:p>
            <w:pPr>
              <w:spacing w:after="0" w:line="20" w:lineRule="exact"/>
              <w:rPr>
                <w:sz w:val="1"/>
                <w:szCs w:val="1"/>
                <w:color w:val="auto"/>
              </w:rPr>
            </w:pPr>
          </w:p>
        </w:tc>
        <w:tc>
          <w:tcPr>
            <w:tcW w:w="300" w:type="dxa"/>
            <w:vAlign w:val="bottom"/>
            <w:shd w:val="clear" w:color="auto" w:fill="F0FFFF"/>
          </w:tcPr>
          <w:p>
            <w:pPr>
              <w:spacing w:after="0" w:line="20" w:lineRule="exact"/>
              <w:rPr>
                <w:sz w:val="1"/>
                <w:szCs w:val="1"/>
                <w:color w:val="auto"/>
              </w:rPr>
            </w:pPr>
          </w:p>
        </w:tc>
        <w:tc>
          <w:tcPr>
            <w:tcW w:w="420" w:type="dxa"/>
            <w:vAlign w:val="bottom"/>
            <w:tcBorders>
              <w:left w:val="single" w:sz="8" w:color="auto"/>
              <w:right w:val="single" w:sz="8" w:color="auto"/>
            </w:tcBorders>
            <w:gridSpan w:val="4"/>
            <w:shd w:val="clear" w:color="auto" w:fill="000000"/>
          </w:tcPr>
          <w:p>
            <w:pPr>
              <w:spacing w:after="0" w:line="20" w:lineRule="exact"/>
              <w:rPr>
                <w:sz w:val="1"/>
                <w:szCs w:val="1"/>
                <w:color w:val="auto"/>
              </w:rPr>
            </w:pPr>
          </w:p>
        </w:tc>
        <w:tc>
          <w:tcPr>
            <w:tcW w:w="560" w:type="dxa"/>
            <w:vAlign w:val="bottom"/>
            <w:tcBorders>
              <w:right w:val="single" w:sz="8" w:color="auto"/>
            </w:tcBorders>
            <w:gridSpan w:val="6"/>
            <w:vMerge w:val="restart"/>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440" w:type="dxa"/>
            <w:vAlign w:val="bottom"/>
            <w:tcBorders>
              <w:left w:val="single" w:sz="8" w:color="auto"/>
              <w:right w:val="single" w:sz="8" w:color="auto"/>
            </w:tcBorders>
            <w:shd w:val="clear" w:color="auto" w:fill="F0FFFF"/>
          </w:tcPr>
          <w:p>
            <w:pPr>
              <w:spacing w:after="0"/>
              <w:rPr>
                <w:sz w:val="10"/>
                <w:szCs w:val="10"/>
                <w:color w:val="auto"/>
              </w:rPr>
            </w:pPr>
          </w:p>
        </w:tc>
        <w:tc>
          <w:tcPr>
            <w:tcW w:w="60" w:type="dxa"/>
            <w:vAlign w:val="bottom"/>
            <w:shd w:val="clear" w:color="auto" w:fill="F0FFFF"/>
          </w:tcPr>
          <w:p>
            <w:pPr>
              <w:spacing w:after="0"/>
              <w:rPr>
                <w:sz w:val="10"/>
                <w:szCs w:val="10"/>
                <w:color w:val="auto"/>
              </w:rPr>
            </w:pPr>
          </w:p>
        </w:tc>
        <w:tc>
          <w:tcPr>
            <w:tcW w:w="140" w:type="dxa"/>
            <w:vAlign w:val="bottom"/>
            <w:tcBorders>
              <w:right w:val="single" w:sz="8" w:color="F0FFFF"/>
            </w:tcBorders>
            <w:shd w:val="clear" w:color="auto" w:fill="F0FFFF"/>
          </w:tcPr>
          <w:p>
            <w:pPr>
              <w:spacing w:after="0"/>
              <w:rPr>
                <w:sz w:val="10"/>
                <w:szCs w:val="10"/>
                <w:color w:val="auto"/>
              </w:rPr>
            </w:pPr>
          </w:p>
        </w:tc>
        <w:tc>
          <w:tcPr>
            <w:tcW w:w="4240" w:type="dxa"/>
            <w:vAlign w:val="bottom"/>
            <w:tcBorders>
              <w:right w:val="single" w:sz="8" w:color="auto"/>
            </w:tcBorders>
            <w:gridSpan w:val="41"/>
            <w:vMerge w:val="continue"/>
            <w:shd w:val="clear" w:color="auto" w:fill="F0FFFF"/>
          </w:tcPr>
          <w:p>
            <w:pPr>
              <w:spacing w:after="0"/>
              <w:rPr>
                <w:sz w:val="10"/>
                <w:szCs w:val="10"/>
                <w:color w:val="auto"/>
              </w:rPr>
            </w:pPr>
          </w:p>
        </w:tc>
        <w:tc>
          <w:tcPr>
            <w:tcW w:w="80" w:type="dxa"/>
            <w:vAlign w:val="bottom"/>
            <w:tcBorders>
              <w:right w:val="single" w:sz="8" w:color="F0FFFF"/>
            </w:tcBorders>
            <w:shd w:val="clear" w:color="auto" w:fill="F0FFFF"/>
          </w:tcPr>
          <w:p>
            <w:pPr>
              <w:spacing w:after="0"/>
              <w:rPr>
                <w:sz w:val="10"/>
                <w:szCs w:val="10"/>
                <w:color w:val="auto"/>
              </w:rPr>
            </w:pPr>
          </w:p>
        </w:tc>
        <w:tc>
          <w:tcPr>
            <w:tcW w:w="720" w:type="dxa"/>
            <w:vAlign w:val="bottom"/>
            <w:tcBorders>
              <w:right w:val="single" w:sz="8" w:color="F0FFFF"/>
            </w:tcBorders>
            <w:gridSpan w:val="5"/>
            <w:shd w:val="clear" w:color="auto" w:fill="F0FFFF"/>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ACCOUNT</w:t>
            </w:r>
          </w:p>
        </w:tc>
        <w:tc>
          <w:tcPr>
            <w:tcW w:w="560" w:type="dxa"/>
            <w:vAlign w:val="bottom"/>
            <w:tcBorders>
              <w:right w:val="single" w:sz="8" w:color="auto"/>
            </w:tcBorders>
            <w:gridSpan w:val="6"/>
            <w:vMerge w:val="continue"/>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440" w:type="dxa"/>
            <w:vAlign w:val="bottom"/>
            <w:tcBorders>
              <w:top w:val="single" w:sz="8" w:color="F0FFFF"/>
              <w:left w:val="single" w:sz="8" w:color="auto"/>
              <w:right w:val="single" w:sz="8" w:color="auto"/>
            </w:tcBorders>
            <w:shd w:val="clear" w:color="auto" w:fill="F0FFFF"/>
          </w:tcPr>
          <w:p>
            <w:pPr>
              <w:spacing w:after="0"/>
              <w:rPr>
                <w:sz w:val="11"/>
                <w:szCs w:val="11"/>
                <w:color w:val="auto"/>
              </w:rPr>
            </w:pPr>
          </w:p>
        </w:tc>
        <w:tc>
          <w:tcPr>
            <w:tcW w:w="60" w:type="dxa"/>
            <w:vAlign w:val="bottom"/>
            <w:tcBorders>
              <w:top w:val="single" w:sz="8" w:color="F0FFFF"/>
            </w:tcBorders>
            <w:shd w:val="clear" w:color="auto" w:fill="F0FFFF"/>
          </w:tcPr>
          <w:p>
            <w:pPr>
              <w:spacing w:after="0"/>
              <w:rPr>
                <w:sz w:val="11"/>
                <w:szCs w:val="11"/>
                <w:color w:val="auto"/>
              </w:rPr>
            </w:pPr>
          </w:p>
        </w:tc>
        <w:tc>
          <w:tcPr>
            <w:tcW w:w="140" w:type="dxa"/>
            <w:vAlign w:val="bottom"/>
            <w:tcBorders>
              <w:top w:val="single" w:sz="8" w:color="F0FFFF"/>
              <w:right w:val="single" w:sz="8" w:color="F0FFFF"/>
            </w:tcBorders>
            <w:shd w:val="clear" w:color="auto" w:fill="F0FFFF"/>
          </w:tcPr>
          <w:p>
            <w:pPr>
              <w:spacing w:after="0"/>
              <w:rPr>
                <w:sz w:val="11"/>
                <w:szCs w:val="11"/>
                <w:color w:val="auto"/>
              </w:rPr>
            </w:pPr>
          </w:p>
        </w:tc>
        <w:tc>
          <w:tcPr>
            <w:tcW w:w="4240" w:type="dxa"/>
            <w:vAlign w:val="bottom"/>
            <w:tcBorders>
              <w:top w:val="single" w:sz="8" w:color="F0FFFF"/>
              <w:right w:val="single" w:sz="8" w:color="auto"/>
            </w:tcBorders>
            <w:gridSpan w:val="41"/>
            <w:shd w:val="clear" w:color="auto" w:fill="F0FFFF"/>
          </w:tcPr>
          <w:p>
            <w:pPr>
              <w:ind w:left="100"/>
              <w:spacing w:after="0" w:line="136" w:lineRule="exact"/>
              <w:rPr>
                <w:sz w:val="20"/>
                <w:szCs w:val="20"/>
                <w:color w:val="auto"/>
              </w:rPr>
            </w:pPr>
            <w:r>
              <w:rPr>
                <w:rFonts w:ascii="Times New Roman" w:cs="Times New Roman" w:eastAsia="Times New Roman" w:hAnsi="Times New Roman"/>
                <w:sz w:val="13"/>
                <w:szCs w:val="13"/>
                <w:color w:val="auto"/>
              </w:rPr>
              <w:t>prior to the Term End Date are not permitted.</w:t>
            </w:r>
          </w:p>
        </w:tc>
        <w:tc>
          <w:tcPr>
            <w:tcW w:w="80" w:type="dxa"/>
            <w:vAlign w:val="bottom"/>
            <w:tcBorders>
              <w:top w:val="single" w:sz="8" w:color="F0FFFF"/>
              <w:right w:val="single" w:sz="8" w:color="F0FFFF"/>
            </w:tcBorders>
            <w:shd w:val="clear" w:color="auto" w:fill="F0FFFF"/>
          </w:tcPr>
          <w:p>
            <w:pPr>
              <w:spacing w:after="0"/>
              <w:rPr>
                <w:sz w:val="11"/>
                <w:szCs w:val="11"/>
                <w:color w:val="auto"/>
              </w:rPr>
            </w:pPr>
          </w:p>
        </w:tc>
        <w:tc>
          <w:tcPr>
            <w:tcW w:w="300" w:type="dxa"/>
            <w:vAlign w:val="bottom"/>
            <w:tcBorders>
              <w:top w:val="single" w:sz="8" w:color="auto"/>
            </w:tcBorders>
            <w:shd w:val="clear" w:color="auto" w:fill="F0FFFF"/>
          </w:tcPr>
          <w:p>
            <w:pPr>
              <w:spacing w:after="0"/>
              <w:rPr>
                <w:sz w:val="11"/>
                <w:szCs w:val="11"/>
                <w:color w:val="auto"/>
              </w:rPr>
            </w:pPr>
          </w:p>
        </w:tc>
        <w:tc>
          <w:tcPr>
            <w:tcW w:w="120" w:type="dxa"/>
            <w:vAlign w:val="bottom"/>
            <w:tcBorders>
              <w:top w:val="single" w:sz="8" w:color="auto"/>
              <w:left w:val="single" w:sz="8" w:color="F0FFFF"/>
            </w:tcBorders>
            <w:shd w:val="clear" w:color="auto" w:fill="F0FFFF"/>
          </w:tcPr>
          <w:p>
            <w:pPr>
              <w:spacing w:after="0"/>
              <w:rPr>
                <w:sz w:val="11"/>
                <w:szCs w:val="11"/>
                <w:color w:val="auto"/>
              </w:rPr>
            </w:pPr>
          </w:p>
        </w:tc>
        <w:tc>
          <w:tcPr>
            <w:tcW w:w="100" w:type="dxa"/>
            <w:vAlign w:val="bottom"/>
            <w:tcBorders>
              <w:top w:val="single" w:sz="8" w:color="auto"/>
            </w:tcBorders>
            <w:shd w:val="clear" w:color="auto" w:fill="F0FFFF"/>
          </w:tcPr>
          <w:p>
            <w:pPr>
              <w:spacing w:after="0"/>
              <w:rPr>
                <w:sz w:val="11"/>
                <w:szCs w:val="11"/>
                <w:color w:val="auto"/>
              </w:rPr>
            </w:pPr>
          </w:p>
        </w:tc>
        <w:tc>
          <w:tcPr>
            <w:tcW w:w="20" w:type="dxa"/>
            <w:vAlign w:val="bottom"/>
            <w:tcBorders>
              <w:top w:val="single" w:sz="8" w:color="auto"/>
            </w:tcBorders>
            <w:shd w:val="clear" w:color="auto" w:fill="F0FFFF"/>
          </w:tcPr>
          <w:p>
            <w:pPr>
              <w:spacing w:after="0"/>
              <w:rPr>
                <w:sz w:val="11"/>
                <w:szCs w:val="11"/>
                <w:color w:val="auto"/>
              </w:rPr>
            </w:pPr>
          </w:p>
        </w:tc>
        <w:tc>
          <w:tcPr>
            <w:tcW w:w="180" w:type="dxa"/>
            <w:vAlign w:val="bottom"/>
            <w:tcBorders>
              <w:top w:val="single" w:sz="8" w:color="auto"/>
              <w:right w:val="single" w:sz="8" w:color="F0FFFF"/>
            </w:tcBorders>
            <w:shd w:val="clear" w:color="auto" w:fill="F0FFFF"/>
          </w:tcPr>
          <w:p>
            <w:pPr>
              <w:spacing w:after="0"/>
              <w:rPr>
                <w:sz w:val="11"/>
                <w:szCs w:val="11"/>
                <w:color w:val="auto"/>
              </w:rPr>
            </w:pPr>
          </w:p>
        </w:tc>
        <w:tc>
          <w:tcPr>
            <w:tcW w:w="120" w:type="dxa"/>
            <w:vAlign w:val="bottom"/>
            <w:tcBorders>
              <w:top w:val="single" w:sz="8" w:color="F0FFFF"/>
            </w:tcBorders>
            <w:shd w:val="clear" w:color="auto" w:fill="F0FFFF"/>
          </w:tcPr>
          <w:p>
            <w:pPr>
              <w:spacing w:after="0"/>
              <w:rPr>
                <w:sz w:val="11"/>
                <w:szCs w:val="11"/>
                <w:color w:val="auto"/>
              </w:rPr>
            </w:pPr>
          </w:p>
        </w:tc>
        <w:tc>
          <w:tcPr>
            <w:tcW w:w="120" w:type="dxa"/>
            <w:vAlign w:val="bottom"/>
            <w:tcBorders>
              <w:top w:val="single" w:sz="8" w:color="F0FFFF"/>
            </w:tcBorders>
            <w:shd w:val="clear" w:color="auto" w:fill="F0FFFF"/>
          </w:tcPr>
          <w:p>
            <w:pPr>
              <w:spacing w:after="0"/>
              <w:rPr>
                <w:sz w:val="11"/>
                <w:szCs w:val="11"/>
                <w:color w:val="auto"/>
              </w:rPr>
            </w:pPr>
          </w:p>
        </w:tc>
        <w:tc>
          <w:tcPr>
            <w:tcW w:w="100" w:type="dxa"/>
            <w:vAlign w:val="bottom"/>
            <w:tcBorders>
              <w:top w:val="single" w:sz="8" w:color="F0FFFF"/>
            </w:tcBorders>
            <w:shd w:val="clear" w:color="auto" w:fill="F0FFFF"/>
          </w:tcPr>
          <w:p>
            <w:pPr>
              <w:spacing w:after="0"/>
              <w:rPr>
                <w:sz w:val="11"/>
                <w:szCs w:val="11"/>
                <w:color w:val="auto"/>
              </w:rPr>
            </w:pPr>
          </w:p>
        </w:tc>
        <w:tc>
          <w:tcPr>
            <w:tcW w:w="60" w:type="dxa"/>
            <w:vAlign w:val="bottom"/>
            <w:tcBorders>
              <w:top w:val="single" w:sz="8" w:color="F0FFFF"/>
            </w:tcBorders>
            <w:shd w:val="clear" w:color="auto" w:fill="F0FFFF"/>
          </w:tcPr>
          <w:p>
            <w:pPr>
              <w:spacing w:after="0"/>
              <w:rPr>
                <w:sz w:val="11"/>
                <w:szCs w:val="11"/>
                <w:color w:val="auto"/>
              </w:rPr>
            </w:pPr>
          </w:p>
        </w:tc>
        <w:tc>
          <w:tcPr>
            <w:tcW w:w="20" w:type="dxa"/>
            <w:vAlign w:val="bottom"/>
            <w:tcBorders>
              <w:top w:val="single" w:sz="8" w:color="F0FFFF"/>
            </w:tcBorders>
            <w:shd w:val="clear" w:color="auto" w:fill="F0FFFF"/>
          </w:tcPr>
          <w:p>
            <w:pPr>
              <w:spacing w:after="0"/>
              <w:rPr>
                <w:sz w:val="11"/>
                <w:szCs w:val="11"/>
                <w:color w:val="auto"/>
              </w:rPr>
            </w:pPr>
          </w:p>
        </w:tc>
        <w:tc>
          <w:tcPr>
            <w:tcW w:w="140" w:type="dxa"/>
            <w:vAlign w:val="bottom"/>
            <w:tcBorders>
              <w:top w:val="single" w:sz="8" w:color="F0FFFF"/>
              <w:right w:val="single" w:sz="8" w:color="auto"/>
            </w:tcBorders>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440" w:type="dxa"/>
            <w:vAlign w:val="bottom"/>
            <w:tcBorders>
              <w:left w:val="single" w:sz="8" w:color="auto"/>
              <w:right w:val="single" w:sz="8" w:color="auto"/>
            </w:tcBorders>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40" w:type="dxa"/>
            <w:vAlign w:val="bottom"/>
            <w:tcBorders>
              <w:right w:val="single" w:sz="8" w:color="F0FFFF"/>
            </w:tcBorders>
            <w:shd w:val="clear" w:color="auto" w:fill="F0FFFF"/>
          </w:tcPr>
          <w:p>
            <w:pPr>
              <w:spacing w:after="0"/>
              <w:rPr>
                <w:sz w:val="12"/>
                <w:szCs w:val="12"/>
                <w:color w:val="auto"/>
              </w:rPr>
            </w:pPr>
          </w:p>
        </w:tc>
        <w:tc>
          <w:tcPr>
            <w:tcW w:w="4240" w:type="dxa"/>
            <w:vAlign w:val="bottom"/>
            <w:tcBorders>
              <w:right w:val="single" w:sz="8" w:color="auto"/>
            </w:tcBorders>
            <w:gridSpan w:val="41"/>
            <w:shd w:val="clear" w:color="auto" w:fill="F0FFFF"/>
          </w:tcPr>
          <w:p>
            <w:pPr>
              <w:spacing w:after="0" w:line="142" w:lineRule="exact"/>
              <w:rPr>
                <w:sz w:val="20"/>
                <w:szCs w:val="20"/>
                <w:color w:val="auto"/>
              </w:rPr>
            </w:pPr>
            <w:r>
              <w:rPr>
                <w:rFonts w:ascii="Times New Roman" w:cs="Times New Roman" w:eastAsia="Times New Roman" w:hAnsi="Times New Roman"/>
                <w:sz w:val="13"/>
                <w:szCs w:val="13"/>
                <w:color w:val="auto"/>
              </w:rPr>
              <w:t>○  Transfers from the Holding Account may only be made on a Contract</w:t>
            </w:r>
          </w:p>
        </w:tc>
        <w:tc>
          <w:tcPr>
            <w:tcW w:w="80" w:type="dxa"/>
            <w:vAlign w:val="bottom"/>
            <w:tcBorders>
              <w:right w:val="single" w:sz="8" w:color="F0FFFF"/>
            </w:tcBorders>
            <w:shd w:val="clear" w:color="auto" w:fill="F0FFFF"/>
          </w:tcPr>
          <w:p>
            <w:pPr>
              <w:spacing w:after="0"/>
              <w:rPr>
                <w:sz w:val="12"/>
                <w:szCs w:val="12"/>
                <w:color w:val="auto"/>
              </w:rPr>
            </w:pPr>
          </w:p>
        </w:tc>
        <w:tc>
          <w:tcPr>
            <w:tcW w:w="300" w:type="dxa"/>
            <w:vAlign w:val="bottom"/>
            <w:shd w:val="clear" w:color="auto" w:fill="F0FFFF"/>
          </w:tcPr>
          <w:p>
            <w:pPr>
              <w:spacing w:after="0"/>
              <w:rPr>
                <w:sz w:val="12"/>
                <w:szCs w:val="12"/>
                <w:color w:val="auto"/>
              </w:rPr>
            </w:pPr>
          </w:p>
        </w:tc>
        <w:tc>
          <w:tcPr>
            <w:tcW w:w="120" w:type="dxa"/>
            <w:vAlign w:val="bottom"/>
            <w:tcBorders>
              <w:lef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8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4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440" w:type="dxa"/>
            <w:vAlign w:val="bottom"/>
            <w:tcBorders>
              <w:top w:val="single" w:sz="8" w:color="F0FFFF"/>
              <w:left w:val="single" w:sz="8" w:color="auto"/>
              <w:right w:val="single" w:sz="8" w:color="auto"/>
            </w:tcBorders>
            <w:shd w:val="clear" w:color="auto" w:fill="F0FFFF"/>
          </w:tcPr>
          <w:p>
            <w:pPr>
              <w:spacing w:after="0"/>
              <w:rPr>
                <w:sz w:val="10"/>
                <w:szCs w:val="10"/>
                <w:color w:val="auto"/>
              </w:rPr>
            </w:pPr>
          </w:p>
        </w:tc>
        <w:tc>
          <w:tcPr>
            <w:tcW w:w="60" w:type="dxa"/>
            <w:vAlign w:val="bottom"/>
            <w:tcBorders>
              <w:top w:val="single" w:sz="8" w:color="F0FFFF"/>
            </w:tcBorders>
            <w:shd w:val="clear" w:color="auto" w:fill="F0FFFF"/>
          </w:tcPr>
          <w:p>
            <w:pPr>
              <w:spacing w:after="0"/>
              <w:rPr>
                <w:sz w:val="10"/>
                <w:szCs w:val="10"/>
                <w:color w:val="auto"/>
              </w:rPr>
            </w:pPr>
          </w:p>
        </w:tc>
        <w:tc>
          <w:tcPr>
            <w:tcW w:w="140" w:type="dxa"/>
            <w:vAlign w:val="bottom"/>
            <w:tcBorders>
              <w:top w:val="single" w:sz="8" w:color="F0FFFF"/>
              <w:right w:val="single" w:sz="8" w:color="F0FFFF"/>
            </w:tcBorders>
            <w:shd w:val="clear" w:color="auto" w:fill="F0FFFF"/>
          </w:tcPr>
          <w:p>
            <w:pPr>
              <w:spacing w:after="0"/>
              <w:rPr>
                <w:sz w:val="10"/>
                <w:szCs w:val="10"/>
                <w:color w:val="auto"/>
              </w:rPr>
            </w:pPr>
          </w:p>
        </w:tc>
        <w:tc>
          <w:tcPr>
            <w:tcW w:w="1200" w:type="dxa"/>
            <w:vAlign w:val="bottom"/>
            <w:tcBorders>
              <w:top w:val="single" w:sz="8" w:color="F0FFFF"/>
              <w:right w:val="single" w:sz="8" w:color="F0FFFF"/>
            </w:tcBorders>
            <w:gridSpan w:val="10"/>
            <w:shd w:val="clear" w:color="auto" w:fill="F0FFFF"/>
          </w:tcPr>
          <w:p>
            <w:pPr>
              <w:ind w:left="100"/>
              <w:spacing w:after="0" w:line="119" w:lineRule="exact"/>
              <w:rPr>
                <w:sz w:val="20"/>
                <w:szCs w:val="20"/>
                <w:color w:val="auto"/>
              </w:rPr>
            </w:pPr>
            <w:r>
              <w:rPr>
                <w:rFonts w:ascii="Times New Roman" w:cs="Times New Roman" w:eastAsia="Times New Roman" w:hAnsi="Times New Roman"/>
                <w:sz w:val="13"/>
                <w:szCs w:val="13"/>
                <w:color w:val="auto"/>
              </w:rPr>
              <w:t>Anniversary.</w:t>
            </w:r>
          </w:p>
        </w:tc>
        <w:tc>
          <w:tcPr>
            <w:tcW w:w="920" w:type="dxa"/>
            <w:vAlign w:val="bottom"/>
            <w:tcBorders>
              <w:top w:val="single" w:sz="8" w:color="auto"/>
              <w:right w:val="single" w:sz="8" w:color="F0FFFF"/>
            </w:tcBorders>
            <w:gridSpan w:val="11"/>
            <w:shd w:val="clear" w:color="auto" w:fill="F0FFFF"/>
          </w:tcPr>
          <w:p>
            <w:pPr>
              <w:spacing w:after="0"/>
              <w:rPr>
                <w:sz w:val="10"/>
                <w:szCs w:val="10"/>
                <w:color w:val="auto"/>
              </w:rPr>
            </w:pPr>
          </w:p>
        </w:tc>
        <w:tc>
          <w:tcPr>
            <w:tcW w:w="1340" w:type="dxa"/>
            <w:vAlign w:val="bottom"/>
            <w:tcBorders>
              <w:top w:val="single" w:sz="8" w:color="F0FFFF"/>
              <w:right w:val="single" w:sz="8" w:color="F0FFFF"/>
            </w:tcBorders>
            <w:gridSpan w:val="11"/>
            <w:shd w:val="clear" w:color="auto" w:fill="F0FFFF"/>
          </w:tcPr>
          <w:p>
            <w:pPr>
              <w:spacing w:after="0"/>
              <w:rPr>
                <w:sz w:val="10"/>
                <w:szCs w:val="10"/>
                <w:color w:val="auto"/>
              </w:rPr>
            </w:pPr>
          </w:p>
        </w:tc>
        <w:tc>
          <w:tcPr>
            <w:tcW w:w="440" w:type="dxa"/>
            <w:vAlign w:val="bottom"/>
            <w:tcBorders>
              <w:top w:val="single" w:sz="8" w:color="auto"/>
              <w:right w:val="single" w:sz="8" w:color="F0FFFF"/>
            </w:tcBorders>
            <w:gridSpan w:val="7"/>
            <w:shd w:val="clear" w:color="auto" w:fill="F0FFFF"/>
          </w:tcPr>
          <w:p>
            <w:pPr>
              <w:spacing w:after="0"/>
              <w:rPr>
                <w:sz w:val="10"/>
                <w:szCs w:val="10"/>
                <w:color w:val="auto"/>
              </w:rPr>
            </w:pPr>
          </w:p>
        </w:tc>
        <w:tc>
          <w:tcPr>
            <w:tcW w:w="340" w:type="dxa"/>
            <w:vAlign w:val="bottom"/>
            <w:tcBorders>
              <w:top w:val="single" w:sz="8" w:color="F0FFFF"/>
              <w:left w:val="single" w:sz="8" w:color="F0FFFF"/>
              <w:right w:val="single" w:sz="8" w:color="auto"/>
            </w:tcBorders>
            <w:gridSpan w:val="2"/>
            <w:shd w:val="clear" w:color="auto" w:fill="F0FFFF"/>
          </w:tcPr>
          <w:p>
            <w:pPr>
              <w:spacing w:after="0"/>
              <w:rPr>
                <w:sz w:val="10"/>
                <w:szCs w:val="10"/>
                <w:color w:val="auto"/>
              </w:rPr>
            </w:pPr>
          </w:p>
        </w:tc>
        <w:tc>
          <w:tcPr>
            <w:tcW w:w="80" w:type="dxa"/>
            <w:vAlign w:val="bottom"/>
            <w:tcBorders>
              <w:top w:val="single" w:sz="8" w:color="F0FFFF"/>
              <w:right w:val="single" w:sz="8" w:color="F0FFFF"/>
            </w:tcBorders>
            <w:shd w:val="clear" w:color="auto" w:fill="F0FFFF"/>
          </w:tcPr>
          <w:p>
            <w:pPr>
              <w:spacing w:after="0"/>
              <w:rPr>
                <w:sz w:val="10"/>
                <w:szCs w:val="10"/>
                <w:color w:val="auto"/>
              </w:rPr>
            </w:pPr>
          </w:p>
        </w:tc>
        <w:tc>
          <w:tcPr>
            <w:tcW w:w="300" w:type="dxa"/>
            <w:vAlign w:val="bottom"/>
            <w:tcBorders>
              <w:top w:val="single" w:sz="8" w:color="F0FFFF"/>
            </w:tcBorders>
            <w:shd w:val="clear" w:color="auto" w:fill="F0FFFF"/>
          </w:tcPr>
          <w:p>
            <w:pPr>
              <w:spacing w:after="0"/>
              <w:rPr>
                <w:sz w:val="10"/>
                <w:szCs w:val="10"/>
                <w:color w:val="auto"/>
              </w:rPr>
            </w:pPr>
          </w:p>
        </w:tc>
        <w:tc>
          <w:tcPr>
            <w:tcW w:w="120" w:type="dxa"/>
            <w:vAlign w:val="bottom"/>
            <w:tcBorders>
              <w:top w:val="single" w:sz="8" w:color="F0FFFF"/>
              <w:left w:val="single" w:sz="8" w:color="F0FFFF"/>
            </w:tcBorders>
            <w:shd w:val="clear" w:color="auto" w:fill="F0FFFF"/>
          </w:tcPr>
          <w:p>
            <w:pPr>
              <w:spacing w:after="0"/>
              <w:rPr>
                <w:sz w:val="10"/>
                <w:szCs w:val="10"/>
                <w:color w:val="auto"/>
              </w:rPr>
            </w:pPr>
          </w:p>
        </w:tc>
        <w:tc>
          <w:tcPr>
            <w:tcW w:w="100" w:type="dxa"/>
            <w:vAlign w:val="bottom"/>
            <w:tcBorders>
              <w:top w:val="single" w:sz="8" w:color="F0FFFF"/>
            </w:tcBorders>
            <w:shd w:val="clear" w:color="auto" w:fill="F0FFFF"/>
          </w:tcPr>
          <w:p>
            <w:pPr>
              <w:spacing w:after="0"/>
              <w:rPr>
                <w:sz w:val="10"/>
                <w:szCs w:val="10"/>
                <w:color w:val="auto"/>
              </w:rPr>
            </w:pPr>
          </w:p>
        </w:tc>
        <w:tc>
          <w:tcPr>
            <w:tcW w:w="20" w:type="dxa"/>
            <w:vAlign w:val="bottom"/>
            <w:tcBorders>
              <w:top w:val="single" w:sz="8" w:color="F0FFFF"/>
            </w:tcBorders>
            <w:shd w:val="clear" w:color="auto" w:fill="F0FFFF"/>
          </w:tcPr>
          <w:p>
            <w:pPr>
              <w:spacing w:after="0"/>
              <w:rPr>
                <w:sz w:val="10"/>
                <w:szCs w:val="10"/>
                <w:color w:val="auto"/>
              </w:rPr>
            </w:pPr>
          </w:p>
        </w:tc>
        <w:tc>
          <w:tcPr>
            <w:tcW w:w="180" w:type="dxa"/>
            <w:vAlign w:val="bottom"/>
            <w:tcBorders>
              <w:top w:val="single" w:sz="8" w:color="F0FFFF"/>
              <w:right w:val="single" w:sz="8" w:color="F0FFFF"/>
            </w:tcBorders>
            <w:shd w:val="clear" w:color="auto" w:fill="F0FFFF"/>
          </w:tcPr>
          <w:p>
            <w:pPr>
              <w:spacing w:after="0"/>
              <w:rPr>
                <w:sz w:val="10"/>
                <w:szCs w:val="10"/>
                <w:color w:val="auto"/>
              </w:rPr>
            </w:pPr>
          </w:p>
        </w:tc>
        <w:tc>
          <w:tcPr>
            <w:tcW w:w="120" w:type="dxa"/>
            <w:vAlign w:val="bottom"/>
            <w:tcBorders>
              <w:top w:val="single" w:sz="8" w:color="F0FFFF"/>
            </w:tcBorders>
            <w:shd w:val="clear" w:color="auto" w:fill="F0FFFF"/>
          </w:tcPr>
          <w:p>
            <w:pPr>
              <w:spacing w:after="0"/>
              <w:rPr>
                <w:sz w:val="10"/>
                <w:szCs w:val="10"/>
                <w:color w:val="auto"/>
              </w:rPr>
            </w:pPr>
          </w:p>
        </w:tc>
        <w:tc>
          <w:tcPr>
            <w:tcW w:w="120" w:type="dxa"/>
            <w:vAlign w:val="bottom"/>
            <w:tcBorders>
              <w:top w:val="single" w:sz="8" w:color="F0FFFF"/>
            </w:tcBorders>
            <w:shd w:val="clear" w:color="auto" w:fill="F0FFFF"/>
          </w:tcPr>
          <w:p>
            <w:pPr>
              <w:spacing w:after="0"/>
              <w:rPr>
                <w:sz w:val="10"/>
                <w:szCs w:val="10"/>
                <w:color w:val="auto"/>
              </w:rPr>
            </w:pPr>
          </w:p>
        </w:tc>
        <w:tc>
          <w:tcPr>
            <w:tcW w:w="100" w:type="dxa"/>
            <w:vAlign w:val="bottom"/>
            <w:tcBorders>
              <w:top w:val="single" w:sz="8" w:color="F0FFFF"/>
            </w:tcBorders>
            <w:shd w:val="clear" w:color="auto" w:fill="F0FFFF"/>
          </w:tcPr>
          <w:p>
            <w:pPr>
              <w:spacing w:after="0"/>
              <w:rPr>
                <w:sz w:val="10"/>
                <w:szCs w:val="10"/>
                <w:color w:val="auto"/>
              </w:rPr>
            </w:pPr>
          </w:p>
        </w:tc>
        <w:tc>
          <w:tcPr>
            <w:tcW w:w="60" w:type="dxa"/>
            <w:vAlign w:val="bottom"/>
            <w:tcBorders>
              <w:top w:val="single" w:sz="8" w:color="F0FFFF"/>
            </w:tcBorders>
            <w:shd w:val="clear" w:color="auto" w:fill="F0FFFF"/>
          </w:tcPr>
          <w:p>
            <w:pPr>
              <w:spacing w:after="0"/>
              <w:rPr>
                <w:sz w:val="10"/>
                <w:szCs w:val="10"/>
                <w:color w:val="auto"/>
              </w:rPr>
            </w:pPr>
          </w:p>
        </w:tc>
        <w:tc>
          <w:tcPr>
            <w:tcW w:w="20" w:type="dxa"/>
            <w:vAlign w:val="bottom"/>
            <w:tcBorders>
              <w:top w:val="single" w:sz="8" w:color="F0FFFF"/>
            </w:tcBorders>
            <w:shd w:val="clear" w:color="auto" w:fill="F0FFFF"/>
          </w:tcPr>
          <w:p>
            <w:pPr>
              <w:spacing w:after="0"/>
              <w:rPr>
                <w:sz w:val="10"/>
                <w:szCs w:val="10"/>
                <w:color w:val="auto"/>
              </w:rPr>
            </w:pPr>
          </w:p>
        </w:tc>
        <w:tc>
          <w:tcPr>
            <w:tcW w:w="140" w:type="dxa"/>
            <w:vAlign w:val="bottom"/>
            <w:tcBorders>
              <w:top w:val="single" w:sz="8" w:color="F0FFFF"/>
              <w:right w:val="single" w:sz="8" w:color="auto"/>
            </w:tcBorders>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1440" w:type="dxa"/>
            <w:vAlign w:val="bottom"/>
            <w:tcBorders>
              <w:top w:val="single" w:sz="8" w:color="F0FFFF"/>
              <w:left w:val="single" w:sz="8" w:color="auto"/>
              <w:bottom w:val="single" w:sz="8" w:color="auto"/>
              <w:right w:val="single" w:sz="8" w:color="auto"/>
            </w:tcBorders>
            <w:shd w:val="clear" w:color="auto" w:fill="F0FFFF"/>
          </w:tcPr>
          <w:p>
            <w:pPr>
              <w:spacing w:after="0"/>
              <w:rPr>
                <w:sz w:val="18"/>
                <w:szCs w:val="18"/>
                <w:color w:val="auto"/>
              </w:rPr>
            </w:pPr>
          </w:p>
        </w:tc>
        <w:tc>
          <w:tcPr>
            <w:tcW w:w="200" w:type="dxa"/>
            <w:vAlign w:val="bottom"/>
            <w:tcBorders>
              <w:top w:val="single" w:sz="8" w:color="F0FFFF"/>
              <w:bottom w:val="single" w:sz="8" w:color="auto"/>
              <w:right w:val="single" w:sz="8" w:color="F0FFFF"/>
            </w:tcBorders>
            <w:gridSpan w:val="2"/>
            <w:shd w:val="clear" w:color="auto" w:fill="F0FFFF"/>
          </w:tcPr>
          <w:p>
            <w:pPr>
              <w:spacing w:after="0"/>
              <w:rPr>
                <w:sz w:val="18"/>
                <w:szCs w:val="18"/>
                <w:color w:val="auto"/>
              </w:rPr>
            </w:pPr>
          </w:p>
        </w:tc>
        <w:tc>
          <w:tcPr>
            <w:tcW w:w="120" w:type="dxa"/>
            <w:vAlign w:val="bottom"/>
            <w:tcBorders>
              <w:top w:val="single" w:sz="8" w:color="F0FFFF"/>
              <w:bottom w:val="single" w:sz="8" w:color="auto"/>
              <w:right w:val="single" w:sz="8" w:color="F0FFFF"/>
            </w:tcBorders>
            <w:shd w:val="clear" w:color="auto" w:fill="F0FFFF"/>
          </w:tcPr>
          <w:p>
            <w:pPr>
              <w:spacing w:after="0"/>
              <w:rPr>
                <w:sz w:val="18"/>
                <w:szCs w:val="18"/>
                <w:color w:val="auto"/>
              </w:rPr>
            </w:pPr>
          </w:p>
        </w:tc>
        <w:tc>
          <w:tcPr>
            <w:tcW w:w="100" w:type="dxa"/>
            <w:vAlign w:val="bottom"/>
            <w:tcBorders>
              <w:top w:val="single" w:sz="8" w:color="auto"/>
              <w:bottom w:val="single" w:sz="8" w:color="auto"/>
              <w:right w:val="single" w:sz="8" w:color="F0FFFF"/>
            </w:tcBorders>
            <w:shd w:val="clear" w:color="auto" w:fill="F0FFFF"/>
          </w:tcPr>
          <w:p>
            <w:pPr>
              <w:spacing w:after="0"/>
              <w:rPr>
                <w:sz w:val="18"/>
                <w:szCs w:val="18"/>
                <w:color w:val="auto"/>
              </w:rPr>
            </w:pPr>
          </w:p>
        </w:tc>
        <w:tc>
          <w:tcPr>
            <w:tcW w:w="240" w:type="dxa"/>
            <w:vAlign w:val="bottom"/>
            <w:tcBorders>
              <w:top w:val="single" w:sz="8" w:color="auto"/>
              <w:left w:val="single" w:sz="8" w:color="F0FFFF"/>
              <w:bottom w:val="single" w:sz="8" w:color="auto"/>
            </w:tcBorders>
            <w:gridSpan w:val="2"/>
            <w:shd w:val="clear" w:color="auto" w:fill="F0FFFF"/>
          </w:tcPr>
          <w:p>
            <w:pPr>
              <w:spacing w:after="0"/>
              <w:rPr>
                <w:sz w:val="18"/>
                <w:szCs w:val="18"/>
                <w:color w:val="auto"/>
              </w:rPr>
            </w:pPr>
          </w:p>
        </w:tc>
        <w:tc>
          <w:tcPr>
            <w:tcW w:w="80" w:type="dxa"/>
            <w:vAlign w:val="bottom"/>
            <w:tcBorders>
              <w:top w:val="single" w:sz="8" w:color="auto"/>
              <w:left w:val="single" w:sz="8" w:color="F0FFFF"/>
              <w:bottom w:val="single" w:sz="8" w:color="auto"/>
            </w:tcBorders>
            <w:shd w:val="clear" w:color="auto" w:fill="F0FFFF"/>
          </w:tcPr>
          <w:p>
            <w:pPr>
              <w:spacing w:after="0"/>
              <w:rPr>
                <w:sz w:val="18"/>
                <w:szCs w:val="18"/>
                <w:color w:val="auto"/>
              </w:rPr>
            </w:pPr>
          </w:p>
        </w:tc>
        <w:tc>
          <w:tcPr>
            <w:tcW w:w="100" w:type="dxa"/>
            <w:vAlign w:val="bottom"/>
            <w:tcBorders>
              <w:top w:val="single" w:sz="8" w:color="auto"/>
              <w:left w:val="single" w:sz="8" w:color="F0FFFF"/>
              <w:bottom w:val="single" w:sz="8" w:color="auto"/>
              <w:right w:val="single" w:sz="8" w:color="F0FFFF"/>
            </w:tcBorders>
            <w:shd w:val="clear" w:color="auto" w:fill="F0FFFF"/>
          </w:tcPr>
          <w:p>
            <w:pPr>
              <w:spacing w:after="0"/>
              <w:rPr>
                <w:sz w:val="18"/>
                <w:szCs w:val="18"/>
                <w:color w:val="auto"/>
              </w:rPr>
            </w:pPr>
          </w:p>
        </w:tc>
        <w:tc>
          <w:tcPr>
            <w:tcW w:w="80" w:type="dxa"/>
            <w:vAlign w:val="bottom"/>
            <w:tcBorders>
              <w:top w:val="single" w:sz="8" w:color="auto"/>
              <w:bottom w:val="single" w:sz="8" w:color="auto"/>
              <w:right w:val="single" w:sz="8" w:color="F0FFFF"/>
            </w:tcBorders>
            <w:gridSpan w:val="2"/>
            <w:shd w:val="clear" w:color="auto" w:fill="F0FFFF"/>
          </w:tcPr>
          <w:p>
            <w:pPr>
              <w:spacing w:after="0"/>
              <w:rPr>
                <w:sz w:val="18"/>
                <w:szCs w:val="18"/>
                <w:color w:val="auto"/>
              </w:rPr>
            </w:pPr>
          </w:p>
        </w:tc>
        <w:tc>
          <w:tcPr>
            <w:tcW w:w="340" w:type="dxa"/>
            <w:vAlign w:val="bottom"/>
            <w:tcBorders>
              <w:top w:val="single" w:sz="8" w:color="F0FFFF"/>
              <w:left w:val="single" w:sz="8" w:color="F0FFFF"/>
              <w:bottom w:val="single" w:sz="8" w:color="auto"/>
              <w:right w:val="single" w:sz="8" w:color="F0FFFF"/>
            </w:tcBorders>
            <w:shd w:val="clear" w:color="auto" w:fill="F0FFFF"/>
          </w:tcPr>
          <w:p>
            <w:pPr>
              <w:spacing w:after="0"/>
              <w:rPr>
                <w:sz w:val="18"/>
                <w:szCs w:val="18"/>
                <w:color w:val="auto"/>
              </w:rPr>
            </w:pPr>
          </w:p>
        </w:tc>
        <w:tc>
          <w:tcPr>
            <w:tcW w:w="140" w:type="dxa"/>
            <w:vAlign w:val="bottom"/>
            <w:tcBorders>
              <w:top w:val="single" w:sz="8" w:color="F0FFFF"/>
              <w:bottom w:val="single" w:sz="8" w:color="auto"/>
              <w:right w:val="single" w:sz="8" w:color="F0FFFF"/>
            </w:tcBorders>
            <w:shd w:val="clear" w:color="auto" w:fill="F0FFFF"/>
          </w:tcPr>
          <w:p>
            <w:pPr>
              <w:spacing w:after="0"/>
              <w:rPr>
                <w:sz w:val="18"/>
                <w:szCs w:val="18"/>
                <w:color w:val="auto"/>
              </w:rPr>
            </w:pPr>
          </w:p>
        </w:tc>
        <w:tc>
          <w:tcPr>
            <w:tcW w:w="220" w:type="dxa"/>
            <w:vAlign w:val="bottom"/>
            <w:tcBorders>
              <w:top w:val="single" w:sz="8" w:color="F0FFFF"/>
              <w:bottom w:val="single" w:sz="8" w:color="auto"/>
              <w:right w:val="single" w:sz="8" w:color="F0FFFF"/>
            </w:tcBorders>
            <w:gridSpan w:val="2"/>
            <w:shd w:val="clear" w:color="auto" w:fill="F0FFFF"/>
          </w:tcPr>
          <w:p>
            <w:pPr>
              <w:spacing w:after="0"/>
              <w:rPr>
                <w:sz w:val="18"/>
                <w:szCs w:val="18"/>
                <w:color w:val="auto"/>
              </w:rPr>
            </w:pPr>
          </w:p>
        </w:tc>
        <w:tc>
          <w:tcPr>
            <w:tcW w:w="60" w:type="dxa"/>
            <w:vAlign w:val="bottom"/>
            <w:tcBorders>
              <w:top w:val="single" w:sz="8" w:color="F0FFFF"/>
              <w:bottom w:val="single" w:sz="8" w:color="auto"/>
              <w:right w:val="single" w:sz="8" w:color="F0FFFF"/>
            </w:tcBorders>
            <w:shd w:val="clear" w:color="auto" w:fill="F0FFFF"/>
          </w:tcPr>
          <w:p>
            <w:pPr>
              <w:spacing w:after="0"/>
              <w:rPr>
                <w:sz w:val="18"/>
                <w:szCs w:val="18"/>
                <w:color w:val="auto"/>
              </w:rPr>
            </w:pPr>
          </w:p>
        </w:tc>
        <w:tc>
          <w:tcPr>
            <w:tcW w:w="80" w:type="dxa"/>
            <w:vAlign w:val="bottom"/>
            <w:tcBorders>
              <w:top w:val="single" w:sz="8" w:color="F0FFFF"/>
              <w:bottom w:val="single" w:sz="8" w:color="auto"/>
              <w:right w:val="single" w:sz="8" w:color="F0FFFF"/>
            </w:tcBorders>
            <w:shd w:val="clear" w:color="auto" w:fill="F0FFFF"/>
          </w:tcPr>
          <w:p>
            <w:pPr>
              <w:spacing w:after="0"/>
              <w:rPr>
                <w:sz w:val="18"/>
                <w:szCs w:val="18"/>
                <w:color w:val="auto"/>
              </w:rPr>
            </w:pPr>
          </w:p>
        </w:tc>
        <w:tc>
          <w:tcPr>
            <w:tcW w:w="140" w:type="dxa"/>
            <w:vAlign w:val="bottom"/>
            <w:tcBorders>
              <w:top w:val="single" w:sz="8" w:color="F0FFFF"/>
              <w:left w:val="single" w:sz="8" w:color="F0FFFF"/>
              <w:bottom w:val="single" w:sz="8" w:color="auto"/>
            </w:tcBorders>
            <w:gridSpan w:val="2"/>
            <w:shd w:val="clear" w:color="auto" w:fill="F0FFFF"/>
          </w:tcPr>
          <w:p>
            <w:pPr>
              <w:spacing w:after="0"/>
              <w:rPr>
                <w:sz w:val="18"/>
                <w:szCs w:val="18"/>
                <w:color w:val="auto"/>
              </w:rPr>
            </w:pPr>
          </w:p>
        </w:tc>
        <w:tc>
          <w:tcPr>
            <w:tcW w:w="140" w:type="dxa"/>
            <w:vAlign w:val="bottom"/>
            <w:tcBorders>
              <w:top w:val="single" w:sz="8" w:color="F0FFFF"/>
              <w:left w:val="single" w:sz="8" w:color="F0FFFF"/>
              <w:bottom w:val="single" w:sz="8" w:color="auto"/>
              <w:right w:val="single" w:sz="8" w:color="F0FFFF"/>
            </w:tcBorders>
            <w:gridSpan w:val="2"/>
            <w:shd w:val="clear" w:color="auto" w:fill="F0FFFF"/>
          </w:tcPr>
          <w:p>
            <w:pPr>
              <w:spacing w:after="0"/>
              <w:rPr>
                <w:sz w:val="18"/>
                <w:szCs w:val="18"/>
                <w:color w:val="auto"/>
              </w:rPr>
            </w:pPr>
          </w:p>
        </w:tc>
        <w:tc>
          <w:tcPr>
            <w:tcW w:w="120" w:type="dxa"/>
            <w:vAlign w:val="bottom"/>
            <w:tcBorders>
              <w:top w:val="single" w:sz="8" w:color="F0FFFF"/>
              <w:left w:val="single" w:sz="8" w:color="F0FFFF"/>
              <w:bottom w:val="single" w:sz="8" w:color="auto"/>
              <w:right w:val="single" w:sz="8" w:color="F0FFFF"/>
            </w:tcBorders>
            <w:shd w:val="clear" w:color="auto" w:fill="F0FFFF"/>
          </w:tcPr>
          <w:p>
            <w:pPr>
              <w:spacing w:after="0"/>
              <w:rPr>
                <w:sz w:val="18"/>
                <w:szCs w:val="18"/>
                <w:color w:val="auto"/>
              </w:rPr>
            </w:pPr>
          </w:p>
        </w:tc>
        <w:tc>
          <w:tcPr>
            <w:tcW w:w="160" w:type="dxa"/>
            <w:vAlign w:val="bottom"/>
            <w:tcBorders>
              <w:top w:val="single" w:sz="8" w:color="F0FFFF"/>
              <w:left w:val="single" w:sz="8" w:color="F0FFFF"/>
              <w:bottom w:val="single" w:sz="8" w:color="auto"/>
              <w:right w:val="single" w:sz="8" w:color="F0FFFF"/>
            </w:tcBorders>
            <w:gridSpan w:val="2"/>
            <w:shd w:val="clear" w:color="auto" w:fill="F0FFFF"/>
          </w:tcPr>
          <w:p>
            <w:pPr>
              <w:spacing w:after="0"/>
              <w:rPr>
                <w:sz w:val="18"/>
                <w:szCs w:val="18"/>
                <w:color w:val="auto"/>
              </w:rPr>
            </w:pPr>
          </w:p>
        </w:tc>
        <w:tc>
          <w:tcPr>
            <w:tcW w:w="200" w:type="dxa"/>
            <w:vAlign w:val="bottom"/>
            <w:tcBorders>
              <w:top w:val="single" w:sz="8" w:color="F0FFFF"/>
              <w:bottom w:val="single" w:sz="8" w:color="auto"/>
            </w:tcBorders>
            <w:gridSpan w:val="2"/>
            <w:shd w:val="clear" w:color="auto" w:fill="F0FFFF"/>
          </w:tcPr>
          <w:p>
            <w:pPr>
              <w:spacing w:after="0"/>
              <w:rPr>
                <w:sz w:val="18"/>
                <w:szCs w:val="18"/>
                <w:color w:val="auto"/>
              </w:rPr>
            </w:pPr>
          </w:p>
        </w:tc>
        <w:tc>
          <w:tcPr>
            <w:tcW w:w="160" w:type="dxa"/>
            <w:vAlign w:val="bottom"/>
            <w:tcBorders>
              <w:top w:val="single" w:sz="8" w:color="F0FFFF"/>
              <w:left w:val="single" w:sz="8" w:color="F0FFFF"/>
              <w:bottom w:val="single" w:sz="8" w:color="auto"/>
              <w:right w:val="single" w:sz="8" w:color="F0FFFF"/>
            </w:tcBorders>
            <w:shd w:val="clear" w:color="auto" w:fill="F0FFFF"/>
          </w:tcPr>
          <w:p>
            <w:pPr>
              <w:spacing w:after="0"/>
              <w:rPr>
                <w:sz w:val="18"/>
                <w:szCs w:val="18"/>
                <w:color w:val="auto"/>
              </w:rPr>
            </w:pPr>
          </w:p>
        </w:tc>
        <w:tc>
          <w:tcPr>
            <w:tcW w:w="280" w:type="dxa"/>
            <w:vAlign w:val="bottom"/>
            <w:tcBorders>
              <w:top w:val="single" w:sz="8" w:color="F0FFFF"/>
              <w:bottom w:val="single" w:sz="8" w:color="auto"/>
              <w:right w:val="single" w:sz="8" w:color="F0FFFF"/>
            </w:tcBorders>
            <w:shd w:val="clear" w:color="auto" w:fill="F0FFFF"/>
          </w:tcPr>
          <w:p>
            <w:pPr>
              <w:spacing w:after="0"/>
              <w:rPr>
                <w:sz w:val="18"/>
                <w:szCs w:val="18"/>
                <w:color w:val="auto"/>
              </w:rPr>
            </w:pPr>
          </w:p>
        </w:tc>
        <w:tc>
          <w:tcPr>
            <w:tcW w:w="60" w:type="dxa"/>
            <w:vAlign w:val="bottom"/>
            <w:tcBorders>
              <w:top w:val="single" w:sz="8" w:color="F0FFFF"/>
              <w:bottom w:val="single" w:sz="8" w:color="auto"/>
              <w:right w:val="single" w:sz="8" w:color="F0FFFF"/>
            </w:tcBorders>
            <w:shd w:val="clear" w:color="auto" w:fill="F0FFFF"/>
          </w:tcPr>
          <w:p>
            <w:pPr>
              <w:spacing w:after="0"/>
              <w:rPr>
                <w:sz w:val="18"/>
                <w:szCs w:val="18"/>
                <w:color w:val="auto"/>
              </w:rPr>
            </w:pPr>
          </w:p>
        </w:tc>
        <w:tc>
          <w:tcPr>
            <w:tcW w:w="220" w:type="dxa"/>
            <w:vAlign w:val="bottom"/>
            <w:tcBorders>
              <w:top w:val="single" w:sz="8" w:color="F0FFFF"/>
              <w:left w:val="single" w:sz="8" w:color="F0FFFF"/>
              <w:bottom w:val="single" w:sz="8" w:color="auto"/>
              <w:right w:val="single" w:sz="8" w:color="F0FFFF"/>
            </w:tcBorders>
            <w:shd w:val="clear" w:color="auto" w:fill="F0FFFF"/>
          </w:tcPr>
          <w:p>
            <w:pPr>
              <w:spacing w:after="0"/>
              <w:rPr>
                <w:sz w:val="18"/>
                <w:szCs w:val="18"/>
                <w:color w:val="auto"/>
              </w:rPr>
            </w:pPr>
          </w:p>
        </w:tc>
        <w:tc>
          <w:tcPr>
            <w:tcW w:w="220" w:type="dxa"/>
            <w:vAlign w:val="bottom"/>
            <w:tcBorders>
              <w:top w:val="single" w:sz="8" w:color="F0FFFF"/>
              <w:left w:val="single" w:sz="8" w:color="F0FFFF"/>
              <w:bottom w:val="single" w:sz="8" w:color="auto"/>
              <w:right w:val="single" w:sz="8" w:color="F0FFFF"/>
            </w:tcBorders>
            <w:gridSpan w:val="3"/>
            <w:shd w:val="clear" w:color="auto" w:fill="F0FFFF"/>
          </w:tcPr>
          <w:p>
            <w:pPr>
              <w:spacing w:after="0"/>
              <w:rPr>
                <w:sz w:val="18"/>
                <w:szCs w:val="18"/>
                <w:color w:val="auto"/>
              </w:rPr>
            </w:pPr>
          </w:p>
        </w:tc>
        <w:tc>
          <w:tcPr>
            <w:tcW w:w="200" w:type="dxa"/>
            <w:vAlign w:val="bottom"/>
            <w:tcBorders>
              <w:top w:val="single" w:sz="8" w:color="F0FFFF"/>
              <w:left w:val="single" w:sz="8" w:color="F0FFFF"/>
              <w:bottom w:val="single" w:sz="8" w:color="auto"/>
              <w:right w:val="single" w:sz="8" w:color="F0FFFF"/>
            </w:tcBorders>
            <w:gridSpan w:val="2"/>
            <w:shd w:val="clear" w:color="auto" w:fill="F0FFFF"/>
          </w:tcPr>
          <w:p>
            <w:pPr>
              <w:spacing w:after="0"/>
              <w:rPr>
                <w:sz w:val="18"/>
                <w:szCs w:val="18"/>
                <w:color w:val="auto"/>
              </w:rPr>
            </w:pPr>
          </w:p>
        </w:tc>
        <w:tc>
          <w:tcPr>
            <w:tcW w:w="240" w:type="dxa"/>
            <w:vAlign w:val="bottom"/>
            <w:tcBorders>
              <w:top w:val="single" w:sz="8" w:color="F0FFFF"/>
              <w:bottom w:val="single" w:sz="8" w:color="auto"/>
            </w:tcBorders>
            <w:gridSpan w:val="5"/>
            <w:shd w:val="clear" w:color="auto" w:fill="F0FFFF"/>
          </w:tcPr>
          <w:p>
            <w:pPr>
              <w:spacing w:after="0"/>
              <w:rPr>
                <w:sz w:val="18"/>
                <w:szCs w:val="18"/>
                <w:color w:val="auto"/>
              </w:rPr>
            </w:pPr>
          </w:p>
        </w:tc>
        <w:tc>
          <w:tcPr>
            <w:tcW w:w="100" w:type="dxa"/>
            <w:vAlign w:val="bottom"/>
            <w:tcBorders>
              <w:top w:val="single" w:sz="8" w:color="F0FFFF"/>
              <w:left w:val="single" w:sz="8" w:color="F0FFFF"/>
              <w:bottom w:val="single" w:sz="8" w:color="auto"/>
            </w:tcBorders>
            <w:shd w:val="clear" w:color="auto" w:fill="F0FFFF"/>
          </w:tcPr>
          <w:p>
            <w:pPr>
              <w:spacing w:after="0"/>
              <w:rPr>
                <w:sz w:val="18"/>
                <w:szCs w:val="18"/>
                <w:color w:val="auto"/>
              </w:rPr>
            </w:pPr>
          </w:p>
        </w:tc>
        <w:tc>
          <w:tcPr>
            <w:tcW w:w="100" w:type="dxa"/>
            <w:vAlign w:val="bottom"/>
            <w:tcBorders>
              <w:top w:val="single" w:sz="8" w:color="F0FFFF"/>
              <w:left w:val="single" w:sz="8" w:color="F0FFFF"/>
              <w:bottom w:val="single" w:sz="8" w:color="auto"/>
              <w:right w:val="single" w:sz="8" w:color="F0FFFF"/>
            </w:tcBorders>
            <w:shd w:val="clear" w:color="auto" w:fill="F0FFFF"/>
          </w:tcPr>
          <w:p>
            <w:pPr>
              <w:spacing w:after="0"/>
              <w:rPr>
                <w:sz w:val="18"/>
                <w:szCs w:val="18"/>
                <w:color w:val="auto"/>
              </w:rPr>
            </w:pPr>
          </w:p>
        </w:tc>
        <w:tc>
          <w:tcPr>
            <w:tcW w:w="340" w:type="dxa"/>
            <w:vAlign w:val="bottom"/>
            <w:tcBorders>
              <w:top w:val="single" w:sz="8" w:color="F0FFFF"/>
              <w:left w:val="single" w:sz="8" w:color="F0FFFF"/>
              <w:bottom w:val="single" w:sz="8" w:color="auto"/>
              <w:right w:val="single" w:sz="8" w:color="auto"/>
            </w:tcBorders>
            <w:gridSpan w:val="2"/>
            <w:shd w:val="clear" w:color="auto" w:fill="F0FFFF"/>
          </w:tcPr>
          <w:p>
            <w:pPr>
              <w:spacing w:after="0"/>
              <w:rPr>
                <w:sz w:val="18"/>
                <w:szCs w:val="18"/>
                <w:color w:val="auto"/>
              </w:rPr>
            </w:pPr>
          </w:p>
        </w:tc>
        <w:tc>
          <w:tcPr>
            <w:tcW w:w="80" w:type="dxa"/>
            <w:vAlign w:val="bottom"/>
            <w:tcBorders>
              <w:top w:val="single" w:sz="8" w:color="F0FFFF"/>
              <w:bottom w:val="single" w:sz="8" w:color="auto"/>
              <w:right w:val="single" w:sz="8" w:color="F0FFFF"/>
            </w:tcBorders>
            <w:shd w:val="clear" w:color="auto" w:fill="F0FFFF"/>
          </w:tcPr>
          <w:p>
            <w:pPr>
              <w:spacing w:after="0"/>
              <w:rPr>
                <w:sz w:val="18"/>
                <w:szCs w:val="18"/>
                <w:color w:val="auto"/>
              </w:rPr>
            </w:pPr>
          </w:p>
        </w:tc>
        <w:tc>
          <w:tcPr>
            <w:tcW w:w="300" w:type="dxa"/>
            <w:vAlign w:val="bottom"/>
            <w:tcBorders>
              <w:top w:val="single" w:sz="8" w:color="F0FFFF"/>
              <w:bottom w:val="single" w:sz="8" w:color="auto"/>
            </w:tcBorders>
            <w:shd w:val="clear" w:color="auto" w:fill="F0FFFF"/>
          </w:tcPr>
          <w:p>
            <w:pPr>
              <w:spacing w:after="0"/>
              <w:rPr>
                <w:sz w:val="18"/>
                <w:szCs w:val="18"/>
                <w:color w:val="auto"/>
              </w:rPr>
            </w:pPr>
          </w:p>
        </w:tc>
        <w:tc>
          <w:tcPr>
            <w:tcW w:w="420" w:type="dxa"/>
            <w:vAlign w:val="bottom"/>
            <w:tcBorders>
              <w:top w:val="single" w:sz="8" w:color="F0FFFF"/>
              <w:left w:val="single" w:sz="8" w:color="F0FFFF"/>
              <w:bottom w:val="single" w:sz="8" w:color="auto"/>
              <w:right w:val="single" w:sz="8" w:color="F0FFFF"/>
            </w:tcBorders>
            <w:gridSpan w:val="4"/>
            <w:shd w:val="clear" w:color="auto" w:fill="F0FFFF"/>
          </w:tcPr>
          <w:p>
            <w:pPr>
              <w:spacing w:after="0"/>
              <w:rPr>
                <w:sz w:val="18"/>
                <w:szCs w:val="18"/>
                <w:color w:val="auto"/>
              </w:rPr>
            </w:pPr>
          </w:p>
        </w:tc>
        <w:tc>
          <w:tcPr>
            <w:tcW w:w="560" w:type="dxa"/>
            <w:vAlign w:val="bottom"/>
            <w:tcBorders>
              <w:top w:val="single" w:sz="8" w:color="F0FFFF"/>
              <w:bottom w:val="single" w:sz="8" w:color="auto"/>
              <w:right w:val="single" w:sz="8" w:color="auto"/>
            </w:tcBorders>
            <w:gridSpan w:val="6"/>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16"/>
          </w:tcPr>
          <w:p>
            <w:pPr>
              <w:ind w:left="1540"/>
              <w:spacing w:after="0"/>
              <w:rPr>
                <w:sz w:val="20"/>
                <w:szCs w:val="20"/>
                <w:color w:val="auto"/>
              </w:rPr>
            </w:pPr>
            <w:r>
              <w:rPr>
                <w:rFonts w:ascii="Times New Roman" w:cs="Times New Roman" w:eastAsia="Times New Roman" w:hAnsi="Times New Roman"/>
                <w:sz w:val="13"/>
                <w:szCs w:val="13"/>
                <w:color w:val="auto"/>
                <w:w w:val="91"/>
              </w:rPr>
              <w:t>11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0">
                      <a:extLst>
                        <a:ext uri="{28A0092B-C50C-407E-A947-70E740481C1C}"/>
                      </a:extLst>
                    </a:blip>
                    <a:srcRect/>
                    <a:stretch>
                      <a:fillRect/>
                    </a:stretch>
                  </pic:blipFill>
                  <pic:spPr bwMode="auto">
                    <a:xfrm>
                      <a:off x="0" y="0"/>
                      <a:ext cx="7193915" cy="3810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-6015355</wp:posOffset>
            </wp:positionV>
            <wp:extent cx="4573270" cy="382397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1">
                      <a:extLst>
                        <a:ext uri="{28A0092B-C50C-407E-A947-70E740481C1C}"/>
                      </a:extLst>
                    </a:blip>
                    <a:srcRect/>
                    <a:stretch>
                      <a:fillRect/>
                    </a:stretch>
                  </pic:blipFill>
                  <pic:spPr bwMode="auto">
                    <a:xfrm>
                      <a:off x="0" y="0"/>
                      <a:ext cx="4573270" cy="3823970"/>
                    </a:xfrm>
                    <a:prstGeom prst="rect">
                      <a:avLst/>
                    </a:prstGeom>
                    <a:noFill/>
                  </pic:spPr>
                </pic:pic>
              </a:graphicData>
            </a:graphic>
          </wp:anchor>
        </w:drawing>
      </w:r>
    </w:p>
    <w:p>
      <w:pPr>
        <w:sectPr>
          <w:pgSz w:w="11900" w:h="16838" w:orient="portrait"/>
          <w:cols w:equalWidth="0" w:num="1">
            <w:col w:w="9479"/>
          </w:cols>
          <w:pgMar w:left="980" w:top="1156" w:right="1440" w:bottom="1440" w:gutter="0" w:footer="0" w:header="0"/>
        </w:sectPr>
      </w:pPr>
    </w:p>
    <w:bookmarkStart w:id="144" w:name="page145"/>
    <w:bookmarkEnd w:id="144"/>
    <w:tbl>
      <w:tblPr>
        <w:tblLayout w:type="fixed"/>
        <w:tblInd w:w="10" w:type="dxa"/>
        <w:tblCellMar>
          <w:top w:w="0" w:type="dxa"/>
          <w:left w:w="0" w:type="dxa"/>
          <w:bottom w:w="0" w:type="dxa"/>
          <w:right w:w="0" w:type="dxa"/>
        </w:tblCellMar>
      </w:tblPr>
      <w:tr>
        <w:trPr>
          <w:trHeight w:val="179"/>
        </w:trPr>
        <w:tc>
          <w:tcPr>
            <w:tcW w:w="820" w:type="dxa"/>
            <w:vAlign w:val="bottom"/>
            <w:tcBorders>
              <w:top w:val="single" w:sz="8" w:color="auto"/>
              <w:left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620" w:type="dxa"/>
            <w:vAlign w:val="bottom"/>
            <w:tcBorders>
              <w:top w:val="single" w:sz="8" w:color="auto"/>
              <w:right w:val="single" w:sz="8" w:color="auto"/>
            </w:tcBorders>
            <w:gridSpan w:val="16"/>
          </w:tcPr>
          <w:p>
            <w:pPr>
              <w:jc w:val="center"/>
              <w:ind w:right="1920"/>
              <w:spacing w:after="0"/>
              <w:rPr>
                <w:sz w:val="20"/>
                <w:szCs w:val="20"/>
                <w:color w:val="auto"/>
              </w:rPr>
            </w:pPr>
            <w:r>
              <w:rPr>
                <w:rFonts w:ascii="Times New Roman" w:cs="Times New Roman" w:eastAsia="Times New Roman" w:hAnsi="Times New Roman"/>
                <w:sz w:val="13"/>
                <w:szCs w:val="13"/>
                <w:b w:val="1"/>
                <w:bCs w:val="1"/>
                <w:color w:val="auto"/>
                <w:w w:val="99"/>
              </w:rPr>
              <w:t>Restrictions</w:t>
            </w:r>
          </w:p>
        </w:tc>
        <w:tc>
          <w:tcPr>
            <w:tcW w:w="1320" w:type="dxa"/>
            <w:vAlign w:val="bottom"/>
            <w:tcBorders>
              <w:top w:val="single" w:sz="8" w:color="auto"/>
              <w:right w:val="single" w:sz="8" w:color="auto"/>
            </w:tcBorders>
            <w:gridSpan w:val="5"/>
          </w:tcPr>
          <w:p>
            <w:pPr>
              <w:ind w:left="300"/>
              <w:spacing w:after="0"/>
              <w:rPr>
                <w:sz w:val="20"/>
                <w:szCs w:val="20"/>
                <w:color w:val="auto"/>
              </w:rPr>
            </w:pPr>
            <w:r>
              <w:rPr>
                <w:rFonts w:ascii="Times New Roman" w:cs="Times New Roman" w:eastAsia="Times New Roman" w:hAnsi="Times New Roman"/>
                <w:sz w:val="13"/>
                <w:szCs w:val="13"/>
                <w:b w:val="1"/>
                <w:bCs w:val="1"/>
                <w:color w:val="auto"/>
              </w:rPr>
              <w:t>Location in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1320" w:type="dxa"/>
            <w:vAlign w:val="bottom"/>
            <w:tcBorders>
              <w:bottom w:val="single" w:sz="8" w:color="auto"/>
              <w:right w:val="single" w:sz="8" w:color="auto"/>
            </w:tcBorders>
            <w:gridSpan w:val="5"/>
          </w:tcPr>
          <w:p>
            <w:pPr>
              <w:ind w:left="220"/>
              <w:spacing w:after="0"/>
              <w:rPr>
                <w:sz w:val="20"/>
                <w:szCs w:val="20"/>
                <w:color w:val="auto"/>
              </w:rPr>
            </w:pPr>
            <w:r>
              <w:rPr>
                <w:rFonts w:ascii="Times New Roman" w:cs="Times New Roman" w:eastAsia="Times New Roman" w:hAnsi="Times New Roman"/>
                <w:sz w:val="13"/>
                <w:szCs w:val="13"/>
                <w:b w:val="1"/>
                <w:bCs w:val="1"/>
                <w:color w:val="auto"/>
              </w:rPr>
              <w:t>the Prospectus</w:t>
            </w:r>
          </w:p>
        </w:tc>
        <w:tc>
          <w:tcPr>
            <w:tcW w:w="0" w:type="dxa"/>
            <w:vAlign w:val="bottom"/>
          </w:tcPr>
          <w:p>
            <w:pPr>
              <w:spacing w:after="0"/>
              <w:rPr>
                <w:sz w:val="1"/>
                <w:szCs w:val="1"/>
                <w:color w:val="auto"/>
              </w:rPr>
            </w:pPr>
          </w:p>
        </w:tc>
      </w:tr>
      <w:tr>
        <w:trPr>
          <w:trHeight w:val="205"/>
        </w:trPr>
        <w:tc>
          <w:tcPr>
            <w:tcW w:w="820" w:type="dxa"/>
            <w:vAlign w:val="bottom"/>
            <w:tcBorders>
              <w:left w:val="single" w:sz="8" w:color="auto"/>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48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100" w:type="dxa"/>
            <w:vAlign w:val="bottom"/>
            <w:tcBorders>
              <w:right w:val="single" w:sz="8" w:color="auto"/>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4260" w:type="dxa"/>
            <w:vAlign w:val="bottom"/>
            <w:tcBorders>
              <w:right w:val="single" w:sz="8" w:color="auto"/>
            </w:tcBorders>
            <w:gridSpan w:val="21"/>
            <w:shd w:val="clear" w:color="auto" w:fill="F0FFFF"/>
          </w:tcPr>
          <w:p>
            <w:pPr>
              <w:spacing w:after="0"/>
              <w:rPr>
                <w:sz w:val="20"/>
                <w:szCs w:val="20"/>
                <w:color w:val="auto"/>
              </w:rPr>
            </w:pPr>
            <w:r>
              <w:rPr>
                <w:rFonts w:ascii="Times New Roman" w:cs="Times New Roman" w:eastAsia="Times New Roman" w:hAnsi="Times New Roman"/>
                <w:sz w:val="13"/>
                <w:szCs w:val="13"/>
                <w:color w:val="auto"/>
              </w:rPr>
              <w:t>○  The minimum transfer amount is $500.</w:t>
            </w:r>
          </w:p>
        </w:tc>
        <w:tc>
          <w:tcPr>
            <w:tcW w:w="320" w:type="dxa"/>
            <w:vAlign w:val="bottom"/>
            <w:shd w:val="clear" w:color="auto" w:fill="F0FFFF"/>
          </w:tcPr>
          <w:p>
            <w:pPr>
              <w:spacing w:after="0"/>
              <w:rPr>
                <w:sz w:val="17"/>
                <w:szCs w:val="17"/>
                <w:color w:val="auto"/>
              </w:rPr>
            </w:pPr>
          </w:p>
        </w:tc>
        <w:tc>
          <w:tcPr>
            <w:tcW w:w="500" w:type="dxa"/>
            <w:vAlign w:val="bottom"/>
            <w:tcBorders>
              <w:right w:val="single" w:sz="8" w:color="F0FFFF"/>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80" w:type="dxa"/>
            <w:vAlign w:val="bottom"/>
            <w:tcBorders>
              <w:right w:val="single" w:sz="8" w:color="auto"/>
            </w:tcBorders>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20" w:type="dxa"/>
            <w:vAlign w:val="bottom"/>
            <w:tcBorders>
              <w:left w:val="single" w:sz="8" w:color="auto"/>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tcBorders>
              <w:right w:val="single" w:sz="8" w:color="auto"/>
            </w:tcBorders>
            <w:shd w:val="clear" w:color="auto" w:fill="F0FFFF"/>
          </w:tcPr>
          <w:p>
            <w:pPr>
              <w:spacing w:after="0"/>
              <w:rPr>
                <w:sz w:val="12"/>
                <w:szCs w:val="12"/>
                <w:color w:val="auto"/>
              </w:rPr>
            </w:pPr>
          </w:p>
        </w:tc>
        <w:tc>
          <w:tcPr>
            <w:tcW w:w="4440" w:type="dxa"/>
            <w:vAlign w:val="bottom"/>
            <w:tcBorders>
              <w:right w:val="single" w:sz="8" w:color="auto"/>
            </w:tcBorders>
            <w:gridSpan w:val="22"/>
            <w:shd w:val="clear" w:color="auto" w:fill="F0FFFF"/>
          </w:tcPr>
          <w:p>
            <w:pPr>
              <w:ind w:left="60"/>
              <w:spacing w:after="0" w:line="142" w:lineRule="exact"/>
              <w:rPr>
                <w:sz w:val="20"/>
                <w:szCs w:val="20"/>
                <w:color w:val="auto"/>
              </w:rPr>
            </w:pPr>
            <w:r>
              <w:rPr>
                <w:rFonts w:ascii="Times New Roman" w:cs="Times New Roman" w:eastAsia="Times New Roman" w:hAnsi="Times New Roman"/>
                <w:sz w:val="13"/>
                <w:szCs w:val="13"/>
                <w:color w:val="auto"/>
              </w:rPr>
              <w:t>● Your selling firm may choose not to recommend certain Shield Options</w:t>
            </w:r>
          </w:p>
        </w:tc>
        <w:tc>
          <w:tcPr>
            <w:tcW w:w="320" w:type="dxa"/>
            <w:vAlign w:val="bottom"/>
            <w:shd w:val="clear" w:color="auto" w:fill="F0FFFF"/>
          </w:tcPr>
          <w:p>
            <w:pPr>
              <w:spacing w:after="0"/>
              <w:rPr>
                <w:sz w:val="12"/>
                <w:szCs w:val="12"/>
                <w:color w:val="auto"/>
              </w:rPr>
            </w:pPr>
          </w:p>
        </w:tc>
        <w:tc>
          <w:tcPr>
            <w:tcW w:w="500" w:type="dxa"/>
            <w:vAlign w:val="bottom"/>
            <w:tcBorders>
              <w:righ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8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left w:val="single" w:sz="8" w:color="auto"/>
            </w:tcBorders>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48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00" w:type="dxa"/>
            <w:vAlign w:val="bottom"/>
            <w:tcBorders>
              <w:right w:val="single" w:sz="8" w:color="auto"/>
            </w:tcBorders>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4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shd w:val="clear" w:color="auto" w:fill="F0FFFF"/>
          </w:tcPr>
          <w:p>
            <w:pPr>
              <w:spacing w:after="0" w:line="20" w:lineRule="exact"/>
              <w:rPr>
                <w:sz w:val="1"/>
                <w:szCs w:val="1"/>
                <w:color w:val="auto"/>
              </w:rPr>
            </w:pPr>
          </w:p>
        </w:tc>
        <w:tc>
          <w:tcPr>
            <w:tcW w:w="400" w:type="dxa"/>
            <w:vAlign w:val="bottom"/>
            <w:tcBorders>
              <w:right w:val="single" w:sz="8" w:color="F0FFFF"/>
            </w:tcBorders>
            <w:shd w:val="clear" w:color="auto" w:fill="F0FFFF"/>
          </w:tcPr>
          <w:p>
            <w:pPr>
              <w:spacing w:after="0" w:line="20" w:lineRule="exact"/>
              <w:rPr>
                <w:sz w:val="1"/>
                <w:szCs w:val="1"/>
                <w:color w:val="auto"/>
              </w:rPr>
            </w:pPr>
          </w:p>
        </w:tc>
        <w:tc>
          <w:tcPr>
            <w:tcW w:w="180" w:type="dxa"/>
            <w:vAlign w:val="bottom"/>
            <w:tcBorders>
              <w:right w:val="single" w:sz="8" w:color="F0FFFF"/>
            </w:tcBorders>
            <w:shd w:val="clear" w:color="auto" w:fill="F0FFFF"/>
          </w:tcPr>
          <w:p>
            <w:pPr>
              <w:spacing w:after="0" w:line="20" w:lineRule="exact"/>
              <w:rPr>
                <w:sz w:val="1"/>
                <w:szCs w:val="1"/>
                <w:color w:val="auto"/>
              </w:rPr>
            </w:pPr>
          </w:p>
        </w:tc>
        <w:tc>
          <w:tcPr>
            <w:tcW w:w="440" w:type="dxa"/>
            <w:vAlign w:val="bottom"/>
            <w:tcBorders>
              <w:right w:val="single" w:sz="8" w:color="F0FFFF"/>
            </w:tcBorders>
            <w:shd w:val="clear" w:color="auto" w:fill="F0FFFF"/>
          </w:tcPr>
          <w:p>
            <w:pPr>
              <w:spacing w:after="0" w:line="20" w:lineRule="exact"/>
              <w:rPr>
                <w:sz w:val="1"/>
                <w:szCs w:val="1"/>
                <w:color w:val="auto"/>
              </w:rPr>
            </w:pPr>
          </w:p>
        </w:tc>
        <w:tc>
          <w:tcPr>
            <w:tcW w:w="12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26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200" w:type="dxa"/>
            <w:vAlign w:val="bottom"/>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tcBorders>
              <w:right w:val="single" w:sz="8" w:color="F0FFFF"/>
            </w:tcBorders>
            <w:shd w:val="clear" w:color="auto" w:fill="000000"/>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320" w:type="dxa"/>
            <w:vAlign w:val="bottom"/>
            <w:shd w:val="clear" w:color="auto" w:fill="F0FFFF"/>
          </w:tcPr>
          <w:p>
            <w:pPr>
              <w:spacing w:after="0" w:line="20" w:lineRule="exact"/>
              <w:rPr>
                <w:sz w:val="1"/>
                <w:szCs w:val="1"/>
                <w:color w:val="auto"/>
              </w:rPr>
            </w:pPr>
          </w:p>
        </w:tc>
        <w:tc>
          <w:tcPr>
            <w:tcW w:w="500" w:type="dxa"/>
            <w:vAlign w:val="bottom"/>
            <w:tcBorders>
              <w:right w:val="single" w:sz="8" w:color="F0FFFF"/>
            </w:tcBorders>
            <w:shd w:val="clear" w:color="auto" w:fill="F0FFFF"/>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18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20" w:type="dxa"/>
            <w:vAlign w:val="bottom"/>
            <w:tcBorders>
              <w:left w:val="single" w:sz="8" w:color="auto"/>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tcBorders>
              <w:right w:val="single" w:sz="8" w:color="auto"/>
            </w:tcBorders>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4260" w:type="dxa"/>
            <w:vAlign w:val="bottom"/>
            <w:tcBorders>
              <w:right w:val="single" w:sz="8" w:color="auto"/>
            </w:tcBorders>
            <w:gridSpan w:val="21"/>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described in this prospectus when your Contract is issued or at the Term</w:t>
            </w:r>
          </w:p>
        </w:tc>
        <w:tc>
          <w:tcPr>
            <w:tcW w:w="320" w:type="dxa"/>
            <w:vAlign w:val="bottom"/>
            <w:shd w:val="clear" w:color="auto" w:fill="F0FFFF"/>
          </w:tcPr>
          <w:p>
            <w:pPr>
              <w:spacing w:after="0"/>
              <w:rPr>
                <w:sz w:val="12"/>
                <w:szCs w:val="12"/>
                <w:color w:val="auto"/>
              </w:rPr>
            </w:pPr>
          </w:p>
        </w:tc>
        <w:tc>
          <w:tcPr>
            <w:tcW w:w="500" w:type="dxa"/>
            <w:vAlign w:val="bottom"/>
            <w:tcBorders>
              <w:righ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8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20" w:type="dxa"/>
            <w:vAlign w:val="bottom"/>
            <w:tcBorders>
              <w:top w:val="single" w:sz="8" w:color="F0FFFF"/>
              <w:left w:val="single" w:sz="8" w:color="auto"/>
            </w:tcBorders>
            <w:shd w:val="clear" w:color="auto" w:fill="F0FFFF"/>
          </w:tcPr>
          <w:p>
            <w:pPr>
              <w:spacing w:after="0"/>
              <w:rPr>
                <w:sz w:val="13"/>
                <w:szCs w:val="13"/>
                <w:color w:val="auto"/>
              </w:rPr>
            </w:pPr>
          </w:p>
        </w:tc>
        <w:tc>
          <w:tcPr>
            <w:tcW w:w="120" w:type="dxa"/>
            <w:vAlign w:val="bottom"/>
            <w:tcBorders>
              <w:top w:val="single" w:sz="8" w:color="F0FFFF"/>
            </w:tcBorders>
            <w:shd w:val="clear" w:color="auto" w:fill="F0FFFF"/>
          </w:tcPr>
          <w:p>
            <w:pPr>
              <w:spacing w:after="0"/>
              <w:rPr>
                <w:sz w:val="13"/>
                <w:szCs w:val="13"/>
                <w:color w:val="auto"/>
              </w:rPr>
            </w:pPr>
          </w:p>
        </w:tc>
        <w:tc>
          <w:tcPr>
            <w:tcW w:w="480" w:type="dxa"/>
            <w:vAlign w:val="bottom"/>
            <w:tcBorders>
              <w:top w:val="single" w:sz="8" w:color="F0FFFF"/>
            </w:tcBorders>
            <w:shd w:val="clear" w:color="auto" w:fill="F0FFFF"/>
          </w:tcPr>
          <w:p>
            <w:pPr>
              <w:spacing w:after="0"/>
              <w:rPr>
                <w:sz w:val="13"/>
                <w:szCs w:val="13"/>
                <w:color w:val="auto"/>
              </w:rPr>
            </w:pPr>
          </w:p>
        </w:tc>
        <w:tc>
          <w:tcPr>
            <w:tcW w:w="20" w:type="dxa"/>
            <w:vAlign w:val="bottom"/>
            <w:tcBorders>
              <w:top w:val="single" w:sz="8" w:color="F0FFFF"/>
            </w:tcBorders>
            <w:shd w:val="clear" w:color="auto" w:fill="F0FFFF"/>
          </w:tcPr>
          <w:p>
            <w:pPr>
              <w:spacing w:after="0"/>
              <w:rPr>
                <w:sz w:val="13"/>
                <w:szCs w:val="13"/>
                <w:color w:val="auto"/>
              </w:rPr>
            </w:pPr>
          </w:p>
        </w:tc>
        <w:tc>
          <w:tcPr>
            <w:tcW w:w="100" w:type="dxa"/>
            <w:vAlign w:val="bottom"/>
            <w:tcBorders>
              <w:top w:val="single" w:sz="8" w:color="F0FFFF"/>
              <w:right w:val="single" w:sz="8" w:color="auto"/>
            </w:tcBorders>
            <w:shd w:val="clear" w:color="auto" w:fill="F0FFFF"/>
          </w:tcPr>
          <w:p>
            <w:pPr>
              <w:spacing w:after="0"/>
              <w:rPr>
                <w:sz w:val="13"/>
                <w:szCs w:val="13"/>
                <w:color w:val="auto"/>
              </w:rPr>
            </w:pPr>
          </w:p>
        </w:tc>
        <w:tc>
          <w:tcPr>
            <w:tcW w:w="180" w:type="dxa"/>
            <w:vAlign w:val="bottom"/>
            <w:tcBorders>
              <w:top w:val="single" w:sz="8" w:color="F0FFFF"/>
            </w:tcBorders>
            <w:shd w:val="clear" w:color="auto" w:fill="F0FFFF"/>
          </w:tcPr>
          <w:p>
            <w:pPr>
              <w:spacing w:after="0"/>
              <w:rPr>
                <w:sz w:val="13"/>
                <w:szCs w:val="13"/>
                <w:color w:val="auto"/>
              </w:rPr>
            </w:pPr>
          </w:p>
        </w:tc>
        <w:tc>
          <w:tcPr>
            <w:tcW w:w="2120" w:type="dxa"/>
            <w:vAlign w:val="bottom"/>
            <w:tcBorders>
              <w:top w:val="single" w:sz="8" w:color="F0FFFF"/>
              <w:right w:val="single" w:sz="8" w:color="F0FFFF"/>
            </w:tcBorders>
            <w:gridSpan w:val="8"/>
            <w:shd w:val="clear" w:color="auto" w:fill="F0FFFF"/>
          </w:tcPr>
          <w:p>
            <w:pPr>
              <w:spacing w:after="0"/>
              <w:rPr>
                <w:sz w:val="20"/>
                <w:szCs w:val="20"/>
                <w:color w:val="auto"/>
              </w:rPr>
            </w:pPr>
            <w:r>
              <w:rPr>
                <w:rFonts w:ascii="Times New Roman" w:cs="Times New Roman" w:eastAsia="Times New Roman" w:hAnsi="Times New Roman"/>
                <w:sz w:val="13"/>
                <w:szCs w:val="13"/>
                <w:color w:val="auto"/>
              </w:rPr>
              <w:t>End Date.</w:t>
            </w:r>
          </w:p>
        </w:tc>
        <w:tc>
          <w:tcPr>
            <w:tcW w:w="440" w:type="dxa"/>
            <w:vAlign w:val="bottom"/>
            <w:tcBorders>
              <w:top w:val="single" w:sz="8" w:color="auto"/>
            </w:tcBorders>
            <w:gridSpan w:val="4"/>
            <w:shd w:val="clear" w:color="auto" w:fill="F0FFFF"/>
          </w:tcPr>
          <w:p>
            <w:pPr>
              <w:spacing w:after="0"/>
              <w:rPr>
                <w:sz w:val="13"/>
                <w:szCs w:val="13"/>
                <w:color w:val="auto"/>
              </w:rPr>
            </w:pPr>
          </w:p>
        </w:tc>
        <w:tc>
          <w:tcPr>
            <w:tcW w:w="1700" w:type="dxa"/>
            <w:vAlign w:val="bottom"/>
            <w:tcBorders>
              <w:top w:val="single" w:sz="8" w:color="F0FFFF"/>
              <w:right w:val="single" w:sz="8" w:color="auto"/>
            </w:tcBorders>
            <w:gridSpan w:val="9"/>
            <w:shd w:val="clear" w:color="auto" w:fill="F0FFFF"/>
          </w:tcPr>
          <w:p>
            <w:pPr>
              <w:spacing w:after="0"/>
              <w:rPr>
                <w:sz w:val="13"/>
                <w:szCs w:val="13"/>
                <w:color w:val="auto"/>
              </w:rPr>
            </w:pPr>
          </w:p>
        </w:tc>
        <w:tc>
          <w:tcPr>
            <w:tcW w:w="320" w:type="dxa"/>
            <w:vAlign w:val="bottom"/>
            <w:tcBorders>
              <w:top w:val="single" w:sz="8" w:color="F0FFFF"/>
            </w:tcBorders>
            <w:shd w:val="clear" w:color="auto" w:fill="F0FFFF"/>
          </w:tcPr>
          <w:p>
            <w:pPr>
              <w:spacing w:after="0"/>
              <w:rPr>
                <w:sz w:val="13"/>
                <w:szCs w:val="13"/>
                <w:color w:val="auto"/>
              </w:rPr>
            </w:pPr>
          </w:p>
        </w:tc>
        <w:tc>
          <w:tcPr>
            <w:tcW w:w="500" w:type="dxa"/>
            <w:vAlign w:val="bottom"/>
            <w:tcBorders>
              <w:top w:val="single" w:sz="8" w:color="F0FFFF"/>
              <w:right w:val="single" w:sz="8" w:color="F0FFFF"/>
            </w:tcBorders>
            <w:shd w:val="clear" w:color="auto" w:fill="F0FFFF"/>
          </w:tcPr>
          <w:p>
            <w:pPr>
              <w:spacing w:after="0"/>
              <w:rPr>
                <w:sz w:val="13"/>
                <w:szCs w:val="13"/>
                <w:color w:val="auto"/>
              </w:rPr>
            </w:pPr>
          </w:p>
        </w:tc>
        <w:tc>
          <w:tcPr>
            <w:tcW w:w="240" w:type="dxa"/>
            <w:vAlign w:val="bottom"/>
            <w:tcBorders>
              <w:top w:val="single" w:sz="8" w:color="F0FFFF"/>
            </w:tcBorders>
            <w:shd w:val="clear" w:color="auto" w:fill="F0FFFF"/>
          </w:tcPr>
          <w:p>
            <w:pPr>
              <w:spacing w:after="0"/>
              <w:rPr>
                <w:sz w:val="13"/>
                <w:szCs w:val="13"/>
                <w:color w:val="auto"/>
              </w:rPr>
            </w:pPr>
          </w:p>
        </w:tc>
        <w:tc>
          <w:tcPr>
            <w:tcW w:w="80" w:type="dxa"/>
            <w:vAlign w:val="bottom"/>
            <w:tcBorders>
              <w:top w:val="single" w:sz="8" w:color="F0FFFF"/>
            </w:tcBorders>
            <w:shd w:val="clear" w:color="auto" w:fill="F0FFFF"/>
          </w:tcPr>
          <w:p>
            <w:pPr>
              <w:spacing w:after="0"/>
              <w:rPr>
                <w:sz w:val="13"/>
                <w:szCs w:val="13"/>
                <w:color w:val="auto"/>
              </w:rPr>
            </w:pPr>
          </w:p>
        </w:tc>
        <w:tc>
          <w:tcPr>
            <w:tcW w:w="180" w:type="dxa"/>
            <w:vAlign w:val="bottom"/>
            <w:tcBorders>
              <w:top w:val="single" w:sz="8" w:color="F0FFFF"/>
              <w:right w:val="single" w:sz="8" w:color="auto"/>
            </w:tcBorders>
            <w:shd w:val="clear" w:color="auto" w:fill="F0FF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20" w:type="dxa"/>
            <w:vAlign w:val="bottom"/>
            <w:tcBorders>
              <w:left w:val="single" w:sz="8" w:color="auto"/>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tcBorders>
              <w:right w:val="single" w:sz="8" w:color="auto"/>
            </w:tcBorders>
            <w:shd w:val="clear" w:color="auto" w:fill="F0FFFF"/>
          </w:tcPr>
          <w:p>
            <w:pPr>
              <w:spacing w:after="0"/>
              <w:rPr>
                <w:sz w:val="12"/>
                <w:szCs w:val="12"/>
                <w:color w:val="auto"/>
              </w:rPr>
            </w:pPr>
          </w:p>
        </w:tc>
        <w:tc>
          <w:tcPr>
            <w:tcW w:w="4440" w:type="dxa"/>
            <w:vAlign w:val="bottom"/>
            <w:tcBorders>
              <w:right w:val="single" w:sz="8" w:color="auto"/>
            </w:tcBorders>
            <w:gridSpan w:val="22"/>
            <w:shd w:val="clear" w:color="auto" w:fill="F0FFFF"/>
          </w:tcPr>
          <w:p>
            <w:pPr>
              <w:ind w:left="60"/>
              <w:spacing w:after="0" w:line="142" w:lineRule="exact"/>
              <w:rPr>
                <w:sz w:val="20"/>
                <w:szCs w:val="20"/>
                <w:color w:val="auto"/>
              </w:rPr>
            </w:pPr>
            <w:r>
              <w:rPr>
                <w:rFonts w:ascii="Times New Roman" w:cs="Times New Roman" w:eastAsia="Times New Roman" w:hAnsi="Times New Roman"/>
                <w:sz w:val="13"/>
                <w:szCs w:val="13"/>
                <w:color w:val="auto"/>
              </w:rPr>
              <w:t>● We can add or discontinue any Shield Option. We are not obligated to offer</w:t>
            </w:r>
          </w:p>
        </w:tc>
        <w:tc>
          <w:tcPr>
            <w:tcW w:w="320" w:type="dxa"/>
            <w:vAlign w:val="bottom"/>
            <w:shd w:val="clear" w:color="auto" w:fill="F0FFFF"/>
          </w:tcPr>
          <w:p>
            <w:pPr>
              <w:spacing w:after="0"/>
              <w:rPr>
                <w:sz w:val="12"/>
                <w:szCs w:val="12"/>
                <w:color w:val="auto"/>
              </w:rPr>
            </w:pPr>
          </w:p>
        </w:tc>
        <w:tc>
          <w:tcPr>
            <w:tcW w:w="500" w:type="dxa"/>
            <w:vAlign w:val="bottom"/>
            <w:tcBorders>
              <w:righ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8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left w:val="single" w:sz="8" w:color="auto"/>
            </w:tcBorders>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48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00" w:type="dxa"/>
            <w:vAlign w:val="bottom"/>
            <w:tcBorders>
              <w:right w:val="single" w:sz="8" w:color="auto"/>
            </w:tcBorders>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4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shd w:val="clear" w:color="auto" w:fill="F0FFFF"/>
          </w:tcPr>
          <w:p>
            <w:pPr>
              <w:spacing w:after="0" w:line="20" w:lineRule="exact"/>
              <w:rPr>
                <w:sz w:val="1"/>
                <w:szCs w:val="1"/>
                <w:color w:val="auto"/>
              </w:rPr>
            </w:pPr>
          </w:p>
        </w:tc>
        <w:tc>
          <w:tcPr>
            <w:tcW w:w="400" w:type="dxa"/>
            <w:vAlign w:val="bottom"/>
            <w:tcBorders>
              <w:right w:val="single" w:sz="8" w:color="F0FFFF"/>
            </w:tcBorders>
            <w:shd w:val="clear" w:color="auto" w:fill="F0FFFF"/>
          </w:tcPr>
          <w:p>
            <w:pPr>
              <w:spacing w:after="0" w:line="20" w:lineRule="exact"/>
              <w:rPr>
                <w:sz w:val="1"/>
                <w:szCs w:val="1"/>
                <w:color w:val="auto"/>
              </w:rPr>
            </w:pPr>
          </w:p>
        </w:tc>
        <w:tc>
          <w:tcPr>
            <w:tcW w:w="180" w:type="dxa"/>
            <w:vAlign w:val="bottom"/>
            <w:tcBorders>
              <w:right w:val="single" w:sz="8" w:color="F0FFFF"/>
            </w:tcBorders>
            <w:shd w:val="clear" w:color="auto" w:fill="F0FFFF"/>
          </w:tcPr>
          <w:p>
            <w:pPr>
              <w:spacing w:after="0" w:line="20" w:lineRule="exact"/>
              <w:rPr>
                <w:sz w:val="1"/>
                <w:szCs w:val="1"/>
                <w:color w:val="auto"/>
              </w:rPr>
            </w:pPr>
          </w:p>
        </w:tc>
        <w:tc>
          <w:tcPr>
            <w:tcW w:w="440" w:type="dxa"/>
            <w:vAlign w:val="bottom"/>
            <w:tcBorders>
              <w:right w:val="single" w:sz="8" w:color="F0FFFF"/>
            </w:tcBorders>
            <w:shd w:val="clear" w:color="auto" w:fill="F0FFFF"/>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220" w:type="dxa"/>
            <w:vAlign w:val="bottom"/>
            <w:gridSpan w:val="2"/>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320" w:type="dxa"/>
            <w:vAlign w:val="bottom"/>
            <w:shd w:val="clear" w:color="auto" w:fill="F0FFFF"/>
          </w:tcPr>
          <w:p>
            <w:pPr>
              <w:spacing w:after="0" w:line="20" w:lineRule="exact"/>
              <w:rPr>
                <w:sz w:val="1"/>
                <w:szCs w:val="1"/>
                <w:color w:val="auto"/>
              </w:rPr>
            </w:pPr>
          </w:p>
        </w:tc>
        <w:tc>
          <w:tcPr>
            <w:tcW w:w="500" w:type="dxa"/>
            <w:vAlign w:val="bottom"/>
            <w:tcBorders>
              <w:right w:val="single" w:sz="8" w:color="F0FFFF"/>
            </w:tcBorders>
            <w:shd w:val="clear" w:color="auto" w:fill="F0FFFF"/>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18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20" w:type="dxa"/>
            <w:vAlign w:val="bottom"/>
            <w:tcBorders>
              <w:left w:val="single" w:sz="8" w:color="auto"/>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tcBorders>
              <w:right w:val="single" w:sz="8" w:color="auto"/>
            </w:tcBorders>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4260" w:type="dxa"/>
            <w:vAlign w:val="bottom"/>
            <w:tcBorders>
              <w:right w:val="single" w:sz="8" w:color="auto"/>
            </w:tcBorders>
            <w:gridSpan w:val="21"/>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any one particular Shield Option, but after your Contract is issued, there will</w:t>
            </w:r>
          </w:p>
        </w:tc>
        <w:tc>
          <w:tcPr>
            <w:tcW w:w="320" w:type="dxa"/>
            <w:vAlign w:val="bottom"/>
            <w:shd w:val="clear" w:color="auto" w:fill="F0FFFF"/>
          </w:tcPr>
          <w:p>
            <w:pPr>
              <w:spacing w:after="0"/>
              <w:rPr>
                <w:sz w:val="12"/>
                <w:szCs w:val="12"/>
                <w:color w:val="auto"/>
              </w:rPr>
            </w:pPr>
          </w:p>
        </w:tc>
        <w:tc>
          <w:tcPr>
            <w:tcW w:w="500" w:type="dxa"/>
            <w:vAlign w:val="bottom"/>
            <w:tcBorders>
              <w:righ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8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left w:val="single" w:sz="8" w:color="auto"/>
            </w:tcBorders>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48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00" w:type="dxa"/>
            <w:vAlign w:val="bottom"/>
            <w:tcBorders>
              <w:right w:val="single" w:sz="8" w:color="auto"/>
            </w:tcBorders>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4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shd w:val="clear" w:color="auto" w:fill="F0FFFF"/>
          </w:tcPr>
          <w:p>
            <w:pPr>
              <w:spacing w:after="0" w:line="20" w:lineRule="exact"/>
              <w:rPr>
                <w:sz w:val="1"/>
                <w:szCs w:val="1"/>
                <w:color w:val="auto"/>
              </w:rPr>
            </w:pPr>
          </w:p>
        </w:tc>
        <w:tc>
          <w:tcPr>
            <w:tcW w:w="400" w:type="dxa"/>
            <w:vAlign w:val="bottom"/>
            <w:tcBorders>
              <w:right w:val="single" w:sz="8" w:color="auto"/>
            </w:tcBorders>
            <w:shd w:val="clear" w:color="auto" w:fill="F0FFFF"/>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F0FFFF"/>
            </w:tcBorders>
            <w:shd w:val="clear" w:color="auto" w:fill="000000"/>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26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F0FFFF"/>
            </w:tcBorders>
            <w:shd w:val="clear" w:color="auto" w:fill="000000"/>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320" w:type="dxa"/>
            <w:vAlign w:val="bottom"/>
            <w:shd w:val="clear" w:color="auto" w:fill="F0FFFF"/>
          </w:tcPr>
          <w:p>
            <w:pPr>
              <w:spacing w:after="0" w:line="20" w:lineRule="exact"/>
              <w:rPr>
                <w:sz w:val="1"/>
                <w:szCs w:val="1"/>
                <w:color w:val="auto"/>
              </w:rPr>
            </w:pPr>
          </w:p>
        </w:tc>
        <w:tc>
          <w:tcPr>
            <w:tcW w:w="500" w:type="dxa"/>
            <w:vAlign w:val="bottom"/>
            <w:tcBorders>
              <w:right w:val="single" w:sz="8" w:color="F0FFFF"/>
            </w:tcBorders>
            <w:shd w:val="clear" w:color="auto" w:fill="F0FFFF"/>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18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20" w:type="dxa"/>
            <w:vAlign w:val="bottom"/>
            <w:tcBorders>
              <w:left w:val="single" w:sz="8" w:color="auto"/>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tcBorders>
              <w:right w:val="single" w:sz="8" w:color="auto"/>
            </w:tcBorders>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4260" w:type="dxa"/>
            <w:vAlign w:val="bottom"/>
            <w:tcBorders>
              <w:right w:val="single" w:sz="8" w:color="auto"/>
            </w:tcBorders>
            <w:gridSpan w:val="21"/>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always be one Shield Option available, although it may not be substantially</w:t>
            </w:r>
          </w:p>
        </w:tc>
        <w:tc>
          <w:tcPr>
            <w:tcW w:w="320" w:type="dxa"/>
            <w:vAlign w:val="bottom"/>
            <w:shd w:val="clear" w:color="auto" w:fill="F0FFFF"/>
          </w:tcPr>
          <w:p>
            <w:pPr>
              <w:spacing w:after="0"/>
              <w:rPr>
                <w:sz w:val="12"/>
                <w:szCs w:val="12"/>
                <w:color w:val="auto"/>
              </w:rPr>
            </w:pPr>
          </w:p>
        </w:tc>
        <w:tc>
          <w:tcPr>
            <w:tcW w:w="500" w:type="dxa"/>
            <w:vAlign w:val="bottom"/>
            <w:tcBorders>
              <w:righ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8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left w:val="single" w:sz="8" w:color="auto"/>
            </w:tcBorders>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48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00" w:type="dxa"/>
            <w:vAlign w:val="bottom"/>
            <w:tcBorders>
              <w:right w:val="single" w:sz="8" w:color="auto"/>
            </w:tcBorders>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4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shd w:val="clear" w:color="auto" w:fill="F0FFFF"/>
          </w:tcPr>
          <w:p>
            <w:pPr>
              <w:spacing w:after="0" w:line="20" w:lineRule="exact"/>
              <w:rPr>
                <w:sz w:val="1"/>
                <w:szCs w:val="1"/>
                <w:color w:val="auto"/>
              </w:rPr>
            </w:pPr>
          </w:p>
        </w:tc>
        <w:tc>
          <w:tcPr>
            <w:tcW w:w="400" w:type="dxa"/>
            <w:vAlign w:val="bottom"/>
            <w:tcBorders>
              <w:right w:val="single" w:sz="8" w:color="auto"/>
            </w:tcBorders>
            <w:shd w:val="clear" w:color="auto" w:fill="F0FFFF"/>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26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220" w:type="dxa"/>
            <w:vAlign w:val="bottom"/>
            <w:gridSpan w:val="2"/>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320" w:type="dxa"/>
            <w:vAlign w:val="bottom"/>
            <w:shd w:val="clear" w:color="auto" w:fill="F0FFFF"/>
          </w:tcPr>
          <w:p>
            <w:pPr>
              <w:spacing w:after="0" w:line="20" w:lineRule="exact"/>
              <w:rPr>
                <w:sz w:val="1"/>
                <w:szCs w:val="1"/>
                <w:color w:val="auto"/>
              </w:rPr>
            </w:pPr>
          </w:p>
        </w:tc>
        <w:tc>
          <w:tcPr>
            <w:tcW w:w="500" w:type="dxa"/>
            <w:vAlign w:val="bottom"/>
            <w:tcBorders>
              <w:right w:val="single" w:sz="8" w:color="F0FFFF"/>
            </w:tcBorders>
            <w:shd w:val="clear" w:color="auto" w:fill="F0FFFF"/>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18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20" w:type="dxa"/>
            <w:vAlign w:val="bottom"/>
            <w:tcBorders>
              <w:left w:val="single" w:sz="8" w:color="auto"/>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tcBorders>
              <w:right w:val="single" w:sz="8" w:color="auto"/>
            </w:tcBorders>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4260" w:type="dxa"/>
            <w:vAlign w:val="bottom"/>
            <w:tcBorders>
              <w:right w:val="single" w:sz="8" w:color="auto"/>
            </w:tcBorders>
            <w:gridSpan w:val="21"/>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similar to any one of the currently available Shield Options.</w:t>
            </w:r>
          </w:p>
        </w:tc>
        <w:tc>
          <w:tcPr>
            <w:tcW w:w="320" w:type="dxa"/>
            <w:vAlign w:val="bottom"/>
            <w:shd w:val="clear" w:color="auto" w:fill="F0FFFF"/>
          </w:tcPr>
          <w:p>
            <w:pPr>
              <w:spacing w:after="0"/>
              <w:rPr>
                <w:sz w:val="12"/>
                <w:szCs w:val="12"/>
                <w:color w:val="auto"/>
              </w:rPr>
            </w:pPr>
          </w:p>
        </w:tc>
        <w:tc>
          <w:tcPr>
            <w:tcW w:w="500" w:type="dxa"/>
            <w:vAlign w:val="bottom"/>
            <w:tcBorders>
              <w:righ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8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left w:val="single" w:sz="8" w:color="auto"/>
            </w:tcBorders>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48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00" w:type="dxa"/>
            <w:vAlign w:val="bottom"/>
            <w:tcBorders>
              <w:right w:val="single" w:sz="8" w:color="auto"/>
            </w:tcBorders>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4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shd w:val="clear" w:color="auto" w:fill="F0FFFF"/>
          </w:tcPr>
          <w:p>
            <w:pPr>
              <w:spacing w:after="0" w:line="20" w:lineRule="exact"/>
              <w:rPr>
                <w:sz w:val="1"/>
                <w:szCs w:val="1"/>
                <w:color w:val="auto"/>
              </w:rPr>
            </w:pPr>
          </w:p>
        </w:tc>
        <w:tc>
          <w:tcPr>
            <w:tcW w:w="400" w:type="dxa"/>
            <w:vAlign w:val="bottom"/>
            <w:tcBorders>
              <w:right w:val="single" w:sz="8" w:color="F0FFFF"/>
            </w:tcBorders>
            <w:shd w:val="clear" w:color="auto" w:fill="F0FFFF"/>
          </w:tcPr>
          <w:p>
            <w:pPr>
              <w:spacing w:after="0" w:line="20" w:lineRule="exact"/>
              <w:rPr>
                <w:sz w:val="1"/>
                <w:szCs w:val="1"/>
                <w:color w:val="auto"/>
              </w:rPr>
            </w:pPr>
          </w:p>
        </w:tc>
        <w:tc>
          <w:tcPr>
            <w:tcW w:w="180" w:type="dxa"/>
            <w:vAlign w:val="bottom"/>
            <w:tcBorders>
              <w:right w:val="single" w:sz="8" w:color="F0FFFF"/>
            </w:tcBorders>
            <w:shd w:val="clear" w:color="auto" w:fill="F0FFFF"/>
          </w:tcPr>
          <w:p>
            <w:pPr>
              <w:spacing w:after="0" w:line="20" w:lineRule="exact"/>
              <w:rPr>
                <w:sz w:val="1"/>
                <w:szCs w:val="1"/>
                <w:color w:val="auto"/>
              </w:rPr>
            </w:pPr>
          </w:p>
        </w:tc>
        <w:tc>
          <w:tcPr>
            <w:tcW w:w="440" w:type="dxa"/>
            <w:vAlign w:val="bottom"/>
            <w:tcBorders>
              <w:right w:val="single" w:sz="8" w:color="F0FFFF"/>
            </w:tcBorders>
            <w:shd w:val="clear" w:color="auto" w:fill="F0FFFF"/>
          </w:tcPr>
          <w:p>
            <w:pPr>
              <w:spacing w:after="0" w:line="20" w:lineRule="exact"/>
              <w:rPr>
                <w:sz w:val="1"/>
                <w:szCs w:val="1"/>
                <w:color w:val="auto"/>
              </w:rPr>
            </w:pPr>
          </w:p>
        </w:tc>
        <w:tc>
          <w:tcPr>
            <w:tcW w:w="12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260" w:type="dxa"/>
            <w:vAlign w:val="bottom"/>
            <w:tcBorders>
              <w:right w:val="single" w:sz="8" w:color="auto"/>
            </w:tcBorders>
            <w:shd w:val="clear" w:color="auto" w:fill="F0FF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320" w:type="dxa"/>
            <w:vAlign w:val="bottom"/>
            <w:shd w:val="clear" w:color="auto" w:fill="F0FFFF"/>
          </w:tcPr>
          <w:p>
            <w:pPr>
              <w:spacing w:after="0" w:line="20" w:lineRule="exact"/>
              <w:rPr>
                <w:sz w:val="1"/>
                <w:szCs w:val="1"/>
                <w:color w:val="auto"/>
              </w:rPr>
            </w:pPr>
          </w:p>
        </w:tc>
        <w:tc>
          <w:tcPr>
            <w:tcW w:w="500" w:type="dxa"/>
            <w:vAlign w:val="bottom"/>
            <w:tcBorders>
              <w:right w:val="single" w:sz="8" w:color="F0FFFF"/>
            </w:tcBorders>
            <w:shd w:val="clear" w:color="auto" w:fill="F0FFFF"/>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18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20" w:type="dxa"/>
            <w:vAlign w:val="bottom"/>
            <w:tcBorders>
              <w:left w:val="single" w:sz="8" w:color="auto"/>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tcBorders>
              <w:right w:val="single" w:sz="8" w:color="auto"/>
            </w:tcBorders>
            <w:shd w:val="clear" w:color="auto" w:fill="F0FFFF"/>
          </w:tcPr>
          <w:p>
            <w:pPr>
              <w:spacing w:after="0"/>
              <w:rPr>
                <w:sz w:val="12"/>
                <w:szCs w:val="12"/>
                <w:color w:val="auto"/>
              </w:rPr>
            </w:pPr>
          </w:p>
        </w:tc>
        <w:tc>
          <w:tcPr>
            <w:tcW w:w="4440" w:type="dxa"/>
            <w:vAlign w:val="bottom"/>
            <w:tcBorders>
              <w:right w:val="single" w:sz="8" w:color="auto"/>
            </w:tcBorders>
            <w:gridSpan w:val="22"/>
            <w:shd w:val="clear" w:color="auto" w:fill="F0FFFF"/>
          </w:tcPr>
          <w:p>
            <w:pPr>
              <w:ind w:left="60"/>
              <w:spacing w:after="0" w:line="139" w:lineRule="exact"/>
              <w:rPr>
                <w:sz w:val="20"/>
                <w:szCs w:val="20"/>
                <w:color w:val="auto"/>
              </w:rPr>
            </w:pPr>
            <w:r>
              <w:rPr>
                <w:rFonts w:ascii="Times New Roman" w:cs="Times New Roman" w:eastAsia="Times New Roman" w:hAnsi="Times New Roman"/>
                <w:sz w:val="13"/>
                <w:szCs w:val="13"/>
                <w:color w:val="auto"/>
              </w:rPr>
              <w:t>● We have the right to substitute a comparable index prior to the Term End</w:t>
            </w:r>
          </w:p>
        </w:tc>
        <w:tc>
          <w:tcPr>
            <w:tcW w:w="320" w:type="dxa"/>
            <w:vAlign w:val="bottom"/>
            <w:shd w:val="clear" w:color="auto" w:fill="F0FFFF"/>
          </w:tcPr>
          <w:p>
            <w:pPr>
              <w:spacing w:after="0"/>
              <w:rPr>
                <w:sz w:val="12"/>
                <w:szCs w:val="12"/>
                <w:color w:val="auto"/>
              </w:rPr>
            </w:pPr>
          </w:p>
        </w:tc>
        <w:tc>
          <w:tcPr>
            <w:tcW w:w="500" w:type="dxa"/>
            <w:vAlign w:val="bottom"/>
            <w:tcBorders>
              <w:righ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8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left w:val="single" w:sz="8" w:color="auto"/>
            </w:tcBorders>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48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00" w:type="dxa"/>
            <w:vAlign w:val="bottom"/>
            <w:tcBorders>
              <w:right w:val="single" w:sz="8" w:color="auto"/>
            </w:tcBorders>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4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shd w:val="clear" w:color="auto" w:fill="F0FFFF"/>
          </w:tcPr>
          <w:p>
            <w:pPr>
              <w:spacing w:after="0" w:line="20" w:lineRule="exact"/>
              <w:rPr>
                <w:sz w:val="1"/>
                <w:szCs w:val="1"/>
                <w:color w:val="auto"/>
              </w:rPr>
            </w:pPr>
          </w:p>
        </w:tc>
        <w:tc>
          <w:tcPr>
            <w:tcW w:w="400" w:type="dxa"/>
            <w:vAlign w:val="bottom"/>
            <w:tcBorders>
              <w:right w:val="single" w:sz="8" w:color="F0FFFF"/>
            </w:tcBorders>
            <w:shd w:val="clear" w:color="auto" w:fill="F0FFFF"/>
          </w:tcPr>
          <w:p>
            <w:pPr>
              <w:spacing w:after="0" w:line="20" w:lineRule="exact"/>
              <w:rPr>
                <w:sz w:val="1"/>
                <w:szCs w:val="1"/>
                <w:color w:val="auto"/>
              </w:rPr>
            </w:pPr>
          </w:p>
        </w:tc>
        <w:tc>
          <w:tcPr>
            <w:tcW w:w="180" w:type="dxa"/>
            <w:vAlign w:val="bottom"/>
            <w:tcBorders>
              <w:right w:val="single" w:sz="8" w:color="F0FFFF"/>
            </w:tcBorders>
            <w:shd w:val="clear" w:color="auto" w:fill="F0FFFF"/>
          </w:tcPr>
          <w:p>
            <w:pPr>
              <w:spacing w:after="0" w:line="20" w:lineRule="exact"/>
              <w:rPr>
                <w:sz w:val="1"/>
                <w:szCs w:val="1"/>
                <w:color w:val="auto"/>
              </w:rPr>
            </w:pPr>
          </w:p>
        </w:tc>
        <w:tc>
          <w:tcPr>
            <w:tcW w:w="440" w:type="dxa"/>
            <w:vAlign w:val="bottom"/>
            <w:tcBorders>
              <w:right w:val="single" w:sz="8" w:color="F0FFFF"/>
            </w:tcBorders>
            <w:shd w:val="clear" w:color="auto" w:fill="F0FFFF"/>
          </w:tcPr>
          <w:p>
            <w:pPr>
              <w:spacing w:after="0" w:line="20" w:lineRule="exact"/>
              <w:rPr>
                <w:sz w:val="1"/>
                <w:szCs w:val="1"/>
                <w:color w:val="auto"/>
              </w:rPr>
            </w:pPr>
          </w:p>
        </w:tc>
        <w:tc>
          <w:tcPr>
            <w:tcW w:w="12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26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220" w:type="dxa"/>
            <w:vAlign w:val="bottom"/>
            <w:gridSpan w:val="2"/>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320" w:type="dxa"/>
            <w:vAlign w:val="bottom"/>
            <w:shd w:val="clear" w:color="auto" w:fill="F0FFFF"/>
          </w:tcPr>
          <w:p>
            <w:pPr>
              <w:spacing w:after="0" w:line="20" w:lineRule="exact"/>
              <w:rPr>
                <w:sz w:val="1"/>
                <w:szCs w:val="1"/>
                <w:color w:val="auto"/>
              </w:rPr>
            </w:pPr>
          </w:p>
        </w:tc>
        <w:tc>
          <w:tcPr>
            <w:tcW w:w="500" w:type="dxa"/>
            <w:vAlign w:val="bottom"/>
            <w:tcBorders>
              <w:right w:val="single" w:sz="8" w:color="F0FFFF"/>
            </w:tcBorders>
            <w:shd w:val="clear" w:color="auto" w:fill="F0FFFF"/>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18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20" w:type="dxa"/>
            <w:vAlign w:val="bottom"/>
            <w:tcBorders>
              <w:left w:val="single" w:sz="8" w:color="auto"/>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tcBorders>
              <w:right w:val="single" w:sz="8" w:color="auto"/>
            </w:tcBorders>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4260" w:type="dxa"/>
            <w:vAlign w:val="bottom"/>
            <w:tcBorders>
              <w:right w:val="single" w:sz="8" w:color="auto"/>
            </w:tcBorders>
            <w:gridSpan w:val="21"/>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Date if any Index is discontinued or we determine that our use of such</w:t>
            </w:r>
          </w:p>
        </w:tc>
        <w:tc>
          <w:tcPr>
            <w:tcW w:w="320" w:type="dxa"/>
            <w:vAlign w:val="bottom"/>
            <w:shd w:val="clear" w:color="auto" w:fill="F0FFFF"/>
          </w:tcPr>
          <w:p>
            <w:pPr>
              <w:spacing w:after="0"/>
              <w:rPr>
                <w:sz w:val="12"/>
                <w:szCs w:val="12"/>
                <w:color w:val="auto"/>
              </w:rPr>
            </w:pPr>
          </w:p>
        </w:tc>
        <w:tc>
          <w:tcPr>
            <w:tcW w:w="500" w:type="dxa"/>
            <w:vAlign w:val="bottom"/>
            <w:tcBorders>
              <w:righ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8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left w:val="single" w:sz="8" w:color="auto"/>
            </w:tcBorders>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48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00" w:type="dxa"/>
            <w:vAlign w:val="bottom"/>
            <w:tcBorders>
              <w:right w:val="single" w:sz="8" w:color="auto"/>
            </w:tcBorders>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F0FFFF"/>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F0FFFF"/>
            </w:tcBorders>
            <w:shd w:val="clear" w:color="auto" w:fill="F0FFFF"/>
          </w:tcPr>
          <w:p>
            <w:pPr>
              <w:spacing w:after="0" w:line="20" w:lineRule="exact"/>
              <w:rPr>
                <w:sz w:val="1"/>
                <w:szCs w:val="1"/>
                <w:color w:val="auto"/>
              </w:rPr>
            </w:pPr>
          </w:p>
        </w:tc>
        <w:tc>
          <w:tcPr>
            <w:tcW w:w="440" w:type="dxa"/>
            <w:vAlign w:val="bottom"/>
            <w:tcBorders>
              <w:right w:val="single" w:sz="8" w:color="F0FFFF"/>
            </w:tcBorders>
            <w:shd w:val="clear" w:color="auto" w:fill="F0FFFF"/>
          </w:tcPr>
          <w:p>
            <w:pPr>
              <w:spacing w:after="0" w:line="20" w:lineRule="exact"/>
              <w:rPr>
                <w:sz w:val="1"/>
                <w:szCs w:val="1"/>
                <w:color w:val="auto"/>
              </w:rPr>
            </w:pPr>
          </w:p>
        </w:tc>
        <w:tc>
          <w:tcPr>
            <w:tcW w:w="12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26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220" w:type="dxa"/>
            <w:vAlign w:val="bottom"/>
            <w:gridSpan w:val="2"/>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400" w:type="dxa"/>
            <w:vAlign w:val="bottom"/>
            <w:tcBorders>
              <w:right w:val="single" w:sz="8" w:color="F0FFFF"/>
            </w:tcBorders>
            <w:gridSpan w:val="2"/>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320" w:type="dxa"/>
            <w:vAlign w:val="bottom"/>
            <w:shd w:val="clear" w:color="auto" w:fill="F0FFFF"/>
          </w:tcPr>
          <w:p>
            <w:pPr>
              <w:spacing w:after="0" w:line="20" w:lineRule="exact"/>
              <w:rPr>
                <w:sz w:val="1"/>
                <w:szCs w:val="1"/>
                <w:color w:val="auto"/>
              </w:rPr>
            </w:pPr>
          </w:p>
        </w:tc>
        <w:tc>
          <w:tcPr>
            <w:tcW w:w="500" w:type="dxa"/>
            <w:vAlign w:val="bottom"/>
            <w:tcBorders>
              <w:right w:val="single" w:sz="8" w:color="F0FFFF"/>
            </w:tcBorders>
            <w:shd w:val="clear" w:color="auto" w:fill="F0FFFF"/>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18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20" w:type="dxa"/>
            <w:vAlign w:val="bottom"/>
            <w:tcBorders>
              <w:left w:val="single" w:sz="8" w:color="auto"/>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tcBorders>
              <w:right w:val="single" w:sz="8" w:color="auto"/>
            </w:tcBorders>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4260" w:type="dxa"/>
            <w:vAlign w:val="bottom"/>
            <w:tcBorders>
              <w:right w:val="single" w:sz="8" w:color="auto"/>
            </w:tcBorders>
            <w:gridSpan w:val="21"/>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Index should be discontinued because we are no longer licensed to use the</w:t>
            </w:r>
          </w:p>
        </w:tc>
        <w:tc>
          <w:tcPr>
            <w:tcW w:w="320" w:type="dxa"/>
            <w:vAlign w:val="bottom"/>
            <w:shd w:val="clear" w:color="auto" w:fill="F0FFFF"/>
          </w:tcPr>
          <w:p>
            <w:pPr>
              <w:spacing w:after="0"/>
              <w:rPr>
                <w:sz w:val="12"/>
                <w:szCs w:val="12"/>
                <w:color w:val="auto"/>
              </w:rPr>
            </w:pPr>
          </w:p>
        </w:tc>
        <w:tc>
          <w:tcPr>
            <w:tcW w:w="500" w:type="dxa"/>
            <w:vAlign w:val="bottom"/>
            <w:tcBorders>
              <w:righ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8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left w:val="single" w:sz="8" w:color="auto"/>
            </w:tcBorders>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48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00" w:type="dxa"/>
            <w:vAlign w:val="bottom"/>
            <w:tcBorders>
              <w:right w:val="single" w:sz="8" w:color="auto"/>
            </w:tcBorders>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tcBorders>
              <w:right w:val="single" w:sz="8" w:color="F0FFFF"/>
            </w:tcBorders>
            <w:gridSpan w:val="2"/>
            <w:shd w:val="clear" w:color="auto" w:fill="F0FFFF"/>
          </w:tcPr>
          <w:p>
            <w:pPr>
              <w:spacing w:after="0" w:line="20" w:lineRule="exact"/>
              <w:rPr>
                <w:sz w:val="1"/>
                <w:szCs w:val="1"/>
                <w:color w:val="auto"/>
              </w:rPr>
            </w:pPr>
          </w:p>
        </w:tc>
        <w:tc>
          <w:tcPr>
            <w:tcW w:w="180" w:type="dxa"/>
            <w:vAlign w:val="bottom"/>
            <w:tcBorders>
              <w:right w:val="single" w:sz="8" w:color="F0FFFF"/>
            </w:tcBorders>
            <w:shd w:val="clear" w:color="auto" w:fill="F0FFFF"/>
          </w:tcPr>
          <w:p>
            <w:pPr>
              <w:spacing w:after="0" w:line="20" w:lineRule="exact"/>
              <w:rPr>
                <w:sz w:val="1"/>
                <w:szCs w:val="1"/>
                <w:color w:val="auto"/>
              </w:rPr>
            </w:pPr>
          </w:p>
        </w:tc>
        <w:tc>
          <w:tcPr>
            <w:tcW w:w="440" w:type="dxa"/>
            <w:vAlign w:val="bottom"/>
            <w:tcBorders>
              <w:right w:val="single" w:sz="8" w:color="F0FFFF"/>
            </w:tcBorders>
            <w:shd w:val="clear" w:color="auto" w:fill="F0FFFF"/>
          </w:tcPr>
          <w:p>
            <w:pPr>
              <w:spacing w:after="0" w:line="20" w:lineRule="exact"/>
              <w:rPr>
                <w:sz w:val="1"/>
                <w:szCs w:val="1"/>
                <w:color w:val="auto"/>
              </w:rPr>
            </w:pPr>
          </w:p>
        </w:tc>
        <w:tc>
          <w:tcPr>
            <w:tcW w:w="12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26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220" w:type="dxa"/>
            <w:vAlign w:val="bottom"/>
            <w:gridSpan w:val="2"/>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400" w:type="dxa"/>
            <w:vAlign w:val="bottom"/>
            <w:tcBorders>
              <w:right w:val="single" w:sz="8" w:color="F0FFFF"/>
            </w:tcBorders>
            <w:gridSpan w:val="2"/>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320" w:type="dxa"/>
            <w:vAlign w:val="bottom"/>
            <w:shd w:val="clear" w:color="auto" w:fill="F0FFFF"/>
          </w:tcPr>
          <w:p>
            <w:pPr>
              <w:spacing w:after="0" w:line="20" w:lineRule="exact"/>
              <w:rPr>
                <w:sz w:val="1"/>
                <w:szCs w:val="1"/>
                <w:color w:val="auto"/>
              </w:rPr>
            </w:pPr>
          </w:p>
        </w:tc>
        <w:tc>
          <w:tcPr>
            <w:tcW w:w="500" w:type="dxa"/>
            <w:vAlign w:val="bottom"/>
            <w:tcBorders>
              <w:right w:val="single" w:sz="8" w:color="F0FFFF"/>
            </w:tcBorders>
            <w:shd w:val="clear" w:color="auto" w:fill="F0FFFF"/>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18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20" w:type="dxa"/>
            <w:vAlign w:val="bottom"/>
            <w:tcBorders>
              <w:left w:val="single" w:sz="8" w:color="auto"/>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tcBorders>
              <w:right w:val="single" w:sz="8" w:color="auto"/>
            </w:tcBorders>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4260" w:type="dxa"/>
            <w:vAlign w:val="bottom"/>
            <w:tcBorders>
              <w:right w:val="single" w:sz="8" w:color="auto"/>
            </w:tcBorders>
            <w:gridSpan w:val="21"/>
            <w:shd w:val="clear" w:color="auto" w:fill="F0FFFF"/>
          </w:tcPr>
          <w:p>
            <w:pPr>
              <w:spacing w:after="0"/>
              <w:rPr>
                <w:sz w:val="20"/>
                <w:szCs w:val="20"/>
                <w:color w:val="auto"/>
              </w:rPr>
            </w:pPr>
            <w:r>
              <w:rPr>
                <w:rFonts w:ascii="Times New Roman" w:cs="Times New Roman" w:eastAsia="Times New Roman" w:hAnsi="Times New Roman"/>
                <w:sz w:val="13"/>
                <w:szCs w:val="13"/>
                <w:color w:val="auto"/>
              </w:rPr>
              <w:t>Index , the method of calculation of the Index Value is substantially changed,</w:t>
            </w:r>
          </w:p>
        </w:tc>
        <w:tc>
          <w:tcPr>
            <w:tcW w:w="320" w:type="dxa"/>
            <w:vAlign w:val="bottom"/>
            <w:shd w:val="clear" w:color="auto" w:fill="F0FFFF"/>
          </w:tcPr>
          <w:p>
            <w:pPr>
              <w:spacing w:after="0"/>
              <w:rPr>
                <w:sz w:val="12"/>
                <w:szCs w:val="12"/>
                <w:color w:val="auto"/>
              </w:rPr>
            </w:pPr>
          </w:p>
        </w:tc>
        <w:tc>
          <w:tcPr>
            <w:tcW w:w="500" w:type="dxa"/>
            <w:vAlign w:val="bottom"/>
            <w:tcBorders>
              <w:righ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8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left w:val="single" w:sz="8" w:color="auto"/>
            </w:tcBorders>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48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00" w:type="dxa"/>
            <w:vAlign w:val="bottom"/>
            <w:tcBorders>
              <w:right w:val="single" w:sz="8" w:color="auto"/>
            </w:tcBorders>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tcBorders>
              <w:right w:val="single" w:sz="8" w:color="F0FFFF"/>
            </w:tcBorders>
            <w:gridSpan w:val="2"/>
            <w:shd w:val="clear" w:color="auto" w:fill="F0FFFF"/>
          </w:tcPr>
          <w:p>
            <w:pPr>
              <w:spacing w:after="0" w:line="20" w:lineRule="exact"/>
              <w:rPr>
                <w:sz w:val="1"/>
                <w:szCs w:val="1"/>
                <w:color w:val="auto"/>
              </w:rPr>
            </w:pPr>
          </w:p>
        </w:tc>
        <w:tc>
          <w:tcPr>
            <w:tcW w:w="180" w:type="dxa"/>
            <w:vAlign w:val="bottom"/>
            <w:tcBorders>
              <w:right w:val="single" w:sz="8" w:color="F0FFFF"/>
            </w:tcBorders>
            <w:shd w:val="clear" w:color="auto" w:fill="F0FFFF"/>
          </w:tcPr>
          <w:p>
            <w:pPr>
              <w:spacing w:after="0" w:line="20" w:lineRule="exact"/>
              <w:rPr>
                <w:sz w:val="1"/>
                <w:szCs w:val="1"/>
                <w:color w:val="auto"/>
              </w:rPr>
            </w:pPr>
          </w:p>
        </w:tc>
        <w:tc>
          <w:tcPr>
            <w:tcW w:w="440" w:type="dxa"/>
            <w:vAlign w:val="bottom"/>
            <w:tcBorders>
              <w:right w:val="single" w:sz="8" w:color="F0FFFF"/>
            </w:tcBorders>
            <w:shd w:val="clear" w:color="auto" w:fill="F0FFFF"/>
          </w:tcPr>
          <w:p>
            <w:pPr>
              <w:spacing w:after="0" w:line="20" w:lineRule="exact"/>
              <w:rPr>
                <w:sz w:val="1"/>
                <w:szCs w:val="1"/>
                <w:color w:val="auto"/>
              </w:rPr>
            </w:pPr>
          </w:p>
        </w:tc>
        <w:tc>
          <w:tcPr>
            <w:tcW w:w="12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400" w:type="dxa"/>
            <w:vAlign w:val="bottom"/>
            <w:tcBorders>
              <w:right w:val="single" w:sz="8" w:color="F0FFFF"/>
            </w:tcBorders>
            <w:gridSpan w:val="2"/>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320" w:type="dxa"/>
            <w:vAlign w:val="bottom"/>
            <w:shd w:val="clear" w:color="auto" w:fill="F0FFFF"/>
          </w:tcPr>
          <w:p>
            <w:pPr>
              <w:spacing w:after="0" w:line="20" w:lineRule="exact"/>
              <w:rPr>
                <w:sz w:val="1"/>
                <w:szCs w:val="1"/>
                <w:color w:val="auto"/>
              </w:rPr>
            </w:pPr>
          </w:p>
        </w:tc>
        <w:tc>
          <w:tcPr>
            <w:tcW w:w="500" w:type="dxa"/>
            <w:vAlign w:val="bottom"/>
            <w:tcBorders>
              <w:right w:val="single" w:sz="8" w:color="F0FFFF"/>
            </w:tcBorders>
            <w:shd w:val="clear" w:color="auto" w:fill="F0FFFF"/>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18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20" w:type="dxa"/>
            <w:vAlign w:val="bottom"/>
            <w:tcBorders>
              <w:left w:val="single" w:sz="8" w:color="auto"/>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tcBorders>
              <w:right w:val="single" w:sz="8" w:color="auto"/>
            </w:tcBorders>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4260" w:type="dxa"/>
            <w:vAlign w:val="bottom"/>
            <w:tcBorders>
              <w:right w:val="single" w:sz="8" w:color="auto"/>
            </w:tcBorders>
            <w:gridSpan w:val="21"/>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or if Index Values become unavailable for any reason.</w:t>
            </w:r>
          </w:p>
        </w:tc>
        <w:tc>
          <w:tcPr>
            <w:tcW w:w="320" w:type="dxa"/>
            <w:vAlign w:val="bottom"/>
            <w:shd w:val="clear" w:color="auto" w:fill="F0FFFF"/>
          </w:tcPr>
          <w:p>
            <w:pPr>
              <w:spacing w:after="0"/>
              <w:rPr>
                <w:sz w:val="12"/>
                <w:szCs w:val="12"/>
                <w:color w:val="auto"/>
              </w:rPr>
            </w:pPr>
          </w:p>
        </w:tc>
        <w:tc>
          <w:tcPr>
            <w:tcW w:w="500" w:type="dxa"/>
            <w:vAlign w:val="bottom"/>
            <w:tcBorders>
              <w:righ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8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left w:val="single" w:sz="8" w:color="auto"/>
            </w:tcBorders>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48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00" w:type="dxa"/>
            <w:vAlign w:val="bottom"/>
            <w:tcBorders>
              <w:right w:val="single" w:sz="8" w:color="auto"/>
            </w:tcBorders>
            <w:shd w:val="clear" w:color="auto" w:fill="F0FFFF"/>
          </w:tcPr>
          <w:p>
            <w:pPr>
              <w:spacing w:after="0" w:line="20" w:lineRule="exact"/>
              <w:rPr>
                <w:sz w:val="1"/>
                <w:szCs w:val="1"/>
                <w:color w:val="auto"/>
              </w:rPr>
            </w:pPr>
          </w:p>
        </w:tc>
        <w:tc>
          <w:tcPr>
            <w:tcW w:w="520" w:type="dxa"/>
            <w:vAlign w:val="bottom"/>
            <w:tcBorders>
              <w:right w:val="single" w:sz="8" w:color="auto"/>
            </w:tcBorders>
            <w:gridSpan w:val="2"/>
            <w:shd w:val="clear" w:color="auto" w:fill="F0FFFF"/>
          </w:tcPr>
          <w:p>
            <w:pPr>
              <w:spacing w:after="0" w:line="20" w:lineRule="exact"/>
              <w:rPr>
                <w:sz w:val="1"/>
                <w:szCs w:val="1"/>
                <w:color w:val="auto"/>
              </w:rPr>
            </w:pPr>
          </w:p>
        </w:tc>
        <w:tc>
          <w:tcPr>
            <w:tcW w:w="68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right w:val="single" w:sz="8" w:color="F0FFFF"/>
            </w:tcBorders>
            <w:shd w:val="clear" w:color="auto" w:fill="F0FFFF"/>
          </w:tcPr>
          <w:p>
            <w:pPr>
              <w:spacing w:after="0" w:line="20" w:lineRule="exact"/>
              <w:rPr>
                <w:sz w:val="1"/>
                <w:szCs w:val="1"/>
                <w:color w:val="auto"/>
              </w:rPr>
            </w:pPr>
          </w:p>
        </w:tc>
        <w:tc>
          <w:tcPr>
            <w:tcW w:w="440" w:type="dxa"/>
            <w:vAlign w:val="bottom"/>
            <w:tcBorders>
              <w:right w:val="single" w:sz="8" w:color="F0FFFF"/>
            </w:tcBorders>
            <w:shd w:val="clear" w:color="auto" w:fill="F0FFFF"/>
          </w:tcPr>
          <w:p>
            <w:pPr>
              <w:spacing w:after="0" w:line="20" w:lineRule="exact"/>
              <w:rPr>
                <w:sz w:val="1"/>
                <w:szCs w:val="1"/>
                <w:color w:val="auto"/>
              </w:rPr>
            </w:pPr>
          </w:p>
        </w:tc>
        <w:tc>
          <w:tcPr>
            <w:tcW w:w="12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26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380" w:type="dxa"/>
            <w:vAlign w:val="bottom"/>
            <w:tcBorders>
              <w:right w:val="single" w:sz="8" w:color="F0FFFF"/>
            </w:tcBorders>
            <w:gridSpan w:val="3"/>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400" w:type="dxa"/>
            <w:vAlign w:val="bottom"/>
            <w:tcBorders>
              <w:right w:val="single" w:sz="8" w:color="F0FFFF"/>
            </w:tcBorders>
            <w:gridSpan w:val="2"/>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320" w:type="dxa"/>
            <w:vAlign w:val="bottom"/>
            <w:shd w:val="clear" w:color="auto" w:fill="F0FFFF"/>
          </w:tcPr>
          <w:p>
            <w:pPr>
              <w:spacing w:after="0" w:line="20" w:lineRule="exact"/>
              <w:rPr>
                <w:sz w:val="1"/>
                <w:szCs w:val="1"/>
                <w:color w:val="auto"/>
              </w:rPr>
            </w:pPr>
          </w:p>
        </w:tc>
        <w:tc>
          <w:tcPr>
            <w:tcW w:w="500" w:type="dxa"/>
            <w:vAlign w:val="bottom"/>
            <w:tcBorders>
              <w:right w:val="single" w:sz="8" w:color="F0FFFF"/>
            </w:tcBorders>
            <w:shd w:val="clear" w:color="auto" w:fill="F0FFFF"/>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18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20" w:type="dxa"/>
            <w:vAlign w:val="bottom"/>
            <w:tcBorders>
              <w:left w:val="single" w:sz="8" w:color="auto"/>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tcBorders>
              <w:right w:val="single" w:sz="8" w:color="auto"/>
            </w:tcBorders>
            <w:shd w:val="clear" w:color="auto" w:fill="F0FFFF"/>
          </w:tcPr>
          <w:p>
            <w:pPr>
              <w:spacing w:after="0"/>
              <w:rPr>
                <w:sz w:val="12"/>
                <w:szCs w:val="12"/>
                <w:color w:val="auto"/>
              </w:rPr>
            </w:pPr>
          </w:p>
        </w:tc>
        <w:tc>
          <w:tcPr>
            <w:tcW w:w="4440" w:type="dxa"/>
            <w:vAlign w:val="bottom"/>
            <w:tcBorders>
              <w:right w:val="single" w:sz="8" w:color="auto"/>
            </w:tcBorders>
            <w:gridSpan w:val="22"/>
            <w:shd w:val="clear" w:color="auto" w:fill="F0FFFF"/>
          </w:tcPr>
          <w:p>
            <w:pPr>
              <w:ind w:left="60"/>
              <w:spacing w:after="0" w:line="139" w:lineRule="exact"/>
              <w:rPr>
                <w:sz w:val="20"/>
                <w:szCs w:val="20"/>
                <w:color w:val="auto"/>
              </w:rPr>
            </w:pPr>
            <w:r>
              <w:rPr>
                <w:rFonts w:ascii="Times New Roman" w:cs="Times New Roman" w:eastAsia="Times New Roman" w:hAnsi="Times New Roman"/>
                <w:sz w:val="13"/>
                <w:szCs w:val="13"/>
                <w:color w:val="auto"/>
              </w:rPr>
              <w:t>● We may change Cap Rates, Step Rates, and Edge Rates declared for the</w:t>
            </w:r>
          </w:p>
        </w:tc>
        <w:tc>
          <w:tcPr>
            <w:tcW w:w="320" w:type="dxa"/>
            <w:vAlign w:val="bottom"/>
            <w:shd w:val="clear" w:color="auto" w:fill="F0FFFF"/>
          </w:tcPr>
          <w:p>
            <w:pPr>
              <w:spacing w:after="0"/>
              <w:rPr>
                <w:sz w:val="12"/>
                <w:szCs w:val="12"/>
                <w:color w:val="auto"/>
              </w:rPr>
            </w:pPr>
          </w:p>
        </w:tc>
        <w:tc>
          <w:tcPr>
            <w:tcW w:w="500" w:type="dxa"/>
            <w:vAlign w:val="bottom"/>
            <w:tcBorders>
              <w:righ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8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left w:val="single" w:sz="8" w:color="auto"/>
            </w:tcBorders>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48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00" w:type="dxa"/>
            <w:vAlign w:val="bottom"/>
            <w:tcBorders>
              <w:right w:val="single" w:sz="8" w:color="auto"/>
            </w:tcBorders>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40" w:type="dxa"/>
            <w:vAlign w:val="bottom"/>
            <w:tcBorders>
              <w:right w:val="single" w:sz="8" w:color="F0FFFF"/>
            </w:tcBorders>
            <w:shd w:val="clear" w:color="auto" w:fill="F0FFFF"/>
          </w:tcPr>
          <w:p>
            <w:pPr>
              <w:spacing w:after="0" w:line="20" w:lineRule="exact"/>
              <w:rPr>
                <w:sz w:val="1"/>
                <w:szCs w:val="1"/>
                <w:color w:val="auto"/>
              </w:rPr>
            </w:pPr>
          </w:p>
        </w:tc>
        <w:tc>
          <w:tcPr>
            <w:tcW w:w="680" w:type="dxa"/>
            <w:vAlign w:val="bottom"/>
            <w:tcBorders>
              <w:right w:val="single" w:sz="8" w:color="auto"/>
            </w:tcBorders>
            <w:gridSpan w:val="2"/>
            <w:shd w:val="clear" w:color="auto" w:fill="F0FFFF"/>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260" w:type="dxa"/>
            <w:vAlign w:val="bottom"/>
            <w:tcBorders>
              <w:right w:val="single" w:sz="8" w:color="auto"/>
            </w:tcBorders>
            <w:shd w:val="clear" w:color="auto" w:fill="F0FF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gridSpan w:val="3"/>
            <w:shd w:val="clear" w:color="auto" w:fill="000000"/>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400" w:type="dxa"/>
            <w:vAlign w:val="bottom"/>
            <w:tcBorders>
              <w:right w:val="single" w:sz="8" w:color="F0FFFF"/>
            </w:tcBorders>
            <w:gridSpan w:val="2"/>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320" w:type="dxa"/>
            <w:vAlign w:val="bottom"/>
            <w:shd w:val="clear" w:color="auto" w:fill="F0FFFF"/>
          </w:tcPr>
          <w:p>
            <w:pPr>
              <w:spacing w:after="0" w:line="20" w:lineRule="exact"/>
              <w:rPr>
                <w:sz w:val="1"/>
                <w:szCs w:val="1"/>
                <w:color w:val="auto"/>
              </w:rPr>
            </w:pPr>
          </w:p>
        </w:tc>
        <w:tc>
          <w:tcPr>
            <w:tcW w:w="500" w:type="dxa"/>
            <w:vAlign w:val="bottom"/>
            <w:tcBorders>
              <w:right w:val="single" w:sz="8" w:color="F0FFFF"/>
            </w:tcBorders>
            <w:shd w:val="clear" w:color="auto" w:fill="F0FFFF"/>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18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20" w:type="dxa"/>
            <w:vAlign w:val="bottom"/>
            <w:tcBorders>
              <w:left w:val="single" w:sz="8" w:color="auto"/>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tcBorders>
              <w:right w:val="single" w:sz="8" w:color="auto"/>
            </w:tcBorders>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4260" w:type="dxa"/>
            <w:vAlign w:val="bottom"/>
            <w:tcBorders>
              <w:right w:val="single" w:sz="8" w:color="auto"/>
            </w:tcBorders>
            <w:gridSpan w:val="21"/>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Shield Options from one Term to the next, subject to the minimum</w:t>
            </w:r>
          </w:p>
        </w:tc>
        <w:tc>
          <w:tcPr>
            <w:tcW w:w="320" w:type="dxa"/>
            <w:vAlign w:val="bottom"/>
            <w:shd w:val="clear" w:color="auto" w:fill="F0FFFF"/>
          </w:tcPr>
          <w:p>
            <w:pPr>
              <w:spacing w:after="0"/>
              <w:rPr>
                <w:sz w:val="12"/>
                <w:szCs w:val="12"/>
                <w:color w:val="auto"/>
              </w:rPr>
            </w:pPr>
          </w:p>
        </w:tc>
        <w:tc>
          <w:tcPr>
            <w:tcW w:w="500" w:type="dxa"/>
            <w:vAlign w:val="bottom"/>
            <w:tcBorders>
              <w:righ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8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left w:val="single" w:sz="8" w:color="auto"/>
            </w:tcBorders>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48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00" w:type="dxa"/>
            <w:vAlign w:val="bottom"/>
            <w:tcBorders>
              <w:right w:val="single" w:sz="8" w:color="auto"/>
            </w:tcBorders>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right w:val="single" w:sz="8" w:color="F0FFFF"/>
            </w:tcBorders>
            <w:shd w:val="clear" w:color="auto" w:fill="F0FFFF"/>
          </w:tcPr>
          <w:p>
            <w:pPr>
              <w:spacing w:after="0" w:line="20" w:lineRule="exact"/>
              <w:rPr>
                <w:sz w:val="1"/>
                <w:szCs w:val="1"/>
                <w:color w:val="auto"/>
              </w:rPr>
            </w:pPr>
          </w:p>
        </w:tc>
        <w:tc>
          <w:tcPr>
            <w:tcW w:w="440" w:type="dxa"/>
            <w:vAlign w:val="bottom"/>
            <w:tcBorders>
              <w:right w:val="single" w:sz="8" w:color="auto"/>
            </w:tcBorders>
            <w:shd w:val="clear" w:color="auto" w:fill="F0FFFF"/>
          </w:tcPr>
          <w:p>
            <w:pPr>
              <w:spacing w:after="0" w:line="20" w:lineRule="exact"/>
              <w:rPr>
                <w:sz w:val="1"/>
                <w:szCs w:val="1"/>
                <w:color w:val="auto"/>
              </w:rPr>
            </w:pPr>
          </w:p>
        </w:tc>
        <w:tc>
          <w:tcPr>
            <w:tcW w:w="12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340" w:type="dxa"/>
            <w:vAlign w:val="bottom"/>
            <w:gridSpan w:val="2"/>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380" w:type="dxa"/>
            <w:vAlign w:val="bottom"/>
            <w:tcBorders>
              <w:right w:val="single" w:sz="8" w:color="F0FFFF"/>
            </w:tcBorders>
            <w:gridSpan w:val="3"/>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400" w:type="dxa"/>
            <w:vAlign w:val="bottom"/>
            <w:tcBorders>
              <w:right w:val="single" w:sz="8" w:color="F0FFFF"/>
            </w:tcBorders>
            <w:gridSpan w:val="2"/>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320" w:type="dxa"/>
            <w:vAlign w:val="bottom"/>
            <w:shd w:val="clear" w:color="auto" w:fill="F0FFFF"/>
          </w:tcPr>
          <w:p>
            <w:pPr>
              <w:spacing w:after="0" w:line="20" w:lineRule="exact"/>
              <w:rPr>
                <w:sz w:val="1"/>
                <w:szCs w:val="1"/>
                <w:color w:val="auto"/>
              </w:rPr>
            </w:pPr>
          </w:p>
        </w:tc>
        <w:tc>
          <w:tcPr>
            <w:tcW w:w="500" w:type="dxa"/>
            <w:vAlign w:val="bottom"/>
            <w:tcBorders>
              <w:right w:val="single" w:sz="8" w:color="F0FFFF"/>
            </w:tcBorders>
            <w:shd w:val="clear" w:color="auto" w:fill="F0FFFF"/>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18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20" w:type="dxa"/>
            <w:vAlign w:val="bottom"/>
            <w:tcBorders>
              <w:left w:val="single" w:sz="8" w:color="auto"/>
            </w:tcBorders>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480" w:type="dxa"/>
            <w:vAlign w:val="bottom"/>
            <w:shd w:val="clear" w:color="auto" w:fill="F0FFFF"/>
          </w:tcPr>
          <w:p>
            <w:pPr>
              <w:spacing w:after="0"/>
              <w:rPr>
                <w:sz w:val="13"/>
                <w:szCs w:val="13"/>
                <w:color w:val="auto"/>
              </w:rPr>
            </w:pPr>
          </w:p>
        </w:tc>
        <w:tc>
          <w:tcPr>
            <w:tcW w:w="20" w:type="dxa"/>
            <w:vAlign w:val="bottom"/>
            <w:shd w:val="clear" w:color="auto" w:fill="F0FFFF"/>
          </w:tcPr>
          <w:p>
            <w:pPr>
              <w:spacing w:after="0"/>
              <w:rPr>
                <w:sz w:val="13"/>
                <w:szCs w:val="13"/>
                <w:color w:val="auto"/>
              </w:rPr>
            </w:pPr>
          </w:p>
        </w:tc>
        <w:tc>
          <w:tcPr>
            <w:tcW w:w="100" w:type="dxa"/>
            <w:vAlign w:val="bottom"/>
            <w:tcBorders>
              <w:right w:val="single" w:sz="8" w:color="auto"/>
            </w:tcBorders>
            <w:shd w:val="clear" w:color="auto" w:fill="F0FFFF"/>
          </w:tcPr>
          <w:p>
            <w:pPr>
              <w:spacing w:after="0"/>
              <w:rPr>
                <w:sz w:val="13"/>
                <w:szCs w:val="13"/>
                <w:color w:val="auto"/>
              </w:rPr>
            </w:pPr>
          </w:p>
        </w:tc>
        <w:tc>
          <w:tcPr>
            <w:tcW w:w="180" w:type="dxa"/>
            <w:vAlign w:val="bottom"/>
            <w:shd w:val="clear" w:color="auto" w:fill="F0FFFF"/>
          </w:tcPr>
          <w:p>
            <w:pPr>
              <w:spacing w:after="0"/>
              <w:rPr>
                <w:sz w:val="13"/>
                <w:szCs w:val="13"/>
                <w:color w:val="auto"/>
              </w:rPr>
            </w:pPr>
          </w:p>
        </w:tc>
        <w:tc>
          <w:tcPr>
            <w:tcW w:w="4260" w:type="dxa"/>
            <w:vAlign w:val="bottom"/>
            <w:tcBorders>
              <w:right w:val="single" w:sz="8" w:color="auto"/>
            </w:tcBorders>
            <w:gridSpan w:val="21"/>
            <w:shd w:val="clear" w:color="auto" w:fill="F0FFFF"/>
          </w:tcPr>
          <w:p>
            <w:pPr>
              <w:spacing w:after="0"/>
              <w:rPr>
                <w:sz w:val="20"/>
                <w:szCs w:val="20"/>
                <w:color w:val="auto"/>
              </w:rPr>
            </w:pPr>
            <w:r>
              <w:rPr>
                <w:rFonts w:ascii="Times New Roman" w:cs="Times New Roman" w:eastAsia="Times New Roman" w:hAnsi="Times New Roman"/>
                <w:sz w:val="13"/>
                <w:szCs w:val="13"/>
                <w:color w:val="auto"/>
              </w:rPr>
              <w:t>guaranteed rates.</w:t>
            </w:r>
          </w:p>
        </w:tc>
        <w:tc>
          <w:tcPr>
            <w:tcW w:w="320" w:type="dxa"/>
            <w:vAlign w:val="bottom"/>
            <w:shd w:val="clear" w:color="auto" w:fill="F0FFFF"/>
          </w:tcPr>
          <w:p>
            <w:pPr>
              <w:spacing w:after="0"/>
              <w:rPr>
                <w:sz w:val="13"/>
                <w:szCs w:val="13"/>
                <w:color w:val="auto"/>
              </w:rPr>
            </w:pPr>
          </w:p>
        </w:tc>
        <w:tc>
          <w:tcPr>
            <w:tcW w:w="500" w:type="dxa"/>
            <w:vAlign w:val="bottom"/>
            <w:tcBorders>
              <w:right w:val="single" w:sz="8" w:color="F0FFFF"/>
            </w:tcBorders>
            <w:shd w:val="clear" w:color="auto" w:fill="F0FFFF"/>
          </w:tcPr>
          <w:p>
            <w:pPr>
              <w:spacing w:after="0"/>
              <w:rPr>
                <w:sz w:val="13"/>
                <w:szCs w:val="13"/>
                <w:color w:val="auto"/>
              </w:rPr>
            </w:pPr>
          </w:p>
        </w:tc>
        <w:tc>
          <w:tcPr>
            <w:tcW w:w="24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180" w:type="dxa"/>
            <w:vAlign w:val="bottom"/>
            <w:tcBorders>
              <w:right w:val="single" w:sz="8" w:color="auto"/>
            </w:tcBorders>
            <w:shd w:val="clear" w:color="auto" w:fill="F0FF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20" w:type="dxa"/>
            <w:vAlign w:val="bottom"/>
            <w:tcBorders>
              <w:left w:val="single" w:sz="8" w:color="auto"/>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tcBorders>
              <w:right w:val="single" w:sz="8" w:color="auto"/>
            </w:tcBorders>
            <w:shd w:val="clear" w:color="auto" w:fill="F0FFFF"/>
          </w:tcPr>
          <w:p>
            <w:pPr>
              <w:spacing w:after="0"/>
              <w:rPr>
                <w:sz w:val="12"/>
                <w:szCs w:val="12"/>
                <w:color w:val="auto"/>
              </w:rPr>
            </w:pPr>
          </w:p>
        </w:tc>
        <w:tc>
          <w:tcPr>
            <w:tcW w:w="4440" w:type="dxa"/>
            <w:vAlign w:val="bottom"/>
            <w:tcBorders>
              <w:right w:val="single" w:sz="8" w:color="auto"/>
            </w:tcBorders>
            <w:gridSpan w:val="22"/>
            <w:shd w:val="clear" w:color="auto" w:fill="F0FFFF"/>
          </w:tcPr>
          <w:p>
            <w:pPr>
              <w:ind w:left="60"/>
              <w:spacing w:after="0" w:line="142" w:lineRule="exact"/>
              <w:rPr>
                <w:sz w:val="20"/>
                <w:szCs w:val="20"/>
                <w:color w:val="auto"/>
              </w:rPr>
            </w:pPr>
            <w:r>
              <w:rPr>
                <w:rFonts w:ascii="Times New Roman" w:cs="Times New Roman" w:eastAsia="Times New Roman" w:hAnsi="Times New Roman"/>
                <w:sz w:val="13"/>
                <w:szCs w:val="13"/>
                <w:color w:val="auto"/>
              </w:rPr>
              <w:t>● Each Shield Option’s Shield Rate is guaranteed not to change for the life of</w:t>
            </w:r>
          </w:p>
        </w:tc>
        <w:tc>
          <w:tcPr>
            <w:tcW w:w="320" w:type="dxa"/>
            <w:vAlign w:val="bottom"/>
            <w:shd w:val="clear" w:color="auto" w:fill="F0FFFF"/>
          </w:tcPr>
          <w:p>
            <w:pPr>
              <w:spacing w:after="0"/>
              <w:rPr>
                <w:sz w:val="12"/>
                <w:szCs w:val="12"/>
                <w:color w:val="auto"/>
              </w:rPr>
            </w:pPr>
          </w:p>
        </w:tc>
        <w:tc>
          <w:tcPr>
            <w:tcW w:w="500" w:type="dxa"/>
            <w:vAlign w:val="bottom"/>
            <w:tcBorders>
              <w:righ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8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left w:val="single" w:sz="8" w:color="auto"/>
            </w:tcBorders>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48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00" w:type="dxa"/>
            <w:vAlign w:val="bottom"/>
            <w:tcBorders>
              <w:right w:val="single" w:sz="8" w:color="auto"/>
            </w:tcBorders>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40" w:type="dxa"/>
            <w:vAlign w:val="bottom"/>
            <w:tcBorders>
              <w:right w:val="single" w:sz="8" w:color="auto"/>
            </w:tcBorders>
            <w:shd w:val="clear" w:color="auto" w:fill="F0FF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26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200" w:type="dxa"/>
            <w:vAlign w:val="bottom"/>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320" w:type="dxa"/>
            <w:vAlign w:val="bottom"/>
            <w:shd w:val="clear" w:color="auto" w:fill="F0FFFF"/>
          </w:tcPr>
          <w:p>
            <w:pPr>
              <w:spacing w:after="0" w:line="20" w:lineRule="exact"/>
              <w:rPr>
                <w:sz w:val="1"/>
                <w:szCs w:val="1"/>
                <w:color w:val="auto"/>
              </w:rPr>
            </w:pPr>
          </w:p>
        </w:tc>
        <w:tc>
          <w:tcPr>
            <w:tcW w:w="500" w:type="dxa"/>
            <w:vAlign w:val="bottom"/>
            <w:tcBorders>
              <w:right w:val="single" w:sz="8" w:color="F0FFFF"/>
            </w:tcBorders>
            <w:shd w:val="clear" w:color="auto" w:fill="F0FFFF"/>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18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20" w:type="dxa"/>
            <w:vAlign w:val="bottom"/>
            <w:tcBorders>
              <w:left w:val="single" w:sz="8" w:color="auto"/>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tcBorders>
              <w:right w:val="single" w:sz="8" w:color="auto"/>
            </w:tcBorders>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4260" w:type="dxa"/>
            <w:vAlign w:val="bottom"/>
            <w:tcBorders>
              <w:right w:val="single" w:sz="8" w:color="auto"/>
            </w:tcBorders>
            <w:gridSpan w:val="21"/>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the currently offered Shield Options. However, we may add or discontinue</w:t>
            </w:r>
          </w:p>
        </w:tc>
        <w:tc>
          <w:tcPr>
            <w:tcW w:w="320" w:type="dxa"/>
            <w:vAlign w:val="bottom"/>
            <w:shd w:val="clear" w:color="auto" w:fill="F0FFFF"/>
          </w:tcPr>
          <w:p>
            <w:pPr>
              <w:spacing w:after="0"/>
              <w:rPr>
                <w:sz w:val="12"/>
                <w:szCs w:val="12"/>
                <w:color w:val="auto"/>
              </w:rPr>
            </w:pPr>
          </w:p>
        </w:tc>
        <w:tc>
          <w:tcPr>
            <w:tcW w:w="500" w:type="dxa"/>
            <w:vAlign w:val="bottom"/>
            <w:tcBorders>
              <w:righ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8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left w:val="single" w:sz="8" w:color="auto"/>
            </w:tcBorders>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48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00" w:type="dxa"/>
            <w:vAlign w:val="bottom"/>
            <w:tcBorders>
              <w:right w:val="single" w:sz="8" w:color="auto"/>
            </w:tcBorders>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40" w:type="dxa"/>
            <w:vAlign w:val="bottom"/>
            <w:tcBorders>
              <w:right w:val="single" w:sz="8" w:color="F0FFFF"/>
            </w:tcBorders>
            <w:shd w:val="clear" w:color="auto" w:fill="F0FFFF"/>
          </w:tcPr>
          <w:p>
            <w:pPr>
              <w:spacing w:after="0" w:line="20" w:lineRule="exact"/>
              <w:rPr>
                <w:sz w:val="1"/>
                <w:szCs w:val="1"/>
                <w:color w:val="auto"/>
              </w:rPr>
            </w:pPr>
          </w:p>
        </w:tc>
        <w:tc>
          <w:tcPr>
            <w:tcW w:w="680" w:type="dxa"/>
            <w:vAlign w:val="bottom"/>
            <w:tcBorders>
              <w:right w:val="single" w:sz="8" w:color="F0FFFF"/>
            </w:tcBorders>
            <w:gridSpan w:val="2"/>
            <w:shd w:val="clear" w:color="auto" w:fill="F0FFFF"/>
          </w:tcPr>
          <w:p>
            <w:pPr>
              <w:spacing w:after="0" w:line="20" w:lineRule="exact"/>
              <w:rPr>
                <w:sz w:val="1"/>
                <w:szCs w:val="1"/>
                <w:color w:val="auto"/>
              </w:rPr>
            </w:pPr>
          </w:p>
        </w:tc>
        <w:tc>
          <w:tcPr>
            <w:tcW w:w="180" w:type="dxa"/>
            <w:vAlign w:val="bottom"/>
            <w:tcBorders>
              <w:right w:val="single" w:sz="8" w:color="auto"/>
            </w:tcBorders>
            <w:shd w:val="clear" w:color="auto" w:fill="F0FFFF"/>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Borders>
              <w:right w:val="single" w:sz="8" w:color="F0FFFF"/>
            </w:tcBorders>
            <w:gridSpan w:val="2"/>
            <w:shd w:val="clear" w:color="auto" w:fill="000000"/>
          </w:tcPr>
          <w:p>
            <w:pPr>
              <w:spacing w:after="0" w:line="20" w:lineRule="exact"/>
              <w:rPr>
                <w:sz w:val="1"/>
                <w:szCs w:val="1"/>
                <w:color w:val="auto"/>
              </w:rPr>
            </w:pPr>
          </w:p>
        </w:tc>
        <w:tc>
          <w:tcPr>
            <w:tcW w:w="8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340" w:type="dxa"/>
            <w:vAlign w:val="bottom"/>
            <w:gridSpan w:val="2"/>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380" w:type="dxa"/>
            <w:vAlign w:val="bottom"/>
            <w:tcBorders>
              <w:right w:val="single" w:sz="8" w:color="F0FFFF"/>
            </w:tcBorders>
            <w:gridSpan w:val="3"/>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400" w:type="dxa"/>
            <w:vAlign w:val="bottom"/>
            <w:tcBorders>
              <w:right w:val="single" w:sz="8" w:color="F0FFFF"/>
            </w:tcBorders>
            <w:gridSpan w:val="2"/>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320" w:type="dxa"/>
            <w:vAlign w:val="bottom"/>
            <w:shd w:val="clear" w:color="auto" w:fill="F0FFFF"/>
          </w:tcPr>
          <w:p>
            <w:pPr>
              <w:spacing w:after="0" w:line="20" w:lineRule="exact"/>
              <w:rPr>
                <w:sz w:val="1"/>
                <w:szCs w:val="1"/>
                <w:color w:val="auto"/>
              </w:rPr>
            </w:pPr>
          </w:p>
        </w:tc>
        <w:tc>
          <w:tcPr>
            <w:tcW w:w="500" w:type="dxa"/>
            <w:vAlign w:val="bottom"/>
            <w:tcBorders>
              <w:right w:val="single" w:sz="8" w:color="F0FFFF"/>
            </w:tcBorders>
            <w:shd w:val="clear" w:color="auto" w:fill="F0FFFF"/>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18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20" w:type="dxa"/>
            <w:vAlign w:val="bottom"/>
            <w:tcBorders>
              <w:left w:val="single" w:sz="8" w:color="auto"/>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tcBorders>
              <w:right w:val="single" w:sz="8" w:color="auto"/>
            </w:tcBorders>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4260" w:type="dxa"/>
            <w:vAlign w:val="bottom"/>
            <w:tcBorders>
              <w:right w:val="single" w:sz="8" w:color="auto"/>
            </w:tcBorders>
            <w:gridSpan w:val="21"/>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any Shield Option, so the Shield Rates offered under the Contract may</w:t>
            </w:r>
          </w:p>
        </w:tc>
        <w:tc>
          <w:tcPr>
            <w:tcW w:w="320" w:type="dxa"/>
            <w:vAlign w:val="bottom"/>
            <w:shd w:val="clear" w:color="auto" w:fill="F0FFFF"/>
          </w:tcPr>
          <w:p>
            <w:pPr>
              <w:spacing w:after="0"/>
              <w:rPr>
                <w:sz w:val="12"/>
                <w:szCs w:val="12"/>
                <w:color w:val="auto"/>
              </w:rPr>
            </w:pPr>
          </w:p>
        </w:tc>
        <w:tc>
          <w:tcPr>
            <w:tcW w:w="500" w:type="dxa"/>
            <w:vAlign w:val="bottom"/>
            <w:tcBorders>
              <w:righ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8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left w:val="single" w:sz="8" w:color="auto"/>
            </w:tcBorders>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48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00" w:type="dxa"/>
            <w:vAlign w:val="bottom"/>
            <w:tcBorders>
              <w:right w:val="single" w:sz="8" w:color="auto"/>
            </w:tcBorders>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40" w:type="dxa"/>
            <w:vAlign w:val="bottom"/>
            <w:tcBorders>
              <w:right w:val="single" w:sz="8" w:color="auto"/>
            </w:tcBorders>
            <w:shd w:val="clear" w:color="auto" w:fill="F0FFFF"/>
          </w:tcPr>
          <w:p>
            <w:pPr>
              <w:spacing w:after="0" w:line="20" w:lineRule="exact"/>
              <w:rPr>
                <w:sz w:val="1"/>
                <w:szCs w:val="1"/>
                <w:color w:val="auto"/>
              </w:rPr>
            </w:pPr>
          </w:p>
        </w:tc>
        <w:tc>
          <w:tcPr>
            <w:tcW w:w="68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right w:val="single" w:sz="8" w:color="F0FFFF"/>
            </w:tcBorders>
            <w:shd w:val="clear" w:color="auto" w:fill="F0FFFF"/>
          </w:tcPr>
          <w:p>
            <w:pPr>
              <w:spacing w:after="0" w:line="20" w:lineRule="exact"/>
              <w:rPr>
                <w:sz w:val="1"/>
                <w:szCs w:val="1"/>
                <w:color w:val="auto"/>
              </w:rPr>
            </w:pPr>
          </w:p>
        </w:tc>
        <w:tc>
          <w:tcPr>
            <w:tcW w:w="440" w:type="dxa"/>
            <w:vAlign w:val="bottom"/>
            <w:tcBorders>
              <w:right w:val="single" w:sz="8" w:color="auto"/>
            </w:tcBorders>
            <w:shd w:val="clear" w:color="auto" w:fill="F0FFFF"/>
          </w:tcPr>
          <w:p>
            <w:pPr>
              <w:spacing w:after="0" w:line="20" w:lineRule="exact"/>
              <w:rPr>
                <w:sz w:val="1"/>
                <w:szCs w:val="1"/>
                <w:color w:val="auto"/>
              </w:rPr>
            </w:pPr>
          </w:p>
        </w:tc>
        <w:tc>
          <w:tcPr>
            <w:tcW w:w="40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right w:val="single" w:sz="8" w:color="F0FFFF"/>
            </w:tcBorders>
            <w:shd w:val="clear" w:color="auto" w:fill="F0FFFF"/>
          </w:tcPr>
          <w:p>
            <w:pPr>
              <w:spacing w:after="0" w:line="20" w:lineRule="exact"/>
              <w:rPr>
                <w:sz w:val="1"/>
                <w:szCs w:val="1"/>
                <w:color w:val="auto"/>
              </w:rPr>
            </w:pPr>
          </w:p>
        </w:tc>
        <w:tc>
          <w:tcPr>
            <w:tcW w:w="340" w:type="dxa"/>
            <w:vAlign w:val="bottom"/>
            <w:gridSpan w:val="2"/>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380" w:type="dxa"/>
            <w:vAlign w:val="bottom"/>
            <w:tcBorders>
              <w:right w:val="single" w:sz="8" w:color="F0FFFF"/>
            </w:tcBorders>
            <w:gridSpan w:val="3"/>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40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320" w:type="dxa"/>
            <w:vAlign w:val="bottom"/>
            <w:shd w:val="clear" w:color="auto" w:fill="F0FFFF"/>
          </w:tcPr>
          <w:p>
            <w:pPr>
              <w:spacing w:after="0" w:line="20" w:lineRule="exact"/>
              <w:rPr>
                <w:sz w:val="1"/>
                <w:szCs w:val="1"/>
                <w:color w:val="auto"/>
              </w:rPr>
            </w:pPr>
          </w:p>
        </w:tc>
        <w:tc>
          <w:tcPr>
            <w:tcW w:w="500" w:type="dxa"/>
            <w:vAlign w:val="bottom"/>
            <w:tcBorders>
              <w:right w:val="single" w:sz="8" w:color="F0FFFF"/>
            </w:tcBorders>
            <w:shd w:val="clear" w:color="auto" w:fill="F0FFFF"/>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18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20" w:type="dxa"/>
            <w:vAlign w:val="bottom"/>
            <w:tcBorders>
              <w:left w:val="single" w:sz="8" w:color="auto"/>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tcBorders>
              <w:right w:val="single" w:sz="8" w:color="auto"/>
            </w:tcBorders>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4260" w:type="dxa"/>
            <w:vAlign w:val="bottom"/>
            <w:tcBorders>
              <w:right w:val="single" w:sz="8" w:color="auto"/>
            </w:tcBorders>
            <w:gridSpan w:val="21"/>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change from one Term to the next.</w:t>
            </w:r>
          </w:p>
        </w:tc>
        <w:tc>
          <w:tcPr>
            <w:tcW w:w="320" w:type="dxa"/>
            <w:vAlign w:val="bottom"/>
            <w:shd w:val="clear" w:color="auto" w:fill="F0FFFF"/>
          </w:tcPr>
          <w:p>
            <w:pPr>
              <w:spacing w:after="0"/>
              <w:rPr>
                <w:sz w:val="12"/>
                <w:szCs w:val="12"/>
                <w:color w:val="auto"/>
              </w:rPr>
            </w:pPr>
          </w:p>
        </w:tc>
        <w:tc>
          <w:tcPr>
            <w:tcW w:w="500" w:type="dxa"/>
            <w:vAlign w:val="bottom"/>
            <w:tcBorders>
              <w:righ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8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left w:val="single" w:sz="8" w:color="auto"/>
            </w:tcBorders>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48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00" w:type="dxa"/>
            <w:vAlign w:val="bottom"/>
            <w:tcBorders>
              <w:right w:val="single" w:sz="8" w:color="auto"/>
            </w:tcBorders>
            <w:shd w:val="clear" w:color="auto" w:fill="F0FFFF"/>
          </w:tcPr>
          <w:p>
            <w:pPr>
              <w:spacing w:after="0" w:line="20" w:lineRule="exact"/>
              <w:rPr>
                <w:sz w:val="1"/>
                <w:szCs w:val="1"/>
                <w:color w:val="auto"/>
              </w:rPr>
            </w:pPr>
          </w:p>
        </w:tc>
        <w:tc>
          <w:tcPr>
            <w:tcW w:w="520" w:type="dxa"/>
            <w:vAlign w:val="bottom"/>
            <w:tcBorders>
              <w:right w:val="single" w:sz="8" w:color="F0FFFF"/>
            </w:tcBorders>
            <w:gridSpan w:val="2"/>
            <w:shd w:val="clear" w:color="auto" w:fill="F0FFFF"/>
          </w:tcPr>
          <w:p>
            <w:pPr>
              <w:spacing w:after="0" w:line="20" w:lineRule="exact"/>
              <w:rPr>
                <w:sz w:val="1"/>
                <w:szCs w:val="1"/>
                <w:color w:val="auto"/>
              </w:rPr>
            </w:pPr>
          </w:p>
        </w:tc>
        <w:tc>
          <w:tcPr>
            <w:tcW w:w="680" w:type="dxa"/>
            <w:vAlign w:val="bottom"/>
            <w:tcBorders>
              <w:right w:val="single" w:sz="8" w:color="auto"/>
            </w:tcBorders>
            <w:gridSpan w:val="2"/>
            <w:shd w:val="clear" w:color="auto" w:fill="F0FFFF"/>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Borders>
              <w:right w:val="single" w:sz="8" w:color="F0FFFF"/>
            </w:tcBorders>
            <w:shd w:val="clear" w:color="auto" w:fill="F0FFFF"/>
          </w:tcPr>
          <w:p>
            <w:pPr>
              <w:spacing w:after="0" w:line="20" w:lineRule="exact"/>
              <w:rPr>
                <w:sz w:val="1"/>
                <w:szCs w:val="1"/>
                <w:color w:val="auto"/>
              </w:rPr>
            </w:pPr>
          </w:p>
        </w:tc>
        <w:tc>
          <w:tcPr>
            <w:tcW w:w="400" w:type="dxa"/>
            <w:vAlign w:val="bottom"/>
            <w:tcBorders>
              <w:right w:val="single" w:sz="8" w:color="F0FFFF"/>
            </w:tcBorders>
            <w:gridSpan w:val="2"/>
            <w:shd w:val="clear" w:color="auto" w:fill="F0FFFF"/>
          </w:tcPr>
          <w:p>
            <w:pPr>
              <w:spacing w:after="0" w:line="20" w:lineRule="exact"/>
              <w:rPr>
                <w:sz w:val="1"/>
                <w:szCs w:val="1"/>
                <w:color w:val="auto"/>
              </w:rPr>
            </w:pPr>
          </w:p>
        </w:tc>
        <w:tc>
          <w:tcPr>
            <w:tcW w:w="8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340" w:type="dxa"/>
            <w:vAlign w:val="bottom"/>
            <w:gridSpan w:val="2"/>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380" w:type="dxa"/>
            <w:vAlign w:val="bottom"/>
            <w:tcBorders>
              <w:right w:val="single" w:sz="8" w:color="F0FFFF"/>
            </w:tcBorders>
            <w:gridSpan w:val="3"/>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400" w:type="dxa"/>
            <w:vAlign w:val="bottom"/>
            <w:tcBorders>
              <w:right w:val="single" w:sz="8" w:color="F0FFFF"/>
            </w:tcBorders>
            <w:gridSpan w:val="2"/>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320" w:type="dxa"/>
            <w:vAlign w:val="bottom"/>
            <w:shd w:val="clear" w:color="auto" w:fill="F0FFFF"/>
          </w:tcPr>
          <w:p>
            <w:pPr>
              <w:spacing w:after="0" w:line="20" w:lineRule="exact"/>
              <w:rPr>
                <w:sz w:val="1"/>
                <w:szCs w:val="1"/>
                <w:color w:val="auto"/>
              </w:rPr>
            </w:pPr>
          </w:p>
        </w:tc>
        <w:tc>
          <w:tcPr>
            <w:tcW w:w="500" w:type="dxa"/>
            <w:vAlign w:val="bottom"/>
            <w:tcBorders>
              <w:right w:val="single" w:sz="8" w:color="F0FFFF"/>
            </w:tcBorders>
            <w:shd w:val="clear" w:color="auto" w:fill="F0FFFF"/>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18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20" w:type="dxa"/>
            <w:vAlign w:val="bottom"/>
            <w:tcBorders>
              <w:left w:val="single" w:sz="8" w:color="auto"/>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tcBorders>
              <w:right w:val="single" w:sz="8" w:color="auto"/>
            </w:tcBorders>
            <w:shd w:val="clear" w:color="auto" w:fill="F0FFFF"/>
          </w:tcPr>
          <w:p>
            <w:pPr>
              <w:spacing w:after="0"/>
              <w:rPr>
                <w:sz w:val="12"/>
                <w:szCs w:val="12"/>
                <w:color w:val="auto"/>
              </w:rPr>
            </w:pPr>
          </w:p>
        </w:tc>
        <w:tc>
          <w:tcPr>
            <w:tcW w:w="4440" w:type="dxa"/>
            <w:vAlign w:val="bottom"/>
            <w:tcBorders>
              <w:right w:val="single" w:sz="8" w:color="auto"/>
            </w:tcBorders>
            <w:gridSpan w:val="22"/>
            <w:shd w:val="clear" w:color="auto" w:fill="F0FFFF"/>
          </w:tcPr>
          <w:p>
            <w:pPr>
              <w:ind w:left="60"/>
              <w:spacing w:after="0" w:line="139" w:lineRule="exact"/>
              <w:rPr>
                <w:sz w:val="20"/>
                <w:szCs w:val="20"/>
                <w:color w:val="auto"/>
              </w:rPr>
            </w:pPr>
            <w:r>
              <w:rPr>
                <w:rFonts w:ascii="Times New Roman" w:cs="Times New Roman" w:eastAsia="Times New Roman" w:hAnsi="Times New Roman"/>
                <w:sz w:val="13"/>
                <w:szCs w:val="13"/>
                <w:color w:val="auto"/>
              </w:rPr>
              <w:t>● We may change the interest rate for the Fixed Account declared from one</w:t>
            </w:r>
          </w:p>
        </w:tc>
        <w:tc>
          <w:tcPr>
            <w:tcW w:w="320" w:type="dxa"/>
            <w:vAlign w:val="bottom"/>
            <w:shd w:val="clear" w:color="auto" w:fill="F0FFFF"/>
          </w:tcPr>
          <w:p>
            <w:pPr>
              <w:spacing w:after="0"/>
              <w:rPr>
                <w:sz w:val="12"/>
                <w:szCs w:val="12"/>
                <w:color w:val="auto"/>
              </w:rPr>
            </w:pPr>
          </w:p>
        </w:tc>
        <w:tc>
          <w:tcPr>
            <w:tcW w:w="500" w:type="dxa"/>
            <w:vAlign w:val="bottom"/>
            <w:tcBorders>
              <w:righ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8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left w:val="single" w:sz="8" w:color="auto"/>
            </w:tcBorders>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48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00" w:type="dxa"/>
            <w:vAlign w:val="bottom"/>
            <w:tcBorders>
              <w:right w:val="single" w:sz="8" w:color="auto"/>
            </w:tcBorders>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40" w:type="dxa"/>
            <w:vAlign w:val="bottom"/>
            <w:tcBorders>
              <w:right w:val="single" w:sz="8" w:color="F0FFFF"/>
            </w:tcBorders>
            <w:shd w:val="clear" w:color="auto" w:fill="F0FFFF"/>
          </w:tcPr>
          <w:p>
            <w:pPr>
              <w:spacing w:after="0" w:line="20" w:lineRule="exact"/>
              <w:rPr>
                <w:sz w:val="1"/>
                <w:szCs w:val="1"/>
                <w:color w:val="auto"/>
              </w:rPr>
            </w:pPr>
          </w:p>
        </w:tc>
        <w:tc>
          <w:tcPr>
            <w:tcW w:w="680" w:type="dxa"/>
            <w:vAlign w:val="bottom"/>
            <w:tcBorders>
              <w:right w:val="single" w:sz="8" w:color="F0FFFF"/>
            </w:tcBorders>
            <w:gridSpan w:val="2"/>
            <w:shd w:val="clear" w:color="auto" w:fill="F0FFFF"/>
          </w:tcPr>
          <w:p>
            <w:pPr>
              <w:spacing w:after="0" w:line="20" w:lineRule="exact"/>
              <w:rPr>
                <w:sz w:val="1"/>
                <w:szCs w:val="1"/>
                <w:color w:val="auto"/>
              </w:rPr>
            </w:pPr>
          </w:p>
        </w:tc>
        <w:tc>
          <w:tcPr>
            <w:tcW w:w="180" w:type="dxa"/>
            <w:vAlign w:val="bottom"/>
            <w:tcBorders>
              <w:right w:val="single" w:sz="8" w:color="F0FFFF"/>
            </w:tcBorders>
            <w:shd w:val="clear" w:color="auto" w:fill="F0FFFF"/>
          </w:tcPr>
          <w:p>
            <w:pPr>
              <w:spacing w:after="0" w:line="20" w:lineRule="exact"/>
              <w:rPr>
                <w:sz w:val="1"/>
                <w:szCs w:val="1"/>
                <w:color w:val="auto"/>
              </w:rPr>
            </w:pPr>
          </w:p>
        </w:tc>
        <w:tc>
          <w:tcPr>
            <w:tcW w:w="440" w:type="dxa"/>
            <w:vAlign w:val="bottom"/>
            <w:tcBorders>
              <w:right w:val="single" w:sz="8" w:color="F0FFFF"/>
            </w:tcBorders>
            <w:shd w:val="clear" w:color="auto" w:fill="F0FFFF"/>
          </w:tcPr>
          <w:p>
            <w:pPr>
              <w:spacing w:after="0" w:line="20" w:lineRule="exact"/>
              <w:rPr>
                <w:sz w:val="1"/>
                <w:szCs w:val="1"/>
                <w:color w:val="auto"/>
              </w:rPr>
            </w:pPr>
          </w:p>
        </w:tc>
        <w:tc>
          <w:tcPr>
            <w:tcW w:w="400" w:type="dxa"/>
            <w:vAlign w:val="bottom"/>
            <w:tcBorders>
              <w:right w:val="single" w:sz="8" w:color="F0FFFF"/>
            </w:tcBorders>
            <w:gridSpan w:val="2"/>
            <w:shd w:val="clear" w:color="auto" w:fill="F0FFFF"/>
          </w:tcPr>
          <w:p>
            <w:pPr>
              <w:spacing w:after="0" w:line="20" w:lineRule="exact"/>
              <w:rPr>
                <w:sz w:val="1"/>
                <w:szCs w:val="1"/>
                <w:color w:val="auto"/>
              </w:rPr>
            </w:pPr>
          </w:p>
        </w:tc>
        <w:tc>
          <w:tcPr>
            <w:tcW w:w="80" w:type="dxa"/>
            <w:vAlign w:val="bottom"/>
            <w:tcBorders>
              <w:left w:val="single" w:sz="8" w:color="F0FFFF"/>
              <w:right w:val="single" w:sz="8" w:color="auto"/>
            </w:tcBorders>
            <w:shd w:val="clear" w:color="auto" w:fill="F0FF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gridSpan w:val="3"/>
            <w:shd w:val="clear" w:color="auto" w:fill="000000"/>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400" w:type="dxa"/>
            <w:vAlign w:val="bottom"/>
            <w:tcBorders>
              <w:right w:val="single" w:sz="8" w:color="F0FFFF"/>
            </w:tcBorders>
            <w:gridSpan w:val="2"/>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320" w:type="dxa"/>
            <w:vAlign w:val="bottom"/>
            <w:shd w:val="clear" w:color="auto" w:fill="F0FFFF"/>
          </w:tcPr>
          <w:p>
            <w:pPr>
              <w:spacing w:after="0" w:line="20" w:lineRule="exact"/>
              <w:rPr>
                <w:sz w:val="1"/>
                <w:szCs w:val="1"/>
                <w:color w:val="auto"/>
              </w:rPr>
            </w:pPr>
          </w:p>
        </w:tc>
        <w:tc>
          <w:tcPr>
            <w:tcW w:w="500" w:type="dxa"/>
            <w:vAlign w:val="bottom"/>
            <w:tcBorders>
              <w:right w:val="single" w:sz="8" w:color="F0FFFF"/>
            </w:tcBorders>
            <w:shd w:val="clear" w:color="auto" w:fill="F0FFFF"/>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18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20" w:type="dxa"/>
            <w:vAlign w:val="bottom"/>
            <w:tcBorders>
              <w:left w:val="single" w:sz="8" w:color="auto"/>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tcBorders>
              <w:right w:val="single" w:sz="8" w:color="auto"/>
            </w:tcBorders>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4260" w:type="dxa"/>
            <w:vAlign w:val="bottom"/>
            <w:tcBorders>
              <w:right w:val="single" w:sz="8" w:color="auto"/>
            </w:tcBorders>
            <w:gridSpan w:val="21"/>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Fixed Account Term to the next, subject to the Minimum Guaranteed</w:t>
            </w:r>
          </w:p>
        </w:tc>
        <w:tc>
          <w:tcPr>
            <w:tcW w:w="320" w:type="dxa"/>
            <w:vAlign w:val="bottom"/>
            <w:shd w:val="clear" w:color="auto" w:fill="F0FFFF"/>
          </w:tcPr>
          <w:p>
            <w:pPr>
              <w:spacing w:after="0"/>
              <w:rPr>
                <w:sz w:val="12"/>
                <w:szCs w:val="12"/>
                <w:color w:val="auto"/>
              </w:rPr>
            </w:pPr>
          </w:p>
        </w:tc>
        <w:tc>
          <w:tcPr>
            <w:tcW w:w="500" w:type="dxa"/>
            <w:vAlign w:val="bottom"/>
            <w:tcBorders>
              <w:righ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8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left w:val="single" w:sz="8" w:color="auto"/>
            </w:tcBorders>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48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00" w:type="dxa"/>
            <w:vAlign w:val="bottom"/>
            <w:tcBorders>
              <w:right w:val="single" w:sz="8" w:color="auto"/>
            </w:tcBorders>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right w:val="single" w:sz="8" w:color="F0FFFF"/>
            </w:tcBorders>
            <w:shd w:val="clear" w:color="auto" w:fill="000000"/>
          </w:tcPr>
          <w:p>
            <w:pPr>
              <w:spacing w:after="0" w:line="20" w:lineRule="exact"/>
              <w:rPr>
                <w:sz w:val="1"/>
                <w:szCs w:val="1"/>
                <w:color w:val="auto"/>
              </w:rPr>
            </w:pPr>
          </w:p>
        </w:tc>
        <w:tc>
          <w:tcPr>
            <w:tcW w:w="440" w:type="dxa"/>
            <w:vAlign w:val="bottom"/>
            <w:tcBorders>
              <w:right w:val="single" w:sz="8" w:color="F0FFFF"/>
            </w:tcBorders>
            <w:shd w:val="clear" w:color="auto" w:fill="F0FFFF"/>
          </w:tcPr>
          <w:p>
            <w:pPr>
              <w:spacing w:after="0" w:line="20" w:lineRule="exact"/>
              <w:rPr>
                <w:sz w:val="1"/>
                <w:szCs w:val="1"/>
                <w:color w:val="auto"/>
              </w:rPr>
            </w:pPr>
          </w:p>
        </w:tc>
        <w:tc>
          <w:tcPr>
            <w:tcW w:w="400" w:type="dxa"/>
            <w:vAlign w:val="bottom"/>
            <w:tcBorders>
              <w:right w:val="single" w:sz="8" w:color="F0FFFF"/>
            </w:tcBorders>
            <w:gridSpan w:val="2"/>
            <w:shd w:val="clear" w:color="auto" w:fill="F0FFFF"/>
          </w:tcPr>
          <w:p>
            <w:pPr>
              <w:spacing w:after="0" w:line="20" w:lineRule="exact"/>
              <w:rPr>
                <w:sz w:val="1"/>
                <w:szCs w:val="1"/>
                <w:color w:val="auto"/>
              </w:rPr>
            </w:pPr>
          </w:p>
        </w:tc>
        <w:tc>
          <w:tcPr>
            <w:tcW w:w="8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340" w:type="dxa"/>
            <w:vAlign w:val="bottom"/>
            <w:gridSpan w:val="2"/>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380" w:type="dxa"/>
            <w:vAlign w:val="bottom"/>
            <w:tcBorders>
              <w:right w:val="single" w:sz="8" w:color="F0FFFF"/>
            </w:tcBorders>
            <w:gridSpan w:val="3"/>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400" w:type="dxa"/>
            <w:vAlign w:val="bottom"/>
            <w:tcBorders>
              <w:right w:val="single" w:sz="8" w:color="F0FFFF"/>
            </w:tcBorders>
            <w:gridSpan w:val="2"/>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320" w:type="dxa"/>
            <w:vAlign w:val="bottom"/>
            <w:shd w:val="clear" w:color="auto" w:fill="F0FFFF"/>
          </w:tcPr>
          <w:p>
            <w:pPr>
              <w:spacing w:after="0" w:line="20" w:lineRule="exact"/>
              <w:rPr>
                <w:sz w:val="1"/>
                <w:szCs w:val="1"/>
                <w:color w:val="auto"/>
              </w:rPr>
            </w:pPr>
          </w:p>
        </w:tc>
        <w:tc>
          <w:tcPr>
            <w:tcW w:w="500" w:type="dxa"/>
            <w:vAlign w:val="bottom"/>
            <w:tcBorders>
              <w:right w:val="single" w:sz="8" w:color="F0FFFF"/>
            </w:tcBorders>
            <w:shd w:val="clear" w:color="auto" w:fill="F0FFFF"/>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18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20" w:type="dxa"/>
            <w:vAlign w:val="bottom"/>
            <w:tcBorders>
              <w:left w:val="single" w:sz="8" w:color="auto"/>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tcBorders>
              <w:right w:val="single" w:sz="8" w:color="auto"/>
            </w:tcBorders>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4260" w:type="dxa"/>
            <w:vAlign w:val="bottom"/>
            <w:tcBorders>
              <w:right w:val="single" w:sz="8" w:color="auto"/>
            </w:tcBorders>
            <w:gridSpan w:val="21"/>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Interest rate applicable to any Contract, which will not be less than 1%.</w:t>
            </w:r>
          </w:p>
        </w:tc>
        <w:tc>
          <w:tcPr>
            <w:tcW w:w="320" w:type="dxa"/>
            <w:vAlign w:val="bottom"/>
            <w:shd w:val="clear" w:color="auto" w:fill="F0FFFF"/>
          </w:tcPr>
          <w:p>
            <w:pPr>
              <w:spacing w:after="0"/>
              <w:rPr>
                <w:sz w:val="12"/>
                <w:szCs w:val="12"/>
                <w:color w:val="auto"/>
              </w:rPr>
            </w:pPr>
          </w:p>
        </w:tc>
        <w:tc>
          <w:tcPr>
            <w:tcW w:w="500" w:type="dxa"/>
            <w:vAlign w:val="bottom"/>
            <w:tcBorders>
              <w:righ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8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left w:val="single" w:sz="8" w:color="auto"/>
            </w:tcBorders>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48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00" w:type="dxa"/>
            <w:vAlign w:val="bottom"/>
            <w:tcBorders>
              <w:right w:val="single" w:sz="8" w:color="auto"/>
            </w:tcBorders>
            <w:shd w:val="clear" w:color="auto" w:fill="F0FFFF"/>
          </w:tcPr>
          <w:p>
            <w:pPr>
              <w:spacing w:after="0" w:line="20" w:lineRule="exact"/>
              <w:rPr>
                <w:sz w:val="1"/>
                <w:szCs w:val="1"/>
                <w:color w:val="auto"/>
              </w:rPr>
            </w:pPr>
          </w:p>
        </w:tc>
        <w:tc>
          <w:tcPr>
            <w:tcW w:w="520" w:type="dxa"/>
            <w:vAlign w:val="bottom"/>
            <w:tcBorders>
              <w:right w:val="single" w:sz="8" w:color="F0FFFF"/>
            </w:tcBorders>
            <w:gridSpan w:val="2"/>
            <w:shd w:val="clear" w:color="auto" w:fill="F0FFFF"/>
          </w:tcPr>
          <w:p>
            <w:pPr>
              <w:spacing w:after="0" w:line="20" w:lineRule="exact"/>
              <w:rPr>
                <w:sz w:val="1"/>
                <w:szCs w:val="1"/>
                <w:color w:val="auto"/>
              </w:rPr>
            </w:pPr>
          </w:p>
        </w:tc>
        <w:tc>
          <w:tcPr>
            <w:tcW w:w="680" w:type="dxa"/>
            <w:vAlign w:val="bottom"/>
            <w:tcBorders>
              <w:right w:val="single" w:sz="8" w:color="F0FFFF"/>
            </w:tcBorders>
            <w:gridSpan w:val="2"/>
            <w:shd w:val="clear" w:color="auto" w:fill="F0FFFF"/>
          </w:tcPr>
          <w:p>
            <w:pPr>
              <w:spacing w:after="0" w:line="20" w:lineRule="exact"/>
              <w:rPr>
                <w:sz w:val="1"/>
                <w:szCs w:val="1"/>
                <w:color w:val="auto"/>
              </w:rPr>
            </w:pPr>
          </w:p>
        </w:tc>
        <w:tc>
          <w:tcPr>
            <w:tcW w:w="620" w:type="dxa"/>
            <w:vAlign w:val="bottom"/>
            <w:tcBorders>
              <w:right w:val="single" w:sz="8" w:color="auto"/>
            </w:tcBorders>
            <w:gridSpan w:val="2"/>
            <w:shd w:val="clear" w:color="auto" w:fill="F0FFFF"/>
          </w:tcPr>
          <w:p>
            <w:pPr>
              <w:spacing w:after="0" w:line="20" w:lineRule="exact"/>
              <w:rPr>
                <w:sz w:val="1"/>
                <w:szCs w:val="1"/>
                <w:color w:val="auto"/>
              </w:rPr>
            </w:pPr>
          </w:p>
        </w:tc>
        <w:tc>
          <w:tcPr>
            <w:tcW w:w="40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right w:val="single" w:sz="8" w:color="F0FFFF"/>
            </w:tcBorders>
            <w:shd w:val="clear" w:color="auto" w:fill="F0FFFF"/>
          </w:tcPr>
          <w:p>
            <w:pPr>
              <w:spacing w:after="0" w:line="20" w:lineRule="exact"/>
              <w:rPr>
                <w:sz w:val="1"/>
                <w:szCs w:val="1"/>
                <w:color w:val="auto"/>
              </w:rPr>
            </w:pPr>
          </w:p>
        </w:tc>
        <w:tc>
          <w:tcPr>
            <w:tcW w:w="340" w:type="dxa"/>
            <w:vAlign w:val="bottom"/>
            <w:gridSpan w:val="2"/>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380" w:type="dxa"/>
            <w:vAlign w:val="bottom"/>
            <w:tcBorders>
              <w:right w:val="single" w:sz="8" w:color="F0FFFF"/>
            </w:tcBorders>
            <w:gridSpan w:val="3"/>
            <w:shd w:val="clear" w:color="auto" w:fill="F0FFFF"/>
          </w:tcPr>
          <w:p>
            <w:pPr>
              <w:spacing w:after="0" w:line="20" w:lineRule="exact"/>
              <w:rPr>
                <w:sz w:val="1"/>
                <w:szCs w:val="1"/>
                <w:color w:val="auto"/>
              </w:rPr>
            </w:pPr>
          </w:p>
        </w:tc>
        <w:tc>
          <w:tcPr>
            <w:tcW w:w="220" w:type="dxa"/>
            <w:vAlign w:val="bottom"/>
            <w:tcBorders>
              <w:right w:val="single" w:sz="8" w:color="F0FFFF"/>
            </w:tcBorders>
            <w:shd w:val="clear" w:color="auto" w:fill="F0FFFF"/>
          </w:tcPr>
          <w:p>
            <w:pPr>
              <w:spacing w:after="0" w:line="20" w:lineRule="exact"/>
              <w:rPr>
                <w:sz w:val="1"/>
                <w:szCs w:val="1"/>
                <w:color w:val="auto"/>
              </w:rPr>
            </w:pPr>
          </w:p>
        </w:tc>
        <w:tc>
          <w:tcPr>
            <w:tcW w:w="400" w:type="dxa"/>
            <w:vAlign w:val="bottom"/>
            <w:tcBorders>
              <w:right w:val="single" w:sz="8" w:color="F0FFFF"/>
            </w:tcBorders>
            <w:gridSpan w:val="2"/>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280" w:type="dxa"/>
            <w:vAlign w:val="bottom"/>
            <w:tcBorders>
              <w:right w:val="single" w:sz="8" w:color="F0FFFF"/>
            </w:tcBorders>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320" w:type="dxa"/>
            <w:vAlign w:val="bottom"/>
            <w:shd w:val="clear" w:color="auto" w:fill="F0FFFF"/>
          </w:tcPr>
          <w:p>
            <w:pPr>
              <w:spacing w:after="0" w:line="20" w:lineRule="exact"/>
              <w:rPr>
                <w:sz w:val="1"/>
                <w:szCs w:val="1"/>
                <w:color w:val="auto"/>
              </w:rPr>
            </w:pPr>
          </w:p>
        </w:tc>
        <w:tc>
          <w:tcPr>
            <w:tcW w:w="500" w:type="dxa"/>
            <w:vAlign w:val="bottom"/>
            <w:tcBorders>
              <w:right w:val="single" w:sz="8" w:color="F0FFFF"/>
            </w:tcBorders>
            <w:shd w:val="clear" w:color="auto" w:fill="F0FFFF"/>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18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20" w:type="dxa"/>
            <w:vAlign w:val="bottom"/>
            <w:tcBorders>
              <w:left w:val="single" w:sz="8" w:color="auto"/>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tcBorders>
              <w:right w:val="single" w:sz="8" w:color="auto"/>
            </w:tcBorders>
            <w:shd w:val="clear" w:color="auto" w:fill="F0FFFF"/>
          </w:tcPr>
          <w:p>
            <w:pPr>
              <w:spacing w:after="0"/>
              <w:rPr>
                <w:sz w:val="12"/>
                <w:szCs w:val="12"/>
                <w:color w:val="auto"/>
              </w:rPr>
            </w:pPr>
          </w:p>
        </w:tc>
        <w:tc>
          <w:tcPr>
            <w:tcW w:w="4440" w:type="dxa"/>
            <w:vAlign w:val="bottom"/>
            <w:tcBorders>
              <w:right w:val="single" w:sz="8" w:color="auto"/>
            </w:tcBorders>
            <w:gridSpan w:val="22"/>
            <w:shd w:val="clear" w:color="auto" w:fill="F0FFFF"/>
          </w:tcPr>
          <w:p>
            <w:pPr>
              <w:ind w:left="60"/>
              <w:spacing w:after="0" w:line="139" w:lineRule="exact"/>
              <w:rPr>
                <w:sz w:val="20"/>
                <w:szCs w:val="20"/>
                <w:color w:val="auto"/>
              </w:rPr>
            </w:pPr>
            <w:r>
              <w:rPr>
                <w:rFonts w:ascii="Times New Roman" w:cs="Times New Roman" w:eastAsia="Times New Roman" w:hAnsi="Times New Roman"/>
                <w:sz w:val="13"/>
                <w:szCs w:val="13"/>
                <w:color w:val="auto"/>
              </w:rPr>
              <w:t>● The Contract is a single premium product. Additional Purchase Payments</w:t>
            </w:r>
          </w:p>
        </w:tc>
        <w:tc>
          <w:tcPr>
            <w:tcW w:w="320" w:type="dxa"/>
            <w:vAlign w:val="bottom"/>
            <w:shd w:val="clear" w:color="auto" w:fill="F0FFFF"/>
          </w:tcPr>
          <w:p>
            <w:pPr>
              <w:spacing w:after="0"/>
              <w:rPr>
                <w:sz w:val="12"/>
                <w:szCs w:val="12"/>
                <w:color w:val="auto"/>
              </w:rPr>
            </w:pPr>
          </w:p>
        </w:tc>
        <w:tc>
          <w:tcPr>
            <w:tcW w:w="500" w:type="dxa"/>
            <w:vAlign w:val="bottom"/>
            <w:tcBorders>
              <w:righ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8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left w:val="single" w:sz="8" w:color="auto"/>
            </w:tcBorders>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48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00" w:type="dxa"/>
            <w:vAlign w:val="bottom"/>
            <w:tcBorders>
              <w:right w:val="single" w:sz="8" w:color="auto"/>
            </w:tcBorders>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40" w:type="dxa"/>
            <w:vAlign w:val="bottom"/>
            <w:tcBorders>
              <w:right w:val="single" w:sz="8" w:color="auto"/>
            </w:tcBorders>
            <w:shd w:val="clear" w:color="auto" w:fill="F0FFFF"/>
          </w:tcPr>
          <w:p>
            <w:pPr>
              <w:spacing w:after="0" w:line="20" w:lineRule="exact"/>
              <w:rPr>
                <w:sz w:val="1"/>
                <w:szCs w:val="1"/>
                <w:color w:val="auto"/>
              </w:rPr>
            </w:pPr>
          </w:p>
        </w:tc>
        <w:tc>
          <w:tcPr>
            <w:tcW w:w="680" w:type="dxa"/>
            <w:vAlign w:val="bottom"/>
            <w:tcBorders>
              <w:right w:val="single" w:sz="8" w:color="F0FFFF"/>
            </w:tcBorders>
            <w:gridSpan w:val="2"/>
            <w:shd w:val="clear" w:color="auto" w:fill="000000"/>
          </w:tcPr>
          <w:p>
            <w:pPr>
              <w:spacing w:after="0" w:line="20" w:lineRule="exact"/>
              <w:rPr>
                <w:sz w:val="1"/>
                <w:szCs w:val="1"/>
                <w:color w:val="auto"/>
              </w:rPr>
            </w:pPr>
          </w:p>
        </w:tc>
        <w:tc>
          <w:tcPr>
            <w:tcW w:w="620" w:type="dxa"/>
            <w:vAlign w:val="bottom"/>
            <w:tcBorders>
              <w:right w:val="single" w:sz="8" w:color="F0FFFF"/>
            </w:tcBorders>
            <w:gridSpan w:val="2"/>
            <w:shd w:val="clear" w:color="auto" w:fill="F0FFFF"/>
          </w:tcPr>
          <w:p>
            <w:pPr>
              <w:spacing w:after="0" w:line="20" w:lineRule="exact"/>
              <w:rPr>
                <w:sz w:val="1"/>
                <w:szCs w:val="1"/>
                <w:color w:val="auto"/>
              </w:rPr>
            </w:pPr>
          </w:p>
        </w:tc>
        <w:tc>
          <w:tcPr>
            <w:tcW w:w="400" w:type="dxa"/>
            <w:vAlign w:val="bottom"/>
            <w:tcBorders>
              <w:right w:val="single" w:sz="8" w:color="F0FFFF"/>
            </w:tcBorders>
            <w:gridSpan w:val="2"/>
            <w:shd w:val="clear" w:color="auto" w:fill="F0FFFF"/>
          </w:tcPr>
          <w:p>
            <w:pPr>
              <w:spacing w:after="0" w:line="20" w:lineRule="exact"/>
              <w:rPr>
                <w:sz w:val="1"/>
                <w:szCs w:val="1"/>
                <w:color w:val="auto"/>
              </w:rPr>
            </w:pPr>
          </w:p>
        </w:tc>
        <w:tc>
          <w:tcPr>
            <w:tcW w:w="8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340" w:type="dxa"/>
            <w:vAlign w:val="bottom"/>
            <w:gridSpan w:val="2"/>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380" w:type="dxa"/>
            <w:vAlign w:val="bottom"/>
            <w:tcBorders>
              <w:right w:val="single" w:sz="8" w:color="auto"/>
            </w:tcBorders>
            <w:gridSpan w:val="3"/>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320" w:type="dxa"/>
            <w:vAlign w:val="bottom"/>
            <w:shd w:val="clear" w:color="auto" w:fill="F0FFFF"/>
          </w:tcPr>
          <w:p>
            <w:pPr>
              <w:spacing w:after="0" w:line="20" w:lineRule="exact"/>
              <w:rPr>
                <w:sz w:val="1"/>
                <w:szCs w:val="1"/>
                <w:color w:val="auto"/>
              </w:rPr>
            </w:pPr>
          </w:p>
        </w:tc>
        <w:tc>
          <w:tcPr>
            <w:tcW w:w="500" w:type="dxa"/>
            <w:vAlign w:val="bottom"/>
            <w:tcBorders>
              <w:right w:val="single" w:sz="8" w:color="F0FFFF"/>
            </w:tcBorders>
            <w:shd w:val="clear" w:color="auto" w:fill="F0FFFF"/>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18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20" w:type="dxa"/>
            <w:vAlign w:val="bottom"/>
            <w:tcBorders>
              <w:left w:val="single" w:sz="8" w:color="auto"/>
              <w:bottom w:val="single" w:sz="8" w:color="auto"/>
            </w:tcBorders>
            <w:shd w:val="clear" w:color="auto" w:fill="F0FFFF"/>
          </w:tcPr>
          <w:p>
            <w:pPr>
              <w:spacing w:after="0"/>
              <w:rPr>
                <w:sz w:val="15"/>
                <w:szCs w:val="15"/>
                <w:color w:val="auto"/>
              </w:rPr>
            </w:pPr>
          </w:p>
        </w:tc>
        <w:tc>
          <w:tcPr>
            <w:tcW w:w="120" w:type="dxa"/>
            <w:vAlign w:val="bottom"/>
            <w:tcBorders>
              <w:bottom w:val="single" w:sz="8" w:color="auto"/>
            </w:tcBorders>
            <w:shd w:val="clear" w:color="auto" w:fill="F0FFFF"/>
          </w:tcPr>
          <w:p>
            <w:pPr>
              <w:spacing w:after="0"/>
              <w:rPr>
                <w:sz w:val="15"/>
                <w:szCs w:val="15"/>
                <w:color w:val="auto"/>
              </w:rPr>
            </w:pPr>
          </w:p>
        </w:tc>
        <w:tc>
          <w:tcPr>
            <w:tcW w:w="480" w:type="dxa"/>
            <w:vAlign w:val="bottom"/>
            <w:tcBorders>
              <w:bottom w:val="single" w:sz="8" w:color="auto"/>
            </w:tcBorders>
            <w:shd w:val="clear" w:color="auto" w:fill="F0FFFF"/>
          </w:tcPr>
          <w:p>
            <w:pPr>
              <w:spacing w:after="0"/>
              <w:rPr>
                <w:sz w:val="15"/>
                <w:szCs w:val="15"/>
                <w:color w:val="auto"/>
              </w:rPr>
            </w:pPr>
          </w:p>
        </w:tc>
        <w:tc>
          <w:tcPr>
            <w:tcW w:w="20" w:type="dxa"/>
            <w:vAlign w:val="bottom"/>
            <w:tcBorders>
              <w:bottom w:val="single" w:sz="8" w:color="auto"/>
            </w:tcBorders>
            <w:shd w:val="clear" w:color="auto" w:fill="F0FFFF"/>
          </w:tcPr>
          <w:p>
            <w:pPr>
              <w:spacing w:after="0"/>
              <w:rPr>
                <w:sz w:val="15"/>
                <w:szCs w:val="15"/>
                <w:color w:val="auto"/>
              </w:rPr>
            </w:pPr>
          </w:p>
        </w:tc>
        <w:tc>
          <w:tcPr>
            <w:tcW w:w="100" w:type="dxa"/>
            <w:vAlign w:val="bottom"/>
            <w:tcBorders>
              <w:bottom w:val="single" w:sz="8" w:color="auto"/>
              <w:right w:val="single" w:sz="8" w:color="auto"/>
            </w:tcBorders>
            <w:shd w:val="clear" w:color="auto" w:fill="F0FFFF"/>
          </w:tcPr>
          <w:p>
            <w:pPr>
              <w:spacing w:after="0"/>
              <w:rPr>
                <w:sz w:val="15"/>
                <w:szCs w:val="15"/>
                <w:color w:val="auto"/>
              </w:rPr>
            </w:pPr>
          </w:p>
        </w:tc>
        <w:tc>
          <w:tcPr>
            <w:tcW w:w="180" w:type="dxa"/>
            <w:vAlign w:val="bottom"/>
            <w:tcBorders>
              <w:bottom w:val="single" w:sz="8" w:color="auto"/>
            </w:tcBorders>
            <w:shd w:val="clear" w:color="auto" w:fill="F0FFFF"/>
          </w:tcPr>
          <w:p>
            <w:pPr>
              <w:spacing w:after="0"/>
              <w:rPr>
                <w:sz w:val="15"/>
                <w:szCs w:val="15"/>
                <w:color w:val="auto"/>
              </w:rPr>
            </w:pPr>
          </w:p>
        </w:tc>
        <w:tc>
          <w:tcPr>
            <w:tcW w:w="4260" w:type="dxa"/>
            <w:vAlign w:val="bottom"/>
            <w:tcBorders>
              <w:bottom w:val="single" w:sz="8" w:color="auto"/>
              <w:right w:val="single" w:sz="8" w:color="auto"/>
            </w:tcBorders>
            <w:gridSpan w:val="21"/>
            <w:shd w:val="clear" w:color="auto" w:fill="F0FFFF"/>
          </w:tcPr>
          <w:p>
            <w:pPr>
              <w:spacing w:after="0"/>
              <w:rPr>
                <w:sz w:val="20"/>
                <w:szCs w:val="20"/>
                <w:color w:val="auto"/>
              </w:rPr>
            </w:pPr>
            <w:r>
              <w:rPr>
                <w:rFonts w:ascii="Times New Roman" w:cs="Times New Roman" w:eastAsia="Times New Roman" w:hAnsi="Times New Roman"/>
                <w:sz w:val="13"/>
                <w:szCs w:val="13"/>
                <w:color w:val="auto"/>
              </w:rPr>
              <w:t>will not be accepted.</w:t>
            </w:r>
          </w:p>
        </w:tc>
        <w:tc>
          <w:tcPr>
            <w:tcW w:w="320" w:type="dxa"/>
            <w:vAlign w:val="bottom"/>
            <w:tcBorders>
              <w:bottom w:val="single" w:sz="8" w:color="auto"/>
            </w:tcBorders>
            <w:shd w:val="clear" w:color="auto" w:fill="F0FFFF"/>
          </w:tcPr>
          <w:p>
            <w:pPr>
              <w:spacing w:after="0"/>
              <w:rPr>
                <w:sz w:val="15"/>
                <w:szCs w:val="15"/>
                <w:color w:val="auto"/>
              </w:rPr>
            </w:pPr>
          </w:p>
        </w:tc>
        <w:tc>
          <w:tcPr>
            <w:tcW w:w="500" w:type="dxa"/>
            <w:vAlign w:val="bottom"/>
            <w:tcBorders>
              <w:bottom w:val="single" w:sz="8" w:color="auto"/>
              <w:right w:val="single" w:sz="8" w:color="F0FFFF"/>
            </w:tcBorders>
            <w:shd w:val="clear" w:color="auto" w:fill="F0FFFF"/>
          </w:tcPr>
          <w:p>
            <w:pPr>
              <w:spacing w:after="0"/>
              <w:rPr>
                <w:sz w:val="15"/>
                <w:szCs w:val="15"/>
                <w:color w:val="auto"/>
              </w:rPr>
            </w:pPr>
          </w:p>
        </w:tc>
        <w:tc>
          <w:tcPr>
            <w:tcW w:w="240" w:type="dxa"/>
            <w:vAlign w:val="bottom"/>
            <w:tcBorders>
              <w:bottom w:val="single" w:sz="8" w:color="auto"/>
            </w:tcBorders>
            <w:shd w:val="clear" w:color="auto" w:fill="F0FFFF"/>
          </w:tcPr>
          <w:p>
            <w:pPr>
              <w:spacing w:after="0"/>
              <w:rPr>
                <w:sz w:val="15"/>
                <w:szCs w:val="15"/>
                <w:color w:val="auto"/>
              </w:rPr>
            </w:pPr>
          </w:p>
        </w:tc>
        <w:tc>
          <w:tcPr>
            <w:tcW w:w="80" w:type="dxa"/>
            <w:vAlign w:val="bottom"/>
            <w:tcBorders>
              <w:bottom w:val="single" w:sz="8" w:color="auto"/>
            </w:tcBorders>
            <w:shd w:val="clear" w:color="auto" w:fill="F0FFFF"/>
          </w:tcPr>
          <w:p>
            <w:pPr>
              <w:spacing w:after="0"/>
              <w:rPr>
                <w:sz w:val="15"/>
                <w:szCs w:val="15"/>
                <w:color w:val="auto"/>
              </w:rPr>
            </w:pPr>
          </w:p>
        </w:tc>
        <w:tc>
          <w:tcPr>
            <w:tcW w:w="180" w:type="dxa"/>
            <w:vAlign w:val="bottom"/>
            <w:tcBorders>
              <w:bottom w:val="single" w:sz="8" w:color="auto"/>
              <w:right w:val="single" w:sz="8" w:color="auto"/>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540" w:type="dxa"/>
            <w:vAlign w:val="bottom"/>
            <w:tcBorders>
              <w:left w:val="single" w:sz="8" w:color="auto"/>
              <w:right w:val="single" w:sz="8" w:color="auto"/>
            </w:tcBorders>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Are There Any</w:t>
            </w:r>
          </w:p>
        </w:tc>
        <w:tc>
          <w:tcPr>
            <w:tcW w:w="4440" w:type="dxa"/>
            <w:vAlign w:val="bottom"/>
            <w:tcBorders>
              <w:right w:val="single" w:sz="8" w:color="auto"/>
            </w:tcBorders>
            <w:gridSpan w:val="22"/>
          </w:tcPr>
          <w:p>
            <w:pPr>
              <w:ind w:left="60"/>
              <w:spacing w:after="0"/>
              <w:rPr>
                <w:sz w:val="20"/>
                <w:szCs w:val="20"/>
                <w:color w:val="auto"/>
              </w:rPr>
            </w:pPr>
            <w:r>
              <w:rPr>
                <w:rFonts w:ascii="Times New Roman" w:cs="Times New Roman" w:eastAsia="Times New Roman" w:hAnsi="Times New Roman"/>
                <w:sz w:val="13"/>
                <w:szCs w:val="13"/>
                <w:b w:val="1"/>
                <w:bCs w:val="1"/>
                <w:color w:val="auto"/>
              </w:rPr>
              <w:t>Yes.</w:t>
            </w:r>
          </w:p>
        </w:tc>
        <w:tc>
          <w:tcPr>
            <w:tcW w:w="132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3"/>
                <w:szCs w:val="13"/>
                <w:b w:val="1"/>
                <w:bCs w:val="1"/>
                <w:color w:val="auto"/>
              </w:rPr>
              <w:t>PRINCIPAL RISKS</w:t>
            </w:r>
          </w:p>
        </w:tc>
        <w:tc>
          <w:tcPr>
            <w:tcW w:w="0" w:type="dxa"/>
            <w:vAlign w:val="bottom"/>
          </w:tcPr>
          <w:p>
            <w:pPr>
              <w:spacing w:after="0"/>
              <w:rPr>
                <w:sz w:val="1"/>
                <w:szCs w:val="1"/>
                <w:color w:val="auto"/>
              </w:rPr>
            </w:pPr>
          </w:p>
        </w:tc>
      </w:tr>
      <w:tr>
        <w:trPr>
          <w:trHeight w:val="152"/>
        </w:trPr>
        <w:tc>
          <w:tcPr>
            <w:tcW w:w="1540" w:type="dxa"/>
            <w:vAlign w:val="bottom"/>
            <w:tcBorders>
              <w:left w:val="single" w:sz="8" w:color="auto"/>
              <w:right w:val="single" w:sz="8" w:color="auto"/>
            </w:tcBorders>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Restrictions on Contract</w:t>
            </w:r>
          </w:p>
        </w:tc>
        <w:tc>
          <w:tcPr>
            <w:tcW w:w="4440" w:type="dxa"/>
            <w:vAlign w:val="bottom"/>
            <w:tcBorders>
              <w:right w:val="single" w:sz="8" w:color="auto"/>
            </w:tcBorders>
            <w:gridSpan w:val="22"/>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132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3"/>
                <w:szCs w:val="13"/>
                <w:b w:val="1"/>
                <w:bCs w:val="1"/>
                <w:color w:val="auto"/>
              </w:rPr>
              <w:t>OF INVESTING IN</w:t>
            </w:r>
          </w:p>
        </w:tc>
        <w:tc>
          <w:tcPr>
            <w:tcW w:w="0" w:type="dxa"/>
            <w:vAlign w:val="bottom"/>
          </w:tcPr>
          <w:p>
            <w:pPr>
              <w:spacing w:after="0"/>
              <w:rPr>
                <w:sz w:val="1"/>
                <w:szCs w:val="1"/>
                <w:color w:val="auto"/>
              </w:rPr>
            </w:pPr>
          </w:p>
        </w:tc>
      </w:tr>
      <w:tr>
        <w:trPr>
          <w:trHeight w:val="149"/>
        </w:trPr>
        <w:tc>
          <w:tcPr>
            <w:tcW w:w="940" w:type="dxa"/>
            <w:vAlign w:val="bottom"/>
            <w:tcBorders>
              <w:left w:val="single" w:sz="8" w:color="auto"/>
            </w:tcBorders>
            <w:gridSpan w:val="2"/>
          </w:tcPr>
          <w:p>
            <w:pPr>
              <w:ind w:left="60"/>
              <w:spacing w:after="0" w:line="119" w:lineRule="exact"/>
              <w:rPr>
                <w:sz w:val="20"/>
                <w:szCs w:val="20"/>
                <w:color w:val="auto"/>
              </w:rPr>
            </w:pPr>
            <w:r>
              <w:rPr>
                <w:rFonts w:ascii="Times New Roman" w:cs="Times New Roman" w:eastAsia="Times New Roman" w:hAnsi="Times New Roman"/>
                <w:sz w:val="13"/>
                <w:szCs w:val="13"/>
                <w:b w:val="1"/>
                <w:bCs w:val="1"/>
                <w:color w:val="auto"/>
              </w:rPr>
              <w:t>Benefits?</w:t>
            </w:r>
          </w:p>
        </w:tc>
        <w:tc>
          <w:tcPr>
            <w:tcW w:w="500" w:type="dxa"/>
            <w:vAlign w:val="bottom"/>
            <w:tcBorders>
              <w:top w:val="single" w:sz="8" w:color="auto"/>
            </w:tcBorders>
            <w:gridSpan w:val="2"/>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440" w:type="dxa"/>
            <w:vAlign w:val="bottom"/>
            <w:tcBorders>
              <w:right w:val="single" w:sz="8" w:color="auto"/>
            </w:tcBorders>
            <w:gridSpan w:val="22"/>
          </w:tcPr>
          <w:p>
            <w:pPr>
              <w:ind w:left="60"/>
              <w:spacing w:after="0" w:line="109" w:lineRule="exact"/>
              <w:rPr>
                <w:sz w:val="20"/>
                <w:szCs w:val="20"/>
                <w:color w:val="auto"/>
              </w:rPr>
            </w:pPr>
            <w:r>
              <w:rPr>
                <w:rFonts w:ascii="Times New Roman" w:cs="Times New Roman" w:eastAsia="Times New Roman" w:hAnsi="Times New Roman"/>
                <w:sz w:val="12"/>
                <w:szCs w:val="12"/>
                <w:color w:val="auto"/>
              </w:rPr>
              <w:t>● Subject to certain conditions, Contract benefits may be modified or</w:t>
            </w:r>
          </w:p>
        </w:tc>
        <w:tc>
          <w:tcPr>
            <w:tcW w:w="1320" w:type="dxa"/>
            <w:vAlign w:val="bottom"/>
            <w:tcBorders>
              <w:right w:val="single" w:sz="8" w:color="auto"/>
            </w:tcBorders>
            <w:gridSpan w:val="5"/>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THE CONTRACT</w:t>
            </w:r>
          </w:p>
        </w:tc>
        <w:tc>
          <w:tcPr>
            <w:tcW w:w="0" w:type="dxa"/>
            <w:vAlign w:val="bottom"/>
          </w:tcPr>
          <w:p>
            <w:pPr>
              <w:spacing w:after="0"/>
              <w:rPr>
                <w:sz w:val="1"/>
                <w:szCs w:val="1"/>
                <w:color w:val="auto"/>
              </w:rPr>
            </w:pPr>
          </w:p>
        </w:tc>
      </w:tr>
      <w:tr>
        <w:trPr>
          <w:trHeight w:val="134"/>
        </w:trPr>
        <w:tc>
          <w:tcPr>
            <w:tcW w:w="820" w:type="dxa"/>
            <w:vAlign w:val="bottom"/>
            <w:tcBorders>
              <w:lef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gridSpan w:val="5"/>
          </w:tcPr>
          <w:p>
            <w:pPr>
              <w:spacing w:after="0" w:line="134" w:lineRule="exact"/>
              <w:rPr>
                <w:sz w:val="20"/>
                <w:szCs w:val="20"/>
                <w:color w:val="auto"/>
              </w:rPr>
            </w:pPr>
            <w:r>
              <w:rPr>
                <w:rFonts w:ascii="Times New Roman" w:cs="Times New Roman" w:eastAsia="Times New Roman" w:hAnsi="Times New Roman"/>
                <w:sz w:val="13"/>
                <w:szCs w:val="13"/>
                <w:color w:val="auto"/>
              </w:rPr>
              <w:t>terminated by the Company.</w:t>
            </w:r>
          </w:p>
        </w:tc>
        <w:tc>
          <w:tcPr>
            <w:tcW w:w="400" w:type="dxa"/>
            <w:vAlign w:val="bottom"/>
            <w:tcBorders>
              <w:top w:val="single" w:sz="8" w:color="auto"/>
            </w:tcBorders>
            <w:gridSpan w:val="2"/>
          </w:tcPr>
          <w:p>
            <w:pPr>
              <w:spacing w:after="0"/>
              <w:rPr>
                <w:sz w:val="11"/>
                <w:szCs w:val="11"/>
                <w:color w:val="auto"/>
              </w:rPr>
            </w:pPr>
          </w:p>
        </w:tc>
        <w:tc>
          <w:tcPr>
            <w:tcW w:w="2220" w:type="dxa"/>
            <w:vAlign w:val="bottom"/>
            <w:tcBorders>
              <w:right w:val="single" w:sz="8" w:color="auto"/>
            </w:tcBorders>
            <w:gridSpan w:val="14"/>
          </w:tcPr>
          <w:p>
            <w:pPr>
              <w:spacing w:after="0"/>
              <w:rPr>
                <w:sz w:val="11"/>
                <w:szCs w:val="11"/>
                <w:color w:val="auto"/>
              </w:rPr>
            </w:pPr>
          </w:p>
        </w:tc>
        <w:tc>
          <w:tcPr>
            <w:tcW w:w="320" w:type="dxa"/>
            <w:vAlign w:val="bottom"/>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 </w:t>
            </w:r>
          </w:p>
        </w:tc>
        <w:tc>
          <w:tcPr>
            <w:tcW w:w="5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2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440" w:type="dxa"/>
            <w:vAlign w:val="bottom"/>
            <w:tcBorders>
              <w:right w:val="single" w:sz="8" w:color="auto"/>
            </w:tcBorders>
            <w:gridSpan w:val="22"/>
          </w:tcPr>
          <w:p>
            <w:pPr>
              <w:ind w:left="60"/>
              <w:spacing w:after="0"/>
              <w:rPr>
                <w:sz w:val="20"/>
                <w:szCs w:val="20"/>
                <w:color w:val="auto"/>
              </w:rPr>
            </w:pPr>
            <w:r>
              <w:rPr>
                <w:rFonts w:ascii="Times New Roman" w:cs="Times New Roman" w:eastAsia="Times New Roman" w:hAnsi="Times New Roman"/>
                <w:sz w:val="13"/>
                <w:szCs w:val="13"/>
                <w:color w:val="auto"/>
              </w:rPr>
              <w:t>● All withdrawals (including RMDs and systematic withdrawals) will reduce</w:t>
            </w:r>
          </w:p>
        </w:tc>
        <w:tc>
          <w:tcPr>
            <w:tcW w:w="132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3"/>
                <w:szCs w:val="13"/>
                <w:b w:val="1"/>
                <w:bCs w:val="1"/>
                <w:color w:val="auto"/>
              </w:rPr>
              <w:t>DEATH BENEFIT</w:t>
            </w:r>
          </w:p>
        </w:tc>
        <w:tc>
          <w:tcPr>
            <w:tcW w:w="0" w:type="dxa"/>
            <w:vAlign w:val="bottom"/>
          </w:tcPr>
          <w:p>
            <w:pPr>
              <w:spacing w:after="0"/>
              <w:rPr>
                <w:sz w:val="1"/>
                <w:szCs w:val="1"/>
                <w:color w:val="auto"/>
              </w:rPr>
            </w:pPr>
          </w:p>
        </w:tc>
      </w:tr>
      <w:tr>
        <w:trPr>
          <w:trHeight w:val="149"/>
        </w:trPr>
        <w:tc>
          <w:tcPr>
            <w:tcW w:w="82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260" w:type="dxa"/>
            <w:vAlign w:val="bottom"/>
            <w:tcBorders>
              <w:right w:val="single" w:sz="8" w:color="auto"/>
            </w:tcBorders>
            <w:gridSpan w:val="21"/>
          </w:tcPr>
          <w:p>
            <w:pPr>
              <w:spacing w:after="0"/>
              <w:rPr>
                <w:sz w:val="20"/>
                <w:szCs w:val="20"/>
                <w:color w:val="auto"/>
              </w:rPr>
            </w:pPr>
            <w:r>
              <w:rPr>
                <w:rFonts w:ascii="Times New Roman" w:cs="Times New Roman" w:eastAsia="Times New Roman" w:hAnsi="Times New Roman"/>
                <w:sz w:val="13"/>
                <w:szCs w:val="13"/>
                <w:color w:val="auto"/>
              </w:rPr>
              <w:t>the death benefit. Such reductions may be significant and may be more</w:t>
            </w:r>
          </w:p>
        </w:tc>
        <w:tc>
          <w:tcPr>
            <w:tcW w:w="132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3"/>
                <w:szCs w:val="13"/>
                <w:b w:val="1"/>
                <w:bCs w:val="1"/>
                <w:color w:val="auto"/>
              </w:rPr>
              <w:t> </w:t>
            </w:r>
          </w:p>
        </w:tc>
        <w:tc>
          <w:tcPr>
            <w:tcW w:w="0" w:type="dxa"/>
            <w:vAlign w:val="bottom"/>
          </w:tcPr>
          <w:p>
            <w:pPr>
              <w:spacing w:after="0"/>
              <w:rPr>
                <w:sz w:val="1"/>
                <w:szCs w:val="1"/>
                <w:color w:val="auto"/>
              </w:rPr>
            </w:pPr>
          </w:p>
        </w:tc>
      </w:tr>
      <w:tr>
        <w:trPr>
          <w:trHeight w:val="203"/>
        </w:trPr>
        <w:tc>
          <w:tcPr>
            <w:tcW w:w="820" w:type="dxa"/>
            <w:vAlign w:val="bottom"/>
            <w:tcBorders>
              <w:left w:val="single" w:sz="8" w:color="auto"/>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260" w:type="dxa"/>
            <w:vAlign w:val="bottom"/>
            <w:tcBorders>
              <w:bottom w:val="single" w:sz="8" w:color="auto"/>
              <w:right w:val="single" w:sz="8" w:color="auto"/>
            </w:tcBorders>
            <w:gridSpan w:val="21"/>
          </w:tcPr>
          <w:p>
            <w:pPr>
              <w:spacing w:after="0"/>
              <w:rPr>
                <w:sz w:val="20"/>
                <w:szCs w:val="20"/>
                <w:color w:val="auto"/>
              </w:rPr>
            </w:pPr>
            <w:r>
              <w:rPr>
                <w:rFonts w:ascii="Times New Roman" w:cs="Times New Roman" w:eastAsia="Times New Roman" w:hAnsi="Times New Roman"/>
                <w:sz w:val="13"/>
                <w:szCs w:val="13"/>
                <w:color w:val="auto"/>
              </w:rPr>
              <w:t>than the amount of the withdrawal and may even terminate the benefit.</w:t>
            </w:r>
          </w:p>
        </w:tc>
        <w:tc>
          <w:tcPr>
            <w:tcW w:w="1320" w:type="dxa"/>
            <w:vAlign w:val="bottom"/>
            <w:tcBorders>
              <w:bottom w:val="single" w:sz="8" w:color="auto"/>
              <w:right w:val="single" w:sz="8" w:color="auto"/>
            </w:tcBorders>
            <w:gridSpan w:val="5"/>
          </w:tcPr>
          <w:p>
            <w:pPr>
              <w:spacing w:after="0"/>
              <w:rPr>
                <w:sz w:val="20"/>
                <w:szCs w:val="20"/>
                <w:color w:val="auto"/>
              </w:rPr>
            </w:pPr>
            <w:r>
              <w:rPr>
                <w:rFonts w:ascii="Times New Roman" w:cs="Times New Roman" w:eastAsia="Times New Roman" w:hAnsi="Times New Roman"/>
                <w:sz w:val="13"/>
                <w:szCs w:val="13"/>
                <w:b w:val="1"/>
                <w:bCs w:val="1"/>
                <w:color w:val="auto"/>
              </w:rPr>
              <w:t>LIVING BENEFIT</w:t>
            </w:r>
          </w:p>
        </w:tc>
        <w:tc>
          <w:tcPr>
            <w:tcW w:w="0" w:type="dxa"/>
            <w:vAlign w:val="bottom"/>
          </w:tcPr>
          <w:p>
            <w:pPr>
              <w:spacing w:after="0"/>
              <w:rPr>
                <w:sz w:val="1"/>
                <w:szCs w:val="1"/>
                <w:color w:val="auto"/>
              </w:rPr>
            </w:pPr>
          </w:p>
        </w:tc>
      </w:tr>
      <w:tr>
        <w:trPr>
          <w:trHeight w:val="188"/>
        </w:trPr>
        <w:tc>
          <w:tcPr>
            <w:tcW w:w="820" w:type="dxa"/>
            <w:vAlign w:val="bottom"/>
            <w:tcBorders>
              <w:left w:val="single" w:sz="8" w:color="auto"/>
              <w:bottom w:val="single" w:sz="8" w:color="auto"/>
            </w:tcBorders>
            <w:shd w:val="clear" w:color="auto" w:fill="F0FFFF"/>
          </w:tcPr>
          <w:p>
            <w:pPr>
              <w:spacing w:after="0"/>
              <w:rPr>
                <w:sz w:val="16"/>
                <w:szCs w:val="16"/>
                <w:color w:val="auto"/>
              </w:rPr>
            </w:pPr>
          </w:p>
        </w:tc>
        <w:tc>
          <w:tcPr>
            <w:tcW w:w="120" w:type="dxa"/>
            <w:vAlign w:val="bottom"/>
            <w:tcBorders>
              <w:bottom w:val="single" w:sz="8" w:color="auto"/>
            </w:tcBorders>
            <w:shd w:val="clear" w:color="auto" w:fill="F0FFFF"/>
          </w:tcPr>
          <w:p>
            <w:pPr>
              <w:spacing w:after="0"/>
              <w:rPr>
                <w:sz w:val="16"/>
                <w:szCs w:val="16"/>
                <w:color w:val="auto"/>
              </w:rPr>
            </w:pPr>
          </w:p>
        </w:tc>
        <w:tc>
          <w:tcPr>
            <w:tcW w:w="480" w:type="dxa"/>
            <w:vAlign w:val="bottom"/>
            <w:tcBorders>
              <w:bottom w:val="single" w:sz="8" w:color="auto"/>
            </w:tcBorders>
            <w:shd w:val="clear" w:color="auto" w:fill="F0FFFF"/>
          </w:tcPr>
          <w:p>
            <w:pPr>
              <w:spacing w:after="0"/>
              <w:rPr>
                <w:sz w:val="16"/>
                <w:szCs w:val="16"/>
                <w:color w:val="auto"/>
              </w:rPr>
            </w:pPr>
          </w:p>
        </w:tc>
        <w:tc>
          <w:tcPr>
            <w:tcW w:w="20" w:type="dxa"/>
            <w:vAlign w:val="bottom"/>
            <w:tcBorders>
              <w:bottom w:val="single" w:sz="8" w:color="auto"/>
            </w:tcBorders>
            <w:shd w:val="clear" w:color="auto" w:fill="F0FFFF"/>
          </w:tcPr>
          <w:p>
            <w:pPr>
              <w:spacing w:after="0"/>
              <w:rPr>
                <w:sz w:val="16"/>
                <w:szCs w:val="16"/>
                <w:color w:val="auto"/>
              </w:rPr>
            </w:pPr>
          </w:p>
        </w:tc>
        <w:tc>
          <w:tcPr>
            <w:tcW w:w="100" w:type="dxa"/>
            <w:vAlign w:val="bottom"/>
            <w:tcBorders>
              <w:bottom w:val="single" w:sz="8" w:color="auto"/>
              <w:right w:val="single" w:sz="8" w:color="F0FFFF"/>
            </w:tcBorders>
            <w:shd w:val="clear" w:color="auto" w:fill="F0FFFF"/>
          </w:tcPr>
          <w:p>
            <w:pPr>
              <w:spacing w:after="0"/>
              <w:rPr>
                <w:sz w:val="16"/>
                <w:szCs w:val="16"/>
                <w:color w:val="auto"/>
              </w:rPr>
            </w:pPr>
          </w:p>
        </w:tc>
        <w:tc>
          <w:tcPr>
            <w:tcW w:w="180" w:type="dxa"/>
            <w:vAlign w:val="bottom"/>
            <w:tcBorders>
              <w:bottom w:val="single" w:sz="8" w:color="auto"/>
            </w:tcBorders>
            <w:shd w:val="clear" w:color="auto" w:fill="F0FFFF"/>
          </w:tcPr>
          <w:p>
            <w:pPr>
              <w:spacing w:after="0"/>
              <w:rPr>
                <w:sz w:val="16"/>
                <w:szCs w:val="16"/>
                <w:color w:val="auto"/>
              </w:rPr>
            </w:pPr>
          </w:p>
        </w:tc>
        <w:tc>
          <w:tcPr>
            <w:tcW w:w="340" w:type="dxa"/>
            <w:vAlign w:val="bottom"/>
            <w:tcBorders>
              <w:bottom w:val="single" w:sz="8" w:color="auto"/>
              <w:right w:val="single" w:sz="8" w:color="F0FFFF"/>
            </w:tcBorders>
            <w:shd w:val="clear" w:color="auto" w:fill="F0FFFF"/>
          </w:tcPr>
          <w:p>
            <w:pPr>
              <w:spacing w:after="0"/>
              <w:rPr>
                <w:sz w:val="16"/>
                <w:szCs w:val="16"/>
                <w:color w:val="auto"/>
              </w:rPr>
            </w:pPr>
          </w:p>
        </w:tc>
        <w:tc>
          <w:tcPr>
            <w:tcW w:w="280" w:type="dxa"/>
            <w:vAlign w:val="bottom"/>
            <w:tcBorders>
              <w:bottom w:val="single" w:sz="8" w:color="auto"/>
            </w:tcBorders>
            <w:shd w:val="clear" w:color="auto" w:fill="F0FFFF"/>
          </w:tcPr>
          <w:p>
            <w:pPr>
              <w:spacing w:after="0"/>
              <w:rPr>
                <w:sz w:val="16"/>
                <w:szCs w:val="16"/>
                <w:color w:val="auto"/>
              </w:rPr>
            </w:pPr>
          </w:p>
        </w:tc>
        <w:tc>
          <w:tcPr>
            <w:tcW w:w="400" w:type="dxa"/>
            <w:vAlign w:val="bottom"/>
            <w:tcBorders>
              <w:bottom w:val="single" w:sz="8" w:color="auto"/>
              <w:right w:val="single" w:sz="8" w:color="F0FFFF"/>
            </w:tcBorders>
            <w:shd w:val="clear" w:color="auto" w:fill="F0FFFF"/>
          </w:tcPr>
          <w:p>
            <w:pPr>
              <w:spacing w:after="0"/>
              <w:rPr>
                <w:sz w:val="16"/>
                <w:szCs w:val="16"/>
                <w:color w:val="auto"/>
              </w:rPr>
            </w:pPr>
          </w:p>
        </w:tc>
        <w:tc>
          <w:tcPr>
            <w:tcW w:w="180" w:type="dxa"/>
            <w:vAlign w:val="bottom"/>
            <w:tcBorders>
              <w:bottom w:val="single" w:sz="8" w:color="auto"/>
              <w:right w:val="single" w:sz="8" w:color="F0FFFF"/>
            </w:tcBorders>
            <w:shd w:val="clear" w:color="auto" w:fill="F0FFFF"/>
          </w:tcPr>
          <w:p>
            <w:pPr>
              <w:spacing w:after="0"/>
              <w:rPr>
                <w:sz w:val="16"/>
                <w:szCs w:val="16"/>
                <w:color w:val="auto"/>
              </w:rPr>
            </w:pPr>
          </w:p>
        </w:tc>
        <w:tc>
          <w:tcPr>
            <w:tcW w:w="440" w:type="dxa"/>
            <w:vAlign w:val="bottom"/>
            <w:tcBorders>
              <w:bottom w:val="single" w:sz="8" w:color="auto"/>
              <w:right w:val="single" w:sz="8" w:color="F0FFFF"/>
            </w:tcBorders>
            <w:shd w:val="clear" w:color="auto" w:fill="F0FFFF"/>
          </w:tcPr>
          <w:p>
            <w:pPr>
              <w:spacing w:after="0"/>
              <w:rPr>
                <w:sz w:val="16"/>
                <w:szCs w:val="16"/>
                <w:color w:val="auto"/>
              </w:rPr>
            </w:pPr>
          </w:p>
        </w:tc>
        <w:tc>
          <w:tcPr>
            <w:tcW w:w="120" w:type="dxa"/>
            <w:vAlign w:val="bottom"/>
            <w:tcBorders>
              <w:bottom w:val="single" w:sz="8" w:color="auto"/>
              <w:right w:val="single" w:sz="8" w:color="F0FFFF"/>
            </w:tcBorders>
            <w:shd w:val="clear" w:color="auto" w:fill="F0FFFF"/>
          </w:tcPr>
          <w:p>
            <w:pPr>
              <w:spacing w:after="0"/>
              <w:rPr>
                <w:sz w:val="16"/>
                <w:szCs w:val="16"/>
                <w:color w:val="auto"/>
              </w:rPr>
            </w:pPr>
          </w:p>
        </w:tc>
        <w:tc>
          <w:tcPr>
            <w:tcW w:w="2500" w:type="dxa"/>
            <w:vAlign w:val="bottom"/>
            <w:tcBorders>
              <w:bottom w:val="single" w:sz="8" w:color="auto"/>
              <w:right w:val="single" w:sz="8" w:color="auto"/>
            </w:tcBorders>
            <w:gridSpan w:val="15"/>
            <w:shd w:val="clear" w:color="auto" w:fill="F0FFFF"/>
          </w:tcPr>
          <w:p>
            <w:pPr>
              <w:jc w:val="center"/>
              <w:ind w:right="2040"/>
              <w:spacing w:after="0"/>
              <w:rPr>
                <w:sz w:val="20"/>
                <w:szCs w:val="20"/>
                <w:color w:val="auto"/>
              </w:rPr>
            </w:pPr>
            <w:r>
              <w:rPr>
                <w:rFonts w:ascii="Times New Roman" w:cs="Times New Roman" w:eastAsia="Times New Roman" w:hAnsi="Times New Roman"/>
                <w:sz w:val="13"/>
                <w:szCs w:val="13"/>
                <w:b w:val="1"/>
                <w:bCs w:val="1"/>
                <w:color w:val="auto"/>
                <w:w w:val="92"/>
              </w:rPr>
              <w:t>Taxes</w:t>
            </w:r>
          </w:p>
        </w:tc>
        <w:tc>
          <w:tcPr>
            <w:tcW w:w="320" w:type="dxa"/>
            <w:vAlign w:val="bottom"/>
            <w:tcBorders>
              <w:bottom w:val="single" w:sz="8" w:color="auto"/>
            </w:tcBorders>
            <w:shd w:val="clear" w:color="auto" w:fill="F0FFFF"/>
          </w:tcPr>
          <w:p>
            <w:pPr>
              <w:spacing w:after="0"/>
              <w:rPr>
                <w:sz w:val="16"/>
                <w:szCs w:val="16"/>
                <w:color w:val="auto"/>
              </w:rPr>
            </w:pPr>
          </w:p>
        </w:tc>
        <w:tc>
          <w:tcPr>
            <w:tcW w:w="500" w:type="dxa"/>
            <w:vAlign w:val="bottom"/>
            <w:tcBorders>
              <w:bottom w:val="single" w:sz="8" w:color="auto"/>
              <w:right w:val="single" w:sz="8" w:color="F0FFFF"/>
            </w:tcBorders>
            <w:shd w:val="clear" w:color="auto" w:fill="F0FFFF"/>
          </w:tcPr>
          <w:p>
            <w:pPr>
              <w:spacing w:after="0"/>
              <w:rPr>
                <w:sz w:val="16"/>
                <w:szCs w:val="16"/>
                <w:color w:val="auto"/>
              </w:rPr>
            </w:pPr>
          </w:p>
        </w:tc>
        <w:tc>
          <w:tcPr>
            <w:tcW w:w="240" w:type="dxa"/>
            <w:vAlign w:val="bottom"/>
            <w:tcBorders>
              <w:bottom w:val="single" w:sz="8" w:color="auto"/>
            </w:tcBorders>
            <w:shd w:val="clear" w:color="auto" w:fill="F0FFFF"/>
          </w:tcPr>
          <w:p>
            <w:pPr>
              <w:spacing w:after="0"/>
              <w:rPr>
                <w:sz w:val="16"/>
                <w:szCs w:val="16"/>
                <w:color w:val="auto"/>
              </w:rPr>
            </w:pPr>
          </w:p>
        </w:tc>
        <w:tc>
          <w:tcPr>
            <w:tcW w:w="80" w:type="dxa"/>
            <w:vAlign w:val="bottom"/>
            <w:tcBorders>
              <w:bottom w:val="single" w:sz="8" w:color="auto"/>
            </w:tcBorders>
            <w:shd w:val="clear" w:color="auto" w:fill="F0FFFF"/>
          </w:tcPr>
          <w:p>
            <w:pPr>
              <w:spacing w:after="0"/>
              <w:rPr>
                <w:sz w:val="16"/>
                <w:szCs w:val="16"/>
                <w:color w:val="auto"/>
              </w:rPr>
            </w:pPr>
          </w:p>
        </w:tc>
        <w:tc>
          <w:tcPr>
            <w:tcW w:w="180" w:type="dxa"/>
            <w:vAlign w:val="bottom"/>
            <w:tcBorders>
              <w:bottom w:val="single" w:sz="8" w:color="auto"/>
              <w:right w:val="single" w:sz="8" w:color="auto"/>
            </w:tcBorders>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540" w:type="dxa"/>
            <w:vAlign w:val="bottom"/>
            <w:tcBorders>
              <w:left w:val="single" w:sz="8" w:color="auto"/>
              <w:right w:val="single" w:sz="8" w:color="auto"/>
            </w:tcBorders>
            <w:gridSpan w:val="5"/>
          </w:tcPr>
          <w:p>
            <w:pPr>
              <w:ind w:left="60"/>
              <w:spacing w:after="0" w:line="149" w:lineRule="exact"/>
              <w:rPr>
                <w:sz w:val="20"/>
                <w:szCs w:val="20"/>
                <w:color w:val="auto"/>
              </w:rPr>
            </w:pPr>
            <w:r>
              <w:rPr>
                <w:rFonts w:ascii="Times New Roman" w:cs="Times New Roman" w:eastAsia="Times New Roman" w:hAnsi="Times New Roman"/>
                <w:sz w:val="13"/>
                <w:szCs w:val="13"/>
                <w:b w:val="1"/>
                <w:bCs w:val="1"/>
                <w:color w:val="auto"/>
              </w:rPr>
              <w:t>What are the Contract’s</w:t>
            </w:r>
          </w:p>
        </w:tc>
        <w:tc>
          <w:tcPr>
            <w:tcW w:w="4440" w:type="dxa"/>
            <w:vAlign w:val="bottom"/>
            <w:tcBorders>
              <w:right w:val="single" w:sz="8" w:color="auto"/>
            </w:tcBorders>
            <w:gridSpan w:val="22"/>
          </w:tcPr>
          <w:p>
            <w:pPr>
              <w:ind w:left="60"/>
              <w:spacing w:after="0" w:line="149" w:lineRule="exact"/>
              <w:rPr>
                <w:sz w:val="20"/>
                <w:szCs w:val="20"/>
                <w:color w:val="auto"/>
              </w:rPr>
            </w:pPr>
            <w:r>
              <w:rPr>
                <w:rFonts w:ascii="Times New Roman" w:cs="Times New Roman" w:eastAsia="Times New Roman" w:hAnsi="Times New Roman"/>
                <w:sz w:val="13"/>
                <w:szCs w:val="13"/>
                <w:color w:val="auto"/>
              </w:rPr>
              <w:t>You should consult with a tax professional to determine the tax implications of</w:t>
            </w:r>
          </w:p>
        </w:tc>
        <w:tc>
          <w:tcPr>
            <w:tcW w:w="1320" w:type="dxa"/>
            <w:vAlign w:val="bottom"/>
            <w:tcBorders>
              <w:right w:val="single" w:sz="8" w:color="auto"/>
            </w:tcBorders>
            <w:gridSpan w:val="5"/>
          </w:tcPr>
          <w:p>
            <w:pPr>
              <w:spacing w:after="0" w:line="149" w:lineRule="exact"/>
              <w:rPr>
                <w:sz w:val="20"/>
                <w:szCs w:val="20"/>
                <w:color w:val="auto"/>
              </w:rPr>
            </w:pPr>
            <w:r>
              <w:rPr>
                <w:rFonts w:ascii="Times New Roman" w:cs="Times New Roman" w:eastAsia="Times New Roman" w:hAnsi="Times New Roman"/>
                <w:sz w:val="13"/>
                <w:szCs w:val="13"/>
                <w:b w:val="1"/>
                <w:bCs w:val="1"/>
                <w:color w:val="auto"/>
              </w:rPr>
              <w:t>PRINCIPAL RISKS</w:t>
            </w:r>
          </w:p>
        </w:tc>
        <w:tc>
          <w:tcPr>
            <w:tcW w:w="0" w:type="dxa"/>
            <w:vAlign w:val="bottom"/>
          </w:tcPr>
          <w:p>
            <w:pPr>
              <w:spacing w:after="0"/>
              <w:rPr>
                <w:sz w:val="1"/>
                <w:szCs w:val="1"/>
                <w:color w:val="auto"/>
              </w:rPr>
            </w:pPr>
          </w:p>
        </w:tc>
      </w:tr>
      <w:tr>
        <w:trPr>
          <w:trHeight w:val="20"/>
        </w:trPr>
        <w:tc>
          <w:tcPr>
            <w:tcW w:w="820" w:type="dxa"/>
            <w:vAlign w:val="bottom"/>
            <w:tcBorders>
              <w:left w:val="single" w:sz="8" w:color="auto"/>
            </w:tcBorders>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gridSpan w:val="2"/>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320" w:type="dxa"/>
            <w:vAlign w:val="bottom"/>
            <w:tcBorders>
              <w:right w:val="single" w:sz="8" w:color="auto"/>
            </w:tcBorders>
            <w:gridSpan w:val="5"/>
            <w:vMerge w:val="restart"/>
          </w:tcPr>
          <w:p>
            <w:pPr>
              <w:spacing w:after="0"/>
              <w:rPr>
                <w:sz w:val="20"/>
                <w:szCs w:val="20"/>
                <w:color w:val="auto"/>
              </w:rPr>
            </w:pPr>
            <w:r>
              <w:rPr>
                <w:rFonts w:ascii="Times New Roman" w:cs="Times New Roman" w:eastAsia="Times New Roman" w:hAnsi="Times New Roman"/>
                <w:sz w:val="13"/>
                <w:szCs w:val="13"/>
                <w:b w:val="1"/>
                <w:bCs w:val="1"/>
                <w:color w:val="auto"/>
              </w:rPr>
              <w:t>OF INVESTING IN</w:t>
            </w:r>
          </w:p>
        </w:tc>
        <w:tc>
          <w:tcPr>
            <w:tcW w:w="0" w:type="dxa"/>
            <w:vAlign w:val="bottom"/>
          </w:tcPr>
          <w:p>
            <w:pPr>
              <w:spacing w:after="0" w:line="20" w:lineRule="exact"/>
              <w:rPr>
                <w:sz w:val="1"/>
                <w:szCs w:val="1"/>
                <w:color w:val="auto"/>
              </w:rPr>
            </w:pPr>
          </w:p>
        </w:tc>
      </w:tr>
      <w:tr>
        <w:trPr>
          <w:trHeight w:val="139"/>
        </w:trPr>
        <w:tc>
          <w:tcPr>
            <w:tcW w:w="1540" w:type="dxa"/>
            <w:vAlign w:val="bottom"/>
            <w:tcBorders>
              <w:left w:val="single" w:sz="8" w:color="auto"/>
              <w:right w:val="single" w:sz="8" w:color="auto"/>
            </w:tcBorders>
            <w:gridSpan w:val="5"/>
          </w:tcPr>
          <w:p>
            <w:pPr>
              <w:ind w:left="60"/>
              <w:spacing w:after="0" w:line="139" w:lineRule="exact"/>
              <w:rPr>
                <w:sz w:val="20"/>
                <w:szCs w:val="20"/>
                <w:color w:val="auto"/>
              </w:rPr>
            </w:pPr>
            <w:r>
              <w:rPr>
                <w:rFonts w:ascii="Times New Roman" w:cs="Times New Roman" w:eastAsia="Times New Roman" w:hAnsi="Times New Roman"/>
                <w:sz w:val="13"/>
                <w:szCs w:val="13"/>
                <w:b w:val="1"/>
                <w:bCs w:val="1"/>
                <w:color w:val="auto"/>
              </w:rPr>
              <w:t>Tax Implications?</w:t>
            </w:r>
          </w:p>
        </w:tc>
        <w:tc>
          <w:tcPr>
            <w:tcW w:w="4440" w:type="dxa"/>
            <w:vAlign w:val="bottom"/>
            <w:tcBorders>
              <w:right w:val="single" w:sz="8" w:color="auto"/>
            </w:tcBorders>
            <w:gridSpan w:val="22"/>
          </w:tcPr>
          <w:p>
            <w:pPr>
              <w:ind w:left="60"/>
              <w:spacing w:after="0" w:line="139" w:lineRule="exact"/>
              <w:rPr>
                <w:sz w:val="20"/>
                <w:szCs w:val="20"/>
                <w:color w:val="auto"/>
              </w:rPr>
            </w:pPr>
            <w:r>
              <w:rPr>
                <w:rFonts w:ascii="Times New Roman" w:cs="Times New Roman" w:eastAsia="Times New Roman" w:hAnsi="Times New Roman"/>
                <w:sz w:val="13"/>
                <w:szCs w:val="13"/>
                <w:color w:val="auto"/>
              </w:rPr>
              <w:t>an investment in and Purchase Payments received under the Contract. There</w:t>
            </w:r>
          </w:p>
        </w:tc>
        <w:tc>
          <w:tcPr>
            <w:tcW w:w="1320" w:type="dxa"/>
            <w:vAlign w:val="bottom"/>
            <w:tcBorders>
              <w:right w:val="single" w:sz="8" w:color="auto"/>
            </w:tcBorders>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020" w:type="dxa"/>
            <w:vAlign w:val="bottom"/>
            <w:tcBorders>
              <w:right w:val="single" w:sz="8" w:color="auto"/>
            </w:tcBorders>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auto"/>
            </w:tcBorders>
            <w:gridSpan w:val="4"/>
          </w:tcPr>
          <w:p>
            <w:pPr>
              <w:spacing w:after="0" w:line="20" w:lineRule="exact"/>
              <w:rPr>
                <w:sz w:val="1"/>
                <w:szCs w:val="1"/>
                <w:color w:val="auto"/>
              </w:rPr>
            </w:pPr>
          </w:p>
        </w:tc>
        <w:tc>
          <w:tcPr>
            <w:tcW w:w="40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320" w:type="dxa"/>
            <w:vAlign w:val="bottom"/>
            <w:tcBorders>
              <w:right w:val="single" w:sz="8" w:color="auto"/>
            </w:tcBorders>
            <w:gridSpan w:val="5"/>
            <w:vMerge w:val="restart"/>
          </w:tcPr>
          <w:p>
            <w:pPr>
              <w:spacing w:after="0"/>
              <w:rPr>
                <w:sz w:val="20"/>
                <w:szCs w:val="20"/>
                <w:color w:val="auto"/>
              </w:rPr>
            </w:pPr>
            <w:r>
              <w:rPr>
                <w:rFonts w:ascii="Times New Roman" w:cs="Times New Roman" w:eastAsia="Times New Roman" w:hAnsi="Times New Roman"/>
                <w:sz w:val="13"/>
                <w:szCs w:val="13"/>
                <w:b w:val="1"/>
                <w:bCs w:val="1"/>
                <w:color w:val="auto"/>
              </w:rPr>
              <w:t>THE CONTRACT</w:t>
            </w:r>
          </w:p>
        </w:tc>
        <w:tc>
          <w:tcPr>
            <w:tcW w:w="0" w:type="dxa"/>
            <w:vAlign w:val="bottom"/>
          </w:tcPr>
          <w:p>
            <w:pPr>
              <w:spacing w:after="0" w:line="20" w:lineRule="exact"/>
              <w:rPr>
                <w:sz w:val="1"/>
                <w:szCs w:val="1"/>
                <w:color w:val="auto"/>
              </w:rPr>
            </w:pPr>
          </w:p>
        </w:tc>
      </w:tr>
      <w:tr>
        <w:trPr>
          <w:trHeight w:val="139"/>
        </w:trPr>
        <w:tc>
          <w:tcPr>
            <w:tcW w:w="82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440" w:type="dxa"/>
            <w:vAlign w:val="bottom"/>
            <w:tcBorders>
              <w:right w:val="single" w:sz="8" w:color="auto"/>
            </w:tcBorders>
            <w:gridSpan w:val="22"/>
          </w:tcPr>
          <w:p>
            <w:pPr>
              <w:ind w:left="60"/>
              <w:spacing w:after="0" w:line="139" w:lineRule="exact"/>
              <w:rPr>
                <w:sz w:val="20"/>
                <w:szCs w:val="20"/>
                <w:color w:val="auto"/>
              </w:rPr>
            </w:pPr>
            <w:r>
              <w:rPr>
                <w:rFonts w:ascii="Times New Roman" w:cs="Times New Roman" w:eastAsia="Times New Roman" w:hAnsi="Times New Roman"/>
                <w:sz w:val="13"/>
                <w:szCs w:val="13"/>
                <w:color w:val="auto"/>
              </w:rPr>
              <w:t>is no additional tax benefit to you if the Contract is purchased through a</w:t>
            </w:r>
          </w:p>
        </w:tc>
        <w:tc>
          <w:tcPr>
            <w:tcW w:w="1320" w:type="dxa"/>
            <w:vAlign w:val="bottom"/>
            <w:tcBorders>
              <w:right w:val="single" w:sz="8" w:color="auto"/>
            </w:tcBorders>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220" w:type="dxa"/>
            <w:vAlign w:val="bottom"/>
            <w:tcBorders>
              <w:right w:val="single" w:sz="8" w:color="auto"/>
            </w:tcBorders>
            <w:gridSpan w:val="8"/>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 </w:t>
            </w: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tcBorders>
              <w:right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2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440" w:type="dxa"/>
            <w:vAlign w:val="bottom"/>
            <w:tcBorders>
              <w:right w:val="single" w:sz="8" w:color="auto"/>
            </w:tcBorders>
            <w:gridSpan w:val="22"/>
          </w:tcPr>
          <w:p>
            <w:pPr>
              <w:ind w:left="60"/>
              <w:spacing w:after="0" w:line="144" w:lineRule="exact"/>
              <w:rPr>
                <w:sz w:val="20"/>
                <w:szCs w:val="20"/>
                <w:color w:val="auto"/>
              </w:rPr>
            </w:pPr>
            <w:r>
              <w:rPr>
                <w:rFonts w:ascii="Times New Roman" w:cs="Times New Roman" w:eastAsia="Times New Roman" w:hAnsi="Times New Roman"/>
                <w:sz w:val="13"/>
                <w:szCs w:val="13"/>
                <w:color w:val="auto"/>
              </w:rPr>
              <w:t>tax-qualified plan or individual retirement account (IRA). Withdrawals will be</w:t>
            </w:r>
          </w:p>
        </w:tc>
        <w:tc>
          <w:tcPr>
            <w:tcW w:w="32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1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820" w:type="dxa"/>
            <w:vAlign w:val="bottom"/>
            <w:tcBorders>
              <w:lef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440" w:type="dxa"/>
            <w:vAlign w:val="bottom"/>
            <w:tcBorders>
              <w:right w:val="single" w:sz="8" w:color="auto"/>
            </w:tcBorders>
            <w:gridSpan w:val="22"/>
          </w:tcPr>
          <w:p>
            <w:pPr>
              <w:ind w:left="60"/>
              <w:spacing w:after="0"/>
              <w:rPr>
                <w:sz w:val="20"/>
                <w:szCs w:val="20"/>
                <w:color w:val="auto"/>
              </w:rPr>
            </w:pPr>
            <w:r>
              <w:rPr>
                <w:rFonts w:ascii="Times New Roman" w:cs="Times New Roman" w:eastAsia="Times New Roman" w:hAnsi="Times New Roman"/>
                <w:sz w:val="13"/>
                <w:szCs w:val="13"/>
                <w:color w:val="auto"/>
              </w:rPr>
              <w:t>subject to ordinary income tax and may be subject to tax penalties.</w:t>
            </w:r>
          </w:p>
        </w:tc>
        <w:tc>
          <w:tcPr>
            <w:tcW w:w="132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3"/>
                <w:szCs w:val="13"/>
                <w:b w:val="1"/>
                <w:bCs w:val="1"/>
                <w:color w:val="auto"/>
              </w:rPr>
              <w:t>FEDERAL TAX</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1320" w:type="dxa"/>
            <w:vAlign w:val="bottom"/>
            <w:tcBorders>
              <w:bottom w:val="single" w:sz="8" w:color="auto"/>
              <w:right w:val="single" w:sz="8" w:color="auto"/>
            </w:tcBorders>
            <w:gridSpan w:val="5"/>
          </w:tcPr>
          <w:p>
            <w:pPr>
              <w:spacing w:after="0"/>
              <w:rPr>
                <w:sz w:val="20"/>
                <w:szCs w:val="20"/>
                <w:color w:val="auto"/>
              </w:rPr>
            </w:pPr>
            <w:r>
              <w:rPr>
                <w:rFonts w:ascii="Times New Roman" w:cs="Times New Roman" w:eastAsia="Times New Roman" w:hAnsi="Times New Roman"/>
                <w:sz w:val="13"/>
                <w:szCs w:val="13"/>
                <w:b w:val="1"/>
                <w:bCs w:val="1"/>
                <w:color w:val="auto"/>
              </w:rPr>
              <w:t>CONSIDERATIONS</w:t>
            </w:r>
          </w:p>
        </w:tc>
        <w:tc>
          <w:tcPr>
            <w:tcW w:w="0" w:type="dxa"/>
            <w:vAlign w:val="bottom"/>
          </w:tcPr>
          <w:p>
            <w:pPr>
              <w:spacing w:after="0"/>
              <w:rPr>
                <w:sz w:val="1"/>
                <w:szCs w:val="1"/>
                <w:color w:val="auto"/>
              </w:rPr>
            </w:pPr>
          </w:p>
        </w:tc>
      </w:tr>
      <w:tr>
        <w:trPr>
          <w:trHeight w:val="188"/>
        </w:trPr>
        <w:tc>
          <w:tcPr>
            <w:tcW w:w="820" w:type="dxa"/>
            <w:vAlign w:val="bottom"/>
            <w:tcBorders>
              <w:left w:val="single" w:sz="8" w:color="auto"/>
              <w:bottom w:val="single" w:sz="8" w:color="auto"/>
            </w:tcBorders>
            <w:shd w:val="clear" w:color="auto" w:fill="F0FFFF"/>
          </w:tcPr>
          <w:p>
            <w:pPr>
              <w:spacing w:after="0"/>
              <w:rPr>
                <w:sz w:val="16"/>
                <w:szCs w:val="16"/>
                <w:color w:val="auto"/>
              </w:rPr>
            </w:pPr>
          </w:p>
        </w:tc>
        <w:tc>
          <w:tcPr>
            <w:tcW w:w="120" w:type="dxa"/>
            <w:vAlign w:val="bottom"/>
            <w:tcBorders>
              <w:bottom w:val="single" w:sz="8" w:color="auto"/>
            </w:tcBorders>
            <w:shd w:val="clear" w:color="auto" w:fill="F0FFFF"/>
          </w:tcPr>
          <w:p>
            <w:pPr>
              <w:spacing w:after="0"/>
              <w:rPr>
                <w:sz w:val="16"/>
                <w:szCs w:val="16"/>
                <w:color w:val="auto"/>
              </w:rPr>
            </w:pPr>
          </w:p>
        </w:tc>
        <w:tc>
          <w:tcPr>
            <w:tcW w:w="480" w:type="dxa"/>
            <w:vAlign w:val="bottom"/>
            <w:tcBorders>
              <w:bottom w:val="single" w:sz="8" w:color="auto"/>
            </w:tcBorders>
            <w:shd w:val="clear" w:color="auto" w:fill="F0FFFF"/>
          </w:tcPr>
          <w:p>
            <w:pPr>
              <w:spacing w:after="0"/>
              <w:rPr>
                <w:sz w:val="16"/>
                <w:szCs w:val="16"/>
                <w:color w:val="auto"/>
              </w:rPr>
            </w:pPr>
          </w:p>
        </w:tc>
        <w:tc>
          <w:tcPr>
            <w:tcW w:w="20" w:type="dxa"/>
            <w:vAlign w:val="bottom"/>
            <w:tcBorders>
              <w:bottom w:val="single" w:sz="8" w:color="auto"/>
            </w:tcBorders>
            <w:shd w:val="clear" w:color="auto" w:fill="F0FFFF"/>
          </w:tcPr>
          <w:p>
            <w:pPr>
              <w:spacing w:after="0"/>
              <w:rPr>
                <w:sz w:val="16"/>
                <w:szCs w:val="16"/>
                <w:color w:val="auto"/>
              </w:rPr>
            </w:pPr>
          </w:p>
        </w:tc>
        <w:tc>
          <w:tcPr>
            <w:tcW w:w="100" w:type="dxa"/>
            <w:vAlign w:val="bottom"/>
            <w:tcBorders>
              <w:bottom w:val="single" w:sz="8" w:color="auto"/>
              <w:right w:val="single" w:sz="8" w:color="F0FFFF"/>
            </w:tcBorders>
            <w:shd w:val="clear" w:color="auto" w:fill="F0FFFF"/>
          </w:tcPr>
          <w:p>
            <w:pPr>
              <w:spacing w:after="0"/>
              <w:rPr>
                <w:sz w:val="16"/>
                <w:szCs w:val="16"/>
                <w:color w:val="auto"/>
              </w:rPr>
            </w:pPr>
          </w:p>
        </w:tc>
        <w:tc>
          <w:tcPr>
            <w:tcW w:w="180" w:type="dxa"/>
            <w:vAlign w:val="bottom"/>
            <w:tcBorders>
              <w:bottom w:val="single" w:sz="8" w:color="auto"/>
            </w:tcBorders>
            <w:shd w:val="clear" w:color="auto" w:fill="F0FFFF"/>
          </w:tcPr>
          <w:p>
            <w:pPr>
              <w:spacing w:after="0"/>
              <w:rPr>
                <w:sz w:val="16"/>
                <w:szCs w:val="16"/>
                <w:color w:val="auto"/>
              </w:rPr>
            </w:pPr>
          </w:p>
        </w:tc>
        <w:tc>
          <w:tcPr>
            <w:tcW w:w="340" w:type="dxa"/>
            <w:vAlign w:val="bottom"/>
            <w:tcBorders>
              <w:bottom w:val="single" w:sz="8" w:color="auto"/>
              <w:right w:val="single" w:sz="8" w:color="F0FFFF"/>
            </w:tcBorders>
            <w:shd w:val="clear" w:color="auto" w:fill="F0FFFF"/>
          </w:tcPr>
          <w:p>
            <w:pPr>
              <w:spacing w:after="0"/>
              <w:rPr>
                <w:sz w:val="16"/>
                <w:szCs w:val="16"/>
                <w:color w:val="auto"/>
              </w:rPr>
            </w:pPr>
          </w:p>
        </w:tc>
        <w:tc>
          <w:tcPr>
            <w:tcW w:w="280" w:type="dxa"/>
            <w:vAlign w:val="bottom"/>
            <w:tcBorders>
              <w:bottom w:val="single" w:sz="8" w:color="auto"/>
            </w:tcBorders>
            <w:shd w:val="clear" w:color="auto" w:fill="F0FFFF"/>
          </w:tcPr>
          <w:p>
            <w:pPr>
              <w:spacing w:after="0"/>
              <w:rPr>
                <w:sz w:val="16"/>
                <w:szCs w:val="16"/>
                <w:color w:val="auto"/>
              </w:rPr>
            </w:pPr>
          </w:p>
        </w:tc>
        <w:tc>
          <w:tcPr>
            <w:tcW w:w="400" w:type="dxa"/>
            <w:vAlign w:val="bottom"/>
            <w:tcBorders>
              <w:bottom w:val="single" w:sz="8" w:color="auto"/>
              <w:right w:val="single" w:sz="8" w:color="F0FFFF"/>
            </w:tcBorders>
            <w:shd w:val="clear" w:color="auto" w:fill="F0FFFF"/>
          </w:tcPr>
          <w:p>
            <w:pPr>
              <w:spacing w:after="0"/>
              <w:rPr>
                <w:sz w:val="16"/>
                <w:szCs w:val="16"/>
                <w:color w:val="auto"/>
              </w:rPr>
            </w:pPr>
          </w:p>
        </w:tc>
        <w:tc>
          <w:tcPr>
            <w:tcW w:w="180" w:type="dxa"/>
            <w:vAlign w:val="bottom"/>
            <w:tcBorders>
              <w:bottom w:val="single" w:sz="8" w:color="auto"/>
              <w:right w:val="single" w:sz="8" w:color="F0FFFF"/>
            </w:tcBorders>
            <w:shd w:val="clear" w:color="auto" w:fill="F0FFFF"/>
          </w:tcPr>
          <w:p>
            <w:pPr>
              <w:spacing w:after="0"/>
              <w:rPr>
                <w:sz w:val="16"/>
                <w:szCs w:val="16"/>
                <w:color w:val="auto"/>
              </w:rPr>
            </w:pPr>
          </w:p>
        </w:tc>
        <w:tc>
          <w:tcPr>
            <w:tcW w:w="440" w:type="dxa"/>
            <w:vAlign w:val="bottom"/>
            <w:tcBorders>
              <w:bottom w:val="single" w:sz="8" w:color="auto"/>
              <w:right w:val="single" w:sz="8" w:color="F0FFFF"/>
            </w:tcBorders>
            <w:shd w:val="clear" w:color="auto" w:fill="F0FFFF"/>
          </w:tcPr>
          <w:p>
            <w:pPr>
              <w:spacing w:after="0"/>
              <w:rPr>
                <w:sz w:val="16"/>
                <w:szCs w:val="16"/>
                <w:color w:val="auto"/>
              </w:rPr>
            </w:pPr>
          </w:p>
        </w:tc>
        <w:tc>
          <w:tcPr>
            <w:tcW w:w="2620" w:type="dxa"/>
            <w:vAlign w:val="bottom"/>
            <w:tcBorders>
              <w:bottom w:val="single" w:sz="8" w:color="auto"/>
              <w:right w:val="single" w:sz="8" w:color="auto"/>
            </w:tcBorders>
            <w:gridSpan w:val="16"/>
            <w:shd w:val="clear" w:color="auto" w:fill="F0FFFF"/>
          </w:tcPr>
          <w:p>
            <w:pPr>
              <w:jc w:val="center"/>
              <w:ind w:right="1700"/>
              <w:spacing w:after="0"/>
              <w:rPr>
                <w:sz w:val="20"/>
                <w:szCs w:val="20"/>
                <w:color w:val="auto"/>
              </w:rPr>
            </w:pPr>
            <w:r>
              <w:rPr>
                <w:rFonts w:ascii="Times New Roman" w:cs="Times New Roman" w:eastAsia="Times New Roman" w:hAnsi="Times New Roman"/>
                <w:sz w:val="13"/>
                <w:szCs w:val="13"/>
                <w:b w:val="1"/>
                <w:bCs w:val="1"/>
                <w:color w:val="auto"/>
                <w:w w:val="83"/>
              </w:rPr>
              <w:t>Conflicts of Interest</w:t>
            </w:r>
          </w:p>
        </w:tc>
        <w:tc>
          <w:tcPr>
            <w:tcW w:w="320" w:type="dxa"/>
            <w:vAlign w:val="bottom"/>
            <w:tcBorders>
              <w:bottom w:val="single" w:sz="8" w:color="auto"/>
            </w:tcBorders>
            <w:shd w:val="clear" w:color="auto" w:fill="F0FFFF"/>
          </w:tcPr>
          <w:p>
            <w:pPr>
              <w:spacing w:after="0"/>
              <w:rPr>
                <w:sz w:val="16"/>
                <w:szCs w:val="16"/>
                <w:color w:val="auto"/>
              </w:rPr>
            </w:pPr>
          </w:p>
        </w:tc>
        <w:tc>
          <w:tcPr>
            <w:tcW w:w="500" w:type="dxa"/>
            <w:vAlign w:val="bottom"/>
            <w:tcBorders>
              <w:bottom w:val="single" w:sz="8" w:color="auto"/>
              <w:right w:val="single" w:sz="8" w:color="F0FFFF"/>
            </w:tcBorders>
            <w:shd w:val="clear" w:color="auto" w:fill="F0FFFF"/>
          </w:tcPr>
          <w:p>
            <w:pPr>
              <w:spacing w:after="0"/>
              <w:rPr>
                <w:sz w:val="16"/>
                <w:szCs w:val="16"/>
                <w:color w:val="auto"/>
              </w:rPr>
            </w:pPr>
          </w:p>
        </w:tc>
        <w:tc>
          <w:tcPr>
            <w:tcW w:w="240" w:type="dxa"/>
            <w:vAlign w:val="bottom"/>
            <w:tcBorders>
              <w:bottom w:val="single" w:sz="8" w:color="auto"/>
            </w:tcBorders>
            <w:shd w:val="clear" w:color="auto" w:fill="F0FFFF"/>
          </w:tcPr>
          <w:p>
            <w:pPr>
              <w:spacing w:after="0"/>
              <w:rPr>
                <w:sz w:val="16"/>
                <w:szCs w:val="16"/>
                <w:color w:val="auto"/>
              </w:rPr>
            </w:pPr>
          </w:p>
        </w:tc>
        <w:tc>
          <w:tcPr>
            <w:tcW w:w="80" w:type="dxa"/>
            <w:vAlign w:val="bottom"/>
            <w:tcBorders>
              <w:bottom w:val="single" w:sz="8" w:color="auto"/>
            </w:tcBorders>
            <w:shd w:val="clear" w:color="auto" w:fill="F0FFFF"/>
          </w:tcPr>
          <w:p>
            <w:pPr>
              <w:spacing w:after="0"/>
              <w:rPr>
                <w:sz w:val="16"/>
                <w:szCs w:val="16"/>
                <w:color w:val="auto"/>
              </w:rPr>
            </w:pPr>
          </w:p>
        </w:tc>
        <w:tc>
          <w:tcPr>
            <w:tcW w:w="180" w:type="dxa"/>
            <w:vAlign w:val="bottom"/>
            <w:tcBorders>
              <w:bottom w:val="single" w:sz="8" w:color="auto"/>
              <w:right w:val="single" w:sz="8" w:color="auto"/>
            </w:tcBorders>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540" w:type="dxa"/>
            <w:vAlign w:val="bottom"/>
            <w:tcBorders>
              <w:left w:val="single" w:sz="8" w:color="auto"/>
              <w:right w:val="single" w:sz="8" w:color="auto"/>
            </w:tcBorders>
            <w:gridSpan w:val="5"/>
          </w:tcPr>
          <w:p>
            <w:pPr>
              <w:ind w:left="60"/>
              <w:spacing w:after="0" w:line="149" w:lineRule="exact"/>
              <w:rPr>
                <w:sz w:val="20"/>
                <w:szCs w:val="20"/>
                <w:color w:val="auto"/>
              </w:rPr>
            </w:pPr>
            <w:r>
              <w:rPr>
                <w:rFonts w:ascii="Times New Roman" w:cs="Times New Roman" w:eastAsia="Times New Roman" w:hAnsi="Times New Roman"/>
                <w:sz w:val="13"/>
                <w:szCs w:val="13"/>
                <w:b w:val="1"/>
                <w:bCs w:val="1"/>
                <w:color w:val="auto"/>
              </w:rPr>
              <w:t>How are Financial</w:t>
            </w:r>
          </w:p>
        </w:tc>
        <w:tc>
          <w:tcPr>
            <w:tcW w:w="4440" w:type="dxa"/>
            <w:vAlign w:val="bottom"/>
            <w:tcBorders>
              <w:right w:val="single" w:sz="8" w:color="auto"/>
            </w:tcBorders>
            <w:gridSpan w:val="22"/>
          </w:tcPr>
          <w:p>
            <w:pPr>
              <w:ind w:left="60"/>
              <w:spacing w:after="0" w:line="149" w:lineRule="exact"/>
              <w:rPr>
                <w:sz w:val="20"/>
                <w:szCs w:val="20"/>
                <w:color w:val="auto"/>
              </w:rPr>
            </w:pPr>
            <w:r>
              <w:rPr>
                <w:rFonts w:ascii="Times New Roman" w:cs="Times New Roman" w:eastAsia="Times New Roman" w:hAnsi="Times New Roman"/>
                <w:sz w:val="13"/>
                <w:szCs w:val="13"/>
                <w:color w:val="auto"/>
              </w:rPr>
              <w:t>Your financial professional may receive compensation for selling this Contract</w:t>
            </w:r>
          </w:p>
        </w:tc>
        <w:tc>
          <w:tcPr>
            <w:tcW w:w="1320" w:type="dxa"/>
            <w:vAlign w:val="bottom"/>
            <w:tcBorders>
              <w:right w:val="single" w:sz="8" w:color="auto"/>
            </w:tcBorders>
            <w:gridSpan w:val="5"/>
          </w:tcPr>
          <w:p>
            <w:pPr>
              <w:spacing w:after="0" w:line="149" w:lineRule="exact"/>
              <w:rPr>
                <w:sz w:val="20"/>
                <w:szCs w:val="20"/>
                <w:color w:val="auto"/>
              </w:rPr>
            </w:pPr>
            <w:r>
              <w:rPr>
                <w:rFonts w:ascii="Times New Roman" w:cs="Times New Roman" w:eastAsia="Times New Roman" w:hAnsi="Times New Roman"/>
                <w:sz w:val="13"/>
                <w:szCs w:val="13"/>
                <w:b w:val="1"/>
                <w:bCs w:val="1"/>
                <w:color w:val="auto"/>
              </w:rPr>
              <w:t>DISTRIBUTION OF</w:t>
            </w:r>
          </w:p>
        </w:tc>
        <w:tc>
          <w:tcPr>
            <w:tcW w:w="0" w:type="dxa"/>
            <w:vAlign w:val="bottom"/>
          </w:tcPr>
          <w:p>
            <w:pPr>
              <w:spacing w:after="0"/>
              <w:rPr>
                <w:sz w:val="1"/>
                <w:szCs w:val="1"/>
                <w:color w:val="auto"/>
              </w:rPr>
            </w:pPr>
          </w:p>
        </w:tc>
      </w:tr>
      <w:tr>
        <w:trPr>
          <w:trHeight w:val="20"/>
        </w:trPr>
        <w:tc>
          <w:tcPr>
            <w:tcW w:w="1540" w:type="dxa"/>
            <w:vAlign w:val="bottom"/>
            <w:tcBorders>
              <w:left w:val="single" w:sz="8" w:color="auto"/>
              <w:right w:val="single" w:sz="8" w:color="auto"/>
            </w:tcBorders>
            <w:gridSpan w:val="5"/>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Professionals</w:t>
            </w:r>
          </w:p>
        </w:tc>
        <w:tc>
          <w:tcPr>
            <w:tcW w:w="2300" w:type="dxa"/>
            <w:vAlign w:val="bottom"/>
            <w:gridSpan w:val="9"/>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320" w:type="dxa"/>
            <w:vAlign w:val="bottom"/>
            <w:tcBorders>
              <w:right w:val="single" w:sz="8" w:color="auto"/>
            </w:tcBorders>
            <w:gridSpan w:val="5"/>
            <w:vMerge w:val="restart"/>
          </w:tcPr>
          <w:p>
            <w:pPr>
              <w:spacing w:after="0"/>
              <w:rPr>
                <w:sz w:val="20"/>
                <w:szCs w:val="20"/>
                <w:color w:val="auto"/>
              </w:rPr>
            </w:pPr>
            <w:r>
              <w:rPr>
                <w:rFonts w:ascii="Times New Roman" w:cs="Times New Roman" w:eastAsia="Times New Roman" w:hAnsi="Times New Roman"/>
                <w:sz w:val="13"/>
                <w:szCs w:val="13"/>
                <w:b w:val="1"/>
                <w:bCs w:val="1"/>
                <w:color w:val="auto"/>
              </w:rPr>
              <w:t>THE CONTRACTS</w:t>
            </w:r>
          </w:p>
        </w:tc>
        <w:tc>
          <w:tcPr>
            <w:tcW w:w="0" w:type="dxa"/>
            <w:vAlign w:val="bottom"/>
          </w:tcPr>
          <w:p>
            <w:pPr>
              <w:spacing w:after="0" w:line="20" w:lineRule="exact"/>
              <w:rPr>
                <w:sz w:val="1"/>
                <w:szCs w:val="1"/>
                <w:color w:val="auto"/>
              </w:rPr>
            </w:pPr>
          </w:p>
        </w:tc>
      </w:tr>
      <w:tr>
        <w:trPr>
          <w:trHeight w:val="139"/>
        </w:trPr>
        <w:tc>
          <w:tcPr>
            <w:tcW w:w="1540" w:type="dxa"/>
            <w:vAlign w:val="bottom"/>
            <w:tcBorders>
              <w:left w:val="single" w:sz="8" w:color="auto"/>
              <w:right w:val="single" w:sz="8" w:color="auto"/>
            </w:tcBorders>
            <w:gridSpan w:val="5"/>
            <w:vMerge w:val="continue"/>
          </w:tcPr>
          <w:p>
            <w:pPr>
              <w:spacing w:after="0"/>
              <w:rPr>
                <w:sz w:val="12"/>
                <w:szCs w:val="12"/>
                <w:color w:val="auto"/>
              </w:rPr>
            </w:pPr>
          </w:p>
        </w:tc>
        <w:tc>
          <w:tcPr>
            <w:tcW w:w="4440" w:type="dxa"/>
            <w:vAlign w:val="bottom"/>
            <w:tcBorders>
              <w:right w:val="single" w:sz="8" w:color="auto"/>
            </w:tcBorders>
            <w:gridSpan w:val="22"/>
          </w:tcPr>
          <w:p>
            <w:pPr>
              <w:ind w:left="60"/>
              <w:spacing w:after="0" w:line="139" w:lineRule="exact"/>
              <w:rPr>
                <w:sz w:val="20"/>
                <w:szCs w:val="20"/>
                <w:color w:val="auto"/>
              </w:rPr>
            </w:pPr>
            <w:r>
              <w:rPr>
                <w:rFonts w:ascii="Times New Roman" w:cs="Times New Roman" w:eastAsia="Times New Roman" w:hAnsi="Times New Roman"/>
                <w:sz w:val="13"/>
                <w:szCs w:val="13"/>
                <w:color w:val="auto"/>
              </w:rPr>
              <w:t>to you in the form of commissions, additional cash benefits (e.g., bonuses),</w:t>
            </w:r>
          </w:p>
        </w:tc>
        <w:tc>
          <w:tcPr>
            <w:tcW w:w="1320" w:type="dxa"/>
            <w:vAlign w:val="bottom"/>
            <w:tcBorders>
              <w:right w:val="single" w:sz="8" w:color="auto"/>
            </w:tcBorders>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540" w:type="dxa"/>
            <w:vAlign w:val="bottom"/>
            <w:tcBorders>
              <w:left w:val="single" w:sz="8" w:color="auto"/>
              <w:right w:val="single" w:sz="8" w:color="auto"/>
            </w:tcBorders>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Compensated?</w:t>
            </w:r>
          </w:p>
        </w:tc>
        <w:tc>
          <w:tcPr>
            <w:tcW w:w="4440" w:type="dxa"/>
            <w:vAlign w:val="bottom"/>
            <w:tcBorders>
              <w:right w:val="single" w:sz="8" w:color="auto"/>
            </w:tcBorders>
            <w:gridSpan w:val="22"/>
          </w:tcPr>
          <w:p>
            <w:pPr>
              <w:ind w:left="60"/>
              <w:spacing w:after="0"/>
              <w:rPr>
                <w:sz w:val="20"/>
                <w:szCs w:val="20"/>
                <w:color w:val="auto"/>
              </w:rPr>
            </w:pPr>
            <w:r>
              <w:rPr>
                <w:rFonts w:ascii="Times New Roman" w:cs="Times New Roman" w:eastAsia="Times New Roman" w:hAnsi="Times New Roman"/>
                <w:sz w:val="13"/>
                <w:szCs w:val="13"/>
                <w:color w:val="auto"/>
              </w:rPr>
              <w:t>and non-cash compensation. This conflict of interest may influence your</w:t>
            </w:r>
          </w:p>
        </w:tc>
        <w:tc>
          <w:tcPr>
            <w:tcW w:w="32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2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440" w:type="dxa"/>
            <w:vAlign w:val="bottom"/>
            <w:tcBorders>
              <w:right w:val="single" w:sz="8" w:color="auto"/>
            </w:tcBorders>
            <w:gridSpan w:val="22"/>
          </w:tcPr>
          <w:p>
            <w:pPr>
              <w:ind w:left="60"/>
              <w:spacing w:after="0" w:line="142" w:lineRule="exact"/>
              <w:rPr>
                <w:sz w:val="20"/>
                <w:szCs w:val="20"/>
                <w:color w:val="auto"/>
              </w:rPr>
            </w:pPr>
            <w:r>
              <w:rPr>
                <w:rFonts w:ascii="Times New Roman" w:cs="Times New Roman" w:eastAsia="Times New Roman" w:hAnsi="Times New Roman"/>
                <w:sz w:val="13"/>
                <w:szCs w:val="13"/>
                <w:color w:val="auto"/>
              </w:rPr>
              <w:t>financial professional to recommend this Contract over another investment for</w:t>
            </w: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300" w:type="dxa"/>
            <w:vAlign w:val="bottom"/>
            <w:tcBorders>
              <w:right w:val="single" w:sz="8" w:color="auto"/>
            </w:tcBorders>
            <w:gridSpan w:val="9"/>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Borders>
              <w:right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20" w:type="dxa"/>
            <w:vAlign w:val="bottom"/>
            <w:tcBorders>
              <w:left w:val="single" w:sz="8" w:color="auto"/>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4440" w:type="dxa"/>
            <w:vAlign w:val="bottom"/>
            <w:tcBorders>
              <w:bottom w:val="single" w:sz="8" w:color="auto"/>
              <w:right w:val="single" w:sz="8" w:color="auto"/>
            </w:tcBorders>
            <w:gridSpan w:val="22"/>
          </w:tcPr>
          <w:p>
            <w:pPr>
              <w:ind w:left="60"/>
              <w:spacing w:after="0"/>
              <w:rPr>
                <w:sz w:val="20"/>
                <w:szCs w:val="20"/>
                <w:color w:val="auto"/>
              </w:rPr>
            </w:pPr>
            <w:r>
              <w:rPr>
                <w:rFonts w:ascii="Times New Roman" w:cs="Times New Roman" w:eastAsia="Times New Roman" w:hAnsi="Times New Roman"/>
                <w:sz w:val="13"/>
                <w:szCs w:val="13"/>
                <w:color w:val="auto"/>
              </w:rPr>
              <w:t>which the financial professional is not compensated or compensated less.</w:t>
            </w:r>
          </w:p>
        </w:tc>
        <w:tc>
          <w:tcPr>
            <w:tcW w:w="3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540" w:type="dxa"/>
            <w:vAlign w:val="bottom"/>
            <w:tcBorders>
              <w:left w:val="single" w:sz="8" w:color="auto"/>
              <w:right w:val="single" w:sz="8" w:color="auto"/>
            </w:tcBorders>
            <w:gridSpan w:val="5"/>
            <w:shd w:val="clear" w:color="auto" w:fill="F0FFFF"/>
          </w:tcPr>
          <w:p>
            <w:pPr>
              <w:ind w:left="60"/>
              <w:spacing w:after="0" w:line="144" w:lineRule="exact"/>
              <w:rPr>
                <w:sz w:val="20"/>
                <w:szCs w:val="20"/>
                <w:color w:val="auto"/>
              </w:rPr>
            </w:pPr>
            <w:r>
              <w:rPr>
                <w:rFonts w:ascii="Times New Roman" w:cs="Times New Roman" w:eastAsia="Times New Roman" w:hAnsi="Times New Roman"/>
                <w:sz w:val="13"/>
                <w:szCs w:val="13"/>
                <w:b w:val="1"/>
                <w:bCs w:val="1"/>
                <w:color w:val="auto"/>
              </w:rPr>
              <w:t>Should I Exchange My</w:t>
            </w:r>
          </w:p>
        </w:tc>
        <w:tc>
          <w:tcPr>
            <w:tcW w:w="4440" w:type="dxa"/>
            <w:vAlign w:val="bottom"/>
            <w:tcBorders>
              <w:right w:val="single" w:sz="8" w:color="auto"/>
            </w:tcBorders>
            <w:gridSpan w:val="22"/>
            <w:shd w:val="clear" w:color="auto" w:fill="F0FFFF"/>
          </w:tcPr>
          <w:p>
            <w:pPr>
              <w:ind w:left="60"/>
              <w:spacing w:after="0" w:line="144" w:lineRule="exact"/>
              <w:rPr>
                <w:sz w:val="20"/>
                <w:szCs w:val="20"/>
                <w:color w:val="auto"/>
              </w:rPr>
            </w:pPr>
            <w:r>
              <w:rPr>
                <w:rFonts w:ascii="Times New Roman" w:cs="Times New Roman" w:eastAsia="Times New Roman" w:hAnsi="Times New Roman"/>
                <w:sz w:val="13"/>
                <w:szCs w:val="13"/>
                <w:color w:val="auto"/>
              </w:rPr>
              <w:t>If you already own an insurance contract, some financial professionals may</w:t>
            </w:r>
          </w:p>
        </w:tc>
        <w:tc>
          <w:tcPr>
            <w:tcW w:w="1320" w:type="dxa"/>
            <w:vAlign w:val="bottom"/>
            <w:tcBorders>
              <w:right w:val="single" w:sz="8" w:color="auto"/>
            </w:tcBorders>
            <w:gridSpan w:val="5"/>
            <w:shd w:val="clear" w:color="auto" w:fill="F0FFFF"/>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THE ANNUITY</w:t>
            </w:r>
          </w:p>
        </w:tc>
        <w:tc>
          <w:tcPr>
            <w:tcW w:w="0" w:type="dxa"/>
            <w:vAlign w:val="bottom"/>
          </w:tcPr>
          <w:p>
            <w:pPr>
              <w:spacing w:after="0"/>
              <w:rPr>
                <w:sz w:val="1"/>
                <w:szCs w:val="1"/>
                <w:color w:val="auto"/>
              </w:rPr>
            </w:pPr>
          </w:p>
        </w:tc>
      </w:tr>
      <w:tr>
        <w:trPr>
          <w:trHeight w:val="144"/>
        </w:trPr>
        <w:tc>
          <w:tcPr>
            <w:tcW w:w="1540" w:type="dxa"/>
            <w:vAlign w:val="bottom"/>
            <w:tcBorders>
              <w:left w:val="single" w:sz="8" w:color="auto"/>
              <w:right w:val="single" w:sz="8" w:color="auto"/>
            </w:tcBorders>
            <w:gridSpan w:val="5"/>
            <w:shd w:val="clear" w:color="auto" w:fill="F0FFFF"/>
          </w:tcPr>
          <w:p>
            <w:pPr>
              <w:ind w:left="60"/>
              <w:spacing w:after="0" w:line="144" w:lineRule="exact"/>
              <w:rPr>
                <w:sz w:val="20"/>
                <w:szCs w:val="20"/>
                <w:color w:val="auto"/>
              </w:rPr>
            </w:pPr>
            <w:r>
              <w:rPr>
                <w:rFonts w:ascii="Times New Roman" w:cs="Times New Roman" w:eastAsia="Times New Roman" w:hAnsi="Times New Roman"/>
                <w:sz w:val="13"/>
                <w:szCs w:val="13"/>
                <w:b w:val="1"/>
                <w:bCs w:val="1"/>
                <w:color w:val="auto"/>
              </w:rPr>
              <w:t>Contract?</w:t>
            </w:r>
          </w:p>
        </w:tc>
        <w:tc>
          <w:tcPr>
            <w:tcW w:w="4440" w:type="dxa"/>
            <w:vAlign w:val="bottom"/>
            <w:tcBorders>
              <w:right w:val="single" w:sz="8" w:color="auto"/>
            </w:tcBorders>
            <w:gridSpan w:val="22"/>
            <w:shd w:val="clear" w:color="auto" w:fill="F0FFFF"/>
          </w:tcPr>
          <w:p>
            <w:pPr>
              <w:ind w:left="60"/>
              <w:spacing w:after="0" w:line="144" w:lineRule="exact"/>
              <w:rPr>
                <w:sz w:val="20"/>
                <w:szCs w:val="20"/>
                <w:color w:val="auto"/>
              </w:rPr>
            </w:pPr>
            <w:r>
              <w:rPr>
                <w:rFonts w:ascii="Times New Roman" w:cs="Times New Roman" w:eastAsia="Times New Roman" w:hAnsi="Times New Roman"/>
                <w:sz w:val="13"/>
                <w:szCs w:val="13"/>
                <w:color w:val="auto"/>
              </w:rPr>
              <w:t>have a financial incentive to offer you a new contract in place of the one you</w:t>
            </w:r>
          </w:p>
        </w:tc>
        <w:tc>
          <w:tcPr>
            <w:tcW w:w="1320" w:type="dxa"/>
            <w:vAlign w:val="bottom"/>
            <w:tcBorders>
              <w:right w:val="single" w:sz="8" w:color="auto"/>
            </w:tcBorders>
            <w:gridSpan w:val="5"/>
            <w:shd w:val="clear" w:color="auto" w:fill="F0FFFF"/>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CONTRACT –</w:t>
            </w:r>
          </w:p>
        </w:tc>
        <w:tc>
          <w:tcPr>
            <w:tcW w:w="0" w:type="dxa"/>
            <w:vAlign w:val="bottom"/>
          </w:tcPr>
          <w:p>
            <w:pPr>
              <w:spacing w:after="0"/>
              <w:rPr>
                <w:sz w:val="1"/>
                <w:szCs w:val="1"/>
                <w:color w:val="auto"/>
              </w:rPr>
            </w:pPr>
          </w:p>
        </w:tc>
      </w:tr>
      <w:tr>
        <w:trPr>
          <w:trHeight w:val="20"/>
        </w:trPr>
        <w:tc>
          <w:tcPr>
            <w:tcW w:w="820" w:type="dxa"/>
            <w:vAlign w:val="bottom"/>
            <w:tcBorders>
              <w:left w:val="single" w:sz="8" w:color="auto"/>
            </w:tcBorders>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48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100" w:type="dxa"/>
            <w:vAlign w:val="bottom"/>
            <w:tcBorders>
              <w:right w:val="single" w:sz="8" w:color="auto"/>
            </w:tcBorders>
            <w:shd w:val="clear" w:color="auto" w:fill="F0FFFF"/>
          </w:tcPr>
          <w:p>
            <w:pPr>
              <w:spacing w:after="0" w:line="20" w:lineRule="exact"/>
              <w:rPr>
                <w:sz w:val="1"/>
                <w:szCs w:val="1"/>
                <w:color w:val="auto"/>
              </w:rPr>
            </w:pPr>
          </w:p>
        </w:tc>
        <w:tc>
          <w:tcPr>
            <w:tcW w:w="4440" w:type="dxa"/>
            <w:vAlign w:val="bottom"/>
            <w:tcBorders>
              <w:right w:val="single" w:sz="8" w:color="auto"/>
            </w:tcBorders>
            <w:gridSpan w:val="22"/>
            <w:vMerge w:val="restart"/>
            <w:shd w:val="clear" w:color="auto" w:fill="F0FFFF"/>
          </w:tcPr>
          <w:p>
            <w:pPr>
              <w:ind w:left="60"/>
              <w:spacing w:after="0" w:line="144" w:lineRule="exact"/>
              <w:rPr>
                <w:sz w:val="20"/>
                <w:szCs w:val="20"/>
                <w:color w:val="auto"/>
              </w:rPr>
            </w:pPr>
            <w:r>
              <w:rPr>
                <w:rFonts w:ascii="Times New Roman" w:cs="Times New Roman" w:eastAsia="Times New Roman" w:hAnsi="Times New Roman"/>
                <w:sz w:val="13"/>
                <w:szCs w:val="13"/>
                <w:color w:val="auto"/>
              </w:rPr>
              <w:t>already own. You should only exchange your contract if you determine, after</w:t>
            </w:r>
          </w:p>
        </w:tc>
        <w:tc>
          <w:tcPr>
            <w:tcW w:w="820" w:type="dxa"/>
            <w:vAlign w:val="bottom"/>
            <w:tcBorders>
              <w:right w:val="single" w:sz="8" w:color="F0FFFF"/>
            </w:tcBorders>
            <w:gridSpan w:val="2"/>
            <w:shd w:val="clear" w:color="auto" w:fill="000000"/>
          </w:tcPr>
          <w:p>
            <w:pPr>
              <w:spacing w:after="0" w:line="20" w:lineRule="exact"/>
              <w:rPr>
                <w:sz w:val="1"/>
                <w:szCs w:val="1"/>
                <w:color w:val="auto"/>
              </w:rPr>
            </w:pPr>
          </w:p>
        </w:tc>
        <w:tc>
          <w:tcPr>
            <w:tcW w:w="500" w:type="dxa"/>
            <w:vAlign w:val="bottom"/>
            <w:tcBorders>
              <w:right w:val="single" w:sz="8" w:color="auto"/>
            </w:tcBorders>
            <w:gridSpan w:val="3"/>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820" w:type="dxa"/>
            <w:vAlign w:val="bottom"/>
            <w:tcBorders>
              <w:left w:val="single" w:sz="8" w:color="auto"/>
            </w:tcBorders>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480" w:type="dxa"/>
            <w:vAlign w:val="bottom"/>
            <w:shd w:val="clear" w:color="auto" w:fill="F0FFFF"/>
          </w:tcPr>
          <w:p>
            <w:pPr>
              <w:spacing w:after="0"/>
              <w:rPr>
                <w:sz w:val="10"/>
                <w:szCs w:val="10"/>
                <w:color w:val="auto"/>
              </w:rPr>
            </w:pPr>
          </w:p>
        </w:tc>
        <w:tc>
          <w:tcPr>
            <w:tcW w:w="20" w:type="dxa"/>
            <w:vAlign w:val="bottom"/>
            <w:shd w:val="clear" w:color="auto" w:fill="F0FFFF"/>
          </w:tcPr>
          <w:p>
            <w:pPr>
              <w:spacing w:after="0"/>
              <w:rPr>
                <w:sz w:val="10"/>
                <w:szCs w:val="10"/>
                <w:color w:val="auto"/>
              </w:rPr>
            </w:pPr>
          </w:p>
        </w:tc>
        <w:tc>
          <w:tcPr>
            <w:tcW w:w="100" w:type="dxa"/>
            <w:vAlign w:val="bottom"/>
            <w:tcBorders>
              <w:right w:val="single" w:sz="8" w:color="auto"/>
            </w:tcBorders>
            <w:shd w:val="clear" w:color="auto" w:fill="F0FFFF"/>
          </w:tcPr>
          <w:p>
            <w:pPr>
              <w:spacing w:after="0"/>
              <w:rPr>
                <w:sz w:val="10"/>
                <w:szCs w:val="10"/>
                <w:color w:val="auto"/>
              </w:rPr>
            </w:pPr>
          </w:p>
        </w:tc>
        <w:tc>
          <w:tcPr>
            <w:tcW w:w="4440" w:type="dxa"/>
            <w:vAlign w:val="bottom"/>
            <w:tcBorders>
              <w:right w:val="single" w:sz="8" w:color="auto"/>
            </w:tcBorders>
            <w:gridSpan w:val="22"/>
            <w:vMerge w:val="continue"/>
            <w:shd w:val="clear" w:color="auto" w:fill="F0FFFF"/>
          </w:tcPr>
          <w:p>
            <w:pPr>
              <w:spacing w:after="0"/>
              <w:rPr>
                <w:sz w:val="10"/>
                <w:szCs w:val="10"/>
                <w:color w:val="auto"/>
              </w:rPr>
            </w:pPr>
          </w:p>
        </w:tc>
        <w:tc>
          <w:tcPr>
            <w:tcW w:w="1320" w:type="dxa"/>
            <w:vAlign w:val="bottom"/>
            <w:tcBorders>
              <w:right w:val="single" w:sz="8" w:color="auto"/>
            </w:tcBorders>
            <w:gridSpan w:val="5"/>
            <w:shd w:val="clear" w:color="auto" w:fill="F0FFFF"/>
          </w:tcPr>
          <w:p>
            <w:pPr>
              <w:spacing w:after="0" w:line="124" w:lineRule="exact"/>
              <w:rPr>
                <w:sz w:val="20"/>
                <w:szCs w:val="20"/>
                <w:color w:val="auto"/>
              </w:rPr>
            </w:pPr>
            <w:r>
              <w:rPr>
                <w:rFonts w:ascii="Times New Roman" w:cs="Times New Roman" w:eastAsia="Times New Roman" w:hAnsi="Times New Roman"/>
                <w:sz w:val="13"/>
                <w:szCs w:val="13"/>
                <w:b w:val="1"/>
                <w:bCs w:val="1"/>
                <w:color w:val="auto"/>
              </w:rPr>
              <w:t>REPLACEMENT OF</w:t>
            </w:r>
          </w:p>
        </w:tc>
        <w:tc>
          <w:tcPr>
            <w:tcW w:w="0" w:type="dxa"/>
            <w:vAlign w:val="bottom"/>
          </w:tcPr>
          <w:p>
            <w:pPr>
              <w:spacing w:after="0"/>
              <w:rPr>
                <w:sz w:val="1"/>
                <w:szCs w:val="1"/>
                <w:color w:val="auto"/>
              </w:rPr>
            </w:pPr>
          </w:p>
        </w:tc>
      </w:tr>
      <w:tr>
        <w:trPr>
          <w:trHeight w:val="144"/>
        </w:trPr>
        <w:tc>
          <w:tcPr>
            <w:tcW w:w="820" w:type="dxa"/>
            <w:vAlign w:val="bottom"/>
            <w:tcBorders>
              <w:left w:val="single" w:sz="8" w:color="auto"/>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tcBorders>
              <w:right w:val="single" w:sz="8" w:color="auto"/>
            </w:tcBorders>
            <w:shd w:val="clear" w:color="auto" w:fill="F0FFFF"/>
          </w:tcPr>
          <w:p>
            <w:pPr>
              <w:spacing w:after="0"/>
              <w:rPr>
                <w:sz w:val="12"/>
                <w:szCs w:val="12"/>
                <w:color w:val="auto"/>
              </w:rPr>
            </w:pPr>
          </w:p>
        </w:tc>
        <w:tc>
          <w:tcPr>
            <w:tcW w:w="4440" w:type="dxa"/>
            <w:vAlign w:val="bottom"/>
            <w:tcBorders>
              <w:right w:val="single" w:sz="8" w:color="auto"/>
            </w:tcBorders>
            <w:gridSpan w:val="22"/>
            <w:shd w:val="clear" w:color="auto" w:fill="F0FFFF"/>
          </w:tcPr>
          <w:p>
            <w:pPr>
              <w:ind w:left="60"/>
              <w:spacing w:after="0" w:line="144" w:lineRule="exact"/>
              <w:rPr>
                <w:sz w:val="20"/>
                <w:szCs w:val="20"/>
                <w:color w:val="auto"/>
              </w:rPr>
            </w:pPr>
            <w:r>
              <w:rPr>
                <w:rFonts w:ascii="Times New Roman" w:cs="Times New Roman" w:eastAsia="Times New Roman" w:hAnsi="Times New Roman"/>
                <w:sz w:val="13"/>
                <w:szCs w:val="13"/>
                <w:color w:val="auto"/>
              </w:rPr>
              <w:t>comparing the features, fees, and risks of both contracts, and any fees or</w:t>
            </w:r>
          </w:p>
        </w:tc>
        <w:tc>
          <w:tcPr>
            <w:tcW w:w="1320" w:type="dxa"/>
            <w:vAlign w:val="bottom"/>
            <w:tcBorders>
              <w:right w:val="single" w:sz="8" w:color="auto"/>
            </w:tcBorders>
            <w:gridSpan w:val="5"/>
            <w:shd w:val="clear" w:color="auto" w:fill="F0FFFF"/>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CONTRACTS</w:t>
            </w:r>
          </w:p>
        </w:tc>
        <w:tc>
          <w:tcPr>
            <w:tcW w:w="0" w:type="dxa"/>
            <w:vAlign w:val="bottom"/>
          </w:tcPr>
          <w:p>
            <w:pPr>
              <w:spacing w:after="0"/>
              <w:rPr>
                <w:sz w:val="1"/>
                <w:szCs w:val="1"/>
                <w:color w:val="auto"/>
              </w:rPr>
            </w:pPr>
          </w:p>
        </w:tc>
      </w:tr>
      <w:tr>
        <w:trPr>
          <w:trHeight w:val="126"/>
        </w:trPr>
        <w:tc>
          <w:tcPr>
            <w:tcW w:w="820" w:type="dxa"/>
            <w:vAlign w:val="bottom"/>
            <w:tcBorders>
              <w:top w:val="single" w:sz="8" w:color="F0FFFF"/>
              <w:left w:val="single" w:sz="8" w:color="auto"/>
            </w:tcBorders>
            <w:shd w:val="clear" w:color="auto" w:fill="F0FFFF"/>
          </w:tcPr>
          <w:p>
            <w:pPr>
              <w:spacing w:after="0"/>
              <w:rPr>
                <w:sz w:val="10"/>
                <w:szCs w:val="10"/>
                <w:color w:val="auto"/>
              </w:rPr>
            </w:pPr>
          </w:p>
        </w:tc>
        <w:tc>
          <w:tcPr>
            <w:tcW w:w="120" w:type="dxa"/>
            <w:vAlign w:val="bottom"/>
            <w:tcBorders>
              <w:top w:val="single" w:sz="8" w:color="F0FFFF"/>
            </w:tcBorders>
            <w:shd w:val="clear" w:color="auto" w:fill="F0FFFF"/>
          </w:tcPr>
          <w:p>
            <w:pPr>
              <w:spacing w:after="0"/>
              <w:rPr>
                <w:sz w:val="10"/>
                <w:szCs w:val="10"/>
                <w:color w:val="auto"/>
              </w:rPr>
            </w:pPr>
          </w:p>
        </w:tc>
        <w:tc>
          <w:tcPr>
            <w:tcW w:w="480" w:type="dxa"/>
            <w:vAlign w:val="bottom"/>
            <w:tcBorders>
              <w:top w:val="single" w:sz="8" w:color="F0FFFF"/>
            </w:tcBorders>
            <w:shd w:val="clear" w:color="auto" w:fill="F0FFFF"/>
          </w:tcPr>
          <w:p>
            <w:pPr>
              <w:spacing w:after="0"/>
              <w:rPr>
                <w:sz w:val="10"/>
                <w:szCs w:val="10"/>
                <w:color w:val="auto"/>
              </w:rPr>
            </w:pPr>
          </w:p>
        </w:tc>
        <w:tc>
          <w:tcPr>
            <w:tcW w:w="20" w:type="dxa"/>
            <w:vAlign w:val="bottom"/>
            <w:tcBorders>
              <w:top w:val="single" w:sz="8" w:color="F0FFFF"/>
            </w:tcBorders>
            <w:shd w:val="clear" w:color="auto" w:fill="F0FFFF"/>
          </w:tcPr>
          <w:p>
            <w:pPr>
              <w:spacing w:after="0"/>
              <w:rPr>
                <w:sz w:val="10"/>
                <w:szCs w:val="10"/>
                <w:color w:val="auto"/>
              </w:rPr>
            </w:pPr>
          </w:p>
        </w:tc>
        <w:tc>
          <w:tcPr>
            <w:tcW w:w="100" w:type="dxa"/>
            <w:vAlign w:val="bottom"/>
            <w:tcBorders>
              <w:top w:val="single" w:sz="8" w:color="F0FFFF"/>
              <w:right w:val="single" w:sz="8" w:color="auto"/>
            </w:tcBorders>
            <w:shd w:val="clear" w:color="auto" w:fill="F0FFFF"/>
          </w:tcPr>
          <w:p>
            <w:pPr>
              <w:spacing w:after="0"/>
              <w:rPr>
                <w:sz w:val="10"/>
                <w:szCs w:val="10"/>
                <w:color w:val="auto"/>
              </w:rPr>
            </w:pPr>
          </w:p>
        </w:tc>
        <w:tc>
          <w:tcPr>
            <w:tcW w:w="4440" w:type="dxa"/>
            <w:vAlign w:val="bottom"/>
            <w:tcBorders>
              <w:top w:val="single" w:sz="8" w:color="F0FFFF"/>
              <w:right w:val="single" w:sz="8" w:color="auto"/>
            </w:tcBorders>
            <w:gridSpan w:val="22"/>
            <w:shd w:val="clear" w:color="auto" w:fill="F0FFFF"/>
          </w:tcPr>
          <w:p>
            <w:pPr>
              <w:ind w:left="60"/>
              <w:spacing w:after="0" w:line="126" w:lineRule="exact"/>
              <w:rPr>
                <w:sz w:val="20"/>
                <w:szCs w:val="20"/>
                <w:color w:val="auto"/>
              </w:rPr>
            </w:pPr>
            <w:r>
              <w:rPr>
                <w:rFonts w:ascii="Times New Roman" w:cs="Times New Roman" w:eastAsia="Times New Roman" w:hAnsi="Times New Roman"/>
                <w:sz w:val="13"/>
                <w:szCs w:val="13"/>
                <w:color w:val="auto"/>
              </w:rPr>
              <w:t>penalties to terminate the existing contract, that it is preferable for you to</w:t>
            </w:r>
          </w:p>
        </w:tc>
        <w:tc>
          <w:tcPr>
            <w:tcW w:w="320" w:type="dxa"/>
            <w:vAlign w:val="bottom"/>
            <w:tcBorders>
              <w:top w:val="single" w:sz="8" w:color="auto"/>
            </w:tcBorders>
            <w:shd w:val="clear" w:color="auto" w:fill="F0FFFF"/>
          </w:tcPr>
          <w:p>
            <w:pPr>
              <w:spacing w:after="0"/>
              <w:rPr>
                <w:sz w:val="10"/>
                <w:szCs w:val="10"/>
                <w:color w:val="auto"/>
              </w:rPr>
            </w:pPr>
          </w:p>
        </w:tc>
        <w:tc>
          <w:tcPr>
            <w:tcW w:w="500" w:type="dxa"/>
            <w:vAlign w:val="bottom"/>
            <w:tcBorders>
              <w:top w:val="single" w:sz="8" w:color="auto"/>
              <w:right w:val="single" w:sz="8" w:color="F0FFFF"/>
            </w:tcBorders>
            <w:shd w:val="clear" w:color="auto" w:fill="F0FFFF"/>
          </w:tcPr>
          <w:p>
            <w:pPr>
              <w:spacing w:after="0"/>
              <w:rPr>
                <w:sz w:val="10"/>
                <w:szCs w:val="10"/>
                <w:color w:val="auto"/>
              </w:rPr>
            </w:pPr>
          </w:p>
        </w:tc>
        <w:tc>
          <w:tcPr>
            <w:tcW w:w="240" w:type="dxa"/>
            <w:vAlign w:val="bottom"/>
            <w:tcBorders>
              <w:top w:val="single" w:sz="8" w:color="F0FFFF"/>
            </w:tcBorders>
            <w:shd w:val="clear" w:color="auto" w:fill="F0FFFF"/>
          </w:tcPr>
          <w:p>
            <w:pPr>
              <w:spacing w:after="0"/>
              <w:rPr>
                <w:sz w:val="10"/>
                <w:szCs w:val="10"/>
                <w:color w:val="auto"/>
              </w:rPr>
            </w:pPr>
          </w:p>
        </w:tc>
        <w:tc>
          <w:tcPr>
            <w:tcW w:w="80" w:type="dxa"/>
            <w:vAlign w:val="bottom"/>
            <w:tcBorders>
              <w:top w:val="single" w:sz="8" w:color="F0FFFF"/>
            </w:tcBorders>
            <w:shd w:val="clear" w:color="auto" w:fill="F0FFFF"/>
          </w:tcPr>
          <w:p>
            <w:pPr>
              <w:spacing w:after="0"/>
              <w:rPr>
                <w:sz w:val="10"/>
                <w:szCs w:val="10"/>
                <w:color w:val="auto"/>
              </w:rPr>
            </w:pPr>
          </w:p>
        </w:tc>
        <w:tc>
          <w:tcPr>
            <w:tcW w:w="180" w:type="dxa"/>
            <w:vAlign w:val="bottom"/>
            <w:tcBorders>
              <w:top w:val="single" w:sz="8" w:color="F0FFFF"/>
              <w:right w:val="single" w:sz="8" w:color="auto"/>
            </w:tcBorders>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820" w:type="dxa"/>
            <w:vAlign w:val="bottom"/>
            <w:tcBorders>
              <w:left w:val="single" w:sz="8" w:color="auto"/>
              <w:bottom w:val="single" w:sz="8" w:color="auto"/>
            </w:tcBorders>
            <w:shd w:val="clear" w:color="auto" w:fill="F0FFFF"/>
          </w:tcPr>
          <w:p>
            <w:pPr>
              <w:spacing w:after="0"/>
              <w:rPr>
                <w:sz w:val="16"/>
                <w:szCs w:val="16"/>
                <w:color w:val="auto"/>
              </w:rPr>
            </w:pPr>
          </w:p>
        </w:tc>
        <w:tc>
          <w:tcPr>
            <w:tcW w:w="120" w:type="dxa"/>
            <w:vAlign w:val="bottom"/>
            <w:tcBorders>
              <w:bottom w:val="single" w:sz="8" w:color="auto"/>
            </w:tcBorders>
            <w:shd w:val="clear" w:color="auto" w:fill="F0FFFF"/>
          </w:tcPr>
          <w:p>
            <w:pPr>
              <w:spacing w:after="0"/>
              <w:rPr>
                <w:sz w:val="16"/>
                <w:szCs w:val="16"/>
                <w:color w:val="auto"/>
              </w:rPr>
            </w:pPr>
          </w:p>
        </w:tc>
        <w:tc>
          <w:tcPr>
            <w:tcW w:w="480" w:type="dxa"/>
            <w:vAlign w:val="bottom"/>
            <w:tcBorders>
              <w:bottom w:val="single" w:sz="8" w:color="auto"/>
            </w:tcBorders>
            <w:shd w:val="clear" w:color="auto" w:fill="F0FFFF"/>
          </w:tcPr>
          <w:p>
            <w:pPr>
              <w:spacing w:after="0"/>
              <w:rPr>
                <w:sz w:val="16"/>
                <w:szCs w:val="16"/>
                <w:color w:val="auto"/>
              </w:rPr>
            </w:pPr>
          </w:p>
        </w:tc>
        <w:tc>
          <w:tcPr>
            <w:tcW w:w="20" w:type="dxa"/>
            <w:vAlign w:val="bottom"/>
            <w:tcBorders>
              <w:bottom w:val="single" w:sz="8" w:color="auto"/>
            </w:tcBorders>
            <w:shd w:val="clear" w:color="auto" w:fill="F0FFFF"/>
          </w:tcPr>
          <w:p>
            <w:pPr>
              <w:spacing w:after="0"/>
              <w:rPr>
                <w:sz w:val="16"/>
                <w:szCs w:val="16"/>
                <w:color w:val="auto"/>
              </w:rPr>
            </w:pPr>
          </w:p>
        </w:tc>
        <w:tc>
          <w:tcPr>
            <w:tcW w:w="100" w:type="dxa"/>
            <w:vAlign w:val="bottom"/>
            <w:tcBorders>
              <w:bottom w:val="single" w:sz="8" w:color="auto"/>
              <w:right w:val="single" w:sz="8" w:color="auto"/>
            </w:tcBorders>
            <w:shd w:val="clear" w:color="auto" w:fill="F0FFFF"/>
          </w:tcPr>
          <w:p>
            <w:pPr>
              <w:spacing w:after="0"/>
              <w:rPr>
                <w:sz w:val="16"/>
                <w:szCs w:val="16"/>
                <w:color w:val="auto"/>
              </w:rPr>
            </w:pPr>
          </w:p>
        </w:tc>
        <w:tc>
          <w:tcPr>
            <w:tcW w:w="4440" w:type="dxa"/>
            <w:vAlign w:val="bottom"/>
            <w:tcBorders>
              <w:bottom w:val="single" w:sz="8" w:color="auto"/>
              <w:right w:val="single" w:sz="8" w:color="auto"/>
            </w:tcBorders>
            <w:gridSpan w:val="22"/>
            <w:shd w:val="clear" w:color="auto" w:fill="F0FFFF"/>
          </w:tcPr>
          <w:p>
            <w:pPr>
              <w:ind w:left="60"/>
              <w:spacing w:after="0" w:line="142" w:lineRule="exact"/>
              <w:rPr>
                <w:sz w:val="20"/>
                <w:szCs w:val="20"/>
                <w:color w:val="auto"/>
              </w:rPr>
            </w:pPr>
            <w:r>
              <w:rPr>
                <w:rFonts w:ascii="Times New Roman" w:cs="Times New Roman" w:eastAsia="Times New Roman" w:hAnsi="Times New Roman"/>
                <w:sz w:val="13"/>
                <w:szCs w:val="13"/>
                <w:color w:val="auto"/>
              </w:rPr>
              <w:t>purchase the new contract rather than continue to own the existing Contract.</w:t>
            </w:r>
          </w:p>
        </w:tc>
        <w:tc>
          <w:tcPr>
            <w:tcW w:w="320" w:type="dxa"/>
            <w:vAlign w:val="bottom"/>
            <w:tcBorders>
              <w:bottom w:val="single" w:sz="8" w:color="auto"/>
            </w:tcBorders>
            <w:shd w:val="clear" w:color="auto" w:fill="F0FFFF"/>
          </w:tcPr>
          <w:p>
            <w:pPr>
              <w:spacing w:after="0"/>
              <w:rPr>
                <w:sz w:val="16"/>
                <w:szCs w:val="16"/>
                <w:color w:val="auto"/>
              </w:rPr>
            </w:pPr>
          </w:p>
        </w:tc>
        <w:tc>
          <w:tcPr>
            <w:tcW w:w="500" w:type="dxa"/>
            <w:vAlign w:val="bottom"/>
            <w:tcBorders>
              <w:bottom w:val="single" w:sz="8" w:color="auto"/>
              <w:right w:val="single" w:sz="8" w:color="F0FFFF"/>
            </w:tcBorders>
            <w:shd w:val="clear" w:color="auto" w:fill="F0FFFF"/>
          </w:tcPr>
          <w:p>
            <w:pPr>
              <w:spacing w:after="0"/>
              <w:rPr>
                <w:sz w:val="16"/>
                <w:szCs w:val="16"/>
                <w:color w:val="auto"/>
              </w:rPr>
            </w:pPr>
          </w:p>
        </w:tc>
        <w:tc>
          <w:tcPr>
            <w:tcW w:w="240" w:type="dxa"/>
            <w:vAlign w:val="bottom"/>
            <w:tcBorders>
              <w:bottom w:val="single" w:sz="8" w:color="auto"/>
            </w:tcBorders>
            <w:shd w:val="clear" w:color="auto" w:fill="F0FFFF"/>
          </w:tcPr>
          <w:p>
            <w:pPr>
              <w:spacing w:after="0"/>
              <w:rPr>
                <w:sz w:val="16"/>
                <w:szCs w:val="16"/>
                <w:color w:val="auto"/>
              </w:rPr>
            </w:pPr>
          </w:p>
        </w:tc>
        <w:tc>
          <w:tcPr>
            <w:tcW w:w="80" w:type="dxa"/>
            <w:vAlign w:val="bottom"/>
            <w:tcBorders>
              <w:bottom w:val="single" w:sz="8" w:color="auto"/>
            </w:tcBorders>
            <w:shd w:val="clear" w:color="auto" w:fill="F0FFFF"/>
          </w:tcPr>
          <w:p>
            <w:pPr>
              <w:spacing w:after="0"/>
              <w:rPr>
                <w:sz w:val="16"/>
                <w:szCs w:val="16"/>
                <w:color w:val="auto"/>
              </w:rPr>
            </w:pPr>
          </w:p>
        </w:tc>
        <w:tc>
          <w:tcPr>
            <w:tcW w:w="180" w:type="dxa"/>
            <w:vAlign w:val="bottom"/>
            <w:tcBorders>
              <w:bottom w:val="single" w:sz="8" w:color="auto"/>
              <w:right w:val="single" w:sz="8" w:color="auto"/>
            </w:tcBorders>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665"/>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6"/>
          </w:tcPr>
          <w:p>
            <w:pPr>
              <w:ind w:left="1640"/>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2">
                      <a:extLst>
                        <a:ext uri="{28A0092B-C50C-407E-A947-70E740481C1C}"/>
                      </a:extLst>
                    </a:blip>
                    <a:srcRect/>
                    <a:stretch>
                      <a:fillRect/>
                    </a:stretch>
                  </pic:blipFill>
                  <pic:spPr bwMode="auto">
                    <a:xfrm>
                      <a:off x="0" y="0"/>
                      <a:ext cx="7193915" cy="3810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-5990590</wp:posOffset>
            </wp:positionV>
            <wp:extent cx="4611370" cy="2330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3">
                      <a:extLst>
                        <a:ext uri="{28A0092B-C50C-407E-A947-70E740481C1C}"/>
                      </a:extLst>
                    </a:blip>
                    <a:srcRect/>
                    <a:stretch>
                      <a:fillRect/>
                    </a:stretch>
                  </pic:blipFill>
                  <pic:spPr bwMode="auto">
                    <a:xfrm>
                      <a:off x="0" y="0"/>
                      <a:ext cx="4611370" cy="23304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-3174365</wp:posOffset>
            </wp:positionV>
            <wp:extent cx="4611370" cy="216090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4">
                      <a:extLst>
                        <a:ext uri="{28A0092B-C50C-407E-A947-70E740481C1C}"/>
                      </a:extLst>
                    </a:blip>
                    <a:srcRect/>
                    <a:stretch>
                      <a:fillRect/>
                    </a:stretch>
                  </pic:blipFill>
                  <pic:spPr bwMode="auto">
                    <a:xfrm>
                      <a:off x="0" y="0"/>
                      <a:ext cx="4611370" cy="2160905"/>
                    </a:xfrm>
                    <a:prstGeom prst="rect">
                      <a:avLst/>
                    </a:prstGeom>
                    <a:noFill/>
                  </pic:spPr>
                </pic:pic>
              </a:graphicData>
            </a:graphic>
          </wp:anchor>
        </w:drawing>
      </w:r>
    </w:p>
    <w:p>
      <w:pPr>
        <w:sectPr>
          <w:pgSz w:w="11900" w:h="16838" w:orient="portrait"/>
          <w:cols w:equalWidth="0" w:num="1">
            <w:col w:w="9479"/>
          </w:cols>
          <w:pgMar w:left="980" w:top="1156" w:right="1440" w:bottom="1440" w:gutter="0" w:footer="0" w:header="0"/>
        </w:sectPr>
      </w:pPr>
    </w:p>
    <w:bookmarkStart w:id="145" w:name="page146"/>
    <w:bookmarkEnd w:id="145"/>
    <w:p>
      <w:pPr>
        <w:ind w:left="20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5">
                      <a:extLst>
                        <a:ext uri="{28A0092B-C50C-407E-A947-70E740481C1C}"/>
                      </a:extLst>
                    </a:blip>
                    <a:srcRect/>
                    <a:stretch>
                      <a:fillRect/>
                    </a:stretch>
                  </pic:blipFill>
                  <pic:spPr bwMode="auto">
                    <a:xfrm>
                      <a:off x="0" y="0"/>
                      <a:ext cx="7193915" cy="38100"/>
                    </a:xfrm>
                    <a:prstGeom prst="rect">
                      <a:avLst/>
                    </a:prstGeom>
                    <a:noFill/>
                  </pic:spPr>
                </pic:pic>
              </a:graphicData>
            </a:graphic>
          </wp:anchor>
        </w:drawing>
        <w:t>BENEFITS AVAILABLE UNDER THE CONTRACT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The following table summarizes information about the standard benefits available under the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w:t>
      </w:r>
    </w:p>
    <w:p>
      <w:pPr>
        <w:spacing w:after="0" w:line="116" w:lineRule="exact"/>
        <w:rPr>
          <w:sz w:val="20"/>
          <w:szCs w:val="20"/>
          <w:color w:val="auto"/>
        </w:rPr>
      </w:pPr>
    </w:p>
    <w:tbl>
      <w:tblPr>
        <w:tblLayout w:type="fixed"/>
        <w:tblInd w:w="10" w:type="dxa"/>
        <w:tblCellMar>
          <w:top w:w="0" w:type="dxa"/>
          <w:left w:w="0" w:type="dxa"/>
          <w:bottom w:w="0" w:type="dxa"/>
          <w:right w:w="0" w:type="dxa"/>
        </w:tblCellMar>
      </w:tblPr>
      <w:tr>
        <w:trPr>
          <w:trHeight w:val="179"/>
        </w:trPr>
        <w:tc>
          <w:tcPr>
            <w:tcW w:w="40" w:type="dxa"/>
            <w:vAlign w:val="bottom"/>
            <w:tcBorders>
              <w:top w:val="single" w:sz="8" w:color="auto"/>
              <w:left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 w:type="dxa"/>
            <w:vAlign w:val="bottom"/>
            <w:tcBorders>
              <w:top w:val="single" w:sz="8" w:color="auto"/>
              <w:right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right w:val="single" w:sz="8" w:color="auto"/>
            </w:tcBorders>
          </w:tcPr>
          <w:p>
            <w:pPr>
              <w:spacing w:after="0"/>
              <w:rPr>
                <w:sz w:val="15"/>
                <w:szCs w:val="15"/>
                <w:color w:val="auto"/>
              </w:rPr>
            </w:pPr>
          </w:p>
        </w:tc>
        <w:tc>
          <w:tcPr>
            <w:tcW w:w="1460" w:type="dxa"/>
            <w:vAlign w:val="bottom"/>
            <w:tcBorders>
              <w:top w:val="single" w:sz="8" w:color="auto"/>
              <w:right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780" w:type="dxa"/>
            <w:vAlign w:val="bottom"/>
            <w:tcBorders>
              <w:top w:val="single" w:sz="8" w:color="auto"/>
              <w:right w:val="single" w:sz="8" w:color="auto"/>
            </w:tcBorders>
            <w:gridSpan w:val="14"/>
          </w:tcPr>
          <w:p>
            <w:pPr>
              <w:jc w:val="center"/>
              <w:ind w:right="580"/>
              <w:spacing w:after="0"/>
              <w:rPr>
                <w:sz w:val="20"/>
                <w:szCs w:val="20"/>
                <w:color w:val="auto"/>
              </w:rPr>
            </w:pPr>
            <w:r>
              <w:rPr>
                <w:rFonts w:ascii="Times New Roman" w:cs="Times New Roman" w:eastAsia="Times New Roman" w:hAnsi="Times New Roman"/>
                <w:sz w:val="13"/>
                <w:szCs w:val="13"/>
                <w:b w:val="1"/>
                <w:bCs w:val="1"/>
                <w:color w:val="auto"/>
              </w:rPr>
              <w:t>Brief Description of</w:t>
            </w:r>
          </w:p>
        </w:tc>
        <w:tc>
          <w:tcPr>
            <w:tcW w:w="0" w:type="dxa"/>
            <w:vAlign w:val="bottom"/>
          </w:tcPr>
          <w:p>
            <w:pPr>
              <w:spacing w:after="0"/>
              <w:rPr>
                <w:sz w:val="1"/>
                <w:szCs w:val="1"/>
                <w:color w:val="auto"/>
              </w:rPr>
            </w:pPr>
          </w:p>
        </w:tc>
      </w:tr>
      <w:tr>
        <w:trPr>
          <w:trHeight w:val="184"/>
        </w:trPr>
        <w:tc>
          <w:tcPr>
            <w:tcW w:w="40" w:type="dxa"/>
            <w:vAlign w:val="bottom"/>
            <w:tcBorders>
              <w:left w:val="single" w:sz="8" w:color="auto"/>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Name of Benefit</w:t>
            </w: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80" w:type="dxa"/>
            <w:vAlign w:val="bottom"/>
            <w:tcBorders>
              <w:bottom w:val="single" w:sz="8" w:color="auto"/>
              <w:right w:val="single" w:sz="8" w:color="auto"/>
            </w:tcBorders>
            <w:gridSpan w:val="10"/>
          </w:tcPr>
          <w:p>
            <w:pPr>
              <w:ind w:left="100"/>
              <w:spacing w:after="0"/>
              <w:rPr>
                <w:sz w:val="20"/>
                <w:szCs w:val="20"/>
                <w:color w:val="auto"/>
              </w:rPr>
            </w:pPr>
            <w:r>
              <w:rPr>
                <w:rFonts w:ascii="Times New Roman" w:cs="Times New Roman" w:eastAsia="Times New Roman" w:hAnsi="Times New Roman"/>
                <w:sz w:val="13"/>
                <w:szCs w:val="13"/>
                <w:b w:val="1"/>
                <w:bCs w:val="1"/>
                <w:color w:val="auto"/>
              </w:rPr>
              <w:t>Purpose</w:t>
            </w:r>
          </w:p>
        </w:tc>
        <w:tc>
          <w:tcPr>
            <w:tcW w:w="146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3"/>
                <w:szCs w:val="13"/>
                <w:b w:val="1"/>
                <w:bCs w:val="1"/>
                <w:color w:val="auto"/>
              </w:rPr>
              <w:t>Maximum Fee</w:t>
            </w:r>
          </w:p>
        </w:tc>
        <w:tc>
          <w:tcPr>
            <w:tcW w:w="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00" w:type="dxa"/>
            <w:vAlign w:val="bottom"/>
            <w:tcBorders>
              <w:bottom w:val="single" w:sz="8" w:color="auto"/>
              <w:right w:val="single" w:sz="8" w:color="auto"/>
            </w:tcBorders>
            <w:gridSpan w:val="15"/>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Restrictions/Limitations</w:t>
            </w:r>
          </w:p>
        </w:tc>
        <w:tc>
          <w:tcPr>
            <w:tcW w:w="0" w:type="dxa"/>
            <w:vAlign w:val="bottom"/>
          </w:tcPr>
          <w:p>
            <w:pPr>
              <w:spacing w:after="0"/>
              <w:rPr>
                <w:sz w:val="1"/>
                <w:szCs w:val="1"/>
                <w:color w:val="auto"/>
              </w:rPr>
            </w:pPr>
          </w:p>
        </w:tc>
      </w:tr>
      <w:tr>
        <w:trPr>
          <w:trHeight w:val="148"/>
        </w:trPr>
        <w:tc>
          <w:tcPr>
            <w:tcW w:w="40" w:type="dxa"/>
            <w:vAlign w:val="bottom"/>
            <w:tcBorders>
              <w:left w:val="single" w:sz="8" w:color="auto"/>
            </w:tcBorders>
            <w:shd w:val="clear" w:color="auto" w:fill="F0FFFF"/>
          </w:tcPr>
          <w:p>
            <w:pPr>
              <w:spacing w:after="0"/>
              <w:rPr>
                <w:sz w:val="12"/>
                <w:szCs w:val="12"/>
                <w:color w:val="auto"/>
              </w:rPr>
            </w:pPr>
          </w:p>
        </w:tc>
        <w:tc>
          <w:tcPr>
            <w:tcW w:w="1040" w:type="dxa"/>
            <w:vAlign w:val="bottom"/>
            <w:tcBorders>
              <w:right w:val="single" w:sz="8" w:color="auto"/>
            </w:tcBorders>
            <w:gridSpan w:val="4"/>
            <w:shd w:val="clear" w:color="auto" w:fill="F0FFFF"/>
          </w:tcPr>
          <w:p>
            <w:pPr>
              <w:spacing w:after="0" w:line="149" w:lineRule="exact"/>
              <w:rPr>
                <w:sz w:val="20"/>
                <w:szCs w:val="20"/>
                <w:color w:val="auto"/>
              </w:rPr>
            </w:pPr>
            <w:r>
              <w:rPr>
                <w:rFonts w:ascii="Times New Roman" w:cs="Times New Roman" w:eastAsia="Times New Roman" w:hAnsi="Times New Roman"/>
                <w:sz w:val="13"/>
                <w:szCs w:val="13"/>
                <w:b w:val="1"/>
                <w:bCs w:val="1"/>
                <w:color w:val="auto"/>
              </w:rPr>
              <w:t>Account Value</w:t>
            </w:r>
          </w:p>
        </w:tc>
        <w:tc>
          <w:tcPr>
            <w:tcW w:w="2260" w:type="dxa"/>
            <w:vAlign w:val="bottom"/>
            <w:tcBorders>
              <w:right w:val="single" w:sz="8" w:color="auto"/>
            </w:tcBorders>
            <w:gridSpan w:val="13"/>
            <w:shd w:val="clear" w:color="auto" w:fill="F0FFFF"/>
          </w:tcPr>
          <w:p>
            <w:pPr>
              <w:spacing w:after="0" w:line="149" w:lineRule="exact"/>
              <w:rPr>
                <w:sz w:val="20"/>
                <w:szCs w:val="20"/>
                <w:color w:val="auto"/>
              </w:rPr>
            </w:pPr>
            <w:r>
              <w:rPr>
                <w:rFonts w:ascii="Times New Roman" w:cs="Times New Roman" w:eastAsia="Times New Roman" w:hAnsi="Times New Roman"/>
                <w:sz w:val="13"/>
                <w:szCs w:val="13"/>
                <w:color w:val="auto"/>
              </w:rPr>
              <w:t>Pays a death benefit equal to the</w:t>
            </w:r>
          </w:p>
        </w:tc>
        <w:tc>
          <w:tcPr>
            <w:tcW w:w="1460" w:type="dxa"/>
            <w:vAlign w:val="bottom"/>
            <w:tcBorders>
              <w:right w:val="single" w:sz="8" w:color="auto"/>
            </w:tcBorders>
            <w:shd w:val="clear" w:color="auto" w:fill="F0FFFF"/>
          </w:tcPr>
          <w:p>
            <w:pPr>
              <w:ind w:left="20"/>
              <w:spacing w:after="0" w:line="149" w:lineRule="exact"/>
              <w:rPr>
                <w:sz w:val="20"/>
                <w:szCs w:val="20"/>
                <w:color w:val="auto"/>
              </w:rPr>
            </w:pPr>
            <w:r>
              <w:rPr>
                <w:rFonts w:ascii="Times New Roman" w:cs="Times New Roman" w:eastAsia="Times New Roman" w:hAnsi="Times New Roman"/>
                <w:sz w:val="13"/>
                <w:szCs w:val="13"/>
                <w:color w:val="auto"/>
              </w:rPr>
              <w:t>N/A</w:t>
            </w:r>
          </w:p>
        </w:tc>
        <w:tc>
          <w:tcPr>
            <w:tcW w:w="2340" w:type="dxa"/>
            <w:vAlign w:val="bottom"/>
            <w:tcBorders>
              <w:right w:val="single" w:sz="8" w:color="auto"/>
            </w:tcBorders>
            <w:gridSpan w:val="19"/>
            <w:shd w:val="clear" w:color="auto" w:fill="F0FFFF"/>
          </w:tcPr>
          <w:p>
            <w:pPr>
              <w:ind w:left="20"/>
              <w:spacing w:after="0" w:line="149" w:lineRule="exact"/>
              <w:rPr>
                <w:sz w:val="20"/>
                <w:szCs w:val="20"/>
                <w:color w:val="auto"/>
              </w:rPr>
            </w:pPr>
            <w:r>
              <w:rPr>
                <w:rFonts w:ascii="Times New Roman" w:cs="Times New Roman" w:eastAsia="Times New Roman" w:hAnsi="Times New Roman"/>
                <w:sz w:val="13"/>
                <w:szCs w:val="13"/>
                <w:color w:val="auto"/>
              </w:rPr>
              <w:t>● Only available during the</w:t>
            </w:r>
          </w:p>
        </w:tc>
        <w:tc>
          <w:tcPr>
            <w:tcW w:w="0" w:type="dxa"/>
            <w:vAlign w:val="bottom"/>
          </w:tcPr>
          <w:p>
            <w:pPr>
              <w:spacing w:after="0"/>
              <w:rPr>
                <w:sz w:val="1"/>
                <w:szCs w:val="1"/>
                <w:color w:val="auto"/>
              </w:rPr>
            </w:pPr>
          </w:p>
        </w:tc>
      </w:tr>
      <w:tr>
        <w:trPr>
          <w:trHeight w:val="139"/>
        </w:trPr>
        <w:tc>
          <w:tcPr>
            <w:tcW w:w="40" w:type="dxa"/>
            <w:vAlign w:val="bottom"/>
            <w:tcBorders>
              <w:top w:val="single" w:sz="8" w:color="F0FFFF"/>
              <w:left w:val="single" w:sz="8" w:color="auto"/>
            </w:tcBorders>
            <w:shd w:val="clear" w:color="auto" w:fill="F0FFFF"/>
          </w:tcPr>
          <w:p>
            <w:pPr>
              <w:spacing w:after="0"/>
              <w:rPr>
                <w:sz w:val="12"/>
                <w:szCs w:val="12"/>
                <w:color w:val="auto"/>
              </w:rPr>
            </w:pPr>
          </w:p>
        </w:tc>
        <w:tc>
          <w:tcPr>
            <w:tcW w:w="820" w:type="dxa"/>
            <w:vAlign w:val="bottom"/>
            <w:tcBorders>
              <w:top w:val="single" w:sz="8" w:color="auto"/>
            </w:tcBorders>
            <w:gridSpan w:val="2"/>
            <w:shd w:val="clear" w:color="auto" w:fill="F0FFFF"/>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Death Benefit</w:t>
            </w:r>
          </w:p>
        </w:tc>
        <w:tc>
          <w:tcPr>
            <w:tcW w:w="220" w:type="dxa"/>
            <w:vAlign w:val="bottom"/>
            <w:tcBorders>
              <w:top w:val="single" w:sz="8" w:color="F0FFFF"/>
              <w:right w:val="single" w:sz="8" w:color="auto"/>
            </w:tcBorders>
            <w:gridSpan w:val="2"/>
            <w:shd w:val="clear" w:color="auto" w:fill="F0FFFF"/>
          </w:tcPr>
          <w:p>
            <w:pPr>
              <w:spacing w:after="0"/>
              <w:rPr>
                <w:sz w:val="12"/>
                <w:szCs w:val="12"/>
                <w:color w:val="auto"/>
              </w:rPr>
            </w:pPr>
          </w:p>
        </w:tc>
        <w:tc>
          <w:tcPr>
            <w:tcW w:w="2260" w:type="dxa"/>
            <w:vAlign w:val="bottom"/>
            <w:tcBorders>
              <w:top w:val="single" w:sz="8" w:color="F0FFFF"/>
              <w:right w:val="single" w:sz="8" w:color="auto"/>
            </w:tcBorders>
            <w:gridSpan w:val="13"/>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Account Value</w:t>
            </w:r>
          </w:p>
        </w:tc>
        <w:tc>
          <w:tcPr>
            <w:tcW w:w="1460" w:type="dxa"/>
            <w:vAlign w:val="bottom"/>
            <w:tcBorders>
              <w:top w:val="single" w:sz="8" w:color="F0FFFF"/>
              <w:right w:val="single" w:sz="8" w:color="auto"/>
            </w:tcBorders>
            <w:shd w:val="clear" w:color="auto" w:fill="F0FFFF"/>
          </w:tcPr>
          <w:p>
            <w:pPr>
              <w:spacing w:after="0"/>
              <w:rPr>
                <w:sz w:val="12"/>
                <w:szCs w:val="12"/>
                <w:color w:val="auto"/>
              </w:rPr>
            </w:pPr>
          </w:p>
        </w:tc>
        <w:tc>
          <w:tcPr>
            <w:tcW w:w="140" w:type="dxa"/>
            <w:vAlign w:val="bottom"/>
            <w:tcBorders>
              <w:top w:val="single" w:sz="8" w:color="F0FFFF"/>
            </w:tcBorders>
            <w:shd w:val="clear" w:color="auto" w:fill="F0FFFF"/>
          </w:tcPr>
          <w:p>
            <w:pPr>
              <w:spacing w:after="0"/>
              <w:rPr>
                <w:sz w:val="12"/>
                <w:szCs w:val="12"/>
                <w:color w:val="auto"/>
              </w:rPr>
            </w:pPr>
          </w:p>
        </w:tc>
        <w:tc>
          <w:tcPr>
            <w:tcW w:w="2200" w:type="dxa"/>
            <w:vAlign w:val="bottom"/>
            <w:tcBorders>
              <w:top w:val="single" w:sz="8" w:color="F0FFFF"/>
              <w:right w:val="single" w:sz="8" w:color="auto"/>
            </w:tcBorders>
            <w:gridSpan w:val="18"/>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Accumulation Period.</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shd w:val="clear" w:color="auto" w:fill="F0FFFF"/>
          </w:tcPr>
          <w:p>
            <w:pPr>
              <w:spacing w:after="0" w:line="20" w:lineRule="exact"/>
              <w:rPr>
                <w:sz w:val="1"/>
                <w:szCs w:val="1"/>
                <w:color w:val="auto"/>
              </w:rPr>
            </w:pPr>
          </w:p>
        </w:tc>
        <w:tc>
          <w:tcPr>
            <w:tcW w:w="1040" w:type="dxa"/>
            <w:vAlign w:val="bottom"/>
            <w:tcBorders>
              <w:right w:val="single" w:sz="8" w:color="auto"/>
            </w:tcBorders>
            <w:gridSpan w:val="4"/>
            <w:vMerge w:val="restart"/>
            <w:shd w:val="clear" w:color="auto" w:fill="F0FFFF"/>
          </w:tcPr>
          <w:p>
            <w:pPr>
              <w:spacing w:after="0"/>
              <w:rPr>
                <w:sz w:val="20"/>
                <w:szCs w:val="20"/>
                <w:color w:val="auto"/>
              </w:rPr>
            </w:pPr>
            <w:r>
              <w:rPr>
                <w:rFonts w:ascii="Times New Roman" w:cs="Times New Roman" w:eastAsia="Times New Roman" w:hAnsi="Times New Roman"/>
                <w:sz w:val="13"/>
                <w:szCs w:val="13"/>
                <w:b w:val="1"/>
                <w:bCs w:val="1"/>
                <w:color w:val="auto"/>
              </w:rPr>
              <w:t>(Standard Death</w:t>
            </w:r>
          </w:p>
        </w:tc>
        <w:tc>
          <w:tcPr>
            <w:tcW w:w="2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20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40" w:type="dxa"/>
            <w:vAlign w:val="bottom"/>
            <w:tcBorders>
              <w:right w:val="single" w:sz="8" w:color="auto"/>
            </w:tcBorders>
            <w:shd w:val="clear" w:color="auto" w:fill="F0FFFF"/>
          </w:tcPr>
          <w:p>
            <w:pPr>
              <w:spacing w:after="0" w:line="20" w:lineRule="exact"/>
              <w:rPr>
                <w:sz w:val="1"/>
                <w:szCs w:val="1"/>
                <w:color w:val="auto"/>
              </w:rPr>
            </w:pPr>
          </w:p>
        </w:tc>
        <w:tc>
          <w:tcPr>
            <w:tcW w:w="1460" w:type="dxa"/>
            <w:vAlign w:val="bottom"/>
            <w:tcBorders>
              <w:right w:val="single" w:sz="8" w:color="auto"/>
            </w:tcBorders>
            <w:shd w:val="clear" w:color="auto" w:fill="F0FFFF"/>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80" w:type="dxa"/>
            <w:vAlign w:val="bottom"/>
            <w:tcBorders>
              <w:left w:val="single" w:sz="8" w:color="F0FFFF"/>
            </w:tcBorders>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180" w:type="dxa"/>
            <w:vAlign w:val="bottom"/>
            <w:tcBorders>
              <w:left w:val="single" w:sz="8" w:color="F0FFFF"/>
            </w:tcBorders>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100" w:type="dxa"/>
            <w:vAlign w:val="bottom"/>
            <w:tcBorders>
              <w:left w:val="single" w:sz="8" w:color="F0FFFF"/>
            </w:tcBorders>
            <w:shd w:val="clear" w:color="auto" w:fill="F0FFFF"/>
          </w:tcPr>
          <w:p>
            <w:pPr>
              <w:spacing w:after="0" w:line="20" w:lineRule="exact"/>
              <w:rPr>
                <w:sz w:val="1"/>
                <w:szCs w:val="1"/>
                <w:color w:val="auto"/>
              </w:rPr>
            </w:pPr>
          </w:p>
        </w:tc>
        <w:tc>
          <w:tcPr>
            <w:tcW w:w="12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0" w:type="dxa"/>
            <w:vAlign w:val="bottom"/>
            <w:tcBorders>
              <w:left w:val="single" w:sz="8" w:color="auto"/>
            </w:tcBorders>
            <w:shd w:val="clear" w:color="auto" w:fill="F0FFFF"/>
          </w:tcPr>
          <w:p>
            <w:pPr>
              <w:spacing w:after="0"/>
              <w:rPr>
                <w:sz w:val="12"/>
                <w:szCs w:val="12"/>
                <w:color w:val="auto"/>
              </w:rPr>
            </w:pPr>
          </w:p>
        </w:tc>
        <w:tc>
          <w:tcPr>
            <w:tcW w:w="1040" w:type="dxa"/>
            <w:vAlign w:val="bottom"/>
            <w:tcBorders>
              <w:right w:val="single" w:sz="8" w:color="auto"/>
            </w:tcBorders>
            <w:gridSpan w:val="4"/>
            <w:vMerge w:val="continue"/>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180" w:type="dxa"/>
            <w:vAlign w:val="bottom"/>
            <w:tcBorders>
              <w:right w:val="single" w:sz="8" w:color="F0FFFF"/>
            </w:tcBorders>
            <w:shd w:val="clear" w:color="auto" w:fill="F0FFFF"/>
          </w:tcPr>
          <w:p>
            <w:pPr>
              <w:spacing w:after="0"/>
              <w:rPr>
                <w:sz w:val="12"/>
                <w:szCs w:val="12"/>
                <w:color w:val="auto"/>
              </w:rPr>
            </w:pPr>
          </w:p>
        </w:tc>
        <w:tc>
          <w:tcPr>
            <w:tcW w:w="340" w:type="dxa"/>
            <w:vAlign w:val="bottom"/>
            <w:tcBorders>
              <w:left w:val="single" w:sz="8" w:color="F0FFFF"/>
            </w:tcBorders>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60" w:type="dxa"/>
            <w:vAlign w:val="bottom"/>
            <w:tcBorders>
              <w:righ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40" w:type="dxa"/>
            <w:vAlign w:val="bottom"/>
            <w:tcBorders>
              <w:right w:val="single" w:sz="8" w:color="auto"/>
            </w:tcBorders>
            <w:shd w:val="clear" w:color="auto" w:fill="F0FFFF"/>
          </w:tcPr>
          <w:p>
            <w:pPr>
              <w:spacing w:after="0"/>
              <w:rPr>
                <w:sz w:val="12"/>
                <w:szCs w:val="12"/>
                <w:color w:val="auto"/>
              </w:rPr>
            </w:pPr>
          </w:p>
        </w:tc>
        <w:tc>
          <w:tcPr>
            <w:tcW w:w="1460" w:type="dxa"/>
            <w:vAlign w:val="bottom"/>
            <w:tcBorders>
              <w:right w:val="single" w:sz="8" w:color="auto"/>
            </w:tcBorders>
            <w:shd w:val="clear" w:color="auto" w:fill="F0FFFF"/>
          </w:tcPr>
          <w:p>
            <w:pPr>
              <w:spacing w:after="0"/>
              <w:rPr>
                <w:sz w:val="12"/>
                <w:szCs w:val="12"/>
                <w:color w:val="auto"/>
              </w:rPr>
            </w:pPr>
          </w:p>
        </w:tc>
        <w:tc>
          <w:tcPr>
            <w:tcW w:w="2340" w:type="dxa"/>
            <w:vAlign w:val="bottom"/>
            <w:tcBorders>
              <w:right w:val="single" w:sz="8" w:color="auto"/>
            </w:tcBorders>
            <w:gridSpan w:val="19"/>
            <w:shd w:val="clear" w:color="auto" w:fill="F0FFFF"/>
          </w:tcPr>
          <w:p>
            <w:pPr>
              <w:ind w:left="20"/>
              <w:spacing w:after="0" w:line="139" w:lineRule="exact"/>
              <w:rPr>
                <w:sz w:val="20"/>
                <w:szCs w:val="20"/>
                <w:color w:val="auto"/>
              </w:rPr>
            </w:pPr>
            <w:r>
              <w:rPr>
                <w:rFonts w:ascii="Times New Roman" w:cs="Times New Roman" w:eastAsia="Times New Roman" w:hAnsi="Times New Roman"/>
                <w:sz w:val="13"/>
                <w:szCs w:val="13"/>
                <w:color w:val="auto"/>
              </w:rPr>
              <w:t>● For Owners aged 81 or older on the</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shd w:val="clear" w:color="auto" w:fill="F0FFFF"/>
          </w:tcPr>
          <w:p>
            <w:pPr>
              <w:spacing w:after="0" w:line="20" w:lineRule="exact"/>
              <w:rPr>
                <w:sz w:val="1"/>
                <w:szCs w:val="1"/>
                <w:color w:val="auto"/>
              </w:rPr>
            </w:pPr>
          </w:p>
        </w:tc>
        <w:tc>
          <w:tcPr>
            <w:tcW w:w="1040" w:type="dxa"/>
            <w:vAlign w:val="bottom"/>
            <w:tcBorders>
              <w:right w:val="single" w:sz="8" w:color="auto"/>
            </w:tcBorders>
            <w:gridSpan w:val="4"/>
            <w:vMerge w:val="restart"/>
            <w:shd w:val="clear" w:color="auto" w:fill="F0FFFF"/>
          </w:tcPr>
          <w:p>
            <w:pPr>
              <w:spacing w:after="0"/>
              <w:rPr>
                <w:sz w:val="20"/>
                <w:szCs w:val="20"/>
                <w:color w:val="auto"/>
              </w:rPr>
            </w:pPr>
            <w:r>
              <w:rPr>
                <w:rFonts w:ascii="Times New Roman" w:cs="Times New Roman" w:eastAsia="Times New Roman" w:hAnsi="Times New Roman"/>
                <w:sz w:val="13"/>
                <w:szCs w:val="13"/>
                <w:b w:val="1"/>
                <w:bCs w:val="1"/>
                <w:color w:val="auto"/>
              </w:rPr>
              <w:t>Benefit)</w:t>
            </w:r>
          </w:p>
        </w:tc>
        <w:tc>
          <w:tcPr>
            <w:tcW w:w="260" w:type="dxa"/>
            <w:vAlign w:val="bottom"/>
            <w:shd w:val="clear" w:color="auto" w:fill="F0FFFF"/>
          </w:tcPr>
          <w:p>
            <w:pPr>
              <w:spacing w:after="0" w:line="20" w:lineRule="exact"/>
              <w:rPr>
                <w:sz w:val="1"/>
                <w:szCs w:val="1"/>
                <w:color w:val="auto"/>
              </w:rPr>
            </w:pPr>
          </w:p>
        </w:tc>
        <w:tc>
          <w:tcPr>
            <w:tcW w:w="180" w:type="dxa"/>
            <w:vAlign w:val="bottom"/>
            <w:tcBorders>
              <w:right w:val="single" w:sz="8" w:color="F0FFFF"/>
            </w:tcBorders>
            <w:shd w:val="clear" w:color="auto" w:fill="F0FFFF"/>
          </w:tcPr>
          <w:p>
            <w:pPr>
              <w:spacing w:after="0" w:line="20" w:lineRule="exact"/>
              <w:rPr>
                <w:sz w:val="1"/>
                <w:szCs w:val="1"/>
                <w:color w:val="auto"/>
              </w:rPr>
            </w:pPr>
          </w:p>
        </w:tc>
        <w:tc>
          <w:tcPr>
            <w:tcW w:w="340" w:type="dxa"/>
            <w:vAlign w:val="bottom"/>
            <w:tcBorders>
              <w:left w:val="single" w:sz="8" w:color="F0FFFF"/>
            </w:tcBorders>
            <w:shd w:val="clear" w:color="auto" w:fill="F0FFFF"/>
          </w:tcPr>
          <w:p>
            <w:pPr>
              <w:spacing w:after="0" w:line="20" w:lineRule="exact"/>
              <w:rPr>
                <w:sz w:val="1"/>
                <w:szCs w:val="1"/>
                <w:color w:val="auto"/>
              </w:rPr>
            </w:pPr>
          </w:p>
        </w:tc>
        <w:tc>
          <w:tcPr>
            <w:tcW w:w="420" w:type="dxa"/>
            <w:vAlign w:val="bottom"/>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20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40" w:type="dxa"/>
            <w:vAlign w:val="bottom"/>
            <w:tcBorders>
              <w:right w:val="single" w:sz="8" w:color="auto"/>
            </w:tcBorders>
            <w:shd w:val="clear" w:color="auto" w:fill="F0FFFF"/>
          </w:tcPr>
          <w:p>
            <w:pPr>
              <w:spacing w:after="0" w:line="20" w:lineRule="exact"/>
              <w:rPr>
                <w:sz w:val="1"/>
                <w:szCs w:val="1"/>
                <w:color w:val="auto"/>
              </w:rPr>
            </w:pPr>
          </w:p>
        </w:tc>
        <w:tc>
          <w:tcPr>
            <w:tcW w:w="1460" w:type="dxa"/>
            <w:vAlign w:val="bottom"/>
            <w:tcBorders>
              <w:right w:val="single" w:sz="8" w:color="auto"/>
            </w:tcBorders>
            <w:shd w:val="clear" w:color="auto" w:fill="F0FFFF"/>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24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120" w:type="dxa"/>
            <w:vAlign w:val="bottom"/>
            <w:tcBorders>
              <w:left w:val="single" w:sz="8" w:color="F0FFFF"/>
            </w:tcBorders>
            <w:gridSpan w:val="2"/>
            <w:shd w:val="clear" w:color="auto" w:fill="F0FFFF"/>
          </w:tcPr>
          <w:p>
            <w:pPr>
              <w:spacing w:after="0" w:line="20" w:lineRule="exact"/>
              <w:rPr>
                <w:sz w:val="1"/>
                <w:szCs w:val="1"/>
                <w:color w:val="auto"/>
              </w:rPr>
            </w:pPr>
          </w:p>
        </w:tc>
        <w:tc>
          <w:tcPr>
            <w:tcW w:w="80" w:type="dxa"/>
            <w:vAlign w:val="bottom"/>
            <w:tcBorders>
              <w:left w:val="single" w:sz="8" w:color="F0FFFF"/>
            </w:tcBorders>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180" w:type="dxa"/>
            <w:vAlign w:val="bottom"/>
            <w:tcBorders>
              <w:left w:val="single" w:sz="8" w:color="F0FFFF"/>
            </w:tcBorders>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100" w:type="dxa"/>
            <w:vAlign w:val="bottom"/>
            <w:tcBorders>
              <w:left w:val="single" w:sz="8" w:color="F0FFFF"/>
            </w:tcBorders>
            <w:shd w:val="clear" w:color="auto" w:fill="F0FFFF"/>
          </w:tcPr>
          <w:p>
            <w:pPr>
              <w:spacing w:after="0" w:line="20" w:lineRule="exact"/>
              <w:rPr>
                <w:sz w:val="1"/>
                <w:szCs w:val="1"/>
                <w:color w:val="auto"/>
              </w:rPr>
            </w:pPr>
          </w:p>
        </w:tc>
        <w:tc>
          <w:tcPr>
            <w:tcW w:w="12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0" w:type="dxa"/>
            <w:vAlign w:val="bottom"/>
            <w:tcBorders>
              <w:left w:val="single" w:sz="8" w:color="auto"/>
            </w:tcBorders>
            <w:shd w:val="clear" w:color="auto" w:fill="F0FFFF"/>
          </w:tcPr>
          <w:p>
            <w:pPr>
              <w:spacing w:after="0"/>
              <w:rPr>
                <w:sz w:val="12"/>
                <w:szCs w:val="12"/>
                <w:color w:val="auto"/>
              </w:rPr>
            </w:pPr>
          </w:p>
        </w:tc>
        <w:tc>
          <w:tcPr>
            <w:tcW w:w="1040" w:type="dxa"/>
            <w:vAlign w:val="bottom"/>
            <w:tcBorders>
              <w:right w:val="single" w:sz="8" w:color="auto"/>
            </w:tcBorders>
            <w:gridSpan w:val="4"/>
            <w:vMerge w:val="continue"/>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180" w:type="dxa"/>
            <w:vAlign w:val="bottom"/>
            <w:tcBorders>
              <w:right w:val="single" w:sz="8" w:color="F0FFFF"/>
            </w:tcBorders>
            <w:shd w:val="clear" w:color="auto" w:fill="F0FFFF"/>
          </w:tcPr>
          <w:p>
            <w:pPr>
              <w:spacing w:after="0"/>
              <w:rPr>
                <w:sz w:val="12"/>
                <w:szCs w:val="12"/>
                <w:color w:val="auto"/>
              </w:rPr>
            </w:pPr>
          </w:p>
        </w:tc>
        <w:tc>
          <w:tcPr>
            <w:tcW w:w="340" w:type="dxa"/>
            <w:vAlign w:val="bottom"/>
            <w:tcBorders>
              <w:left w:val="single" w:sz="8" w:color="F0FFFF"/>
            </w:tcBorders>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60" w:type="dxa"/>
            <w:vAlign w:val="bottom"/>
            <w:tcBorders>
              <w:righ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40" w:type="dxa"/>
            <w:vAlign w:val="bottom"/>
            <w:tcBorders>
              <w:right w:val="single" w:sz="8" w:color="auto"/>
            </w:tcBorders>
            <w:shd w:val="clear" w:color="auto" w:fill="F0FFFF"/>
          </w:tcPr>
          <w:p>
            <w:pPr>
              <w:spacing w:after="0"/>
              <w:rPr>
                <w:sz w:val="12"/>
                <w:szCs w:val="12"/>
                <w:color w:val="auto"/>
              </w:rPr>
            </w:pPr>
          </w:p>
        </w:tc>
        <w:tc>
          <w:tcPr>
            <w:tcW w:w="1460" w:type="dxa"/>
            <w:vAlign w:val="bottom"/>
            <w:tcBorders>
              <w:right w:val="single" w:sz="8" w:color="auto"/>
            </w:tcBorders>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2200" w:type="dxa"/>
            <w:vAlign w:val="bottom"/>
            <w:tcBorders>
              <w:right w:val="single" w:sz="8" w:color="auto"/>
            </w:tcBorders>
            <w:gridSpan w:val="18"/>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Issue Date of your Contract.</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shd w:val="clear" w:color="auto" w:fill="F0FFFF"/>
          </w:tcPr>
          <w:p>
            <w:pPr>
              <w:spacing w:after="0" w:line="20" w:lineRule="exact"/>
              <w:rPr>
                <w:sz w:val="1"/>
                <w:szCs w:val="1"/>
                <w:color w:val="auto"/>
              </w:rPr>
            </w:pPr>
          </w:p>
        </w:tc>
        <w:tc>
          <w:tcPr>
            <w:tcW w:w="460" w:type="dxa"/>
            <w:vAlign w:val="bottom"/>
            <w:shd w:val="clear" w:color="auto" w:fill="F0FFFF"/>
          </w:tcPr>
          <w:p>
            <w:pPr>
              <w:spacing w:after="0" w:line="20" w:lineRule="exact"/>
              <w:rPr>
                <w:sz w:val="1"/>
                <w:szCs w:val="1"/>
                <w:color w:val="auto"/>
              </w:rPr>
            </w:pPr>
          </w:p>
        </w:tc>
        <w:tc>
          <w:tcPr>
            <w:tcW w:w="360" w:type="dxa"/>
            <w:vAlign w:val="bottom"/>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60" w:type="dxa"/>
            <w:vAlign w:val="bottom"/>
            <w:tcBorders>
              <w:right w:val="single" w:sz="8" w:color="auto"/>
            </w:tcBorders>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180" w:type="dxa"/>
            <w:vAlign w:val="bottom"/>
            <w:tcBorders>
              <w:right w:val="single" w:sz="8" w:color="F0FFFF"/>
            </w:tcBorders>
            <w:shd w:val="clear" w:color="auto" w:fill="F0FFFF"/>
          </w:tcPr>
          <w:p>
            <w:pPr>
              <w:spacing w:after="0" w:line="20" w:lineRule="exact"/>
              <w:rPr>
                <w:sz w:val="1"/>
                <w:szCs w:val="1"/>
                <w:color w:val="auto"/>
              </w:rPr>
            </w:pPr>
          </w:p>
        </w:tc>
        <w:tc>
          <w:tcPr>
            <w:tcW w:w="340" w:type="dxa"/>
            <w:vAlign w:val="bottom"/>
            <w:tcBorders>
              <w:left w:val="single" w:sz="8" w:color="F0FFFF"/>
            </w:tcBorders>
            <w:shd w:val="clear" w:color="auto" w:fill="F0FFFF"/>
          </w:tcPr>
          <w:p>
            <w:pPr>
              <w:spacing w:after="0" w:line="20" w:lineRule="exact"/>
              <w:rPr>
                <w:sz w:val="1"/>
                <w:szCs w:val="1"/>
                <w:color w:val="auto"/>
              </w:rPr>
            </w:pPr>
          </w:p>
        </w:tc>
        <w:tc>
          <w:tcPr>
            <w:tcW w:w="420" w:type="dxa"/>
            <w:vAlign w:val="bottom"/>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20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40" w:type="dxa"/>
            <w:vAlign w:val="bottom"/>
            <w:tcBorders>
              <w:right w:val="single" w:sz="8" w:color="auto"/>
            </w:tcBorders>
            <w:shd w:val="clear" w:color="auto" w:fill="F0FFFF"/>
          </w:tcPr>
          <w:p>
            <w:pPr>
              <w:spacing w:after="0" w:line="20" w:lineRule="exact"/>
              <w:rPr>
                <w:sz w:val="1"/>
                <w:szCs w:val="1"/>
                <w:color w:val="auto"/>
              </w:rPr>
            </w:pPr>
          </w:p>
        </w:tc>
        <w:tc>
          <w:tcPr>
            <w:tcW w:w="1460" w:type="dxa"/>
            <w:vAlign w:val="bottom"/>
            <w:tcBorders>
              <w:right w:val="single" w:sz="8" w:color="auto"/>
            </w:tcBorders>
            <w:shd w:val="clear" w:color="auto" w:fill="F0FFFF"/>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F0FFFF"/>
            </w:tcBorders>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240" w:type="dxa"/>
            <w:vAlign w:val="bottom"/>
            <w:tcBorders>
              <w:left w:val="single" w:sz="8" w:color="F0FFFF"/>
              <w:right w:val="single" w:sz="8" w:color="auto"/>
            </w:tcBorders>
            <w:shd w:val="clear" w:color="auto" w:fill="F0FFFF"/>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right w:val="single" w:sz="8" w:color="F0FFFF"/>
            </w:tcBorders>
            <w:shd w:val="clear" w:color="auto" w:fill="F0FFFF"/>
          </w:tcPr>
          <w:p>
            <w:pPr>
              <w:spacing w:after="0" w:line="20" w:lineRule="exact"/>
              <w:rPr>
                <w:sz w:val="1"/>
                <w:szCs w:val="1"/>
                <w:color w:val="auto"/>
              </w:rPr>
            </w:pPr>
          </w:p>
        </w:tc>
        <w:tc>
          <w:tcPr>
            <w:tcW w:w="180" w:type="dxa"/>
            <w:vAlign w:val="bottom"/>
            <w:tcBorders>
              <w:left w:val="single" w:sz="8" w:color="F0FFFF"/>
            </w:tcBorders>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100" w:type="dxa"/>
            <w:vAlign w:val="bottom"/>
            <w:tcBorders>
              <w:left w:val="single" w:sz="8" w:color="F0FFFF"/>
            </w:tcBorders>
            <w:shd w:val="clear" w:color="auto" w:fill="F0FFFF"/>
          </w:tcPr>
          <w:p>
            <w:pPr>
              <w:spacing w:after="0" w:line="20" w:lineRule="exact"/>
              <w:rPr>
                <w:sz w:val="1"/>
                <w:szCs w:val="1"/>
                <w:color w:val="auto"/>
              </w:rPr>
            </w:pPr>
          </w:p>
        </w:tc>
        <w:tc>
          <w:tcPr>
            <w:tcW w:w="12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tcBorders>
              <w:left w:val="single" w:sz="8" w:color="auto"/>
            </w:tcBorders>
            <w:shd w:val="clear" w:color="auto" w:fill="F0FFFF"/>
          </w:tcPr>
          <w:p>
            <w:pPr>
              <w:spacing w:after="0"/>
              <w:rPr>
                <w:sz w:val="12"/>
                <w:szCs w:val="12"/>
                <w:color w:val="auto"/>
              </w:rPr>
            </w:pPr>
          </w:p>
        </w:tc>
        <w:tc>
          <w:tcPr>
            <w:tcW w:w="460" w:type="dxa"/>
            <w:vAlign w:val="bottom"/>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0" w:type="dxa"/>
            <w:vAlign w:val="bottom"/>
            <w:tcBorders>
              <w:right w:val="single" w:sz="8" w:color="auto"/>
            </w:tcBorders>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180" w:type="dxa"/>
            <w:vAlign w:val="bottom"/>
            <w:tcBorders>
              <w:right w:val="single" w:sz="8" w:color="F0FFFF"/>
            </w:tcBorders>
            <w:shd w:val="clear" w:color="auto" w:fill="F0FFFF"/>
          </w:tcPr>
          <w:p>
            <w:pPr>
              <w:spacing w:after="0"/>
              <w:rPr>
                <w:sz w:val="12"/>
                <w:szCs w:val="12"/>
                <w:color w:val="auto"/>
              </w:rPr>
            </w:pPr>
          </w:p>
        </w:tc>
        <w:tc>
          <w:tcPr>
            <w:tcW w:w="340" w:type="dxa"/>
            <w:vAlign w:val="bottom"/>
            <w:tcBorders>
              <w:left w:val="single" w:sz="8" w:color="F0FFFF"/>
            </w:tcBorders>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60" w:type="dxa"/>
            <w:vAlign w:val="bottom"/>
            <w:tcBorders>
              <w:righ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40" w:type="dxa"/>
            <w:vAlign w:val="bottom"/>
            <w:tcBorders>
              <w:right w:val="single" w:sz="8" w:color="auto"/>
            </w:tcBorders>
            <w:shd w:val="clear" w:color="auto" w:fill="F0FFFF"/>
          </w:tcPr>
          <w:p>
            <w:pPr>
              <w:spacing w:after="0"/>
              <w:rPr>
                <w:sz w:val="12"/>
                <w:szCs w:val="12"/>
                <w:color w:val="auto"/>
              </w:rPr>
            </w:pPr>
          </w:p>
        </w:tc>
        <w:tc>
          <w:tcPr>
            <w:tcW w:w="1460" w:type="dxa"/>
            <w:vAlign w:val="bottom"/>
            <w:tcBorders>
              <w:right w:val="single" w:sz="8" w:color="auto"/>
            </w:tcBorders>
            <w:shd w:val="clear" w:color="auto" w:fill="F0FFFF"/>
          </w:tcPr>
          <w:p>
            <w:pPr>
              <w:spacing w:after="0"/>
              <w:rPr>
                <w:sz w:val="12"/>
                <w:szCs w:val="12"/>
                <w:color w:val="auto"/>
              </w:rPr>
            </w:pPr>
          </w:p>
        </w:tc>
        <w:tc>
          <w:tcPr>
            <w:tcW w:w="2340" w:type="dxa"/>
            <w:vAlign w:val="bottom"/>
            <w:tcBorders>
              <w:right w:val="single" w:sz="8" w:color="auto"/>
            </w:tcBorders>
            <w:gridSpan w:val="19"/>
            <w:shd w:val="clear" w:color="auto" w:fill="F0FFFF"/>
          </w:tcPr>
          <w:p>
            <w:pPr>
              <w:ind w:left="20"/>
              <w:spacing w:after="0"/>
              <w:rPr>
                <w:sz w:val="20"/>
                <w:szCs w:val="20"/>
                <w:color w:val="auto"/>
              </w:rPr>
            </w:pPr>
            <w:r>
              <w:rPr>
                <w:rFonts w:ascii="Times New Roman" w:cs="Times New Roman" w:eastAsia="Times New Roman" w:hAnsi="Times New Roman"/>
                <w:sz w:val="13"/>
                <w:szCs w:val="13"/>
                <w:color w:val="auto"/>
              </w:rPr>
              <w:t>● Account Value may reflect an Interim</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shd w:val="clear" w:color="auto" w:fill="F0FFFF"/>
          </w:tcPr>
          <w:p>
            <w:pPr>
              <w:spacing w:after="0" w:line="20" w:lineRule="exact"/>
              <w:rPr>
                <w:sz w:val="1"/>
                <w:szCs w:val="1"/>
                <w:color w:val="auto"/>
              </w:rPr>
            </w:pPr>
          </w:p>
        </w:tc>
        <w:tc>
          <w:tcPr>
            <w:tcW w:w="460" w:type="dxa"/>
            <w:vAlign w:val="bottom"/>
            <w:shd w:val="clear" w:color="auto" w:fill="F0FFFF"/>
          </w:tcPr>
          <w:p>
            <w:pPr>
              <w:spacing w:after="0" w:line="20" w:lineRule="exact"/>
              <w:rPr>
                <w:sz w:val="1"/>
                <w:szCs w:val="1"/>
                <w:color w:val="auto"/>
              </w:rPr>
            </w:pPr>
          </w:p>
        </w:tc>
        <w:tc>
          <w:tcPr>
            <w:tcW w:w="360" w:type="dxa"/>
            <w:vAlign w:val="bottom"/>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60" w:type="dxa"/>
            <w:vAlign w:val="bottom"/>
            <w:tcBorders>
              <w:right w:val="single" w:sz="8" w:color="auto"/>
            </w:tcBorders>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180" w:type="dxa"/>
            <w:vAlign w:val="bottom"/>
            <w:tcBorders>
              <w:right w:val="single" w:sz="8" w:color="F0FFFF"/>
            </w:tcBorders>
            <w:shd w:val="clear" w:color="auto" w:fill="F0FFFF"/>
          </w:tcPr>
          <w:p>
            <w:pPr>
              <w:spacing w:after="0" w:line="20" w:lineRule="exact"/>
              <w:rPr>
                <w:sz w:val="1"/>
                <w:szCs w:val="1"/>
                <w:color w:val="auto"/>
              </w:rPr>
            </w:pPr>
          </w:p>
        </w:tc>
        <w:tc>
          <w:tcPr>
            <w:tcW w:w="340" w:type="dxa"/>
            <w:vAlign w:val="bottom"/>
            <w:tcBorders>
              <w:left w:val="single" w:sz="8" w:color="F0FFFF"/>
            </w:tcBorders>
            <w:shd w:val="clear" w:color="auto" w:fill="F0FFFF"/>
          </w:tcPr>
          <w:p>
            <w:pPr>
              <w:spacing w:after="0" w:line="20" w:lineRule="exact"/>
              <w:rPr>
                <w:sz w:val="1"/>
                <w:szCs w:val="1"/>
                <w:color w:val="auto"/>
              </w:rPr>
            </w:pPr>
          </w:p>
        </w:tc>
        <w:tc>
          <w:tcPr>
            <w:tcW w:w="420" w:type="dxa"/>
            <w:vAlign w:val="bottom"/>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20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40" w:type="dxa"/>
            <w:vAlign w:val="bottom"/>
            <w:tcBorders>
              <w:right w:val="single" w:sz="8" w:color="auto"/>
            </w:tcBorders>
            <w:shd w:val="clear" w:color="auto" w:fill="F0FFFF"/>
          </w:tcPr>
          <w:p>
            <w:pPr>
              <w:spacing w:after="0" w:line="20" w:lineRule="exact"/>
              <w:rPr>
                <w:sz w:val="1"/>
                <w:szCs w:val="1"/>
                <w:color w:val="auto"/>
              </w:rPr>
            </w:pPr>
          </w:p>
        </w:tc>
        <w:tc>
          <w:tcPr>
            <w:tcW w:w="1460" w:type="dxa"/>
            <w:vAlign w:val="bottom"/>
            <w:tcBorders>
              <w:right w:val="single" w:sz="8" w:color="auto"/>
            </w:tcBorders>
            <w:shd w:val="clear" w:color="auto" w:fill="F0FFFF"/>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120" w:type="dxa"/>
            <w:vAlign w:val="bottom"/>
            <w:tcBorders>
              <w:left w:val="single" w:sz="8" w:color="F0FFFF"/>
            </w:tcBorders>
            <w:gridSpan w:val="2"/>
            <w:shd w:val="clear" w:color="auto" w:fill="F0FFFF"/>
          </w:tcPr>
          <w:p>
            <w:pPr>
              <w:spacing w:after="0" w:line="20" w:lineRule="exact"/>
              <w:rPr>
                <w:sz w:val="1"/>
                <w:szCs w:val="1"/>
                <w:color w:val="auto"/>
              </w:rPr>
            </w:pPr>
          </w:p>
        </w:tc>
        <w:tc>
          <w:tcPr>
            <w:tcW w:w="80" w:type="dxa"/>
            <w:vAlign w:val="bottom"/>
            <w:tcBorders>
              <w:left w:val="single" w:sz="8" w:color="F0FFFF"/>
            </w:tcBorders>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left w:val="single" w:sz="8" w:color="F0FFFF"/>
              <w:right w:val="single" w:sz="8" w:color="auto"/>
            </w:tcBorders>
            <w:shd w:val="clear" w:color="auto" w:fill="F0FFFF"/>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Borders>
              <w:left w:val="single" w:sz="8" w:color="F0FFFF"/>
            </w:tcBorders>
            <w:shd w:val="clear" w:color="auto" w:fill="F0FFFF"/>
          </w:tcPr>
          <w:p>
            <w:pPr>
              <w:spacing w:after="0" w:line="20" w:lineRule="exact"/>
              <w:rPr>
                <w:sz w:val="1"/>
                <w:szCs w:val="1"/>
                <w:color w:val="auto"/>
              </w:rPr>
            </w:pPr>
          </w:p>
        </w:tc>
        <w:tc>
          <w:tcPr>
            <w:tcW w:w="12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0" w:type="dxa"/>
            <w:vAlign w:val="bottom"/>
            <w:tcBorders>
              <w:left w:val="single" w:sz="8" w:color="auto"/>
            </w:tcBorders>
            <w:shd w:val="clear" w:color="auto" w:fill="F0FFFF"/>
          </w:tcPr>
          <w:p>
            <w:pPr>
              <w:spacing w:after="0"/>
              <w:rPr>
                <w:sz w:val="12"/>
                <w:szCs w:val="12"/>
                <w:color w:val="auto"/>
              </w:rPr>
            </w:pPr>
          </w:p>
        </w:tc>
        <w:tc>
          <w:tcPr>
            <w:tcW w:w="460" w:type="dxa"/>
            <w:vAlign w:val="bottom"/>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0" w:type="dxa"/>
            <w:vAlign w:val="bottom"/>
            <w:tcBorders>
              <w:right w:val="single" w:sz="8" w:color="auto"/>
            </w:tcBorders>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180" w:type="dxa"/>
            <w:vAlign w:val="bottom"/>
            <w:tcBorders>
              <w:right w:val="single" w:sz="8" w:color="F0FFFF"/>
            </w:tcBorders>
            <w:shd w:val="clear" w:color="auto" w:fill="F0FFFF"/>
          </w:tcPr>
          <w:p>
            <w:pPr>
              <w:spacing w:after="0"/>
              <w:rPr>
                <w:sz w:val="12"/>
                <w:szCs w:val="12"/>
                <w:color w:val="auto"/>
              </w:rPr>
            </w:pPr>
          </w:p>
        </w:tc>
        <w:tc>
          <w:tcPr>
            <w:tcW w:w="340" w:type="dxa"/>
            <w:vAlign w:val="bottom"/>
            <w:tcBorders>
              <w:left w:val="single" w:sz="8" w:color="F0FFFF"/>
            </w:tcBorders>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60" w:type="dxa"/>
            <w:vAlign w:val="bottom"/>
            <w:tcBorders>
              <w:righ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40" w:type="dxa"/>
            <w:vAlign w:val="bottom"/>
            <w:tcBorders>
              <w:right w:val="single" w:sz="8" w:color="auto"/>
            </w:tcBorders>
            <w:shd w:val="clear" w:color="auto" w:fill="F0FFFF"/>
          </w:tcPr>
          <w:p>
            <w:pPr>
              <w:spacing w:after="0"/>
              <w:rPr>
                <w:sz w:val="12"/>
                <w:szCs w:val="12"/>
                <w:color w:val="auto"/>
              </w:rPr>
            </w:pPr>
          </w:p>
        </w:tc>
        <w:tc>
          <w:tcPr>
            <w:tcW w:w="1460" w:type="dxa"/>
            <w:vAlign w:val="bottom"/>
            <w:tcBorders>
              <w:right w:val="single" w:sz="8" w:color="auto"/>
            </w:tcBorders>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2200" w:type="dxa"/>
            <w:vAlign w:val="bottom"/>
            <w:tcBorders>
              <w:right w:val="single" w:sz="8" w:color="auto"/>
            </w:tcBorders>
            <w:gridSpan w:val="18"/>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Value calculation for the Shield</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shd w:val="clear" w:color="auto" w:fill="F0FFFF"/>
          </w:tcPr>
          <w:p>
            <w:pPr>
              <w:spacing w:after="0" w:line="20" w:lineRule="exact"/>
              <w:rPr>
                <w:sz w:val="1"/>
                <w:szCs w:val="1"/>
                <w:color w:val="auto"/>
              </w:rPr>
            </w:pPr>
          </w:p>
        </w:tc>
        <w:tc>
          <w:tcPr>
            <w:tcW w:w="460" w:type="dxa"/>
            <w:vAlign w:val="bottom"/>
            <w:shd w:val="clear" w:color="auto" w:fill="F0FFFF"/>
          </w:tcPr>
          <w:p>
            <w:pPr>
              <w:spacing w:after="0" w:line="20" w:lineRule="exact"/>
              <w:rPr>
                <w:sz w:val="1"/>
                <w:szCs w:val="1"/>
                <w:color w:val="auto"/>
              </w:rPr>
            </w:pPr>
          </w:p>
        </w:tc>
        <w:tc>
          <w:tcPr>
            <w:tcW w:w="360" w:type="dxa"/>
            <w:vAlign w:val="bottom"/>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60" w:type="dxa"/>
            <w:vAlign w:val="bottom"/>
            <w:tcBorders>
              <w:right w:val="single" w:sz="8" w:color="auto"/>
            </w:tcBorders>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180" w:type="dxa"/>
            <w:vAlign w:val="bottom"/>
            <w:tcBorders>
              <w:right w:val="single" w:sz="8" w:color="F0FFFF"/>
            </w:tcBorders>
            <w:shd w:val="clear" w:color="auto" w:fill="F0FFFF"/>
          </w:tcPr>
          <w:p>
            <w:pPr>
              <w:spacing w:after="0" w:line="20" w:lineRule="exact"/>
              <w:rPr>
                <w:sz w:val="1"/>
                <w:szCs w:val="1"/>
                <w:color w:val="auto"/>
              </w:rPr>
            </w:pPr>
          </w:p>
        </w:tc>
        <w:tc>
          <w:tcPr>
            <w:tcW w:w="340" w:type="dxa"/>
            <w:vAlign w:val="bottom"/>
            <w:tcBorders>
              <w:left w:val="single" w:sz="8" w:color="F0FFFF"/>
            </w:tcBorders>
            <w:shd w:val="clear" w:color="auto" w:fill="F0FFFF"/>
          </w:tcPr>
          <w:p>
            <w:pPr>
              <w:spacing w:after="0" w:line="20" w:lineRule="exact"/>
              <w:rPr>
                <w:sz w:val="1"/>
                <w:szCs w:val="1"/>
                <w:color w:val="auto"/>
              </w:rPr>
            </w:pPr>
          </w:p>
        </w:tc>
        <w:tc>
          <w:tcPr>
            <w:tcW w:w="420" w:type="dxa"/>
            <w:vAlign w:val="bottom"/>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20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40" w:type="dxa"/>
            <w:vAlign w:val="bottom"/>
            <w:tcBorders>
              <w:right w:val="single" w:sz="8" w:color="auto"/>
            </w:tcBorders>
            <w:shd w:val="clear" w:color="auto" w:fill="F0FFFF"/>
          </w:tcPr>
          <w:p>
            <w:pPr>
              <w:spacing w:after="0" w:line="20" w:lineRule="exact"/>
              <w:rPr>
                <w:sz w:val="1"/>
                <w:szCs w:val="1"/>
                <w:color w:val="auto"/>
              </w:rPr>
            </w:pPr>
          </w:p>
        </w:tc>
        <w:tc>
          <w:tcPr>
            <w:tcW w:w="1460" w:type="dxa"/>
            <w:vAlign w:val="bottom"/>
            <w:tcBorders>
              <w:right w:val="single" w:sz="8" w:color="auto"/>
            </w:tcBorders>
            <w:shd w:val="clear" w:color="auto" w:fill="F0FFFF"/>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F0FFFF"/>
            </w:tcBorders>
            <w:shd w:val="clear" w:color="auto" w:fill="F0FFFF"/>
          </w:tcPr>
          <w:p>
            <w:pPr>
              <w:spacing w:after="0" w:line="20" w:lineRule="exact"/>
              <w:rPr>
                <w:sz w:val="1"/>
                <w:szCs w:val="1"/>
                <w:color w:val="auto"/>
              </w:rPr>
            </w:pPr>
          </w:p>
        </w:tc>
        <w:tc>
          <w:tcPr>
            <w:tcW w:w="140" w:type="dxa"/>
            <w:vAlign w:val="bottom"/>
            <w:tcBorders>
              <w:left w:val="single" w:sz="8" w:color="F0FFFF"/>
            </w:tcBorders>
            <w:shd w:val="clear" w:color="auto" w:fill="F0FFFF"/>
          </w:tcPr>
          <w:p>
            <w:pPr>
              <w:spacing w:after="0" w:line="20" w:lineRule="exact"/>
              <w:rPr>
                <w:sz w:val="1"/>
                <w:szCs w:val="1"/>
                <w:color w:val="auto"/>
              </w:rPr>
            </w:pPr>
          </w:p>
        </w:tc>
        <w:tc>
          <w:tcPr>
            <w:tcW w:w="100" w:type="dxa"/>
            <w:vAlign w:val="bottom"/>
            <w:tcBorders>
              <w:left w:val="single" w:sz="8" w:color="F0FFFF"/>
            </w:tcBorders>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24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120" w:type="dxa"/>
            <w:vAlign w:val="bottom"/>
            <w:tcBorders>
              <w:left w:val="single" w:sz="8" w:color="F0FFFF"/>
            </w:tcBorders>
            <w:gridSpan w:val="2"/>
            <w:shd w:val="clear" w:color="auto" w:fill="F0FFFF"/>
          </w:tcPr>
          <w:p>
            <w:pPr>
              <w:spacing w:after="0" w:line="20" w:lineRule="exact"/>
              <w:rPr>
                <w:sz w:val="1"/>
                <w:szCs w:val="1"/>
                <w:color w:val="auto"/>
              </w:rPr>
            </w:pPr>
          </w:p>
        </w:tc>
        <w:tc>
          <w:tcPr>
            <w:tcW w:w="80" w:type="dxa"/>
            <w:vAlign w:val="bottom"/>
            <w:tcBorders>
              <w:left w:val="single" w:sz="8" w:color="F0FFFF"/>
            </w:tcBorders>
            <w:shd w:val="clear" w:color="auto" w:fill="F0FFFF"/>
          </w:tcPr>
          <w:p>
            <w:pPr>
              <w:spacing w:after="0" w:line="20" w:lineRule="exact"/>
              <w:rPr>
                <w:sz w:val="1"/>
                <w:szCs w:val="1"/>
                <w:color w:val="auto"/>
              </w:rPr>
            </w:pPr>
          </w:p>
        </w:tc>
        <w:tc>
          <w:tcPr>
            <w:tcW w:w="160" w:type="dxa"/>
            <w:vAlign w:val="bottom"/>
            <w:tcBorders>
              <w:right w:val="single" w:sz="8" w:color="auto"/>
            </w:tcBorders>
            <w:shd w:val="clear" w:color="auto" w:fill="F0FFFF"/>
          </w:tcPr>
          <w:p>
            <w:pPr>
              <w:spacing w:after="0" w:line="20" w:lineRule="exact"/>
              <w:rPr>
                <w:sz w:val="1"/>
                <w:szCs w:val="1"/>
                <w:color w:val="auto"/>
              </w:rPr>
            </w:pPr>
          </w:p>
        </w:tc>
        <w:tc>
          <w:tcPr>
            <w:tcW w:w="2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100" w:type="dxa"/>
            <w:vAlign w:val="bottom"/>
            <w:tcBorders>
              <w:left w:val="single" w:sz="8" w:color="F0FFFF"/>
            </w:tcBorders>
            <w:shd w:val="clear" w:color="auto" w:fill="F0FFFF"/>
          </w:tcPr>
          <w:p>
            <w:pPr>
              <w:spacing w:after="0" w:line="20" w:lineRule="exact"/>
              <w:rPr>
                <w:sz w:val="1"/>
                <w:szCs w:val="1"/>
                <w:color w:val="auto"/>
              </w:rPr>
            </w:pPr>
          </w:p>
        </w:tc>
        <w:tc>
          <w:tcPr>
            <w:tcW w:w="12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0" w:type="dxa"/>
            <w:vAlign w:val="bottom"/>
            <w:tcBorders>
              <w:left w:val="single" w:sz="8" w:color="auto"/>
            </w:tcBorders>
            <w:shd w:val="clear" w:color="auto" w:fill="F0FFFF"/>
          </w:tcPr>
          <w:p>
            <w:pPr>
              <w:spacing w:after="0"/>
              <w:rPr>
                <w:sz w:val="12"/>
                <w:szCs w:val="12"/>
                <w:color w:val="auto"/>
              </w:rPr>
            </w:pPr>
          </w:p>
        </w:tc>
        <w:tc>
          <w:tcPr>
            <w:tcW w:w="460" w:type="dxa"/>
            <w:vAlign w:val="bottom"/>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0" w:type="dxa"/>
            <w:vAlign w:val="bottom"/>
            <w:tcBorders>
              <w:right w:val="single" w:sz="8" w:color="auto"/>
            </w:tcBorders>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180" w:type="dxa"/>
            <w:vAlign w:val="bottom"/>
            <w:tcBorders>
              <w:right w:val="single" w:sz="8" w:color="F0FFFF"/>
            </w:tcBorders>
            <w:shd w:val="clear" w:color="auto" w:fill="F0FFFF"/>
          </w:tcPr>
          <w:p>
            <w:pPr>
              <w:spacing w:after="0"/>
              <w:rPr>
                <w:sz w:val="12"/>
                <w:szCs w:val="12"/>
                <w:color w:val="auto"/>
              </w:rPr>
            </w:pPr>
          </w:p>
        </w:tc>
        <w:tc>
          <w:tcPr>
            <w:tcW w:w="340" w:type="dxa"/>
            <w:vAlign w:val="bottom"/>
            <w:tcBorders>
              <w:left w:val="single" w:sz="8" w:color="F0FFFF"/>
            </w:tcBorders>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60" w:type="dxa"/>
            <w:vAlign w:val="bottom"/>
            <w:tcBorders>
              <w:righ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40" w:type="dxa"/>
            <w:vAlign w:val="bottom"/>
            <w:tcBorders>
              <w:right w:val="single" w:sz="8" w:color="auto"/>
            </w:tcBorders>
            <w:shd w:val="clear" w:color="auto" w:fill="F0FFFF"/>
          </w:tcPr>
          <w:p>
            <w:pPr>
              <w:spacing w:after="0"/>
              <w:rPr>
                <w:sz w:val="12"/>
                <w:szCs w:val="12"/>
                <w:color w:val="auto"/>
              </w:rPr>
            </w:pPr>
          </w:p>
        </w:tc>
        <w:tc>
          <w:tcPr>
            <w:tcW w:w="1460" w:type="dxa"/>
            <w:vAlign w:val="bottom"/>
            <w:tcBorders>
              <w:right w:val="single" w:sz="8" w:color="auto"/>
            </w:tcBorders>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2200" w:type="dxa"/>
            <w:vAlign w:val="bottom"/>
            <w:tcBorders>
              <w:right w:val="single" w:sz="8" w:color="auto"/>
            </w:tcBorders>
            <w:gridSpan w:val="18"/>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Options, which may be less than the</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shd w:val="clear" w:color="auto" w:fill="F0FFFF"/>
          </w:tcPr>
          <w:p>
            <w:pPr>
              <w:spacing w:after="0" w:line="20" w:lineRule="exact"/>
              <w:rPr>
                <w:sz w:val="1"/>
                <w:szCs w:val="1"/>
                <w:color w:val="auto"/>
              </w:rPr>
            </w:pPr>
          </w:p>
        </w:tc>
        <w:tc>
          <w:tcPr>
            <w:tcW w:w="460" w:type="dxa"/>
            <w:vAlign w:val="bottom"/>
            <w:shd w:val="clear" w:color="auto" w:fill="F0FFFF"/>
          </w:tcPr>
          <w:p>
            <w:pPr>
              <w:spacing w:after="0" w:line="20" w:lineRule="exact"/>
              <w:rPr>
                <w:sz w:val="1"/>
                <w:szCs w:val="1"/>
                <w:color w:val="auto"/>
              </w:rPr>
            </w:pPr>
          </w:p>
        </w:tc>
        <w:tc>
          <w:tcPr>
            <w:tcW w:w="360" w:type="dxa"/>
            <w:vAlign w:val="bottom"/>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60" w:type="dxa"/>
            <w:vAlign w:val="bottom"/>
            <w:tcBorders>
              <w:right w:val="single" w:sz="8" w:color="auto"/>
            </w:tcBorders>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180" w:type="dxa"/>
            <w:vAlign w:val="bottom"/>
            <w:tcBorders>
              <w:right w:val="single" w:sz="8" w:color="F0FFFF"/>
            </w:tcBorders>
            <w:shd w:val="clear" w:color="auto" w:fill="F0FFFF"/>
          </w:tcPr>
          <w:p>
            <w:pPr>
              <w:spacing w:after="0" w:line="20" w:lineRule="exact"/>
              <w:rPr>
                <w:sz w:val="1"/>
                <w:szCs w:val="1"/>
                <w:color w:val="auto"/>
              </w:rPr>
            </w:pPr>
          </w:p>
        </w:tc>
        <w:tc>
          <w:tcPr>
            <w:tcW w:w="340" w:type="dxa"/>
            <w:vAlign w:val="bottom"/>
            <w:tcBorders>
              <w:left w:val="single" w:sz="8" w:color="F0FFFF"/>
            </w:tcBorders>
            <w:shd w:val="clear" w:color="auto" w:fill="F0FFFF"/>
          </w:tcPr>
          <w:p>
            <w:pPr>
              <w:spacing w:after="0" w:line="20" w:lineRule="exact"/>
              <w:rPr>
                <w:sz w:val="1"/>
                <w:szCs w:val="1"/>
                <w:color w:val="auto"/>
              </w:rPr>
            </w:pPr>
          </w:p>
        </w:tc>
        <w:tc>
          <w:tcPr>
            <w:tcW w:w="420" w:type="dxa"/>
            <w:vAlign w:val="bottom"/>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20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40" w:type="dxa"/>
            <w:vAlign w:val="bottom"/>
            <w:tcBorders>
              <w:right w:val="single" w:sz="8" w:color="auto"/>
            </w:tcBorders>
            <w:shd w:val="clear" w:color="auto" w:fill="F0FFFF"/>
          </w:tcPr>
          <w:p>
            <w:pPr>
              <w:spacing w:after="0" w:line="20" w:lineRule="exact"/>
              <w:rPr>
                <w:sz w:val="1"/>
                <w:szCs w:val="1"/>
                <w:color w:val="auto"/>
              </w:rPr>
            </w:pPr>
          </w:p>
        </w:tc>
        <w:tc>
          <w:tcPr>
            <w:tcW w:w="1460" w:type="dxa"/>
            <w:vAlign w:val="bottom"/>
            <w:tcBorders>
              <w:right w:val="single" w:sz="8" w:color="auto"/>
            </w:tcBorders>
            <w:shd w:val="clear" w:color="auto" w:fill="F0FFFF"/>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F0FFFF"/>
            </w:tcBorders>
            <w:shd w:val="clear" w:color="auto" w:fill="F0FFFF"/>
          </w:tcPr>
          <w:p>
            <w:pPr>
              <w:spacing w:after="0" w:line="20" w:lineRule="exact"/>
              <w:rPr>
                <w:sz w:val="1"/>
                <w:szCs w:val="1"/>
                <w:color w:val="auto"/>
              </w:rPr>
            </w:pPr>
          </w:p>
        </w:tc>
        <w:tc>
          <w:tcPr>
            <w:tcW w:w="100" w:type="dxa"/>
            <w:vAlign w:val="bottom"/>
            <w:tcBorders>
              <w:left w:val="single" w:sz="8" w:color="F0FFFF"/>
            </w:tcBorders>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24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120" w:type="dxa"/>
            <w:vAlign w:val="bottom"/>
            <w:tcBorders>
              <w:left w:val="single" w:sz="8" w:color="F0FFFF"/>
            </w:tcBorders>
            <w:gridSpan w:val="2"/>
            <w:shd w:val="clear" w:color="auto" w:fill="F0FFFF"/>
          </w:tcPr>
          <w:p>
            <w:pPr>
              <w:spacing w:after="0" w:line="20" w:lineRule="exact"/>
              <w:rPr>
                <w:sz w:val="1"/>
                <w:szCs w:val="1"/>
                <w:color w:val="auto"/>
              </w:rPr>
            </w:pPr>
          </w:p>
        </w:tc>
        <w:tc>
          <w:tcPr>
            <w:tcW w:w="80" w:type="dxa"/>
            <w:vAlign w:val="bottom"/>
            <w:tcBorders>
              <w:left w:val="single" w:sz="8" w:color="F0FFFF"/>
            </w:tcBorders>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180" w:type="dxa"/>
            <w:vAlign w:val="bottom"/>
            <w:tcBorders>
              <w:left w:val="single" w:sz="8" w:color="F0FFFF"/>
            </w:tcBorders>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100" w:type="dxa"/>
            <w:vAlign w:val="bottom"/>
            <w:tcBorders>
              <w:left w:val="single" w:sz="8" w:color="F0FFFF"/>
            </w:tcBorders>
            <w:shd w:val="clear" w:color="auto" w:fill="F0FFFF"/>
          </w:tcPr>
          <w:p>
            <w:pPr>
              <w:spacing w:after="0" w:line="20" w:lineRule="exact"/>
              <w:rPr>
                <w:sz w:val="1"/>
                <w:szCs w:val="1"/>
                <w:color w:val="auto"/>
              </w:rPr>
            </w:pPr>
          </w:p>
        </w:tc>
        <w:tc>
          <w:tcPr>
            <w:tcW w:w="12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0" w:type="dxa"/>
            <w:vAlign w:val="bottom"/>
            <w:tcBorders>
              <w:left w:val="single" w:sz="8" w:color="auto"/>
            </w:tcBorders>
            <w:shd w:val="clear" w:color="auto" w:fill="F0FFFF"/>
          </w:tcPr>
          <w:p>
            <w:pPr>
              <w:spacing w:after="0"/>
              <w:rPr>
                <w:sz w:val="12"/>
                <w:szCs w:val="12"/>
                <w:color w:val="auto"/>
              </w:rPr>
            </w:pPr>
          </w:p>
        </w:tc>
        <w:tc>
          <w:tcPr>
            <w:tcW w:w="460" w:type="dxa"/>
            <w:vAlign w:val="bottom"/>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0" w:type="dxa"/>
            <w:vAlign w:val="bottom"/>
            <w:tcBorders>
              <w:right w:val="single" w:sz="8" w:color="auto"/>
            </w:tcBorders>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180" w:type="dxa"/>
            <w:vAlign w:val="bottom"/>
            <w:tcBorders>
              <w:right w:val="single" w:sz="8" w:color="F0FFFF"/>
            </w:tcBorders>
            <w:shd w:val="clear" w:color="auto" w:fill="F0FFFF"/>
          </w:tcPr>
          <w:p>
            <w:pPr>
              <w:spacing w:after="0"/>
              <w:rPr>
                <w:sz w:val="12"/>
                <w:szCs w:val="12"/>
                <w:color w:val="auto"/>
              </w:rPr>
            </w:pPr>
          </w:p>
        </w:tc>
        <w:tc>
          <w:tcPr>
            <w:tcW w:w="340" w:type="dxa"/>
            <w:vAlign w:val="bottom"/>
            <w:tcBorders>
              <w:left w:val="single" w:sz="8" w:color="F0FFFF"/>
            </w:tcBorders>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60" w:type="dxa"/>
            <w:vAlign w:val="bottom"/>
            <w:tcBorders>
              <w:righ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40" w:type="dxa"/>
            <w:vAlign w:val="bottom"/>
            <w:tcBorders>
              <w:right w:val="single" w:sz="8" w:color="auto"/>
            </w:tcBorders>
            <w:shd w:val="clear" w:color="auto" w:fill="F0FFFF"/>
          </w:tcPr>
          <w:p>
            <w:pPr>
              <w:spacing w:after="0"/>
              <w:rPr>
                <w:sz w:val="12"/>
                <w:szCs w:val="12"/>
                <w:color w:val="auto"/>
              </w:rPr>
            </w:pPr>
          </w:p>
        </w:tc>
        <w:tc>
          <w:tcPr>
            <w:tcW w:w="1460" w:type="dxa"/>
            <w:vAlign w:val="bottom"/>
            <w:tcBorders>
              <w:right w:val="single" w:sz="8" w:color="auto"/>
            </w:tcBorders>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2200" w:type="dxa"/>
            <w:vAlign w:val="bottom"/>
            <w:tcBorders>
              <w:right w:val="single" w:sz="8" w:color="auto"/>
            </w:tcBorders>
            <w:gridSpan w:val="18"/>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Investment Amount.</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shd w:val="clear" w:color="auto" w:fill="F0FFFF"/>
          </w:tcPr>
          <w:p>
            <w:pPr>
              <w:spacing w:after="0" w:line="20" w:lineRule="exact"/>
              <w:rPr>
                <w:sz w:val="1"/>
                <w:szCs w:val="1"/>
                <w:color w:val="auto"/>
              </w:rPr>
            </w:pPr>
          </w:p>
        </w:tc>
        <w:tc>
          <w:tcPr>
            <w:tcW w:w="460" w:type="dxa"/>
            <w:vAlign w:val="bottom"/>
            <w:shd w:val="clear" w:color="auto" w:fill="F0FFFF"/>
          </w:tcPr>
          <w:p>
            <w:pPr>
              <w:spacing w:after="0" w:line="20" w:lineRule="exact"/>
              <w:rPr>
                <w:sz w:val="1"/>
                <w:szCs w:val="1"/>
                <w:color w:val="auto"/>
              </w:rPr>
            </w:pPr>
          </w:p>
        </w:tc>
        <w:tc>
          <w:tcPr>
            <w:tcW w:w="360" w:type="dxa"/>
            <w:vAlign w:val="bottom"/>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60" w:type="dxa"/>
            <w:vAlign w:val="bottom"/>
            <w:tcBorders>
              <w:right w:val="single" w:sz="8" w:color="auto"/>
            </w:tcBorders>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180" w:type="dxa"/>
            <w:vAlign w:val="bottom"/>
            <w:tcBorders>
              <w:right w:val="single" w:sz="8" w:color="F0FFFF"/>
            </w:tcBorders>
            <w:shd w:val="clear" w:color="auto" w:fill="F0FFFF"/>
          </w:tcPr>
          <w:p>
            <w:pPr>
              <w:spacing w:after="0" w:line="20" w:lineRule="exact"/>
              <w:rPr>
                <w:sz w:val="1"/>
                <w:szCs w:val="1"/>
                <w:color w:val="auto"/>
              </w:rPr>
            </w:pPr>
          </w:p>
        </w:tc>
        <w:tc>
          <w:tcPr>
            <w:tcW w:w="340" w:type="dxa"/>
            <w:vAlign w:val="bottom"/>
            <w:tcBorders>
              <w:left w:val="single" w:sz="8" w:color="F0FFFF"/>
            </w:tcBorders>
            <w:shd w:val="clear" w:color="auto" w:fill="F0FFFF"/>
          </w:tcPr>
          <w:p>
            <w:pPr>
              <w:spacing w:after="0" w:line="20" w:lineRule="exact"/>
              <w:rPr>
                <w:sz w:val="1"/>
                <w:szCs w:val="1"/>
                <w:color w:val="auto"/>
              </w:rPr>
            </w:pPr>
          </w:p>
        </w:tc>
        <w:tc>
          <w:tcPr>
            <w:tcW w:w="420" w:type="dxa"/>
            <w:vAlign w:val="bottom"/>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20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40" w:type="dxa"/>
            <w:vAlign w:val="bottom"/>
            <w:tcBorders>
              <w:right w:val="single" w:sz="8" w:color="auto"/>
            </w:tcBorders>
            <w:shd w:val="clear" w:color="auto" w:fill="F0FFFF"/>
          </w:tcPr>
          <w:p>
            <w:pPr>
              <w:spacing w:after="0" w:line="20" w:lineRule="exact"/>
              <w:rPr>
                <w:sz w:val="1"/>
                <w:szCs w:val="1"/>
                <w:color w:val="auto"/>
              </w:rPr>
            </w:pPr>
          </w:p>
        </w:tc>
        <w:tc>
          <w:tcPr>
            <w:tcW w:w="1460" w:type="dxa"/>
            <w:vAlign w:val="bottom"/>
            <w:tcBorders>
              <w:right w:val="single" w:sz="8" w:color="auto"/>
            </w:tcBorders>
            <w:shd w:val="clear" w:color="auto" w:fill="F0FFFF"/>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F0FFFF"/>
            </w:tcBorders>
            <w:gridSpan w:val="2"/>
            <w:shd w:val="clear" w:color="auto" w:fill="F0FFFF"/>
          </w:tcPr>
          <w:p>
            <w:pPr>
              <w:spacing w:after="0" w:line="20" w:lineRule="exact"/>
              <w:rPr>
                <w:sz w:val="1"/>
                <w:szCs w:val="1"/>
                <w:color w:val="auto"/>
              </w:rPr>
            </w:pPr>
          </w:p>
        </w:tc>
        <w:tc>
          <w:tcPr>
            <w:tcW w:w="80" w:type="dxa"/>
            <w:vAlign w:val="bottom"/>
            <w:tcBorders>
              <w:left w:val="single" w:sz="8" w:color="F0FFFF"/>
            </w:tcBorders>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180" w:type="dxa"/>
            <w:vAlign w:val="bottom"/>
            <w:tcBorders>
              <w:left w:val="single" w:sz="8" w:color="F0FFFF"/>
            </w:tcBorders>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100" w:type="dxa"/>
            <w:vAlign w:val="bottom"/>
            <w:tcBorders>
              <w:left w:val="single" w:sz="8" w:color="F0FFFF"/>
            </w:tcBorders>
            <w:shd w:val="clear" w:color="auto" w:fill="F0FFFF"/>
          </w:tcPr>
          <w:p>
            <w:pPr>
              <w:spacing w:after="0" w:line="20" w:lineRule="exact"/>
              <w:rPr>
                <w:sz w:val="1"/>
                <w:szCs w:val="1"/>
                <w:color w:val="auto"/>
              </w:rPr>
            </w:pPr>
          </w:p>
        </w:tc>
        <w:tc>
          <w:tcPr>
            <w:tcW w:w="12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 w:type="dxa"/>
            <w:vAlign w:val="bottom"/>
            <w:tcBorders>
              <w:left w:val="single" w:sz="8" w:color="auto"/>
            </w:tcBorders>
            <w:shd w:val="clear" w:color="auto" w:fill="F0FFFF"/>
          </w:tcPr>
          <w:p>
            <w:pPr>
              <w:spacing w:after="0"/>
              <w:rPr>
                <w:sz w:val="13"/>
                <w:szCs w:val="13"/>
                <w:color w:val="auto"/>
              </w:rPr>
            </w:pPr>
          </w:p>
        </w:tc>
        <w:tc>
          <w:tcPr>
            <w:tcW w:w="460" w:type="dxa"/>
            <w:vAlign w:val="bottom"/>
            <w:shd w:val="clear" w:color="auto" w:fill="F0FFFF"/>
          </w:tcPr>
          <w:p>
            <w:pPr>
              <w:spacing w:after="0"/>
              <w:rPr>
                <w:sz w:val="13"/>
                <w:szCs w:val="13"/>
                <w:color w:val="auto"/>
              </w:rPr>
            </w:pPr>
          </w:p>
        </w:tc>
        <w:tc>
          <w:tcPr>
            <w:tcW w:w="360" w:type="dxa"/>
            <w:vAlign w:val="bottom"/>
            <w:shd w:val="clear" w:color="auto" w:fill="F0FFFF"/>
          </w:tcPr>
          <w:p>
            <w:pPr>
              <w:spacing w:after="0"/>
              <w:rPr>
                <w:sz w:val="13"/>
                <w:szCs w:val="13"/>
                <w:color w:val="auto"/>
              </w:rPr>
            </w:pPr>
          </w:p>
        </w:tc>
        <w:tc>
          <w:tcPr>
            <w:tcW w:w="160" w:type="dxa"/>
            <w:vAlign w:val="bottom"/>
            <w:shd w:val="clear" w:color="auto" w:fill="F0FFFF"/>
          </w:tcPr>
          <w:p>
            <w:pPr>
              <w:spacing w:after="0"/>
              <w:rPr>
                <w:sz w:val="13"/>
                <w:szCs w:val="13"/>
                <w:color w:val="auto"/>
              </w:rPr>
            </w:pPr>
          </w:p>
        </w:tc>
        <w:tc>
          <w:tcPr>
            <w:tcW w:w="60" w:type="dxa"/>
            <w:vAlign w:val="bottom"/>
            <w:tcBorders>
              <w:right w:val="single" w:sz="8" w:color="auto"/>
            </w:tcBorders>
            <w:shd w:val="clear" w:color="auto" w:fill="F0FFFF"/>
          </w:tcPr>
          <w:p>
            <w:pPr>
              <w:spacing w:after="0"/>
              <w:rPr>
                <w:sz w:val="13"/>
                <w:szCs w:val="13"/>
                <w:color w:val="auto"/>
              </w:rPr>
            </w:pPr>
          </w:p>
        </w:tc>
        <w:tc>
          <w:tcPr>
            <w:tcW w:w="260" w:type="dxa"/>
            <w:vAlign w:val="bottom"/>
            <w:shd w:val="clear" w:color="auto" w:fill="F0FFFF"/>
          </w:tcPr>
          <w:p>
            <w:pPr>
              <w:spacing w:after="0"/>
              <w:rPr>
                <w:sz w:val="13"/>
                <w:szCs w:val="13"/>
                <w:color w:val="auto"/>
              </w:rPr>
            </w:pPr>
          </w:p>
        </w:tc>
        <w:tc>
          <w:tcPr>
            <w:tcW w:w="180" w:type="dxa"/>
            <w:vAlign w:val="bottom"/>
            <w:tcBorders>
              <w:right w:val="single" w:sz="8" w:color="F0FFFF"/>
            </w:tcBorders>
            <w:shd w:val="clear" w:color="auto" w:fill="F0FFFF"/>
          </w:tcPr>
          <w:p>
            <w:pPr>
              <w:spacing w:after="0"/>
              <w:rPr>
                <w:sz w:val="13"/>
                <w:szCs w:val="13"/>
                <w:color w:val="auto"/>
              </w:rPr>
            </w:pPr>
          </w:p>
        </w:tc>
        <w:tc>
          <w:tcPr>
            <w:tcW w:w="340" w:type="dxa"/>
            <w:vAlign w:val="bottom"/>
            <w:tcBorders>
              <w:left w:val="single" w:sz="8" w:color="F0FFFF"/>
            </w:tcBorders>
            <w:shd w:val="clear" w:color="auto" w:fill="F0FFFF"/>
          </w:tcPr>
          <w:p>
            <w:pPr>
              <w:spacing w:after="0"/>
              <w:rPr>
                <w:sz w:val="13"/>
                <w:szCs w:val="13"/>
                <w:color w:val="auto"/>
              </w:rPr>
            </w:pPr>
          </w:p>
        </w:tc>
        <w:tc>
          <w:tcPr>
            <w:tcW w:w="420" w:type="dxa"/>
            <w:vAlign w:val="bottom"/>
            <w:shd w:val="clear" w:color="auto" w:fill="F0FFFF"/>
          </w:tcPr>
          <w:p>
            <w:pPr>
              <w:spacing w:after="0"/>
              <w:rPr>
                <w:sz w:val="13"/>
                <w:szCs w:val="13"/>
                <w:color w:val="auto"/>
              </w:rPr>
            </w:pPr>
          </w:p>
        </w:tc>
        <w:tc>
          <w:tcPr>
            <w:tcW w:w="40" w:type="dxa"/>
            <w:vAlign w:val="bottom"/>
            <w:shd w:val="clear" w:color="auto" w:fill="F0FFFF"/>
          </w:tcPr>
          <w:p>
            <w:pPr>
              <w:spacing w:after="0"/>
              <w:rPr>
                <w:sz w:val="13"/>
                <w:szCs w:val="13"/>
                <w:color w:val="auto"/>
              </w:rPr>
            </w:pPr>
          </w:p>
        </w:tc>
        <w:tc>
          <w:tcPr>
            <w:tcW w:w="18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20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60" w:type="dxa"/>
            <w:vAlign w:val="bottom"/>
            <w:tcBorders>
              <w:right w:val="single" w:sz="8" w:color="F0FFFF"/>
            </w:tcBorders>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40" w:type="dxa"/>
            <w:vAlign w:val="bottom"/>
            <w:tcBorders>
              <w:right w:val="single" w:sz="8" w:color="auto"/>
            </w:tcBorders>
            <w:shd w:val="clear" w:color="auto" w:fill="F0FFFF"/>
          </w:tcPr>
          <w:p>
            <w:pPr>
              <w:spacing w:after="0"/>
              <w:rPr>
                <w:sz w:val="13"/>
                <w:szCs w:val="13"/>
                <w:color w:val="auto"/>
              </w:rPr>
            </w:pPr>
          </w:p>
        </w:tc>
        <w:tc>
          <w:tcPr>
            <w:tcW w:w="1460" w:type="dxa"/>
            <w:vAlign w:val="bottom"/>
            <w:tcBorders>
              <w:right w:val="single" w:sz="8" w:color="auto"/>
            </w:tcBorders>
            <w:shd w:val="clear" w:color="auto" w:fill="F0FFFF"/>
          </w:tcPr>
          <w:p>
            <w:pPr>
              <w:spacing w:after="0"/>
              <w:rPr>
                <w:sz w:val="13"/>
                <w:szCs w:val="13"/>
                <w:color w:val="auto"/>
              </w:rPr>
            </w:pPr>
          </w:p>
        </w:tc>
        <w:tc>
          <w:tcPr>
            <w:tcW w:w="2340" w:type="dxa"/>
            <w:vAlign w:val="bottom"/>
            <w:tcBorders>
              <w:right w:val="single" w:sz="8" w:color="auto"/>
            </w:tcBorders>
            <w:gridSpan w:val="19"/>
            <w:shd w:val="clear" w:color="auto" w:fill="F0FFFF"/>
          </w:tcPr>
          <w:p>
            <w:pPr>
              <w:ind w:left="20"/>
              <w:spacing w:after="0"/>
              <w:rPr>
                <w:sz w:val="20"/>
                <w:szCs w:val="20"/>
                <w:color w:val="auto"/>
              </w:rPr>
            </w:pPr>
            <w:r>
              <w:rPr>
                <w:rFonts w:ascii="Times New Roman" w:cs="Times New Roman" w:eastAsia="Times New Roman" w:hAnsi="Times New Roman"/>
                <w:sz w:val="13"/>
                <w:szCs w:val="13"/>
                <w:color w:val="auto"/>
              </w:rPr>
              <w:t>● Withdrawals will reduce the death</w:t>
            </w:r>
          </w:p>
        </w:tc>
        <w:tc>
          <w:tcPr>
            <w:tcW w:w="0" w:type="dxa"/>
            <w:vAlign w:val="bottom"/>
          </w:tcPr>
          <w:p>
            <w:pPr>
              <w:spacing w:after="0"/>
              <w:rPr>
                <w:sz w:val="1"/>
                <w:szCs w:val="1"/>
                <w:color w:val="auto"/>
              </w:rPr>
            </w:pPr>
          </w:p>
        </w:tc>
      </w:tr>
      <w:tr>
        <w:trPr>
          <w:trHeight w:val="159"/>
        </w:trPr>
        <w:tc>
          <w:tcPr>
            <w:tcW w:w="40" w:type="dxa"/>
            <w:vAlign w:val="bottom"/>
            <w:tcBorders>
              <w:left w:val="single" w:sz="8" w:color="auto"/>
            </w:tcBorders>
            <w:shd w:val="clear" w:color="auto" w:fill="F0FFFF"/>
          </w:tcPr>
          <w:p>
            <w:pPr>
              <w:spacing w:after="0"/>
              <w:rPr>
                <w:sz w:val="13"/>
                <w:szCs w:val="13"/>
                <w:color w:val="auto"/>
              </w:rPr>
            </w:pPr>
          </w:p>
        </w:tc>
        <w:tc>
          <w:tcPr>
            <w:tcW w:w="460" w:type="dxa"/>
            <w:vAlign w:val="bottom"/>
            <w:shd w:val="clear" w:color="auto" w:fill="F0FFFF"/>
          </w:tcPr>
          <w:p>
            <w:pPr>
              <w:spacing w:after="0"/>
              <w:rPr>
                <w:sz w:val="13"/>
                <w:szCs w:val="13"/>
                <w:color w:val="auto"/>
              </w:rPr>
            </w:pPr>
          </w:p>
        </w:tc>
        <w:tc>
          <w:tcPr>
            <w:tcW w:w="360" w:type="dxa"/>
            <w:vAlign w:val="bottom"/>
            <w:shd w:val="clear" w:color="auto" w:fill="F0FFFF"/>
          </w:tcPr>
          <w:p>
            <w:pPr>
              <w:spacing w:after="0"/>
              <w:rPr>
                <w:sz w:val="13"/>
                <w:szCs w:val="13"/>
                <w:color w:val="auto"/>
              </w:rPr>
            </w:pPr>
          </w:p>
        </w:tc>
        <w:tc>
          <w:tcPr>
            <w:tcW w:w="160" w:type="dxa"/>
            <w:vAlign w:val="bottom"/>
            <w:shd w:val="clear" w:color="auto" w:fill="F0FFFF"/>
          </w:tcPr>
          <w:p>
            <w:pPr>
              <w:spacing w:after="0"/>
              <w:rPr>
                <w:sz w:val="13"/>
                <w:szCs w:val="13"/>
                <w:color w:val="auto"/>
              </w:rPr>
            </w:pPr>
          </w:p>
        </w:tc>
        <w:tc>
          <w:tcPr>
            <w:tcW w:w="60" w:type="dxa"/>
            <w:vAlign w:val="bottom"/>
            <w:tcBorders>
              <w:right w:val="single" w:sz="8" w:color="auto"/>
            </w:tcBorders>
            <w:shd w:val="clear" w:color="auto" w:fill="F0FFFF"/>
          </w:tcPr>
          <w:p>
            <w:pPr>
              <w:spacing w:after="0"/>
              <w:rPr>
                <w:sz w:val="13"/>
                <w:szCs w:val="13"/>
                <w:color w:val="auto"/>
              </w:rPr>
            </w:pPr>
          </w:p>
        </w:tc>
        <w:tc>
          <w:tcPr>
            <w:tcW w:w="260" w:type="dxa"/>
            <w:vAlign w:val="bottom"/>
            <w:shd w:val="clear" w:color="auto" w:fill="F0FFFF"/>
          </w:tcPr>
          <w:p>
            <w:pPr>
              <w:spacing w:after="0"/>
              <w:rPr>
                <w:sz w:val="13"/>
                <w:szCs w:val="13"/>
                <w:color w:val="auto"/>
              </w:rPr>
            </w:pPr>
          </w:p>
        </w:tc>
        <w:tc>
          <w:tcPr>
            <w:tcW w:w="180" w:type="dxa"/>
            <w:vAlign w:val="bottom"/>
            <w:tcBorders>
              <w:right w:val="single" w:sz="8" w:color="F0FFFF"/>
            </w:tcBorders>
            <w:shd w:val="clear" w:color="auto" w:fill="F0FFFF"/>
          </w:tcPr>
          <w:p>
            <w:pPr>
              <w:spacing w:after="0"/>
              <w:rPr>
                <w:sz w:val="13"/>
                <w:szCs w:val="13"/>
                <w:color w:val="auto"/>
              </w:rPr>
            </w:pPr>
          </w:p>
        </w:tc>
        <w:tc>
          <w:tcPr>
            <w:tcW w:w="340" w:type="dxa"/>
            <w:vAlign w:val="bottom"/>
            <w:tcBorders>
              <w:left w:val="single" w:sz="8" w:color="F0FFFF"/>
            </w:tcBorders>
            <w:shd w:val="clear" w:color="auto" w:fill="F0FFFF"/>
          </w:tcPr>
          <w:p>
            <w:pPr>
              <w:spacing w:after="0"/>
              <w:rPr>
                <w:sz w:val="13"/>
                <w:szCs w:val="13"/>
                <w:color w:val="auto"/>
              </w:rPr>
            </w:pPr>
          </w:p>
        </w:tc>
        <w:tc>
          <w:tcPr>
            <w:tcW w:w="420" w:type="dxa"/>
            <w:vAlign w:val="bottom"/>
            <w:shd w:val="clear" w:color="auto" w:fill="F0FFFF"/>
          </w:tcPr>
          <w:p>
            <w:pPr>
              <w:spacing w:after="0"/>
              <w:rPr>
                <w:sz w:val="13"/>
                <w:szCs w:val="13"/>
                <w:color w:val="auto"/>
              </w:rPr>
            </w:pPr>
          </w:p>
        </w:tc>
        <w:tc>
          <w:tcPr>
            <w:tcW w:w="40" w:type="dxa"/>
            <w:vAlign w:val="bottom"/>
            <w:shd w:val="clear" w:color="auto" w:fill="F0FFFF"/>
          </w:tcPr>
          <w:p>
            <w:pPr>
              <w:spacing w:after="0"/>
              <w:rPr>
                <w:sz w:val="13"/>
                <w:szCs w:val="13"/>
                <w:color w:val="auto"/>
              </w:rPr>
            </w:pPr>
          </w:p>
        </w:tc>
        <w:tc>
          <w:tcPr>
            <w:tcW w:w="18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20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60" w:type="dxa"/>
            <w:vAlign w:val="bottom"/>
            <w:tcBorders>
              <w:right w:val="single" w:sz="8" w:color="F0FFFF"/>
            </w:tcBorders>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40" w:type="dxa"/>
            <w:vAlign w:val="bottom"/>
            <w:tcBorders>
              <w:right w:val="single" w:sz="8" w:color="auto"/>
            </w:tcBorders>
            <w:shd w:val="clear" w:color="auto" w:fill="F0FFFF"/>
          </w:tcPr>
          <w:p>
            <w:pPr>
              <w:spacing w:after="0"/>
              <w:rPr>
                <w:sz w:val="13"/>
                <w:szCs w:val="13"/>
                <w:color w:val="auto"/>
              </w:rPr>
            </w:pPr>
          </w:p>
        </w:tc>
        <w:tc>
          <w:tcPr>
            <w:tcW w:w="1460" w:type="dxa"/>
            <w:vAlign w:val="bottom"/>
            <w:tcBorders>
              <w:right w:val="single" w:sz="8" w:color="auto"/>
            </w:tcBorders>
            <w:shd w:val="clear" w:color="auto" w:fill="F0FFFF"/>
          </w:tcPr>
          <w:p>
            <w:pPr>
              <w:spacing w:after="0"/>
              <w:rPr>
                <w:sz w:val="13"/>
                <w:szCs w:val="13"/>
                <w:color w:val="auto"/>
              </w:rPr>
            </w:pPr>
          </w:p>
        </w:tc>
        <w:tc>
          <w:tcPr>
            <w:tcW w:w="140" w:type="dxa"/>
            <w:vAlign w:val="bottom"/>
            <w:shd w:val="clear" w:color="auto" w:fill="F0FFFF"/>
          </w:tcPr>
          <w:p>
            <w:pPr>
              <w:spacing w:after="0"/>
              <w:rPr>
                <w:sz w:val="13"/>
                <w:szCs w:val="13"/>
                <w:color w:val="auto"/>
              </w:rPr>
            </w:pPr>
          </w:p>
        </w:tc>
        <w:tc>
          <w:tcPr>
            <w:tcW w:w="2200" w:type="dxa"/>
            <w:vAlign w:val="bottom"/>
            <w:tcBorders>
              <w:right w:val="single" w:sz="8" w:color="auto"/>
            </w:tcBorders>
            <w:gridSpan w:val="18"/>
            <w:shd w:val="clear" w:color="auto" w:fill="F0FFFF"/>
          </w:tcPr>
          <w:p>
            <w:pPr>
              <w:spacing w:after="0"/>
              <w:rPr>
                <w:sz w:val="20"/>
                <w:szCs w:val="20"/>
                <w:color w:val="auto"/>
              </w:rPr>
            </w:pPr>
            <w:r>
              <w:rPr>
                <w:rFonts w:ascii="Times New Roman" w:cs="Times New Roman" w:eastAsia="Times New Roman" w:hAnsi="Times New Roman"/>
                <w:sz w:val="13"/>
                <w:szCs w:val="13"/>
                <w:color w:val="auto"/>
              </w:rPr>
              <w:t>benefit, perhaps significantly, and</w:t>
            </w:r>
          </w:p>
        </w:tc>
        <w:tc>
          <w:tcPr>
            <w:tcW w:w="0" w:type="dxa"/>
            <w:vAlign w:val="bottom"/>
          </w:tcPr>
          <w:p>
            <w:pPr>
              <w:spacing w:after="0"/>
              <w:rPr>
                <w:sz w:val="1"/>
                <w:szCs w:val="1"/>
                <w:color w:val="auto"/>
              </w:rPr>
            </w:pPr>
          </w:p>
        </w:tc>
      </w:tr>
      <w:tr>
        <w:trPr>
          <w:trHeight w:val="159"/>
        </w:trPr>
        <w:tc>
          <w:tcPr>
            <w:tcW w:w="40" w:type="dxa"/>
            <w:vAlign w:val="bottom"/>
            <w:tcBorders>
              <w:left w:val="single" w:sz="8" w:color="auto"/>
            </w:tcBorders>
            <w:shd w:val="clear" w:color="auto" w:fill="F0FFFF"/>
          </w:tcPr>
          <w:p>
            <w:pPr>
              <w:spacing w:after="0"/>
              <w:rPr>
                <w:sz w:val="13"/>
                <w:szCs w:val="13"/>
                <w:color w:val="auto"/>
              </w:rPr>
            </w:pPr>
          </w:p>
        </w:tc>
        <w:tc>
          <w:tcPr>
            <w:tcW w:w="460" w:type="dxa"/>
            <w:vAlign w:val="bottom"/>
            <w:shd w:val="clear" w:color="auto" w:fill="F0FFFF"/>
          </w:tcPr>
          <w:p>
            <w:pPr>
              <w:spacing w:after="0"/>
              <w:rPr>
                <w:sz w:val="13"/>
                <w:szCs w:val="13"/>
                <w:color w:val="auto"/>
              </w:rPr>
            </w:pPr>
          </w:p>
        </w:tc>
        <w:tc>
          <w:tcPr>
            <w:tcW w:w="360" w:type="dxa"/>
            <w:vAlign w:val="bottom"/>
            <w:shd w:val="clear" w:color="auto" w:fill="F0FFFF"/>
          </w:tcPr>
          <w:p>
            <w:pPr>
              <w:spacing w:after="0"/>
              <w:rPr>
                <w:sz w:val="13"/>
                <w:szCs w:val="13"/>
                <w:color w:val="auto"/>
              </w:rPr>
            </w:pPr>
          </w:p>
        </w:tc>
        <w:tc>
          <w:tcPr>
            <w:tcW w:w="160" w:type="dxa"/>
            <w:vAlign w:val="bottom"/>
            <w:shd w:val="clear" w:color="auto" w:fill="F0FFFF"/>
          </w:tcPr>
          <w:p>
            <w:pPr>
              <w:spacing w:after="0"/>
              <w:rPr>
                <w:sz w:val="13"/>
                <w:szCs w:val="13"/>
                <w:color w:val="auto"/>
              </w:rPr>
            </w:pPr>
          </w:p>
        </w:tc>
        <w:tc>
          <w:tcPr>
            <w:tcW w:w="60" w:type="dxa"/>
            <w:vAlign w:val="bottom"/>
            <w:tcBorders>
              <w:right w:val="single" w:sz="8" w:color="auto"/>
            </w:tcBorders>
            <w:shd w:val="clear" w:color="auto" w:fill="F0FFFF"/>
          </w:tcPr>
          <w:p>
            <w:pPr>
              <w:spacing w:after="0"/>
              <w:rPr>
                <w:sz w:val="13"/>
                <w:szCs w:val="13"/>
                <w:color w:val="auto"/>
              </w:rPr>
            </w:pPr>
          </w:p>
        </w:tc>
        <w:tc>
          <w:tcPr>
            <w:tcW w:w="260" w:type="dxa"/>
            <w:vAlign w:val="bottom"/>
            <w:shd w:val="clear" w:color="auto" w:fill="F0FFFF"/>
          </w:tcPr>
          <w:p>
            <w:pPr>
              <w:spacing w:after="0"/>
              <w:rPr>
                <w:sz w:val="13"/>
                <w:szCs w:val="13"/>
                <w:color w:val="auto"/>
              </w:rPr>
            </w:pPr>
          </w:p>
        </w:tc>
        <w:tc>
          <w:tcPr>
            <w:tcW w:w="180" w:type="dxa"/>
            <w:vAlign w:val="bottom"/>
            <w:tcBorders>
              <w:right w:val="single" w:sz="8" w:color="F0FFFF"/>
            </w:tcBorders>
            <w:shd w:val="clear" w:color="auto" w:fill="F0FFFF"/>
          </w:tcPr>
          <w:p>
            <w:pPr>
              <w:spacing w:after="0"/>
              <w:rPr>
                <w:sz w:val="13"/>
                <w:szCs w:val="13"/>
                <w:color w:val="auto"/>
              </w:rPr>
            </w:pPr>
          </w:p>
        </w:tc>
        <w:tc>
          <w:tcPr>
            <w:tcW w:w="340" w:type="dxa"/>
            <w:vAlign w:val="bottom"/>
            <w:tcBorders>
              <w:left w:val="single" w:sz="8" w:color="F0FFFF"/>
            </w:tcBorders>
            <w:shd w:val="clear" w:color="auto" w:fill="F0FFFF"/>
          </w:tcPr>
          <w:p>
            <w:pPr>
              <w:spacing w:after="0"/>
              <w:rPr>
                <w:sz w:val="13"/>
                <w:szCs w:val="13"/>
                <w:color w:val="auto"/>
              </w:rPr>
            </w:pPr>
          </w:p>
        </w:tc>
        <w:tc>
          <w:tcPr>
            <w:tcW w:w="420" w:type="dxa"/>
            <w:vAlign w:val="bottom"/>
            <w:shd w:val="clear" w:color="auto" w:fill="F0FFFF"/>
          </w:tcPr>
          <w:p>
            <w:pPr>
              <w:spacing w:after="0"/>
              <w:rPr>
                <w:sz w:val="13"/>
                <w:szCs w:val="13"/>
                <w:color w:val="auto"/>
              </w:rPr>
            </w:pPr>
          </w:p>
        </w:tc>
        <w:tc>
          <w:tcPr>
            <w:tcW w:w="40" w:type="dxa"/>
            <w:vAlign w:val="bottom"/>
            <w:shd w:val="clear" w:color="auto" w:fill="F0FFFF"/>
          </w:tcPr>
          <w:p>
            <w:pPr>
              <w:spacing w:after="0"/>
              <w:rPr>
                <w:sz w:val="13"/>
                <w:szCs w:val="13"/>
                <w:color w:val="auto"/>
              </w:rPr>
            </w:pPr>
          </w:p>
        </w:tc>
        <w:tc>
          <w:tcPr>
            <w:tcW w:w="18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20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60" w:type="dxa"/>
            <w:vAlign w:val="bottom"/>
            <w:tcBorders>
              <w:right w:val="single" w:sz="8" w:color="F0FFFF"/>
            </w:tcBorders>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40" w:type="dxa"/>
            <w:vAlign w:val="bottom"/>
            <w:tcBorders>
              <w:right w:val="single" w:sz="8" w:color="auto"/>
            </w:tcBorders>
            <w:shd w:val="clear" w:color="auto" w:fill="F0FFFF"/>
          </w:tcPr>
          <w:p>
            <w:pPr>
              <w:spacing w:after="0"/>
              <w:rPr>
                <w:sz w:val="13"/>
                <w:szCs w:val="13"/>
                <w:color w:val="auto"/>
              </w:rPr>
            </w:pPr>
          </w:p>
        </w:tc>
        <w:tc>
          <w:tcPr>
            <w:tcW w:w="1460" w:type="dxa"/>
            <w:vAlign w:val="bottom"/>
            <w:tcBorders>
              <w:right w:val="single" w:sz="8" w:color="auto"/>
            </w:tcBorders>
            <w:shd w:val="clear" w:color="auto" w:fill="F0FFFF"/>
          </w:tcPr>
          <w:p>
            <w:pPr>
              <w:spacing w:after="0"/>
              <w:rPr>
                <w:sz w:val="13"/>
                <w:szCs w:val="13"/>
                <w:color w:val="auto"/>
              </w:rPr>
            </w:pPr>
          </w:p>
        </w:tc>
        <w:tc>
          <w:tcPr>
            <w:tcW w:w="140" w:type="dxa"/>
            <w:vAlign w:val="bottom"/>
            <w:shd w:val="clear" w:color="auto" w:fill="F0FFFF"/>
          </w:tcPr>
          <w:p>
            <w:pPr>
              <w:spacing w:after="0"/>
              <w:rPr>
                <w:sz w:val="13"/>
                <w:szCs w:val="13"/>
                <w:color w:val="auto"/>
              </w:rPr>
            </w:pPr>
          </w:p>
        </w:tc>
        <w:tc>
          <w:tcPr>
            <w:tcW w:w="2200" w:type="dxa"/>
            <w:vAlign w:val="bottom"/>
            <w:tcBorders>
              <w:right w:val="single" w:sz="8" w:color="auto"/>
            </w:tcBorders>
            <w:gridSpan w:val="18"/>
            <w:shd w:val="clear" w:color="auto" w:fill="F0FFFF"/>
          </w:tcPr>
          <w:p>
            <w:pPr>
              <w:spacing w:after="0"/>
              <w:rPr>
                <w:sz w:val="20"/>
                <w:szCs w:val="20"/>
                <w:color w:val="auto"/>
              </w:rPr>
            </w:pPr>
            <w:r>
              <w:rPr>
                <w:rFonts w:ascii="Times New Roman" w:cs="Times New Roman" w:eastAsia="Times New Roman" w:hAnsi="Times New Roman"/>
                <w:sz w:val="13"/>
                <w:szCs w:val="13"/>
                <w:color w:val="auto"/>
              </w:rPr>
              <w:t>such reductions could be greater than</w:t>
            </w:r>
          </w:p>
        </w:tc>
        <w:tc>
          <w:tcPr>
            <w:tcW w:w="0" w:type="dxa"/>
            <w:vAlign w:val="bottom"/>
          </w:tcPr>
          <w:p>
            <w:pPr>
              <w:spacing w:after="0"/>
              <w:rPr>
                <w:sz w:val="1"/>
                <w:szCs w:val="1"/>
                <w:color w:val="auto"/>
              </w:rPr>
            </w:pPr>
          </w:p>
        </w:tc>
      </w:tr>
      <w:tr>
        <w:trPr>
          <w:trHeight w:val="182"/>
        </w:trPr>
        <w:tc>
          <w:tcPr>
            <w:tcW w:w="40" w:type="dxa"/>
            <w:vAlign w:val="bottom"/>
            <w:tcBorders>
              <w:left w:val="single" w:sz="8" w:color="auto"/>
              <w:bottom w:val="single" w:sz="8" w:color="auto"/>
            </w:tcBorders>
            <w:shd w:val="clear" w:color="auto" w:fill="F0FFFF"/>
          </w:tcPr>
          <w:p>
            <w:pPr>
              <w:spacing w:after="0"/>
              <w:rPr>
                <w:sz w:val="15"/>
                <w:szCs w:val="15"/>
                <w:color w:val="auto"/>
              </w:rPr>
            </w:pPr>
          </w:p>
        </w:tc>
        <w:tc>
          <w:tcPr>
            <w:tcW w:w="460" w:type="dxa"/>
            <w:vAlign w:val="bottom"/>
            <w:tcBorders>
              <w:bottom w:val="single" w:sz="8" w:color="auto"/>
            </w:tcBorders>
            <w:shd w:val="clear" w:color="auto" w:fill="F0FFFF"/>
          </w:tcPr>
          <w:p>
            <w:pPr>
              <w:spacing w:after="0"/>
              <w:rPr>
                <w:sz w:val="15"/>
                <w:szCs w:val="15"/>
                <w:color w:val="auto"/>
              </w:rPr>
            </w:pPr>
          </w:p>
        </w:tc>
        <w:tc>
          <w:tcPr>
            <w:tcW w:w="360" w:type="dxa"/>
            <w:vAlign w:val="bottom"/>
            <w:tcBorders>
              <w:bottom w:val="single" w:sz="8" w:color="auto"/>
            </w:tcBorders>
            <w:shd w:val="clear" w:color="auto" w:fill="F0FFFF"/>
          </w:tcPr>
          <w:p>
            <w:pPr>
              <w:spacing w:after="0"/>
              <w:rPr>
                <w:sz w:val="15"/>
                <w:szCs w:val="15"/>
                <w:color w:val="auto"/>
              </w:rPr>
            </w:pPr>
          </w:p>
        </w:tc>
        <w:tc>
          <w:tcPr>
            <w:tcW w:w="160" w:type="dxa"/>
            <w:vAlign w:val="bottom"/>
            <w:tcBorders>
              <w:bottom w:val="single" w:sz="8" w:color="auto"/>
            </w:tcBorders>
            <w:shd w:val="clear" w:color="auto" w:fill="F0FFFF"/>
          </w:tcPr>
          <w:p>
            <w:pPr>
              <w:spacing w:after="0"/>
              <w:rPr>
                <w:sz w:val="15"/>
                <w:szCs w:val="15"/>
                <w:color w:val="auto"/>
              </w:rPr>
            </w:pPr>
          </w:p>
        </w:tc>
        <w:tc>
          <w:tcPr>
            <w:tcW w:w="60" w:type="dxa"/>
            <w:vAlign w:val="bottom"/>
            <w:tcBorders>
              <w:bottom w:val="single" w:sz="8" w:color="auto"/>
              <w:right w:val="single" w:sz="8" w:color="auto"/>
            </w:tcBorders>
            <w:shd w:val="clear" w:color="auto" w:fill="F0FFFF"/>
          </w:tcPr>
          <w:p>
            <w:pPr>
              <w:spacing w:after="0"/>
              <w:rPr>
                <w:sz w:val="15"/>
                <w:szCs w:val="15"/>
                <w:color w:val="auto"/>
              </w:rPr>
            </w:pPr>
          </w:p>
        </w:tc>
        <w:tc>
          <w:tcPr>
            <w:tcW w:w="260" w:type="dxa"/>
            <w:vAlign w:val="bottom"/>
            <w:tcBorders>
              <w:bottom w:val="single" w:sz="8" w:color="auto"/>
            </w:tcBorders>
            <w:shd w:val="clear" w:color="auto" w:fill="F0FFFF"/>
          </w:tcPr>
          <w:p>
            <w:pPr>
              <w:spacing w:after="0"/>
              <w:rPr>
                <w:sz w:val="15"/>
                <w:szCs w:val="15"/>
                <w:color w:val="auto"/>
              </w:rPr>
            </w:pPr>
          </w:p>
        </w:tc>
        <w:tc>
          <w:tcPr>
            <w:tcW w:w="180" w:type="dxa"/>
            <w:vAlign w:val="bottom"/>
            <w:tcBorders>
              <w:bottom w:val="single" w:sz="8" w:color="auto"/>
              <w:right w:val="single" w:sz="8" w:color="F0FFFF"/>
            </w:tcBorders>
            <w:shd w:val="clear" w:color="auto" w:fill="F0FFFF"/>
          </w:tcPr>
          <w:p>
            <w:pPr>
              <w:spacing w:after="0"/>
              <w:rPr>
                <w:sz w:val="15"/>
                <w:szCs w:val="15"/>
                <w:color w:val="auto"/>
              </w:rPr>
            </w:pPr>
          </w:p>
        </w:tc>
        <w:tc>
          <w:tcPr>
            <w:tcW w:w="340" w:type="dxa"/>
            <w:vAlign w:val="bottom"/>
            <w:tcBorders>
              <w:left w:val="single" w:sz="8" w:color="F0FFFF"/>
              <w:bottom w:val="single" w:sz="8" w:color="auto"/>
            </w:tcBorders>
            <w:shd w:val="clear" w:color="auto" w:fill="F0FFFF"/>
          </w:tcPr>
          <w:p>
            <w:pPr>
              <w:spacing w:after="0"/>
              <w:rPr>
                <w:sz w:val="15"/>
                <w:szCs w:val="15"/>
                <w:color w:val="auto"/>
              </w:rPr>
            </w:pPr>
          </w:p>
        </w:tc>
        <w:tc>
          <w:tcPr>
            <w:tcW w:w="420" w:type="dxa"/>
            <w:vAlign w:val="bottom"/>
            <w:tcBorders>
              <w:bottom w:val="single" w:sz="8" w:color="auto"/>
            </w:tcBorders>
            <w:shd w:val="clear" w:color="auto" w:fill="F0FFFF"/>
          </w:tcPr>
          <w:p>
            <w:pPr>
              <w:spacing w:after="0"/>
              <w:rPr>
                <w:sz w:val="15"/>
                <w:szCs w:val="15"/>
                <w:color w:val="auto"/>
              </w:rPr>
            </w:pPr>
          </w:p>
        </w:tc>
        <w:tc>
          <w:tcPr>
            <w:tcW w:w="40" w:type="dxa"/>
            <w:vAlign w:val="bottom"/>
            <w:tcBorders>
              <w:bottom w:val="single" w:sz="8" w:color="auto"/>
            </w:tcBorders>
            <w:shd w:val="clear" w:color="auto" w:fill="F0FFFF"/>
          </w:tcPr>
          <w:p>
            <w:pPr>
              <w:spacing w:after="0"/>
              <w:rPr>
                <w:sz w:val="15"/>
                <w:szCs w:val="15"/>
                <w:color w:val="auto"/>
              </w:rPr>
            </w:pPr>
          </w:p>
        </w:tc>
        <w:tc>
          <w:tcPr>
            <w:tcW w:w="180" w:type="dxa"/>
            <w:vAlign w:val="bottom"/>
            <w:tcBorders>
              <w:bottom w:val="single" w:sz="8" w:color="auto"/>
            </w:tcBorders>
            <w:shd w:val="clear" w:color="auto" w:fill="F0FFFF"/>
          </w:tcPr>
          <w:p>
            <w:pPr>
              <w:spacing w:after="0"/>
              <w:rPr>
                <w:sz w:val="15"/>
                <w:szCs w:val="15"/>
                <w:color w:val="auto"/>
              </w:rPr>
            </w:pPr>
          </w:p>
        </w:tc>
        <w:tc>
          <w:tcPr>
            <w:tcW w:w="120" w:type="dxa"/>
            <w:vAlign w:val="bottom"/>
            <w:tcBorders>
              <w:bottom w:val="single" w:sz="8" w:color="auto"/>
            </w:tcBorders>
            <w:shd w:val="clear" w:color="auto" w:fill="F0FFFF"/>
          </w:tcPr>
          <w:p>
            <w:pPr>
              <w:spacing w:after="0"/>
              <w:rPr>
                <w:sz w:val="15"/>
                <w:szCs w:val="15"/>
                <w:color w:val="auto"/>
              </w:rPr>
            </w:pPr>
          </w:p>
        </w:tc>
        <w:tc>
          <w:tcPr>
            <w:tcW w:w="120" w:type="dxa"/>
            <w:vAlign w:val="bottom"/>
            <w:tcBorders>
              <w:bottom w:val="single" w:sz="8" w:color="auto"/>
            </w:tcBorders>
            <w:shd w:val="clear" w:color="auto" w:fill="F0FFFF"/>
          </w:tcPr>
          <w:p>
            <w:pPr>
              <w:spacing w:after="0"/>
              <w:rPr>
                <w:sz w:val="15"/>
                <w:szCs w:val="15"/>
                <w:color w:val="auto"/>
              </w:rPr>
            </w:pPr>
          </w:p>
        </w:tc>
        <w:tc>
          <w:tcPr>
            <w:tcW w:w="200" w:type="dxa"/>
            <w:vAlign w:val="bottom"/>
            <w:tcBorders>
              <w:bottom w:val="single" w:sz="8" w:color="auto"/>
            </w:tcBorders>
            <w:shd w:val="clear" w:color="auto" w:fill="F0FFFF"/>
          </w:tcPr>
          <w:p>
            <w:pPr>
              <w:spacing w:after="0"/>
              <w:rPr>
                <w:sz w:val="15"/>
                <w:szCs w:val="15"/>
                <w:color w:val="auto"/>
              </w:rPr>
            </w:pPr>
          </w:p>
        </w:tc>
        <w:tc>
          <w:tcPr>
            <w:tcW w:w="120" w:type="dxa"/>
            <w:vAlign w:val="bottom"/>
            <w:tcBorders>
              <w:bottom w:val="single" w:sz="8" w:color="auto"/>
            </w:tcBorders>
            <w:shd w:val="clear" w:color="auto" w:fill="F0FFFF"/>
          </w:tcPr>
          <w:p>
            <w:pPr>
              <w:spacing w:after="0"/>
              <w:rPr>
                <w:sz w:val="15"/>
                <w:szCs w:val="15"/>
                <w:color w:val="auto"/>
              </w:rPr>
            </w:pPr>
          </w:p>
        </w:tc>
        <w:tc>
          <w:tcPr>
            <w:tcW w:w="160" w:type="dxa"/>
            <w:vAlign w:val="bottom"/>
            <w:tcBorders>
              <w:bottom w:val="single" w:sz="8" w:color="auto"/>
              <w:right w:val="single" w:sz="8" w:color="F0FFFF"/>
            </w:tcBorders>
            <w:shd w:val="clear" w:color="auto" w:fill="F0FFFF"/>
          </w:tcPr>
          <w:p>
            <w:pPr>
              <w:spacing w:after="0"/>
              <w:rPr>
                <w:sz w:val="15"/>
                <w:szCs w:val="15"/>
                <w:color w:val="auto"/>
              </w:rPr>
            </w:pPr>
          </w:p>
        </w:tc>
        <w:tc>
          <w:tcPr>
            <w:tcW w:w="80" w:type="dxa"/>
            <w:vAlign w:val="bottom"/>
            <w:tcBorders>
              <w:bottom w:val="single" w:sz="8" w:color="auto"/>
            </w:tcBorders>
            <w:shd w:val="clear" w:color="auto" w:fill="F0FFFF"/>
          </w:tcPr>
          <w:p>
            <w:pPr>
              <w:spacing w:after="0"/>
              <w:rPr>
                <w:sz w:val="15"/>
                <w:szCs w:val="15"/>
                <w:color w:val="auto"/>
              </w:rPr>
            </w:pPr>
          </w:p>
        </w:tc>
        <w:tc>
          <w:tcPr>
            <w:tcW w:w="40" w:type="dxa"/>
            <w:vAlign w:val="bottom"/>
            <w:tcBorders>
              <w:bottom w:val="single" w:sz="8" w:color="auto"/>
              <w:right w:val="single" w:sz="8" w:color="auto"/>
            </w:tcBorders>
            <w:shd w:val="clear" w:color="auto" w:fill="F0FFFF"/>
          </w:tcPr>
          <w:p>
            <w:pPr>
              <w:spacing w:after="0"/>
              <w:rPr>
                <w:sz w:val="15"/>
                <w:szCs w:val="15"/>
                <w:color w:val="auto"/>
              </w:rPr>
            </w:pPr>
          </w:p>
        </w:tc>
        <w:tc>
          <w:tcPr>
            <w:tcW w:w="1460" w:type="dxa"/>
            <w:vAlign w:val="bottom"/>
            <w:tcBorders>
              <w:bottom w:val="single" w:sz="8" w:color="auto"/>
              <w:right w:val="single" w:sz="8" w:color="auto"/>
            </w:tcBorders>
            <w:shd w:val="clear" w:color="auto" w:fill="F0FFFF"/>
          </w:tcPr>
          <w:p>
            <w:pPr>
              <w:spacing w:after="0"/>
              <w:rPr>
                <w:sz w:val="15"/>
                <w:szCs w:val="15"/>
                <w:color w:val="auto"/>
              </w:rPr>
            </w:pPr>
          </w:p>
        </w:tc>
        <w:tc>
          <w:tcPr>
            <w:tcW w:w="140" w:type="dxa"/>
            <w:vAlign w:val="bottom"/>
            <w:tcBorders>
              <w:bottom w:val="single" w:sz="8" w:color="auto"/>
            </w:tcBorders>
            <w:shd w:val="clear" w:color="auto" w:fill="F0FFFF"/>
          </w:tcPr>
          <w:p>
            <w:pPr>
              <w:spacing w:after="0"/>
              <w:rPr>
                <w:sz w:val="15"/>
                <w:szCs w:val="15"/>
                <w:color w:val="auto"/>
              </w:rPr>
            </w:pPr>
          </w:p>
        </w:tc>
        <w:tc>
          <w:tcPr>
            <w:tcW w:w="2200" w:type="dxa"/>
            <w:vAlign w:val="bottom"/>
            <w:tcBorders>
              <w:bottom w:val="single" w:sz="8" w:color="auto"/>
              <w:right w:val="single" w:sz="8" w:color="auto"/>
            </w:tcBorders>
            <w:gridSpan w:val="18"/>
            <w:shd w:val="clear" w:color="auto" w:fill="F0FFFF"/>
          </w:tcPr>
          <w:p>
            <w:pPr>
              <w:spacing w:after="0"/>
              <w:rPr>
                <w:sz w:val="20"/>
                <w:szCs w:val="20"/>
                <w:color w:val="auto"/>
              </w:rPr>
            </w:pPr>
            <w:r>
              <w:rPr>
                <w:rFonts w:ascii="Times New Roman" w:cs="Times New Roman" w:eastAsia="Times New Roman" w:hAnsi="Times New Roman"/>
                <w:sz w:val="13"/>
                <w:szCs w:val="13"/>
                <w:color w:val="auto"/>
              </w:rPr>
              <w:t>the amount withdrawn.</w:t>
            </w:r>
          </w:p>
        </w:tc>
        <w:tc>
          <w:tcPr>
            <w:tcW w:w="0" w:type="dxa"/>
            <w:vAlign w:val="bottom"/>
          </w:tcPr>
          <w:p>
            <w:pPr>
              <w:spacing w:after="0"/>
              <w:rPr>
                <w:sz w:val="1"/>
                <w:szCs w:val="1"/>
                <w:color w:val="auto"/>
              </w:rPr>
            </w:pPr>
          </w:p>
        </w:tc>
      </w:tr>
      <w:tr>
        <w:trPr>
          <w:trHeight w:val="163"/>
        </w:trPr>
        <w:tc>
          <w:tcPr>
            <w:tcW w:w="40" w:type="dxa"/>
            <w:vAlign w:val="bottom"/>
            <w:tcBorders>
              <w:left w:val="single" w:sz="8" w:color="auto"/>
            </w:tcBorders>
          </w:tcPr>
          <w:p>
            <w:pPr>
              <w:spacing w:after="0"/>
              <w:rPr>
                <w:sz w:val="14"/>
                <w:szCs w:val="14"/>
                <w:color w:val="auto"/>
              </w:rPr>
            </w:pPr>
          </w:p>
        </w:tc>
        <w:tc>
          <w:tcPr>
            <w:tcW w:w="10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3"/>
                <w:szCs w:val="13"/>
                <w:b w:val="1"/>
                <w:bCs w:val="1"/>
                <w:color w:val="auto"/>
              </w:rPr>
              <w:t>Return of</w:t>
            </w:r>
          </w:p>
        </w:tc>
        <w:tc>
          <w:tcPr>
            <w:tcW w:w="2260" w:type="dxa"/>
            <w:vAlign w:val="bottom"/>
            <w:tcBorders>
              <w:right w:val="single" w:sz="8" w:color="auto"/>
            </w:tcBorders>
            <w:gridSpan w:val="13"/>
          </w:tcPr>
          <w:p>
            <w:pPr>
              <w:spacing w:after="0"/>
              <w:rPr>
                <w:sz w:val="20"/>
                <w:szCs w:val="20"/>
                <w:color w:val="auto"/>
              </w:rPr>
            </w:pPr>
            <w:r>
              <w:rPr>
                <w:rFonts w:ascii="Times New Roman" w:cs="Times New Roman" w:eastAsia="Times New Roman" w:hAnsi="Times New Roman"/>
                <w:sz w:val="13"/>
                <w:szCs w:val="13"/>
                <w:color w:val="auto"/>
              </w:rPr>
              <w:t>Pays a death benefit equal to the greater</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N/A</w:t>
            </w:r>
          </w:p>
        </w:tc>
        <w:tc>
          <w:tcPr>
            <w:tcW w:w="2340" w:type="dxa"/>
            <w:vAlign w:val="bottom"/>
            <w:tcBorders>
              <w:right w:val="single" w:sz="8" w:color="auto"/>
            </w:tcBorders>
            <w:gridSpan w:val="19"/>
          </w:tcPr>
          <w:p>
            <w:pPr>
              <w:ind w:left="20"/>
              <w:spacing w:after="0"/>
              <w:rPr>
                <w:sz w:val="20"/>
                <w:szCs w:val="20"/>
                <w:color w:val="auto"/>
              </w:rPr>
            </w:pPr>
            <w:r>
              <w:rPr>
                <w:rFonts w:ascii="Times New Roman" w:cs="Times New Roman" w:eastAsia="Times New Roman" w:hAnsi="Times New Roman"/>
                <w:sz w:val="13"/>
                <w:szCs w:val="13"/>
                <w:color w:val="auto"/>
              </w:rPr>
              <w:t>● Only available during the</w:t>
            </w:r>
          </w:p>
        </w:tc>
        <w:tc>
          <w:tcPr>
            <w:tcW w:w="0" w:type="dxa"/>
            <w:vAlign w:val="bottom"/>
          </w:tcPr>
          <w:p>
            <w:pPr>
              <w:spacing w:after="0"/>
              <w:rPr>
                <w:sz w:val="1"/>
                <w:szCs w:val="1"/>
                <w:color w:val="auto"/>
              </w:rPr>
            </w:pPr>
          </w:p>
        </w:tc>
      </w:tr>
      <w:tr>
        <w:trPr>
          <w:trHeight w:val="144"/>
        </w:trPr>
        <w:tc>
          <w:tcPr>
            <w:tcW w:w="40" w:type="dxa"/>
            <w:vAlign w:val="bottom"/>
            <w:tcBorders>
              <w:left w:val="single" w:sz="8" w:color="auto"/>
            </w:tcBorders>
          </w:tcPr>
          <w:p>
            <w:pPr>
              <w:spacing w:after="0"/>
              <w:rPr>
                <w:sz w:val="12"/>
                <w:szCs w:val="12"/>
                <w:color w:val="auto"/>
              </w:rPr>
            </w:pPr>
          </w:p>
        </w:tc>
        <w:tc>
          <w:tcPr>
            <w:tcW w:w="1040" w:type="dxa"/>
            <w:vAlign w:val="bottom"/>
            <w:tcBorders>
              <w:right w:val="single" w:sz="8" w:color="auto"/>
            </w:tcBorders>
            <w:gridSpan w:val="4"/>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Premium Death</w:t>
            </w:r>
          </w:p>
        </w:tc>
        <w:tc>
          <w:tcPr>
            <w:tcW w:w="2260" w:type="dxa"/>
            <w:vAlign w:val="bottom"/>
            <w:tcBorders>
              <w:right w:val="single" w:sz="8" w:color="auto"/>
            </w:tcBorders>
            <w:gridSpan w:val="13"/>
          </w:tcPr>
          <w:p>
            <w:pPr>
              <w:spacing w:after="0" w:line="144" w:lineRule="exact"/>
              <w:rPr>
                <w:sz w:val="20"/>
                <w:szCs w:val="20"/>
                <w:color w:val="auto"/>
              </w:rPr>
            </w:pPr>
            <w:r>
              <w:rPr>
                <w:rFonts w:ascii="Times New Roman" w:cs="Times New Roman" w:eastAsia="Times New Roman" w:hAnsi="Times New Roman"/>
                <w:sz w:val="13"/>
                <w:szCs w:val="13"/>
                <w:color w:val="auto"/>
              </w:rPr>
              <w:t>of your Account Value or your Purchase</w:t>
            </w:r>
          </w:p>
        </w:tc>
        <w:tc>
          <w:tcPr>
            <w:tcW w:w="14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tcBorders>
              <w:right w:val="single" w:sz="8" w:color="auto"/>
            </w:tcBorders>
            <w:gridSpan w:val="18"/>
          </w:tcPr>
          <w:p>
            <w:pPr>
              <w:spacing w:after="0" w:line="144" w:lineRule="exact"/>
              <w:rPr>
                <w:sz w:val="20"/>
                <w:szCs w:val="20"/>
                <w:color w:val="auto"/>
              </w:rPr>
            </w:pPr>
            <w:r>
              <w:rPr>
                <w:rFonts w:ascii="Times New Roman" w:cs="Times New Roman" w:eastAsia="Times New Roman" w:hAnsi="Times New Roman"/>
                <w:sz w:val="13"/>
                <w:szCs w:val="13"/>
                <w:color w:val="auto"/>
              </w:rPr>
              <w:t>Accumulation Period.</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1040" w:type="dxa"/>
            <w:vAlign w:val="bottom"/>
            <w:tcBorders>
              <w:right w:val="single" w:sz="8" w:color="auto"/>
            </w:tcBorders>
            <w:gridSpan w:val="4"/>
            <w:vMerge w:val="restart"/>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Benefit</w:t>
            </w:r>
          </w:p>
        </w:tc>
        <w:tc>
          <w:tcPr>
            <w:tcW w:w="2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6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46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0" w:type="dxa"/>
            <w:vAlign w:val="bottom"/>
            <w:tcBorders>
              <w:left w:val="single" w:sz="8" w:color="auto"/>
            </w:tcBorders>
          </w:tcPr>
          <w:p>
            <w:pPr>
              <w:spacing w:after="0"/>
              <w:rPr>
                <w:sz w:val="12"/>
                <w:szCs w:val="12"/>
                <w:color w:val="auto"/>
              </w:rPr>
            </w:pPr>
          </w:p>
        </w:tc>
        <w:tc>
          <w:tcPr>
            <w:tcW w:w="1040" w:type="dxa"/>
            <w:vAlign w:val="bottom"/>
            <w:tcBorders>
              <w:right w:val="single" w:sz="8" w:color="auto"/>
            </w:tcBorders>
            <w:gridSpan w:val="4"/>
            <w:vMerge w:val="continue"/>
          </w:tcPr>
          <w:p>
            <w:pPr>
              <w:spacing w:after="0"/>
              <w:rPr>
                <w:sz w:val="12"/>
                <w:szCs w:val="12"/>
                <w:color w:val="auto"/>
              </w:rPr>
            </w:pPr>
          </w:p>
        </w:tc>
        <w:tc>
          <w:tcPr>
            <w:tcW w:w="2260" w:type="dxa"/>
            <w:vAlign w:val="bottom"/>
            <w:tcBorders>
              <w:right w:val="single" w:sz="8" w:color="auto"/>
            </w:tcBorders>
            <w:gridSpan w:val="13"/>
          </w:tcPr>
          <w:p>
            <w:pPr>
              <w:spacing w:after="0" w:line="129" w:lineRule="exact"/>
              <w:rPr>
                <w:sz w:val="20"/>
                <w:szCs w:val="20"/>
                <w:color w:val="auto"/>
              </w:rPr>
            </w:pPr>
            <w:r>
              <w:rPr>
                <w:rFonts w:ascii="Times New Roman" w:cs="Times New Roman" w:eastAsia="Times New Roman" w:hAnsi="Times New Roman"/>
                <w:sz w:val="13"/>
                <w:szCs w:val="13"/>
                <w:color w:val="auto"/>
              </w:rPr>
              <w:t>Payment (adjusted for any withdrawals,</w:t>
            </w:r>
          </w:p>
        </w:tc>
        <w:tc>
          <w:tcPr>
            <w:tcW w:w="1460" w:type="dxa"/>
            <w:vAlign w:val="bottom"/>
            <w:tcBorders>
              <w:right w:val="single" w:sz="8" w:color="auto"/>
            </w:tcBorders>
          </w:tcPr>
          <w:p>
            <w:pPr>
              <w:spacing w:after="0"/>
              <w:rPr>
                <w:sz w:val="12"/>
                <w:szCs w:val="12"/>
                <w:color w:val="auto"/>
              </w:rPr>
            </w:pPr>
          </w:p>
        </w:tc>
        <w:tc>
          <w:tcPr>
            <w:tcW w:w="2340" w:type="dxa"/>
            <w:vAlign w:val="bottom"/>
            <w:tcBorders>
              <w:right w:val="single" w:sz="8" w:color="auto"/>
            </w:tcBorders>
            <w:gridSpan w:val="19"/>
          </w:tcPr>
          <w:p>
            <w:pPr>
              <w:ind w:left="20"/>
              <w:spacing w:after="0" w:line="129" w:lineRule="exact"/>
              <w:rPr>
                <w:sz w:val="20"/>
                <w:szCs w:val="20"/>
                <w:color w:val="auto"/>
              </w:rPr>
            </w:pPr>
            <w:r>
              <w:rPr>
                <w:rFonts w:ascii="Times New Roman" w:cs="Times New Roman" w:eastAsia="Times New Roman" w:hAnsi="Times New Roman"/>
                <w:sz w:val="13"/>
                <w:szCs w:val="13"/>
                <w:color w:val="auto"/>
              </w:rPr>
              <w:t>● For Owners aged 80 or younger on the</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1040" w:type="dxa"/>
            <w:vAlign w:val="bottom"/>
            <w:tcBorders>
              <w:right w:val="single" w:sz="8" w:color="auto"/>
            </w:tcBorders>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rPr>
              <w:t>(Standard Death</w:t>
            </w:r>
          </w:p>
        </w:tc>
        <w:tc>
          <w:tcPr>
            <w:tcW w:w="2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Borders>
              <w:left w:val="single" w:sz="8" w:color="auto"/>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46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1040" w:type="dxa"/>
            <w:vAlign w:val="bottom"/>
            <w:tcBorders>
              <w:right w:val="single" w:sz="8" w:color="auto"/>
            </w:tcBorders>
            <w:gridSpan w:val="4"/>
            <w:vMerge w:val="continue"/>
          </w:tcPr>
          <w:p>
            <w:pPr>
              <w:spacing w:after="0"/>
              <w:rPr>
                <w:sz w:val="11"/>
                <w:szCs w:val="11"/>
                <w:color w:val="auto"/>
              </w:rPr>
            </w:pPr>
          </w:p>
        </w:tc>
        <w:tc>
          <w:tcPr>
            <w:tcW w:w="2260" w:type="dxa"/>
            <w:vAlign w:val="bottom"/>
            <w:tcBorders>
              <w:right w:val="single" w:sz="8" w:color="auto"/>
            </w:tcBorders>
            <w:gridSpan w:val="13"/>
          </w:tcPr>
          <w:p>
            <w:pPr>
              <w:spacing w:after="0" w:line="129" w:lineRule="exact"/>
              <w:rPr>
                <w:sz w:val="20"/>
                <w:szCs w:val="20"/>
                <w:color w:val="auto"/>
              </w:rPr>
            </w:pPr>
            <w:r>
              <w:rPr>
                <w:rFonts w:ascii="Times New Roman" w:cs="Times New Roman" w:eastAsia="Times New Roman" w:hAnsi="Times New Roman"/>
                <w:sz w:val="13"/>
                <w:szCs w:val="13"/>
                <w:color w:val="auto"/>
              </w:rPr>
              <w:t>including Withdrawal Charges)</w:t>
            </w:r>
          </w:p>
        </w:tc>
        <w:tc>
          <w:tcPr>
            <w:tcW w:w="14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200" w:type="dxa"/>
            <w:vAlign w:val="bottom"/>
            <w:tcBorders>
              <w:right w:val="single" w:sz="8" w:color="auto"/>
            </w:tcBorders>
            <w:gridSpan w:val="18"/>
          </w:tcPr>
          <w:p>
            <w:pPr>
              <w:spacing w:after="0" w:line="129" w:lineRule="exact"/>
              <w:rPr>
                <w:sz w:val="20"/>
                <w:szCs w:val="20"/>
                <w:color w:val="auto"/>
              </w:rPr>
            </w:pPr>
            <w:r>
              <w:rPr>
                <w:rFonts w:ascii="Times New Roman" w:cs="Times New Roman" w:eastAsia="Times New Roman" w:hAnsi="Times New Roman"/>
                <w:sz w:val="13"/>
                <w:szCs w:val="13"/>
                <w:color w:val="auto"/>
              </w:rPr>
              <w:t>Issue Date of your Contract.</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1040" w:type="dxa"/>
            <w:vAlign w:val="bottom"/>
            <w:tcBorders>
              <w:right w:val="single" w:sz="8" w:color="auto"/>
            </w:tcBorders>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rPr>
              <w:t>Benefit)</w:t>
            </w: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46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tcBorders>
              <w:left w:val="single" w:sz="8" w:color="auto"/>
            </w:tcBorders>
          </w:tcPr>
          <w:p>
            <w:pPr>
              <w:spacing w:after="0"/>
              <w:rPr>
                <w:sz w:val="12"/>
                <w:szCs w:val="12"/>
                <w:color w:val="auto"/>
              </w:rPr>
            </w:pPr>
          </w:p>
        </w:tc>
        <w:tc>
          <w:tcPr>
            <w:tcW w:w="1040" w:type="dxa"/>
            <w:vAlign w:val="bottom"/>
            <w:tcBorders>
              <w:right w:val="single" w:sz="8" w:color="auto"/>
            </w:tcBorders>
            <w:gridSpan w:val="4"/>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2340" w:type="dxa"/>
            <w:vAlign w:val="bottom"/>
            <w:tcBorders>
              <w:right w:val="single" w:sz="8" w:color="auto"/>
            </w:tcBorders>
            <w:gridSpan w:val="19"/>
          </w:tcPr>
          <w:p>
            <w:pPr>
              <w:ind w:left="20"/>
              <w:spacing w:after="0"/>
              <w:rPr>
                <w:sz w:val="20"/>
                <w:szCs w:val="20"/>
                <w:color w:val="auto"/>
              </w:rPr>
            </w:pPr>
            <w:r>
              <w:rPr>
                <w:rFonts w:ascii="Times New Roman" w:cs="Times New Roman" w:eastAsia="Times New Roman" w:hAnsi="Times New Roman"/>
                <w:sz w:val="13"/>
                <w:szCs w:val="13"/>
                <w:color w:val="auto"/>
              </w:rPr>
              <w:t>● Account Value may reflect an Interim</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46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0" w:type="dxa"/>
            <w:vAlign w:val="bottom"/>
            <w:tcBorders>
              <w:lef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tcBorders>
              <w:right w:val="single" w:sz="8" w:color="auto"/>
            </w:tcBorders>
            <w:gridSpan w:val="18"/>
          </w:tcPr>
          <w:p>
            <w:pPr>
              <w:spacing w:after="0" w:line="139" w:lineRule="exact"/>
              <w:rPr>
                <w:sz w:val="20"/>
                <w:szCs w:val="20"/>
                <w:color w:val="auto"/>
              </w:rPr>
            </w:pPr>
            <w:r>
              <w:rPr>
                <w:rFonts w:ascii="Times New Roman" w:cs="Times New Roman" w:eastAsia="Times New Roman" w:hAnsi="Times New Roman"/>
                <w:sz w:val="13"/>
                <w:szCs w:val="13"/>
                <w:color w:val="auto"/>
              </w:rPr>
              <w:t>Value calculation for the Shield</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46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0" w:type="dxa"/>
            <w:vAlign w:val="bottom"/>
            <w:tcBorders>
              <w:lef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tcBorders>
              <w:right w:val="single" w:sz="8" w:color="auto"/>
            </w:tcBorders>
            <w:gridSpan w:val="18"/>
          </w:tcPr>
          <w:p>
            <w:pPr>
              <w:spacing w:after="0" w:line="139" w:lineRule="exact"/>
              <w:rPr>
                <w:sz w:val="20"/>
                <w:szCs w:val="20"/>
                <w:color w:val="auto"/>
              </w:rPr>
            </w:pPr>
            <w:r>
              <w:rPr>
                <w:rFonts w:ascii="Times New Roman" w:cs="Times New Roman" w:eastAsia="Times New Roman" w:hAnsi="Times New Roman"/>
                <w:sz w:val="13"/>
                <w:szCs w:val="13"/>
                <w:color w:val="auto"/>
              </w:rPr>
              <w:t>Options, which may be less than the</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46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0" w:type="dxa"/>
            <w:vAlign w:val="bottom"/>
            <w:tcBorders>
              <w:lef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tcBorders>
              <w:right w:val="single" w:sz="8" w:color="auto"/>
            </w:tcBorders>
            <w:gridSpan w:val="18"/>
          </w:tcPr>
          <w:p>
            <w:pPr>
              <w:spacing w:after="0" w:line="139" w:lineRule="exact"/>
              <w:rPr>
                <w:sz w:val="20"/>
                <w:szCs w:val="20"/>
                <w:color w:val="auto"/>
              </w:rPr>
            </w:pPr>
            <w:r>
              <w:rPr>
                <w:rFonts w:ascii="Times New Roman" w:cs="Times New Roman" w:eastAsia="Times New Roman" w:hAnsi="Times New Roman"/>
                <w:sz w:val="13"/>
                <w:szCs w:val="13"/>
                <w:color w:val="auto"/>
              </w:rPr>
              <w:t>Investment Amount.</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46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 w:type="dxa"/>
            <w:vAlign w:val="bottom"/>
            <w:tcBorders>
              <w:left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2340" w:type="dxa"/>
            <w:vAlign w:val="bottom"/>
            <w:tcBorders>
              <w:right w:val="single" w:sz="8" w:color="auto"/>
            </w:tcBorders>
            <w:gridSpan w:val="19"/>
          </w:tcPr>
          <w:p>
            <w:pPr>
              <w:ind w:left="20"/>
              <w:spacing w:after="0"/>
              <w:rPr>
                <w:sz w:val="20"/>
                <w:szCs w:val="20"/>
                <w:color w:val="auto"/>
              </w:rPr>
            </w:pPr>
            <w:r>
              <w:rPr>
                <w:rFonts w:ascii="Times New Roman" w:cs="Times New Roman" w:eastAsia="Times New Roman" w:hAnsi="Times New Roman"/>
                <w:sz w:val="13"/>
                <w:szCs w:val="13"/>
                <w:color w:val="auto"/>
              </w:rPr>
              <w:t>● Withdrawals will reduce the death</w:t>
            </w:r>
          </w:p>
        </w:tc>
        <w:tc>
          <w:tcPr>
            <w:tcW w:w="0" w:type="dxa"/>
            <w:vAlign w:val="bottom"/>
          </w:tcPr>
          <w:p>
            <w:pPr>
              <w:spacing w:after="0"/>
              <w:rPr>
                <w:sz w:val="1"/>
                <w:szCs w:val="1"/>
                <w:color w:val="auto"/>
              </w:rPr>
            </w:pPr>
          </w:p>
        </w:tc>
      </w:tr>
      <w:tr>
        <w:trPr>
          <w:trHeight w:val="159"/>
        </w:trPr>
        <w:tc>
          <w:tcPr>
            <w:tcW w:w="40" w:type="dxa"/>
            <w:vAlign w:val="bottom"/>
            <w:tcBorders>
              <w:left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tcBorders>
              <w:right w:val="single" w:sz="8" w:color="auto"/>
            </w:tcBorders>
            <w:gridSpan w:val="18"/>
          </w:tcPr>
          <w:p>
            <w:pPr>
              <w:spacing w:after="0"/>
              <w:rPr>
                <w:sz w:val="20"/>
                <w:szCs w:val="20"/>
                <w:color w:val="auto"/>
              </w:rPr>
            </w:pPr>
            <w:r>
              <w:rPr>
                <w:rFonts w:ascii="Times New Roman" w:cs="Times New Roman" w:eastAsia="Times New Roman" w:hAnsi="Times New Roman"/>
                <w:sz w:val="13"/>
                <w:szCs w:val="13"/>
                <w:color w:val="auto"/>
              </w:rPr>
              <w:t>benefit, perhaps significantly, and</w:t>
            </w:r>
          </w:p>
        </w:tc>
        <w:tc>
          <w:tcPr>
            <w:tcW w:w="0" w:type="dxa"/>
            <w:vAlign w:val="bottom"/>
          </w:tcPr>
          <w:p>
            <w:pPr>
              <w:spacing w:after="0"/>
              <w:rPr>
                <w:sz w:val="1"/>
                <w:szCs w:val="1"/>
                <w:color w:val="auto"/>
              </w:rPr>
            </w:pPr>
          </w:p>
        </w:tc>
      </w:tr>
      <w:tr>
        <w:trPr>
          <w:trHeight w:val="159"/>
        </w:trPr>
        <w:tc>
          <w:tcPr>
            <w:tcW w:w="40" w:type="dxa"/>
            <w:vAlign w:val="bottom"/>
            <w:tcBorders>
              <w:left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tcBorders>
              <w:right w:val="single" w:sz="8" w:color="auto"/>
            </w:tcBorders>
            <w:gridSpan w:val="18"/>
          </w:tcPr>
          <w:p>
            <w:pPr>
              <w:spacing w:after="0"/>
              <w:rPr>
                <w:sz w:val="20"/>
                <w:szCs w:val="20"/>
                <w:color w:val="auto"/>
              </w:rPr>
            </w:pPr>
            <w:r>
              <w:rPr>
                <w:rFonts w:ascii="Times New Roman" w:cs="Times New Roman" w:eastAsia="Times New Roman" w:hAnsi="Times New Roman"/>
                <w:sz w:val="13"/>
                <w:szCs w:val="13"/>
                <w:color w:val="auto"/>
              </w:rPr>
              <w:t>such reductions could be greater than</w:t>
            </w:r>
          </w:p>
        </w:tc>
        <w:tc>
          <w:tcPr>
            <w:tcW w:w="0" w:type="dxa"/>
            <w:vAlign w:val="bottom"/>
          </w:tcPr>
          <w:p>
            <w:pPr>
              <w:spacing w:after="0"/>
              <w:rPr>
                <w:sz w:val="1"/>
                <w:szCs w:val="1"/>
                <w:color w:val="auto"/>
              </w:rPr>
            </w:pPr>
          </w:p>
        </w:tc>
      </w:tr>
      <w:tr>
        <w:trPr>
          <w:trHeight w:val="182"/>
        </w:trPr>
        <w:tc>
          <w:tcPr>
            <w:tcW w:w="40" w:type="dxa"/>
            <w:vAlign w:val="bottom"/>
            <w:tcBorders>
              <w:left w:val="single" w:sz="8" w:color="auto"/>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 w:type="dxa"/>
            <w:vAlign w:val="bottom"/>
            <w:tcBorders>
              <w:bottom w:val="single" w:sz="8" w:color="auto"/>
              <w:right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0" w:type="dxa"/>
            <w:vAlign w:val="bottom"/>
            <w:tcBorders>
              <w:bottom w:val="single" w:sz="8" w:color="auto"/>
              <w:right w:val="single" w:sz="8" w:color="auto"/>
            </w:tcBorders>
            <w:gridSpan w:val="18"/>
          </w:tcPr>
          <w:p>
            <w:pPr>
              <w:spacing w:after="0"/>
              <w:rPr>
                <w:sz w:val="20"/>
                <w:szCs w:val="20"/>
                <w:color w:val="auto"/>
              </w:rPr>
            </w:pPr>
            <w:r>
              <w:rPr>
                <w:rFonts w:ascii="Times New Roman" w:cs="Times New Roman" w:eastAsia="Times New Roman" w:hAnsi="Times New Roman"/>
                <w:sz w:val="13"/>
                <w:szCs w:val="13"/>
                <w:color w:val="auto"/>
              </w:rPr>
              <w:t>the amount withdrawn.</w:t>
            </w:r>
          </w:p>
        </w:tc>
        <w:tc>
          <w:tcPr>
            <w:tcW w:w="0" w:type="dxa"/>
            <w:vAlign w:val="bottom"/>
          </w:tcPr>
          <w:p>
            <w:pPr>
              <w:spacing w:after="0"/>
              <w:rPr>
                <w:sz w:val="1"/>
                <w:szCs w:val="1"/>
                <w:color w:val="auto"/>
              </w:rPr>
            </w:pPr>
          </w:p>
        </w:tc>
      </w:tr>
      <w:tr>
        <w:trPr>
          <w:trHeight w:val="148"/>
        </w:trPr>
        <w:tc>
          <w:tcPr>
            <w:tcW w:w="40" w:type="dxa"/>
            <w:vAlign w:val="bottom"/>
            <w:tcBorders>
              <w:left w:val="single" w:sz="8" w:color="auto"/>
            </w:tcBorders>
            <w:shd w:val="clear" w:color="auto" w:fill="F0FFFF"/>
          </w:tcPr>
          <w:p>
            <w:pPr>
              <w:spacing w:after="0"/>
              <w:rPr>
                <w:sz w:val="12"/>
                <w:szCs w:val="12"/>
                <w:color w:val="auto"/>
              </w:rPr>
            </w:pPr>
          </w:p>
        </w:tc>
        <w:tc>
          <w:tcPr>
            <w:tcW w:w="1040" w:type="dxa"/>
            <w:vAlign w:val="bottom"/>
            <w:tcBorders>
              <w:right w:val="single" w:sz="8" w:color="auto"/>
            </w:tcBorders>
            <w:gridSpan w:val="4"/>
            <w:shd w:val="clear" w:color="auto" w:fill="F0FFFF"/>
          </w:tcPr>
          <w:p>
            <w:pPr>
              <w:spacing w:after="0" w:line="149" w:lineRule="exact"/>
              <w:rPr>
                <w:sz w:val="20"/>
                <w:szCs w:val="20"/>
                <w:color w:val="auto"/>
              </w:rPr>
            </w:pPr>
            <w:r>
              <w:rPr>
                <w:rFonts w:ascii="Times New Roman" w:cs="Times New Roman" w:eastAsia="Times New Roman" w:hAnsi="Times New Roman"/>
                <w:sz w:val="13"/>
                <w:szCs w:val="13"/>
                <w:b w:val="1"/>
                <w:bCs w:val="1"/>
                <w:color w:val="auto"/>
              </w:rPr>
              <w:t>Systematic</w:t>
            </w:r>
          </w:p>
        </w:tc>
        <w:tc>
          <w:tcPr>
            <w:tcW w:w="2260" w:type="dxa"/>
            <w:vAlign w:val="bottom"/>
            <w:tcBorders>
              <w:right w:val="single" w:sz="8" w:color="auto"/>
            </w:tcBorders>
            <w:gridSpan w:val="13"/>
            <w:shd w:val="clear" w:color="auto" w:fill="F0FFFF"/>
          </w:tcPr>
          <w:p>
            <w:pPr>
              <w:spacing w:after="0" w:line="149" w:lineRule="exact"/>
              <w:rPr>
                <w:sz w:val="20"/>
                <w:szCs w:val="20"/>
                <w:color w:val="auto"/>
              </w:rPr>
            </w:pPr>
            <w:r>
              <w:rPr>
                <w:rFonts w:ascii="Times New Roman" w:cs="Times New Roman" w:eastAsia="Times New Roman" w:hAnsi="Times New Roman"/>
                <w:sz w:val="13"/>
                <w:szCs w:val="13"/>
                <w:color w:val="auto"/>
              </w:rPr>
              <w:t>Allows automated processing of</w:t>
            </w:r>
          </w:p>
        </w:tc>
        <w:tc>
          <w:tcPr>
            <w:tcW w:w="1460" w:type="dxa"/>
            <w:vAlign w:val="bottom"/>
            <w:tcBorders>
              <w:right w:val="single" w:sz="8" w:color="auto"/>
            </w:tcBorders>
            <w:shd w:val="clear" w:color="auto" w:fill="F0FFFF"/>
          </w:tcPr>
          <w:p>
            <w:pPr>
              <w:ind w:left="20"/>
              <w:spacing w:after="0" w:line="149" w:lineRule="exact"/>
              <w:rPr>
                <w:sz w:val="20"/>
                <w:szCs w:val="20"/>
                <w:color w:val="auto"/>
              </w:rPr>
            </w:pPr>
            <w:r>
              <w:rPr>
                <w:rFonts w:ascii="Times New Roman" w:cs="Times New Roman" w:eastAsia="Times New Roman" w:hAnsi="Times New Roman"/>
                <w:sz w:val="13"/>
                <w:szCs w:val="13"/>
                <w:color w:val="auto"/>
              </w:rPr>
              <w:t>N/A</w:t>
            </w:r>
          </w:p>
        </w:tc>
        <w:tc>
          <w:tcPr>
            <w:tcW w:w="2340" w:type="dxa"/>
            <w:vAlign w:val="bottom"/>
            <w:tcBorders>
              <w:right w:val="single" w:sz="8" w:color="auto"/>
            </w:tcBorders>
            <w:gridSpan w:val="19"/>
            <w:shd w:val="clear" w:color="auto" w:fill="F0FFFF"/>
          </w:tcPr>
          <w:p>
            <w:pPr>
              <w:ind w:left="20"/>
              <w:spacing w:after="0" w:line="149" w:lineRule="exact"/>
              <w:rPr>
                <w:sz w:val="20"/>
                <w:szCs w:val="20"/>
                <w:color w:val="auto"/>
              </w:rPr>
            </w:pPr>
            <w:r>
              <w:rPr>
                <w:rFonts w:ascii="Times New Roman" w:cs="Times New Roman" w:eastAsia="Times New Roman" w:hAnsi="Times New Roman"/>
                <w:sz w:val="13"/>
                <w:szCs w:val="13"/>
                <w:color w:val="auto"/>
              </w:rPr>
              <w:t>● Available in any Contract Year for RMD</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shd w:val="clear" w:color="auto" w:fill="F0FFFF"/>
          </w:tcPr>
          <w:p>
            <w:pPr>
              <w:spacing w:after="0" w:line="20" w:lineRule="exact"/>
              <w:rPr>
                <w:sz w:val="1"/>
                <w:szCs w:val="1"/>
                <w:color w:val="auto"/>
              </w:rPr>
            </w:pPr>
          </w:p>
        </w:tc>
        <w:tc>
          <w:tcPr>
            <w:tcW w:w="1040" w:type="dxa"/>
            <w:vAlign w:val="bottom"/>
            <w:tcBorders>
              <w:right w:val="single" w:sz="8" w:color="auto"/>
            </w:tcBorders>
            <w:gridSpan w:val="4"/>
            <w:vMerge w:val="restart"/>
            <w:shd w:val="clear" w:color="auto" w:fill="F0FFFF"/>
          </w:tcPr>
          <w:p>
            <w:pPr>
              <w:spacing w:after="0"/>
              <w:rPr>
                <w:sz w:val="20"/>
                <w:szCs w:val="20"/>
                <w:color w:val="auto"/>
              </w:rPr>
            </w:pPr>
            <w:r>
              <w:rPr>
                <w:rFonts w:ascii="Times New Roman" w:cs="Times New Roman" w:eastAsia="Times New Roman" w:hAnsi="Times New Roman"/>
                <w:sz w:val="13"/>
                <w:szCs w:val="13"/>
                <w:b w:val="1"/>
                <w:bCs w:val="1"/>
                <w:color w:val="auto"/>
              </w:rPr>
              <w:t>Withdrawal</w:t>
            </w:r>
          </w:p>
        </w:tc>
        <w:tc>
          <w:tcPr>
            <w:tcW w:w="260" w:type="dxa"/>
            <w:vAlign w:val="bottom"/>
            <w:shd w:val="clear" w:color="auto" w:fill="F0FFFF"/>
          </w:tcPr>
          <w:p>
            <w:pPr>
              <w:spacing w:after="0" w:line="20" w:lineRule="exact"/>
              <w:rPr>
                <w:sz w:val="1"/>
                <w:szCs w:val="1"/>
                <w:color w:val="auto"/>
              </w:rPr>
            </w:pPr>
          </w:p>
        </w:tc>
        <w:tc>
          <w:tcPr>
            <w:tcW w:w="180" w:type="dxa"/>
            <w:vAlign w:val="bottom"/>
            <w:tcBorders>
              <w:right w:val="single" w:sz="8" w:color="F0FFFF"/>
            </w:tcBorders>
            <w:shd w:val="clear" w:color="auto" w:fill="F0FFFF"/>
          </w:tcPr>
          <w:p>
            <w:pPr>
              <w:spacing w:after="0" w:line="20" w:lineRule="exact"/>
              <w:rPr>
                <w:sz w:val="1"/>
                <w:szCs w:val="1"/>
                <w:color w:val="auto"/>
              </w:rPr>
            </w:pPr>
          </w:p>
        </w:tc>
        <w:tc>
          <w:tcPr>
            <w:tcW w:w="800" w:type="dxa"/>
            <w:vAlign w:val="bottom"/>
            <w:tcBorders>
              <w:left w:val="single" w:sz="8" w:color="F0FFFF"/>
            </w:tcBorders>
            <w:gridSpan w:val="3"/>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320" w:type="dxa"/>
            <w:vAlign w:val="bottom"/>
            <w:gridSpan w:val="2"/>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240" w:type="dxa"/>
            <w:vAlign w:val="bottom"/>
            <w:gridSpan w:val="2"/>
            <w:shd w:val="clear" w:color="auto" w:fill="F0FFFF"/>
          </w:tcPr>
          <w:p>
            <w:pPr>
              <w:spacing w:after="0" w:line="20" w:lineRule="exact"/>
              <w:rPr>
                <w:sz w:val="1"/>
                <w:szCs w:val="1"/>
                <w:color w:val="auto"/>
              </w:rPr>
            </w:pPr>
          </w:p>
        </w:tc>
        <w:tc>
          <w:tcPr>
            <w:tcW w:w="40" w:type="dxa"/>
            <w:vAlign w:val="bottom"/>
            <w:tcBorders>
              <w:right w:val="single" w:sz="8" w:color="auto"/>
            </w:tcBorders>
            <w:shd w:val="clear" w:color="auto" w:fill="F0FFFF"/>
          </w:tcPr>
          <w:p>
            <w:pPr>
              <w:spacing w:after="0" w:line="20" w:lineRule="exact"/>
              <w:rPr>
                <w:sz w:val="1"/>
                <w:szCs w:val="1"/>
                <w:color w:val="auto"/>
              </w:rPr>
            </w:pPr>
          </w:p>
        </w:tc>
        <w:tc>
          <w:tcPr>
            <w:tcW w:w="1460" w:type="dxa"/>
            <w:vAlign w:val="bottom"/>
            <w:tcBorders>
              <w:right w:val="single" w:sz="8" w:color="auto"/>
            </w:tcBorders>
            <w:shd w:val="clear" w:color="auto" w:fill="F0FFFF"/>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300" w:type="dxa"/>
            <w:vAlign w:val="bottom"/>
            <w:gridSpan w:val="3"/>
            <w:shd w:val="clear" w:color="auto" w:fill="F0FFFF"/>
          </w:tcPr>
          <w:p>
            <w:pPr>
              <w:spacing w:after="0" w:line="20" w:lineRule="exact"/>
              <w:rPr>
                <w:sz w:val="1"/>
                <w:szCs w:val="1"/>
                <w:color w:val="auto"/>
              </w:rPr>
            </w:pPr>
          </w:p>
        </w:tc>
        <w:tc>
          <w:tcPr>
            <w:tcW w:w="120" w:type="dxa"/>
            <w:vAlign w:val="bottom"/>
            <w:tcBorders>
              <w:left w:val="single" w:sz="8" w:color="F0FFFF"/>
            </w:tcBorders>
            <w:shd w:val="clear" w:color="auto" w:fill="F0FFFF"/>
          </w:tcPr>
          <w:p>
            <w:pPr>
              <w:spacing w:after="0" w:line="20" w:lineRule="exact"/>
              <w:rPr>
                <w:sz w:val="1"/>
                <w:szCs w:val="1"/>
                <w:color w:val="auto"/>
              </w:rPr>
            </w:pPr>
          </w:p>
        </w:tc>
        <w:tc>
          <w:tcPr>
            <w:tcW w:w="240" w:type="dxa"/>
            <w:vAlign w:val="bottom"/>
            <w:tcBorders>
              <w:left w:val="single" w:sz="8" w:color="F0FFFF"/>
            </w:tcBorders>
            <w:gridSpan w:val="2"/>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240" w:type="dxa"/>
            <w:vAlign w:val="bottom"/>
            <w:tcBorders>
              <w:left w:val="single" w:sz="8" w:color="F0FFFF"/>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F0FFFF"/>
            </w:tcBorders>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100" w:type="dxa"/>
            <w:vAlign w:val="bottom"/>
            <w:tcBorders>
              <w:left w:val="single" w:sz="8" w:color="F0FFFF"/>
            </w:tcBorders>
            <w:shd w:val="clear" w:color="auto" w:fill="F0FFFF"/>
          </w:tcPr>
          <w:p>
            <w:pPr>
              <w:spacing w:after="0" w:line="20" w:lineRule="exact"/>
              <w:rPr>
                <w:sz w:val="1"/>
                <w:szCs w:val="1"/>
                <w:color w:val="auto"/>
              </w:rPr>
            </w:pPr>
          </w:p>
        </w:tc>
        <w:tc>
          <w:tcPr>
            <w:tcW w:w="12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0" w:type="dxa"/>
            <w:vAlign w:val="bottom"/>
            <w:tcBorders>
              <w:left w:val="single" w:sz="8" w:color="auto"/>
            </w:tcBorders>
            <w:shd w:val="clear" w:color="auto" w:fill="F0FFFF"/>
          </w:tcPr>
          <w:p>
            <w:pPr>
              <w:spacing w:after="0"/>
              <w:rPr>
                <w:sz w:val="12"/>
                <w:szCs w:val="12"/>
                <w:color w:val="auto"/>
              </w:rPr>
            </w:pPr>
          </w:p>
        </w:tc>
        <w:tc>
          <w:tcPr>
            <w:tcW w:w="1040" w:type="dxa"/>
            <w:vAlign w:val="bottom"/>
            <w:tcBorders>
              <w:right w:val="single" w:sz="8" w:color="auto"/>
            </w:tcBorders>
            <w:gridSpan w:val="4"/>
            <w:vMerge w:val="continue"/>
            <w:shd w:val="clear" w:color="auto" w:fill="F0FFFF"/>
          </w:tcPr>
          <w:p>
            <w:pPr>
              <w:spacing w:after="0"/>
              <w:rPr>
                <w:sz w:val="12"/>
                <w:szCs w:val="12"/>
                <w:color w:val="auto"/>
              </w:rPr>
            </w:pPr>
          </w:p>
        </w:tc>
        <w:tc>
          <w:tcPr>
            <w:tcW w:w="2260" w:type="dxa"/>
            <w:vAlign w:val="bottom"/>
            <w:tcBorders>
              <w:right w:val="single" w:sz="8" w:color="auto"/>
            </w:tcBorders>
            <w:gridSpan w:val="13"/>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amounts withdrawn from your Contract</w:t>
            </w:r>
          </w:p>
        </w:tc>
        <w:tc>
          <w:tcPr>
            <w:tcW w:w="1460" w:type="dxa"/>
            <w:vAlign w:val="bottom"/>
            <w:tcBorders>
              <w:right w:val="single" w:sz="8" w:color="auto"/>
            </w:tcBorders>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2200" w:type="dxa"/>
            <w:vAlign w:val="bottom"/>
            <w:tcBorders>
              <w:right w:val="single" w:sz="8" w:color="auto"/>
            </w:tcBorders>
            <w:gridSpan w:val="18"/>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amounts withdrawn from an IRA</w:t>
            </w:r>
          </w:p>
        </w:tc>
        <w:tc>
          <w:tcPr>
            <w:tcW w:w="0" w:type="dxa"/>
            <w:vAlign w:val="bottom"/>
          </w:tcPr>
          <w:p>
            <w:pPr>
              <w:spacing w:after="0"/>
              <w:rPr>
                <w:sz w:val="1"/>
                <w:szCs w:val="1"/>
                <w:color w:val="auto"/>
              </w:rPr>
            </w:pPr>
          </w:p>
        </w:tc>
      </w:tr>
      <w:tr>
        <w:trPr>
          <w:trHeight w:val="149"/>
        </w:trPr>
        <w:tc>
          <w:tcPr>
            <w:tcW w:w="40" w:type="dxa"/>
            <w:vAlign w:val="bottom"/>
            <w:tcBorders>
              <w:top w:val="single" w:sz="8" w:color="F0FFFF"/>
              <w:left w:val="single" w:sz="8" w:color="auto"/>
            </w:tcBorders>
            <w:shd w:val="clear" w:color="auto" w:fill="F0FFFF"/>
          </w:tcPr>
          <w:p>
            <w:pPr>
              <w:spacing w:after="0"/>
              <w:rPr>
                <w:sz w:val="12"/>
                <w:szCs w:val="12"/>
                <w:color w:val="auto"/>
              </w:rPr>
            </w:pPr>
          </w:p>
        </w:tc>
        <w:tc>
          <w:tcPr>
            <w:tcW w:w="1040" w:type="dxa"/>
            <w:vAlign w:val="bottom"/>
            <w:tcBorders>
              <w:top w:val="single" w:sz="8" w:color="F0FFFF"/>
              <w:right w:val="single" w:sz="8" w:color="auto"/>
            </w:tcBorders>
            <w:gridSpan w:val="4"/>
            <w:shd w:val="clear" w:color="auto" w:fill="F0FFFF"/>
          </w:tcPr>
          <w:p>
            <w:pPr>
              <w:spacing w:after="0"/>
              <w:rPr>
                <w:sz w:val="20"/>
                <w:szCs w:val="20"/>
                <w:color w:val="auto"/>
              </w:rPr>
            </w:pPr>
            <w:r>
              <w:rPr>
                <w:rFonts w:ascii="Times New Roman" w:cs="Times New Roman" w:eastAsia="Times New Roman" w:hAnsi="Times New Roman"/>
                <w:sz w:val="13"/>
                <w:szCs w:val="13"/>
                <w:b w:val="1"/>
                <w:bCs w:val="1"/>
                <w:color w:val="auto"/>
              </w:rPr>
              <w:t>Program</w:t>
            </w:r>
          </w:p>
        </w:tc>
        <w:tc>
          <w:tcPr>
            <w:tcW w:w="260" w:type="dxa"/>
            <w:vAlign w:val="bottom"/>
            <w:tcBorders>
              <w:top w:val="single" w:sz="8" w:color="F0FFFF"/>
            </w:tcBorders>
            <w:shd w:val="clear" w:color="auto" w:fill="F0FFFF"/>
          </w:tcPr>
          <w:p>
            <w:pPr>
              <w:spacing w:after="0"/>
              <w:rPr>
                <w:sz w:val="12"/>
                <w:szCs w:val="12"/>
                <w:color w:val="auto"/>
              </w:rPr>
            </w:pPr>
          </w:p>
        </w:tc>
        <w:tc>
          <w:tcPr>
            <w:tcW w:w="180" w:type="dxa"/>
            <w:vAlign w:val="bottom"/>
            <w:tcBorders>
              <w:top w:val="single" w:sz="8" w:color="F0FFFF"/>
              <w:right w:val="single" w:sz="8" w:color="F0FFFF"/>
            </w:tcBorders>
            <w:shd w:val="clear" w:color="auto" w:fill="F0FFFF"/>
          </w:tcPr>
          <w:p>
            <w:pPr>
              <w:spacing w:after="0"/>
              <w:rPr>
                <w:sz w:val="12"/>
                <w:szCs w:val="12"/>
                <w:color w:val="auto"/>
              </w:rPr>
            </w:pPr>
          </w:p>
        </w:tc>
        <w:tc>
          <w:tcPr>
            <w:tcW w:w="340" w:type="dxa"/>
            <w:vAlign w:val="bottom"/>
            <w:tcBorders>
              <w:top w:val="single" w:sz="8" w:color="F0FFFF"/>
              <w:left w:val="single" w:sz="8" w:color="F0FFFF"/>
            </w:tcBorders>
            <w:shd w:val="clear" w:color="auto" w:fill="F0FFFF"/>
          </w:tcPr>
          <w:p>
            <w:pPr>
              <w:spacing w:after="0"/>
              <w:rPr>
                <w:sz w:val="12"/>
                <w:szCs w:val="12"/>
                <w:color w:val="auto"/>
              </w:rPr>
            </w:pPr>
          </w:p>
        </w:tc>
        <w:tc>
          <w:tcPr>
            <w:tcW w:w="420" w:type="dxa"/>
            <w:vAlign w:val="bottom"/>
            <w:tcBorders>
              <w:top w:val="single" w:sz="8" w:color="F0FFFF"/>
            </w:tcBorders>
            <w:shd w:val="clear" w:color="auto" w:fill="F0FFFF"/>
          </w:tcPr>
          <w:p>
            <w:pPr>
              <w:spacing w:after="0"/>
              <w:rPr>
                <w:sz w:val="12"/>
                <w:szCs w:val="12"/>
                <w:color w:val="auto"/>
              </w:rPr>
            </w:pPr>
          </w:p>
        </w:tc>
        <w:tc>
          <w:tcPr>
            <w:tcW w:w="40" w:type="dxa"/>
            <w:vAlign w:val="bottom"/>
            <w:tcBorders>
              <w:top w:val="single" w:sz="8" w:color="F0FFFF"/>
            </w:tcBorders>
            <w:shd w:val="clear" w:color="auto" w:fill="F0FFFF"/>
          </w:tcPr>
          <w:p>
            <w:pPr>
              <w:spacing w:after="0"/>
              <w:rPr>
                <w:sz w:val="12"/>
                <w:szCs w:val="12"/>
                <w:color w:val="auto"/>
              </w:rPr>
            </w:pPr>
          </w:p>
        </w:tc>
        <w:tc>
          <w:tcPr>
            <w:tcW w:w="180" w:type="dxa"/>
            <w:vAlign w:val="bottom"/>
            <w:tcBorders>
              <w:top w:val="single" w:sz="8" w:color="F0FFFF"/>
            </w:tcBorders>
            <w:shd w:val="clear" w:color="auto" w:fill="F0FFFF"/>
          </w:tcPr>
          <w:p>
            <w:pPr>
              <w:spacing w:after="0"/>
              <w:rPr>
                <w:sz w:val="12"/>
                <w:szCs w:val="12"/>
                <w:color w:val="auto"/>
              </w:rPr>
            </w:pPr>
          </w:p>
        </w:tc>
        <w:tc>
          <w:tcPr>
            <w:tcW w:w="120" w:type="dxa"/>
            <w:vAlign w:val="bottom"/>
            <w:tcBorders>
              <w:top w:val="single" w:sz="8" w:color="F0FFFF"/>
            </w:tcBorders>
            <w:shd w:val="clear" w:color="auto" w:fill="F0FFFF"/>
          </w:tcPr>
          <w:p>
            <w:pPr>
              <w:spacing w:after="0"/>
              <w:rPr>
                <w:sz w:val="12"/>
                <w:szCs w:val="12"/>
                <w:color w:val="auto"/>
              </w:rPr>
            </w:pPr>
          </w:p>
        </w:tc>
        <w:tc>
          <w:tcPr>
            <w:tcW w:w="120" w:type="dxa"/>
            <w:vAlign w:val="bottom"/>
            <w:tcBorders>
              <w:top w:val="single" w:sz="8" w:color="F0FFFF"/>
            </w:tcBorders>
            <w:shd w:val="clear" w:color="auto" w:fill="F0FFFF"/>
          </w:tcPr>
          <w:p>
            <w:pPr>
              <w:spacing w:after="0"/>
              <w:rPr>
                <w:sz w:val="12"/>
                <w:szCs w:val="12"/>
                <w:color w:val="auto"/>
              </w:rPr>
            </w:pPr>
          </w:p>
        </w:tc>
        <w:tc>
          <w:tcPr>
            <w:tcW w:w="200" w:type="dxa"/>
            <w:vAlign w:val="bottom"/>
            <w:tcBorders>
              <w:top w:val="single" w:sz="8" w:color="auto"/>
            </w:tcBorders>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spacing w:after="0"/>
              <w:rPr>
                <w:sz w:val="12"/>
                <w:szCs w:val="12"/>
                <w:color w:val="auto"/>
              </w:rPr>
            </w:pPr>
          </w:p>
        </w:tc>
        <w:tc>
          <w:tcPr>
            <w:tcW w:w="160" w:type="dxa"/>
            <w:vAlign w:val="bottom"/>
            <w:tcBorders>
              <w:top w:val="single" w:sz="8" w:color="auto"/>
              <w:right w:val="single" w:sz="8" w:color="F0FFFF"/>
            </w:tcBorders>
            <w:shd w:val="clear" w:color="auto" w:fill="F0FFFF"/>
          </w:tcPr>
          <w:p>
            <w:pPr>
              <w:spacing w:after="0"/>
              <w:rPr>
                <w:sz w:val="12"/>
                <w:szCs w:val="12"/>
                <w:color w:val="auto"/>
              </w:rPr>
            </w:pPr>
          </w:p>
        </w:tc>
        <w:tc>
          <w:tcPr>
            <w:tcW w:w="80" w:type="dxa"/>
            <w:vAlign w:val="bottom"/>
            <w:tcBorders>
              <w:top w:val="single" w:sz="8" w:color="F0FFFF"/>
            </w:tcBorders>
            <w:shd w:val="clear" w:color="auto" w:fill="F0FFFF"/>
          </w:tcPr>
          <w:p>
            <w:pPr>
              <w:spacing w:after="0"/>
              <w:rPr>
                <w:sz w:val="12"/>
                <w:szCs w:val="12"/>
                <w:color w:val="auto"/>
              </w:rPr>
            </w:pPr>
          </w:p>
        </w:tc>
        <w:tc>
          <w:tcPr>
            <w:tcW w:w="40" w:type="dxa"/>
            <w:vAlign w:val="bottom"/>
            <w:tcBorders>
              <w:top w:val="single" w:sz="8" w:color="F0FFFF"/>
              <w:right w:val="single" w:sz="8" w:color="auto"/>
            </w:tcBorders>
            <w:shd w:val="clear" w:color="auto" w:fill="F0FFFF"/>
          </w:tcPr>
          <w:p>
            <w:pPr>
              <w:spacing w:after="0"/>
              <w:rPr>
                <w:sz w:val="12"/>
                <w:szCs w:val="12"/>
                <w:color w:val="auto"/>
              </w:rPr>
            </w:pPr>
          </w:p>
        </w:tc>
        <w:tc>
          <w:tcPr>
            <w:tcW w:w="1460" w:type="dxa"/>
            <w:vAlign w:val="bottom"/>
            <w:tcBorders>
              <w:top w:val="single" w:sz="8" w:color="F0FFFF"/>
              <w:right w:val="single" w:sz="8" w:color="auto"/>
            </w:tcBorders>
            <w:shd w:val="clear" w:color="auto" w:fill="F0FFFF"/>
          </w:tcPr>
          <w:p>
            <w:pPr>
              <w:spacing w:after="0"/>
              <w:rPr>
                <w:sz w:val="12"/>
                <w:szCs w:val="12"/>
                <w:color w:val="auto"/>
              </w:rPr>
            </w:pPr>
          </w:p>
        </w:tc>
        <w:tc>
          <w:tcPr>
            <w:tcW w:w="140" w:type="dxa"/>
            <w:vAlign w:val="bottom"/>
            <w:tcBorders>
              <w:top w:val="single" w:sz="8" w:color="F0FFFF"/>
            </w:tcBorders>
            <w:shd w:val="clear" w:color="auto" w:fill="F0FFFF"/>
          </w:tcPr>
          <w:p>
            <w:pPr>
              <w:spacing w:after="0"/>
              <w:rPr>
                <w:sz w:val="12"/>
                <w:szCs w:val="12"/>
                <w:color w:val="auto"/>
              </w:rPr>
            </w:pPr>
          </w:p>
        </w:tc>
        <w:tc>
          <w:tcPr>
            <w:tcW w:w="2200" w:type="dxa"/>
            <w:vAlign w:val="bottom"/>
            <w:tcBorders>
              <w:top w:val="single" w:sz="8" w:color="F0FFFF"/>
              <w:right w:val="single" w:sz="8" w:color="auto"/>
            </w:tcBorders>
            <w:gridSpan w:val="18"/>
            <w:shd w:val="clear" w:color="auto" w:fill="F0FFFF"/>
          </w:tcPr>
          <w:p>
            <w:pPr>
              <w:spacing w:after="0"/>
              <w:rPr>
                <w:sz w:val="20"/>
                <w:szCs w:val="20"/>
                <w:color w:val="auto"/>
              </w:rPr>
            </w:pPr>
            <w:r>
              <w:rPr>
                <w:rFonts w:ascii="Times New Roman" w:cs="Times New Roman" w:eastAsia="Times New Roman" w:hAnsi="Times New Roman"/>
                <w:sz w:val="13"/>
                <w:szCs w:val="13"/>
                <w:color w:val="auto"/>
              </w:rPr>
              <w:t>Contract or qualified annuity Contract.</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shd w:val="clear" w:color="auto" w:fill="F0FFFF"/>
          </w:tcPr>
          <w:p>
            <w:pPr>
              <w:spacing w:after="0" w:line="20" w:lineRule="exact"/>
              <w:rPr>
                <w:sz w:val="1"/>
                <w:szCs w:val="1"/>
                <w:color w:val="auto"/>
              </w:rPr>
            </w:pPr>
          </w:p>
        </w:tc>
        <w:tc>
          <w:tcPr>
            <w:tcW w:w="460" w:type="dxa"/>
            <w:vAlign w:val="bottom"/>
            <w:shd w:val="clear" w:color="auto" w:fill="F0FFFF"/>
          </w:tcPr>
          <w:p>
            <w:pPr>
              <w:spacing w:after="0" w:line="20" w:lineRule="exact"/>
              <w:rPr>
                <w:sz w:val="1"/>
                <w:szCs w:val="1"/>
                <w:color w:val="auto"/>
              </w:rPr>
            </w:pPr>
          </w:p>
        </w:tc>
        <w:tc>
          <w:tcPr>
            <w:tcW w:w="360" w:type="dxa"/>
            <w:vAlign w:val="bottom"/>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60" w:type="dxa"/>
            <w:vAlign w:val="bottom"/>
            <w:tcBorders>
              <w:right w:val="single" w:sz="8" w:color="auto"/>
            </w:tcBorders>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180" w:type="dxa"/>
            <w:vAlign w:val="bottom"/>
            <w:tcBorders>
              <w:right w:val="single" w:sz="8" w:color="F0FFFF"/>
            </w:tcBorders>
            <w:shd w:val="clear" w:color="auto" w:fill="F0FFFF"/>
          </w:tcPr>
          <w:p>
            <w:pPr>
              <w:spacing w:after="0" w:line="20" w:lineRule="exact"/>
              <w:rPr>
                <w:sz w:val="1"/>
                <w:szCs w:val="1"/>
                <w:color w:val="auto"/>
              </w:rPr>
            </w:pPr>
          </w:p>
        </w:tc>
        <w:tc>
          <w:tcPr>
            <w:tcW w:w="340" w:type="dxa"/>
            <w:vAlign w:val="bottom"/>
            <w:tcBorders>
              <w:left w:val="single" w:sz="8" w:color="F0FFFF"/>
            </w:tcBorders>
            <w:shd w:val="clear" w:color="auto" w:fill="F0FFFF"/>
          </w:tcPr>
          <w:p>
            <w:pPr>
              <w:spacing w:after="0" w:line="20" w:lineRule="exact"/>
              <w:rPr>
                <w:sz w:val="1"/>
                <w:szCs w:val="1"/>
                <w:color w:val="auto"/>
              </w:rPr>
            </w:pPr>
          </w:p>
        </w:tc>
        <w:tc>
          <w:tcPr>
            <w:tcW w:w="420" w:type="dxa"/>
            <w:vAlign w:val="bottom"/>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20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40" w:type="dxa"/>
            <w:vAlign w:val="bottom"/>
            <w:tcBorders>
              <w:right w:val="single" w:sz="8" w:color="auto"/>
            </w:tcBorders>
            <w:shd w:val="clear" w:color="auto" w:fill="F0FFFF"/>
          </w:tcPr>
          <w:p>
            <w:pPr>
              <w:spacing w:after="0" w:line="20" w:lineRule="exact"/>
              <w:rPr>
                <w:sz w:val="1"/>
                <w:szCs w:val="1"/>
                <w:color w:val="auto"/>
              </w:rPr>
            </w:pPr>
          </w:p>
        </w:tc>
        <w:tc>
          <w:tcPr>
            <w:tcW w:w="1460" w:type="dxa"/>
            <w:vAlign w:val="bottom"/>
            <w:tcBorders>
              <w:right w:val="single" w:sz="8" w:color="auto"/>
            </w:tcBorders>
            <w:shd w:val="clear" w:color="auto" w:fill="F0FFFF"/>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F0FFFF"/>
            </w:tcBorders>
            <w:gridSpan w:val="2"/>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24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120" w:type="dxa"/>
            <w:vAlign w:val="bottom"/>
            <w:tcBorders>
              <w:left w:val="single" w:sz="8" w:color="F0FFFF"/>
            </w:tcBorders>
            <w:gridSpan w:val="2"/>
            <w:shd w:val="clear" w:color="auto" w:fill="F0FFFF"/>
          </w:tcPr>
          <w:p>
            <w:pPr>
              <w:spacing w:after="0" w:line="20" w:lineRule="exact"/>
              <w:rPr>
                <w:sz w:val="1"/>
                <w:szCs w:val="1"/>
                <w:color w:val="auto"/>
              </w:rPr>
            </w:pPr>
          </w:p>
        </w:tc>
        <w:tc>
          <w:tcPr>
            <w:tcW w:w="80" w:type="dxa"/>
            <w:vAlign w:val="bottom"/>
            <w:tcBorders>
              <w:left w:val="single" w:sz="8" w:color="F0FFFF"/>
            </w:tcBorders>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left w:val="single" w:sz="8" w:color="F0FFFF"/>
              <w:right w:val="single" w:sz="8" w:color="auto"/>
            </w:tcBorders>
            <w:shd w:val="clear" w:color="auto" w:fill="F0FFFF"/>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F0FFFF"/>
          </w:tcPr>
          <w:p>
            <w:pPr>
              <w:spacing w:after="0" w:line="20" w:lineRule="exact"/>
              <w:rPr>
                <w:sz w:val="1"/>
                <w:szCs w:val="1"/>
                <w:color w:val="auto"/>
              </w:rPr>
            </w:pPr>
          </w:p>
        </w:tc>
        <w:tc>
          <w:tcPr>
            <w:tcW w:w="12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0" w:type="dxa"/>
            <w:vAlign w:val="bottom"/>
            <w:tcBorders>
              <w:left w:val="single" w:sz="8" w:color="auto"/>
            </w:tcBorders>
            <w:shd w:val="clear" w:color="auto" w:fill="F0FFFF"/>
          </w:tcPr>
          <w:p>
            <w:pPr>
              <w:spacing w:after="0"/>
              <w:rPr>
                <w:sz w:val="12"/>
                <w:szCs w:val="12"/>
                <w:color w:val="auto"/>
              </w:rPr>
            </w:pPr>
          </w:p>
        </w:tc>
        <w:tc>
          <w:tcPr>
            <w:tcW w:w="460" w:type="dxa"/>
            <w:vAlign w:val="bottom"/>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0" w:type="dxa"/>
            <w:vAlign w:val="bottom"/>
            <w:tcBorders>
              <w:right w:val="single" w:sz="8" w:color="auto"/>
            </w:tcBorders>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180" w:type="dxa"/>
            <w:vAlign w:val="bottom"/>
            <w:tcBorders>
              <w:right w:val="single" w:sz="8" w:color="F0FFFF"/>
            </w:tcBorders>
            <w:shd w:val="clear" w:color="auto" w:fill="F0FFFF"/>
          </w:tcPr>
          <w:p>
            <w:pPr>
              <w:spacing w:after="0"/>
              <w:rPr>
                <w:sz w:val="12"/>
                <w:szCs w:val="12"/>
                <w:color w:val="auto"/>
              </w:rPr>
            </w:pPr>
          </w:p>
        </w:tc>
        <w:tc>
          <w:tcPr>
            <w:tcW w:w="340" w:type="dxa"/>
            <w:vAlign w:val="bottom"/>
            <w:tcBorders>
              <w:left w:val="single" w:sz="8" w:color="F0FFFF"/>
            </w:tcBorders>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60" w:type="dxa"/>
            <w:vAlign w:val="bottom"/>
            <w:tcBorders>
              <w:righ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40" w:type="dxa"/>
            <w:vAlign w:val="bottom"/>
            <w:tcBorders>
              <w:right w:val="single" w:sz="8" w:color="auto"/>
            </w:tcBorders>
            <w:shd w:val="clear" w:color="auto" w:fill="F0FFFF"/>
          </w:tcPr>
          <w:p>
            <w:pPr>
              <w:spacing w:after="0"/>
              <w:rPr>
                <w:sz w:val="12"/>
                <w:szCs w:val="12"/>
                <w:color w:val="auto"/>
              </w:rPr>
            </w:pPr>
          </w:p>
        </w:tc>
        <w:tc>
          <w:tcPr>
            <w:tcW w:w="1460" w:type="dxa"/>
            <w:vAlign w:val="bottom"/>
            <w:tcBorders>
              <w:right w:val="single" w:sz="8" w:color="auto"/>
            </w:tcBorders>
            <w:shd w:val="clear" w:color="auto" w:fill="F0FFFF"/>
          </w:tcPr>
          <w:p>
            <w:pPr>
              <w:spacing w:after="0"/>
              <w:rPr>
                <w:sz w:val="12"/>
                <w:szCs w:val="12"/>
                <w:color w:val="auto"/>
              </w:rPr>
            </w:pPr>
          </w:p>
        </w:tc>
        <w:tc>
          <w:tcPr>
            <w:tcW w:w="2340" w:type="dxa"/>
            <w:vAlign w:val="bottom"/>
            <w:tcBorders>
              <w:right w:val="single" w:sz="8" w:color="auto"/>
            </w:tcBorders>
            <w:gridSpan w:val="19"/>
            <w:shd w:val="clear" w:color="auto" w:fill="F0FFFF"/>
          </w:tcPr>
          <w:p>
            <w:pPr>
              <w:ind w:left="20"/>
              <w:spacing w:after="0" w:line="139" w:lineRule="exact"/>
              <w:rPr>
                <w:sz w:val="20"/>
                <w:szCs w:val="20"/>
                <w:color w:val="auto"/>
              </w:rPr>
            </w:pPr>
            <w:r>
              <w:rPr>
                <w:rFonts w:ascii="Times New Roman" w:cs="Times New Roman" w:eastAsia="Times New Roman" w:hAnsi="Times New Roman"/>
                <w:sz w:val="13"/>
                <w:szCs w:val="13"/>
                <w:color w:val="auto"/>
              </w:rPr>
              <w:t>● Available after the first Contract Year</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shd w:val="clear" w:color="auto" w:fill="F0FFFF"/>
          </w:tcPr>
          <w:p>
            <w:pPr>
              <w:spacing w:after="0" w:line="20" w:lineRule="exact"/>
              <w:rPr>
                <w:sz w:val="1"/>
                <w:szCs w:val="1"/>
                <w:color w:val="auto"/>
              </w:rPr>
            </w:pPr>
          </w:p>
        </w:tc>
        <w:tc>
          <w:tcPr>
            <w:tcW w:w="460" w:type="dxa"/>
            <w:vAlign w:val="bottom"/>
            <w:shd w:val="clear" w:color="auto" w:fill="F0FFFF"/>
          </w:tcPr>
          <w:p>
            <w:pPr>
              <w:spacing w:after="0" w:line="20" w:lineRule="exact"/>
              <w:rPr>
                <w:sz w:val="1"/>
                <w:szCs w:val="1"/>
                <w:color w:val="auto"/>
              </w:rPr>
            </w:pPr>
          </w:p>
        </w:tc>
        <w:tc>
          <w:tcPr>
            <w:tcW w:w="360" w:type="dxa"/>
            <w:vAlign w:val="bottom"/>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60" w:type="dxa"/>
            <w:vAlign w:val="bottom"/>
            <w:tcBorders>
              <w:right w:val="single" w:sz="8" w:color="auto"/>
            </w:tcBorders>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180" w:type="dxa"/>
            <w:vAlign w:val="bottom"/>
            <w:tcBorders>
              <w:right w:val="single" w:sz="8" w:color="F0FFFF"/>
            </w:tcBorders>
            <w:shd w:val="clear" w:color="auto" w:fill="F0FFFF"/>
          </w:tcPr>
          <w:p>
            <w:pPr>
              <w:spacing w:after="0" w:line="20" w:lineRule="exact"/>
              <w:rPr>
                <w:sz w:val="1"/>
                <w:szCs w:val="1"/>
                <w:color w:val="auto"/>
              </w:rPr>
            </w:pPr>
          </w:p>
        </w:tc>
        <w:tc>
          <w:tcPr>
            <w:tcW w:w="340" w:type="dxa"/>
            <w:vAlign w:val="bottom"/>
            <w:tcBorders>
              <w:left w:val="single" w:sz="8" w:color="F0FFFF"/>
            </w:tcBorders>
            <w:shd w:val="clear" w:color="auto" w:fill="F0FFFF"/>
          </w:tcPr>
          <w:p>
            <w:pPr>
              <w:spacing w:after="0" w:line="20" w:lineRule="exact"/>
              <w:rPr>
                <w:sz w:val="1"/>
                <w:szCs w:val="1"/>
                <w:color w:val="auto"/>
              </w:rPr>
            </w:pPr>
          </w:p>
        </w:tc>
        <w:tc>
          <w:tcPr>
            <w:tcW w:w="420" w:type="dxa"/>
            <w:vAlign w:val="bottom"/>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20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40" w:type="dxa"/>
            <w:vAlign w:val="bottom"/>
            <w:tcBorders>
              <w:right w:val="single" w:sz="8" w:color="auto"/>
            </w:tcBorders>
            <w:shd w:val="clear" w:color="auto" w:fill="F0FFFF"/>
          </w:tcPr>
          <w:p>
            <w:pPr>
              <w:spacing w:after="0" w:line="20" w:lineRule="exact"/>
              <w:rPr>
                <w:sz w:val="1"/>
                <w:szCs w:val="1"/>
                <w:color w:val="auto"/>
              </w:rPr>
            </w:pPr>
          </w:p>
        </w:tc>
        <w:tc>
          <w:tcPr>
            <w:tcW w:w="1460" w:type="dxa"/>
            <w:vAlign w:val="bottom"/>
            <w:tcBorders>
              <w:right w:val="single" w:sz="8" w:color="auto"/>
            </w:tcBorders>
            <w:shd w:val="clear" w:color="auto" w:fill="F0FFFF"/>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300" w:type="dxa"/>
            <w:vAlign w:val="bottom"/>
            <w:gridSpan w:val="3"/>
            <w:shd w:val="clear" w:color="auto" w:fill="F0FFFF"/>
          </w:tcPr>
          <w:p>
            <w:pPr>
              <w:spacing w:after="0" w:line="20" w:lineRule="exact"/>
              <w:rPr>
                <w:sz w:val="1"/>
                <w:szCs w:val="1"/>
                <w:color w:val="auto"/>
              </w:rPr>
            </w:pPr>
          </w:p>
        </w:tc>
        <w:tc>
          <w:tcPr>
            <w:tcW w:w="120" w:type="dxa"/>
            <w:vAlign w:val="bottom"/>
            <w:tcBorders>
              <w:left w:val="single" w:sz="8" w:color="F0FFFF"/>
            </w:tcBorders>
            <w:shd w:val="clear" w:color="auto" w:fill="F0FFFF"/>
          </w:tcPr>
          <w:p>
            <w:pPr>
              <w:spacing w:after="0" w:line="20" w:lineRule="exact"/>
              <w:rPr>
                <w:sz w:val="1"/>
                <w:szCs w:val="1"/>
                <w:color w:val="auto"/>
              </w:rPr>
            </w:pPr>
          </w:p>
        </w:tc>
        <w:tc>
          <w:tcPr>
            <w:tcW w:w="240" w:type="dxa"/>
            <w:vAlign w:val="bottom"/>
            <w:tcBorders>
              <w:left w:val="single" w:sz="8" w:color="F0FFFF"/>
            </w:tcBorders>
            <w:gridSpan w:val="2"/>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24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120" w:type="dxa"/>
            <w:vAlign w:val="bottom"/>
            <w:tcBorders>
              <w:left w:val="single" w:sz="8" w:color="F0FFFF"/>
            </w:tcBorders>
            <w:gridSpan w:val="2"/>
            <w:shd w:val="clear" w:color="auto" w:fill="F0FFFF"/>
          </w:tcPr>
          <w:p>
            <w:pPr>
              <w:spacing w:after="0" w:line="20" w:lineRule="exact"/>
              <w:rPr>
                <w:sz w:val="1"/>
                <w:szCs w:val="1"/>
                <w:color w:val="auto"/>
              </w:rPr>
            </w:pPr>
          </w:p>
        </w:tc>
        <w:tc>
          <w:tcPr>
            <w:tcW w:w="80" w:type="dxa"/>
            <w:vAlign w:val="bottom"/>
            <w:tcBorders>
              <w:left w:val="single" w:sz="8" w:color="F0FFFF"/>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Borders>
              <w:left w:val="single" w:sz="8" w:color="F0FFFF"/>
            </w:tcBorders>
            <w:shd w:val="clear" w:color="auto" w:fill="F0FFFF"/>
          </w:tcPr>
          <w:p>
            <w:pPr>
              <w:spacing w:after="0" w:line="20" w:lineRule="exact"/>
              <w:rPr>
                <w:sz w:val="1"/>
                <w:szCs w:val="1"/>
                <w:color w:val="auto"/>
              </w:rPr>
            </w:pPr>
          </w:p>
        </w:tc>
        <w:tc>
          <w:tcPr>
            <w:tcW w:w="12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0" w:type="dxa"/>
            <w:vAlign w:val="bottom"/>
            <w:tcBorders>
              <w:left w:val="single" w:sz="8" w:color="auto"/>
            </w:tcBorders>
            <w:shd w:val="clear" w:color="auto" w:fill="F0FFFF"/>
          </w:tcPr>
          <w:p>
            <w:pPr>
              <w:spacing w:after="0"/>
              <w:rPr>
                <w:sz w:val="12"/>
                <w:szCs w:val="12"/>
                <w:color w:val="auto"/>
              </w:rPr>
            </w:pPr>
          </w:p>
        </w:tc>
        <w:tc>
          <w:tcPr>
            <w:tcW w:w="460" w:type="dxa"/>
            <w:vAlign w:val="bottom"/>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0" w:type="dxa"/>
            <w:vAlign w:val="bottom"/>
            <w:tcBorders>
              <w:right w:val="single" w:sz="8" w:color="auto"/>
            </w:tcBorders>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180" w:type="dxa"/>
            <w:vAlign w:val="bottom"/>
            <w:tcBorders>
              <w:right w:val="single" w:sz="8" w:color="F0FFFF"/>
            </w:tcBorders>
            <w:shd w:val="clear" w:color="auto" w:fill="F0FFFF"/>
          </w:tcPr>
          <w:p>
            <w:pPr>
              <w:spacing w:after="0"/>
              <w:rPr>
                <w:sz w:val="12"/>
                <w:szCs w:val="12"/>
                <w:color w:val="auto"/>
              </w:rPr>
            </w:pPr>
          </w:p>
        </w:tc>
        <w:tc>
          <w:tcPr>
            <w:tcW w:w="340" w:type="dxa"/>
            <w:vAlign w:val="bottom"/>
            <w:tcBorders>
              <w:left w:val="single" w:sz="8" w:color="F0FFFF"/>
            </w:tcBorders>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60" w:type="dxa"/>
            <w:vAlign w:val="bottom"/>
            <w:tcBorders>
              <w:righ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40" w:type="dxa"/>
            <w:vAlign w:val="bottom"/>
            <w:tcBorders>
              <w:right w:val="single" w:sz="8" w:color="auto"/>
            </w:tcBorders>
            <w:shd w:val="clear" w:color="auto" w:fill="F0FFFF"/>
          </w:tcPr>
          <w:p>
            <w:pPr>
              <w:spacing w:after="0"/>
              <w:rPr>
                <w:sz w:val="12"/>
                <w:szCs w:val="12"/>
                <w:color w:val="auto"/>
              </w:rPr>
            </w:pPr>
          </w:p>
        </w:tc>
        <w:tc>
          <w:tcPr>
            <w:tcW w:w="1460" w:type="dxa"/>
            <w:vAlign w:val="bottom"/>
            <w:tcBorders>
              <w:right w:val="single" w:sz="8" w:color="auto"/>
            </w:tcBorders>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2200" w:type="dxa"/>
            <w:vAlign w:val="bottom"/>
            <w:tcBorders>
              <w:right w:val="single" w:sz="8" w:color="auto"/>
            </w:tcBorders>
            <w:gridSpan w:val="18"/>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and for up to10% of your Account</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shd w:val="clear" w:color="auto" w:fill="F0FFFF"/>
          </w:tcPr>
          <w:p>
            <w:pPr>
              <w:spacing w:after="0" w:line="20" w:lineRule="exact"/>
              <w:rPr>
                <w:sz w:val="1"/>
                <w:szCs w:val="1"/>
                <w:color w:val="auto"/>
              </w:rPr>
            </w:pPr>
          </w:p>
        </w:tc>
        <w:tc>
          <w:tcPr>
            <w:tcW w:w="460" w:type="dxa"/>
            <w:vAlign w:val="bottom"/>
            <w:shd w:val="clear" w:color="auto" w:fill="F0FFFF"/>
          </w:tcPr>
          <w:p>
            <w:pPr>
              <w:spacing w:after="0" w:line="20" w:lineRule="exact"/>
              <w:rPr>
                <w:sz w:val="1"/>
                <w:szCs w:val="1"/>
                <w:color w:val="auto"/>
              </w:rPr>
            </w:pPr>
          </w:p>
        </w:tc>
        <w:tc>
          <w:tcPr>
            <w:tcW w:w="360" w:type="dxa"/>
            <w:vAlign w:val="bottom"/>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60" w:type="dxa"/>
            <w:vAlign w:val="bottom"/>
            <w:tcBorders>
              <w:right w:val="single" w:sz="8" w:color="auto"/>
            </w:tcBorders>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180" w:type="dxa"/>
            <w:vAlign w:val="bottom"/>
            <w:tcBorders>
              <w:right w:val="single" w:sz="8" w:color="F0FFFF"/>
            </w:tcBorders>
            <w:shd w:val="clear" w:color="auto" w:fill="F0FFFF"/>
          </w:tcPr>
          <w:p>
            <w:pPr>
              <w:spacing w:after="0" w:line="20" w:lineRule="exact"/>
              <w:rPr>
                <w:sz w:val="1"/>
                <w:szCs w:val="1"/>
                <w:color w:val="auto"/>
              </w:rPr>
            </w:pPr>
          </w:p>
        </w:tc>
        <w:tc>
          <w:tcPr>
            <w:tcW w:w="340" w:type="dxa"/>
            <w:vAlign w:val="bottom"/>
            <w:tcBorders>
              <w:left w:val="single" w:sz="8" w:color="F0FFFF"/>
            </w:tcBorders>
            <w:shd w:val="clear" w:color="auto" w:fill="F0FFFF"/>
          </w:tcPr>
          <w:p>
            <w:pPr>
              <w:spacing w:after="0" w:line="20" w:lineRule="exact"/>
              <w:rPr>
                <w:sz w:val="1"/>
                <w:szCs w:val="1"/>
                <w:color w:val="auto"/>
              </w:rPr>
            </w:pPr>
          </w:p>
        </w:tc>
        <w:tc>
          <w:tcPr>
            <w:tcW w:w="420" w:type="dxa"/>
            <w:vAlign w:val="bottom"/>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20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40" w:type="dxa"/>
            <w:vAlign w:val="bottom"/>
            <w:tcBorders>
              <w:right w:val="single" w:sz="8" w:color="auto"/>
            </w:tcBorders>
            <w:shd w:val="clear" w:color="auto" w:fill="F0FFFF"/>
          </w:tcPr>
          <w:p>
            <w:pPr>
              <w:spacing w:after="0" w:line="20" w:lineRule="exact"/>
              <w:rPr>
                <w:sz w:val="1"/>
                <w:szCs w:val="1"/>
                <w:color w:val="auto"/>
              </w:rPr>
            </w:pPr>
          </w:p>
        </w:tc>
        <w:tc>
          <w:tcPr>
            <w:tcW w:w="1460" w:type="dxa"/>
            <w:vAlign w:val="bottom"/>
            <w:tcBorders>
              <w:right w:val="single" w:sz="8" w:color="auto"/>
            </w:tcBorders>
            <w:shd w:val="clear" w:color="auto" w:fill="F0FFFF"/>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300" w:type="dxa"/>
            <w:vAlign w:val="bottom"/>
            <w:gridSpan w:val="3"/>
            <w:shd w:val="clear" w:color="auto" w:fill="F0FFFF"/>
          </w:tcPr>
          <w:p>
            <w:pPr>
              <w:spacing w:after="0" w:line="20" w:lineRule="exact"/>
              <w:rPr>
                <w:sz w:val="1"/>
                <w:szCs w:val="1"/>
                <w:color w:val="auto"/>
              </w:rPr>
            </w:pPr>
          </w:p>
        </w:tc>
        <w:tc>
          <w:tcPr>
            <w:tcW w:w="120" w:type="dxa"/>
            <w:vAlign w:val="bottom"/>
            <w:tcBorders>
              <w:left w:val="single" w:sz="8" w:color="F0FFFF"/>
            </w:tcBorders>
            <w:shd w:val="clear" w:color="auto" w:fill="F0FFFF"/>
          </w:tcPr>
          <w:p>
            <w:pPr>
              <w:spacing w:after="0" w:line="20" w:lineRule="exact"/>
              <w:rPr>
                <w:sz w:val="1"/>
                <w:szCs w:val="1"/>
                <w:color w:val="auto"/>
              </w:rPr>
            </w:pPr>
          </w:p>
        </w:tc>
        <w:tc>
          <w:tcPr>
            <w:tcW w:w="240" w:type="dxa"/>
            <w:vAlign w:val="bottom"/>
            <w:tcBorders>
              <w:left w:val="single" w:sz="8" w:color="F0FFFF"/>
            </w:tcBorders>
            <w:gridSpan w:val="2"/>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24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120" w:type="dxa"/>
            <w:vAlign w:val="bottom"/>
            <w:tcBorders>
              <w:left w:val="single" w:sz="8" w:color="F0FFFF"/>
            </w:tcBorders>
            <w:gridSpan w:val="2"/>
            <w:shd w:val="clear" w:color="auto" w:fill="F0FFFF"/>
          </w:tcPr>
          <w:p>
            <w:pPr>
              <w:spacing w:after="0" w:line="20" w:lineRule="exact"/>
              <w:rPr>
                <w:sz w:val="1"/>
                <w:szCs w:val="1"/>
                <w:color w:val="auto"/>
              </w:rPr>
            </w:pPr>
          </w:p>
        </w:tc>
        <w:tc>
          <w:tcPr>
            <w:tcW w:w="80" w:type="dxa"/>
            <w:vAlign w:val="bottom"/>
            <w:tcBorders>
              <w:left w:val="single" w:sz="8" w:color="F0FFFF"/>
            </w:tcBorders>
            <w:shd w:val="clear" w:color="auto" w:fill="F0FFFF"/>
          </w:tcPr>
          <w:p>
            <w:pPr>
              <w:spacing w:after="0" w:line="20" w:lineRule="exact"/>
              <w:rPr>
                <w:sz w:val="1"/>
                <w:szCs w:val="1"/>
                <w:color w:val="auto"/>
              </w:rPr>
            </w:pPr>
          </w:p>
        </w:tc>
        <w:tc>
          <w:tcPr>
            <w:tcW w:w="160" w:type="dxa"/>
            <w:vAlign w:val="bottom"/>
            <w:tcBorders>
              <w:right w:val="single" w:sz="8" w:color="auto"/>
            </w:tcBorders>
            <w:shd w:val="clear" w:color="auto" w:fill="F0FFFF"/>
          </w:tcPr>
          <w:p>
            <w:pPr>
              <w:spacing w:after="0" w:line="20" w:lineRule="exact"/>
              <w:rPr>
                <w:sz w:val="1"/>
                <w:szCs w:val="1"/>
                <w:color w:val="auto"/>
              </w:rPr>
            </w:pPr>
          </w:p>
        </w:tc>
        <w:tc>
          <w:tcPr>
            <w:tcW w:w="2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100" w:type="dxa"/>
            <w:vAlign w:val="bottom"/>
            <w:tcBorders>
              <w:left w:val="single" w:sz="8" w:color="F0FFFF"/>
            </w:tcBorders>
            <w:shd w:val="clear" w:color="auto" w:fill="F0FFFF"/>
          </w:tcPr>
          <w:p>
            <w:pPr>
              <w:spacing w:after="0" w:line="20" w:lineRule="exact"/>
              <w:rPr>
                <w:sz w:val="1"/>
                <w:szCs w:val="1"/>
                <w:color w:val="auto"/>
              </w:rPr>
            </w:pPr>
          </w:p>
        </w:tc>
        <w:tc>
          <w:tcPr>
            <w:tcW w:w="12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0" w:type="dxa"/>
            <w:vAlign w:val="bottom"/>
            <w:tcBorders>
              <w:left w:val="single" w:sz="8" w:color="auto"/>
            </w:tcBorders>
            <w:shd w:val="clear" w:color="auto" w:fill="F0FFFF"/>
          </w:tcPr>
          <w:p>
            <w:pPr>
              <w:spacing w:after="0"/>
              <w:rPr>
                <w:sz w:val="12"/>
                <w:szCs w:val="12"/>
                <w:color w:val="auto"/>
              </w:rPr>
            </w:pPr>
          </w:p>
        </w:tc>
        <w:tc>
          <w:tcPr>
            <w:tcW w:w="460" w:type="dxa"/>
            <w:vAlign w:val="bottom"/>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0" w:type="dxa"/>
            <w:vAlign w:val="bottom"/>
            <w:tcBorders>
              <w:right w:val="single" w:sz="8" w:color="auto"/>
            </w:tcBorders>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180" w:type="dxa"/>
            <w:vAlign w:val="bottom"/>
            <w:tcBorders>
              <w:right w:val="single" w:sz="8" w:color="F0FFFF"/>
            </w:tcBorders>
            <w:shd w:val="clear" w:color="auto" w:fill="F0FFFF"/>
          </w:tcPr>
          <w:p>
            <w:pPr>
              <w:spacing w:after="0"/>
              <w:rPr>
                <w:sz w:val="12"/>
                <w:szCs w:val="12"/>
                <w:color w:val="auto"/>
              </w:rPr>
            </w:pPr>
          </w:p>
        </w:tc>
        <w:tc>
          <w:tcPr>
            <w:tcW w:w="340" w:type="dxa"/>
            <w:vAlign w:val="bottom"/>
            <w:tcBorders>
              <w:left w:val="single" w:sz="8" w:color="F0FFFF"/>
            </w:tcBorders>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60" w:type="dxa"/>
            <w:vAlign w:val="bottom"/>
            <w:tcBorders>
              <w:righ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40" w:type="dxa"/>
            <w:vAlign w:val="bottom"/>
            <w:tcBorders>
              <w:right w:val="single" w:sz="8" w:color="auto"/>
            </w:tcBorders>
            <w:shd w:val="clear" w:color="auto" w:fill="F0FFFF"/>
          </w:tcPr>
          <w:p>
            <w:pPr>
              <w:spacing w:after="0"/>
              <w:rPr>
                <w:sz w:val="12"/>
                <w:szCs w:val="12"/>
                <w:color w:val="auto"/>
              </w:rPr>
            </w:pPr>
          </w:p>
        </w:tc>
        <w:tc>
          <w:tcPr>
            <w:tcW w:w="1460" w:type="dxa"/>
            <w:vAlign w:val="bottom"/>
            <w:tcBorders>
              <w:right w:val="single" w:sz="8" w:color="auto"/>
            </w:tcBorders>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2200" w:type="dxa"/>
            <w:vAlign w:val="bottom"/>
            <w:tcBorders>
              <w:right w:val="single" w:sz="8" w:color="auto"/>
            </w:tcBorders>
            <w:gridSpan w:val="18"/>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Value as of the prior Contract</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shd w:val="clear" w:color="auto" w:fill="F0FFFF"/>
          </w:tcPr>
          <w:p>
            <w:pPr>
              <w:spacing w:after="0" w:line="20" w:lineRule="exact"/>
              <w:rPr>
                <w:sz w:val="1"/>
                <w:szCs w:val="1"/>
                <w:color w:val="auto"/>
              </w:rPr>
            </w:pPr>
          </w:p>
        </w:tc>
        <w:tc>
          <w:tcPr>
            <w:tcW w:w="460" w:type="dxa"/>
            <w:vAlign w:val="bottom"/>
            <w:shd w:val="clear" w:color="auto" w:fill="F0FFFF"/>
          </w:tcPr>
          <w:p>
            <w:pPr>
              <w:spacing w:after="0" w:line="20" w:lineRule="exact"/>
              <w:rPr>
                <w:sz w:val="1"/>
                <w:szCs w:val="1"/>
                <w:color w:val="auto"/>
              </w:rPr>
            </w:pPr>
          </w:p>
        </w:tc>
        <w:tc>
          <w:tcPr>
            <w:tcW w:w="360" w:type="dxa"/>
            <w:vAlign w:val="bottom"/>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60" w:type="dxa"/>
            <w:vAlign w:val="bottom"/>
            <w:tcBorders>
              <w:right w:val="single" w:sz="8" w:color="auto"/>
            </w:tcBorders>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180" w:type="dxa"/>
            <w:vAlign w:val="bottom"/>
            <w:tcBorders>
              <w:right w:val="single" w:sz="8" w:color="F0FFFF"/>
            </w:tcBorders>
            <w:shd w:val="clear" w:color="auto" w:fill="F0FFFF"/>
          </w:tcPr>
          <w:p>
            <w:pPr>
              <w:spacing w:after="0" w:line="20" w:lineRule="exact"/>
              <w:rPr>
                <w:sz w:val="1"/>
                <w:szCs w:val="1"/>
                <w:color w:val="auto"/>
              </w:rPr>
            </w:pPr>
          </w:p>
        </w:tc>
        <w:tc>
          <w:tcPr>
            <w:tcW w:w="340" w:type="dxa"/>
            <w:vAlign w:val="bottom"/>
            <w:tcBorders>
              <w:left w:val="single" w:sz="8" w:color="F0FFFF"/>
            </w:tcBorders>
            <w:shd w:val="clear" w:color="auto" w:fill="F0FFFF"/>
          </w:tcPr>
          <w:p>
            <w:pPr>
              <w:spacing w:after="0" w:line="20" w:lineRule="exact"/>
              <w:rPr>
                <w:sz w:val="1"/>
                <w:szCs w:val="1"/>
                <w:color w:val="auto"/>
              </w:rPr>
            </w:pPr>
          </w:p>
        </w:tc>
        <w:tc>
          <w:tcPr>
            <w:tcW w:w="420" w:type="dxa"/>
            <w:vAlign w:val="bottom"/>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20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40" w:type="dxa"/>
            <w:vAlign w:val="bottom"/>
            <w:tcBorders>
              <w:right w:val="single" w:sz="8" w:color="auto"/>
            </w:tcBorders>
            <w:shd w:val="clear" w:color="auto" w:fill="F0FFFF"/>
          </w:tcPr>
          <w:p>
            <w:pPr>
              <w:spacing w:after="0" w:line="20" w:lineRule="exact"/>
              <w:rPr>
                <w:sz w:val="1"/>
                <w:szCs w:val="1"/>
                <w:color w:val="auto"/>
              </w:rPr>
            </w:pPr>
          </w:p>
        </w:tc>
        <w:tc>
          <w:tcPr>
            <w:tcW w:w="1460" w:type="dxa"/>
            <w:vAlign w:val="bottom"/>
            <w:tcBorders>
              <w:right w:val="single" w:sz="8" w:color="auto"/>
            </w:tcBorders>
            <w:shd w:val="clear" w:color="auto" w:fill="F0FFFF"/>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F0FFFF"/>
            </w:tcBorders>
            <w:shd w:val="clear" w:color="auto" w:fill="F0FFFF"/>
          </w:tcPr>
          <w:p>
            <w:pPr>
              <w:spacing w:after="0" w:line="20" w:lineRule="exact"/>
              <w:rPr>
                <w:sz w:val="1"/>
                <w:szCs w:val="1"/>
                <w:color w:val="auto"/>
              </w:rPr>
            </w:pPr>
          </w:p>
        </w:tc>
        <w:tc>
          <w:tcPr>
            <w:tcW w:w="240" w:type="dxa"/>
            <w:vAlign w:val="bottom"/>
            <w:tcBorders>
              <w:left w:val="single" w:sz="8" w:color="F0FFFF"/>
            </w:tcBorders>
            <w:gridSpan w:val="2"/>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24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120" w:type="dxa"/>
            <w:vAlign w:val="bottom"/>
            <w:tcBorders>
              <w:left w:val="single" w:sz="8" w:color="F0FFFF"/>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right w:val="single" w:sz="8" w:color="F0FFFF"/>
            </w:tcBorders>
            <w:shd w:val="clear" w:color="auto" w:fill="000000"/>
          </w:tcPr>
          <w:p>
            <w:pPr>
              <w:spacing w:after="0" w:line="20" w:lineRule="exact"/>
              <w:rPr>
                <w:sz w:val="1"/>
                <w:szCs w:val="1"/>
                <w:color w:val="auto"/>
              </w:rPr>
            </w:pPr>
          </w:p>
        </w:tc>
        <w:tc>
          <w:tcPr>
            <w:tcW w:w="280" w:type="dxa"/>
            <w:vAlign w:val="bottom"/>
            <w:tcBorders>
              <w:left w:val="single" w:sz="8" w:color="F0FFFF"/>
            </w:tcBorders>
            <w:gridSpan w:val="2"/>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100" w:type="dxa"/>
            <w:vAlign w:val="bottom"/>
            <w:tcBorders>
              <w:left w:val="single" w:sz="8" w:color="F0FFFF"/>
            </w:tcBorders>
            <w:shd w:val="clear" w:color="auto" w:fill="F0FFFF"/>
          </w:tcPr>
          <w:p>
            <w:pPr>
              <w:spacing w:after="0" w:line="20" w:lineRule="exact"/>
              <w:rPr>
                <w:sz w:val="1"/>
                <w:szCs w:val="1"/>
                <w:color w:val="auto"/>
              </w:rPr>
            </w:pPr>
          </w:p>
        </w:tc>
        <w:tc>
          <w:tcPr>
            <w:tcW w:w="12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0" w:type="dxa"/>
            <w:vAlign w:val="bottom"/>
            <w:tcBorders>
              <w:left w:val="single" w:sz="8" w:color="auto"/>
            </w:tcBorders>
            <w:shd w:val="clear" w:color="auto" w:fill="F0FFFF"/>
          </w:tcPr>
          <w:p>
            <w:pPr>
              <w:spacing w:after="0"/>
              <w:rPr>
                <w:sz w:val="12"/>
                <w:szCs w:val="12"/>
                <w:color w:val="auto"/>
              </w:rPr>
            </w:pPr>
          </w:p>
        </w:tc>
        <w:tc>
          <w:tcPr>
            <w:tcW w:w="460" w:type="dxa"/>
            <w:vAlign w:val="bottom"/>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0" w:type="dxa"/>
            <w:vAlign w:val="bottom"/>
            <w:tcBorders>
              <w:right w:val="single" w:sz="8" w:color="auto"/>
            </w:tcBorders>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180" w:type="dxa"/>
            <w:vAlign w:val="bottom"/>
            <w:tcBorders>
              <w:right w:val="single" w:sz="8" w:color="F0FFFF"/>
            </w:tcBorders>
            <w:shd w:val="clear" w:color="auto" w:fill="F0FFFF"/>
          </w:tcPr>
          <w:p>
            <w:pPr>
              <w:spacing w:after="0"/>
              <w:rPr>
                <w:sz w:val="12"/>
                <w:szCs w:val="12"/>
                <w:color w:val="auto"/>
              </w:rPr>
            </w:pPr>
          </w:p>
        </w:tc>
        <w:tc>
          <w:tcPr>
            <w:tcW w:w="340" w:type="dxa"/>
            <w:vAlign w:val="bottom"/>
            <w:tcBorders>
              <w:left w:val="single" w:sz="8" w:color="F0FFFF"/>
            </w:tcBorders>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60" w:type="dxa"/>
            <w:vAlign w:val="bottom"/>
            <w:tcBorders>
              <w:righ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40" w:type="dxa"/>
            <w:vAlign w:val="bottom"/>
            <w:tcBorders>
              <w:right w:val="single" w:sz="8" w:color="auto"/>
            </w:tcBorders>
            <w:shd w:val="clear" w:color="auto" w:fill="F0FFFF"/>
          </w:tcPr>
          <w:p>
            <w:pPr>
              <w:spacing w:after="0"/>
              <w:rPr>
                <w:sz w:val="12"/>
                <w:szCs w:val="12"/>
                <w:color w:val="auto"/>
              </w:rPr>
            </w:pPr>
          </w:p>
        </w:tc>
        <w:tc>
          <w:tcPr>
            <w:tcW w:w="1460" w:type="dxa"/>
            <w:vAlign w:val="bottom"/>
            <w:tcBorders>
              <w:right w:val="single" w:sz="8" w:color="auto"/>
            </w:tcBorders>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2200" w:type="dxa"/>
            <w:vAlign w:val="bottom"/>
            <w:tcBorders>
              <w:right w:val="single" w:sz="8" w:color="auto"/>
            </w:tcBorders>
            <w:gridSpan w:val="18"/>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Anniversary for automated processing</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shd w:val="clear" w:color="auto" w:fill="F0FFFF"/>
          </w:tcPr>
          <w:p>
            <w:pPr>
              <w:spacing w:after="0" w:line="20" w:lineRule="exact"/>
              <w:rPr>
                <w:sz w:val="1"/>
                <w:szCs w:val="1"/>
                <w:color w:val="auto"/>
              </w:rPr>
            </w:pPr>
          </w:p>
        </w:tc>
        <w:tc>
          <w:tcPr>
            <w:tcW w:w="460" w:type="dxa"/>
            <w:vAlign w:val="bottom"/>
            <w:shd w:val="clear" w:color="auto" w:fill="F0FFFF"/>
          </w:tcPr>
          <w:p>
            <w:pPr>
              <w:spacing w:after="0" w:line="20" w:lineRule="exact"/>
              <w:rPr>
                <w:sz w:val="1"/>
                <w:szCs w:val="1"/>
                <w:color w:val="auto"/>
              </w:rPr>
            </w:pPr>
          </w:p>
        </w:tc>
        <w:tc>
          <w:tcPr>
            <w:tcW w:w="360" w:type="dxa"/>
            <w:vAlign w:val="bottom"/>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60" w:type="dxa"/>
            <w:vAlign w:val="bottom"/>
            <w:tcBorders>
              <w:right w:val="single" w:sz="8" w:color="auto"/>
            </w:tcBorders>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180" w:type="dxa"/>
            <w:vAlign w:val="bottom"/>
            <w:tcBorders>
              <w:right w:val="single" w:sz="8" w:color="F0FFFF"/>
            </w:tcBorders>
            <w:shd w:val="clear" w:color="auto" w:fill="F0FFFF"/>
          </w:tcPr>
          <w:p>
            <w:pPr>
              <w:spacing w:after="0" w:line="20" w:lineRule="exact"/>
              <w:rPr>
                <w:sz w:val="1"/>
                <w:szCs w:val="1"/>
                <w:color w:val="auto"/>
              </w:rPr>
            </w:pPr>
          </w:p>
        </w:tc>
        <w:tc>
          <w:tcPr>
            <w:tcW w:w="340" w:type="dxa"/>
            <w:vAlign w:val="bottom"/>
            <w:tcBorders>
              <w:left w:val="single" w:sz="8" w:color="F0FFFF"/>
            </w:tcBorders>
            <w:shd w:val="clear" w:color="auto" w:fill="F0FFFF"/>
          </w:tcPr>
          <w:p>
            <w:pPr>
              <w:spacing w:after="0" w:line="20" w:lineRule="exact"/>
              <w:rPr>
                <w:sz w:val="1"/>
                <w:szCs w:val="1"/>
                <w:color w:val="auto"/>
              </w:rPr>
            </w:pPr>
          </w:p>
        </w:tc>
        <w:tc>
          <w:tcPr>
            <w:tcW w:w="420" w:type="dxa"/>
            <w:vAlign w:val="bottom"/>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20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40" w:type="dxa"/>
            <w:vAlign w:val="bottom"/>
            <w:tcBorders>
              <w:right w:val="single" w:sz="8" w:color="auto"/>
            </w:tcBorders>
            <w:shd w:val="clear" w:color="auto" w:fill="F0FFFF"/>
          </w:tcPr>
          <w:p>
            <w:pPr>
              <w:spacing w:after="0" w:line="20" w:lineRule="exact"/>
              <w:rPr>
                <w:sz w:val="1"/>
                <w:szCs w:val="1"/>
                <w:color w:val="auto"/>
              </w:rPr>
            </w:pPr>
          </w:p>
        </w:tc>
        <w:tc>
          <w:tcPr>
            <w:tcW w:w="1460" w:type="dxa"/>
            <w:vAlign w:val="bottom"/>
            <w:tcBorders>
              <w:right w:val="single" w:sz="8" w:color="auto"/>
            </w:tcBorders>
            <w:shd w:val="clear" w:color="auto" w:fill="F0FFFF"/>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24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120" w:type="dxa"/>
            <w:vAlign w:val="bottom"/>
            <w:tcBorders>
              <w:left w:val="single" w:sz="8" w:color="F0FFFF"/>
            </w:tcBorders>
            <w:gridSpan w:val="2"/>
            <w:shd w:val="clear" w:color="auto" w:fill="F0FFFF"/>
          </w:tcPr>
          <w:p>
            <w:pPr>
              <w:spacing w:after="0" w:line="20" w:lineRule="exact"/>
              <w:rPr>
                <w:sz w:val="1"/>
                <w:szCs w:val="1"/>
                <w:color w:val="auto"/>
              </w:rPr>
            </w:pPr>
          </w:p>
        </w:tc>
        <w:tc>
          <w:tcPr>
            <w:tcW w:w="80" w:type="dxa"/>
            <w:vAlign w:val="bottom"/>
            <w:tcBorders>
              <w:left w:val="single" w:sz="8" w:color="F0FFFF"/>
            </w:tcBorders>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220" w:type="dxa"/>
            <w:vAlign w:val="bottom"/>
            <w:tcBorders>
              <w:left w:val="single" w:sz="8" w:color="F0FFFF"/>
              <w:right w:val="single" w:sz="8" w:color="F0FFFF"/>
            </w:tcBorders>
            <w:shd w:val="clear" w:color="auto" w:fill="F0FFFF"/>
          </w:tcPr>
          <w:p>
            <w:pPr>
              <w:spacing w:after="0" w:line="20" w:lineRule="exact"/>
              <w:rPr>
                <w:sz w:val="1"/>
                <w:szCs w:val="1"/>
                <w:color w:val="auto"/>
              </w:rPr>
            </w:pPr>
          </w:p>
        </w:tc>
        <w:tc>
          <w:tcPr>
            <w:tcW w:w="280" w:type="dxa"/>
            <w:vAlign w:val="bottom"/>
            <w:tcBorders>
              <w:left w:val="single" w:sz="8" w:color="F0FFFF"/>
            </w:tcBorders>
            <w:gridSpan w:val="2"/>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100" w:type="dxa"/>
            <w:vAlign w:val="bottom"/>
            <w:tcBorders>
              <w:left w:val="single" w:sz="8" w:color="F0FFFF"/>
            </w:tcBorders>
            <w:shd w:val="clear" w:color="auto" w:fill="F0FFFF"/>
          </w:tcPr>
          <w:p>
            <w:pPr>
              <w:spacing w:after="0" w:line="20" w:lineRule="exact"/>
              <w:rPr>
                <w:sz w:val="1"/>
                <w:szCs w:val="1"/>
                <w:color w:val="auto"/>
              </w:rPr>
            </w:pPr>
          </w:p>
        </w:tc>
        <w:tc>
          <w:tcPr>
            <w:tcW w:w="12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 w:type="dxa"/>
            <w:vAlign w:val="bottom"/>
            <w:tcBorders>
              <w:left w:val="single" w:sz="8" w:color="auto"/>
            </w:tcBorders>
            <w:shd w:val="clear" w:color="auto" w:fill="F0FFFF"/>
          </w:tcPr>
          <w:p>
            <w:pPr>
              <w:spacing w:after="0"/>
              <w:rPr>
                <w:sz w:val="13"/>
                <w:szCs w:val="13"/>
                <w:color w:val="auto"/>
              </w:rPr>
            </w:pPr>
          </w:p>
        </w:tc>
        <w:tc>
          <w:tcPr>
            <w:tcW w:w="460" w:type="dxa"/>
            <w:vAlign w:val="bottom"/>
            <w:shd w:val="clear" w:color="auto" w:fill="F0FFFF"/>
          </w:tcPr>
          <w:p>
            <w:pPr>
              <w:spacing w:after="0"/>
              <w:rPr>
                <w:sz w:val="13"/>
                <w:szCs w:val="13"/>
                <w:color w:val="auto"/>
              </w:rPr>
            </w:pPr>
          </w:p>
        </w:tc>
        <w:tc>
          <w:tcPr>
            <w:tcW w:w="360" w:type="dxa"/>
            <w:vAlign w:val="bottom"/>
            <w:shd w:val="clear" w:color="auto" w:fill="F0FFFF"/>
          </w:tcPr>
          <w:p>
            <w:pPr>
              <w:spacing w:after="0"/>
              <w:rPr>
                <w:sz w:val="13"/>
                <w:szCs w:val="13"/>
                <w:color w:val="auto"/>
              </w:rPr>
            </w:pPr>
          </w:p>
        </w:tc>
        <w:tc>
          <w:tcPr>
            <w:tcW w:w="160" w:type="dxa"/>
            <w:vAlign w:val="bottom"/>
            <w:shd w:val="clear" w:color="auto" w:fill="F0FFFF"/>
          </w:tcPr>
          <w:p>
            <w:pPr>
              <w:spacing w:after="0"/>
              <w:rPr>
                <w:sz w:val="13"/>
                <w:szCs w:val="13"/>
                <w:color w:val="auto"/>
              </w:rPr>
            </w:pPr>
          </w:p>
        </w:tc>
        <w:tc>
          <w:tcPr>
            <w:tcW w:w="60" w:type="dxa"/>
            <w:vAlign w:val="bottom"/>
            <w:tcBorders>
              <w:right w:val="single" w:sz="8" w:color="auto"/>
            </w:tcBorders>
            <w:shd w:val="clear" w:color="auto" w:fill="F0FFFF"/>
          </w:tcPr>
          <w:p>
            <w:pPr>
              <w:spacing w:after="0"/>
              <w:rPr>
                <w:sz w:val="13"/>
                <w:szCs w:val="13"/>
                <w:color w:val="auto"/>
              </w:rPr>
            </w:pPr>
          </w:p>
        </w:tc>
        <w:tc>
          <w:tcPr>
            <w:tcW w:w="260" w:type="dxa"/>
            <w:vAlign w:val="bottom"/>
            <w:shd w:val="clear" w:color="auto" w:fill="F0FFFF"/>
          </w:tcPr>
          <w:p>
            <w:pPr>
              <w:spacing w:after="0"/>
              <w:rPr>
                <w:sz w:val="13"/>
                <w:szCs w:val="13"/>
                <w:color w:val="auto"/>
              </w:rPr>
            </w:pPr>
          </w:p>
        </w:tc>
        <w:tc>
          <w:tcPr>
            <w:tcW w:w="180" w:type="dxa"/>
            <w:vAlign w:val="bottom"/>
            <w:tcBorders>
              <w:right w:val="single" w:sz="8" w:color="F0FFFF"/>
            </w:tcBorders>
            <w:shd w:val="clear" w:color="auto" w:fill="F0FFFF"/>
          </w:tcPr>
          <w:p>
            <w:pPr>
              <w:spacing w:after="0"/>
              <w:rPr>
                <w:sz w:val="13"/>
                <w:szCs w:val="13"/>
                <w:color w:val="auto"/>
              </w:rPr>
            </w:pPr>
          </w:p>
        </w:tc>
        <w:tc>
          <w:tcPr>
            <w:tcW w:w="340" w:type="dxa"/>
            <w:vAlign w:val="bottom"/>
            <w:tcBorders>
              <w:left w:val="single" w:sz="8" w:color="F0FFFF"/>
            </w:tcBorders>
            <w:shd w:val="clear" w:color="auto" w:fill="F0FFFF"/>
          </w:tcPr>
          <w:p>
            <w:pPr>
              <w:spacing w:after="0"/>
              <w:rPr>
                <w:sz w:val="13"/>
                <w:szCs w:val="13"/>
                <w:color w:val="auto"/>
              </w:rPr>
            </w:pPr>
          </w:p>
        </w:tc>
        <w:tc>
          <w:tcPr>
            <w:tcW w:w="420" w:type="dxa"/>
            <w:vAlign w:val="bottom"/>
            <w:shd w:val="clear" w:color="auto" w:fill="F0FFFF"/>
          </w:tcPr>
          <w:p>
            <w:pPr>
              <w:spacing w:after="0"/>
              <w:rPr>
                <w:sz w:val="13"/>
                <w:szCs w:val="13"/>
                <w:color w:val="auto"/>
              </w:rPr>
            </w:pPr>
          </w:p>
        </w:tc>
        <w:tc>
          <w:tcPr>
            <w:tcW w:w="40" w:type="dxa"/>
            <w:vAlign w:val="bottom"/>
            <w:shd w:val="clear" w:color="auto" w:fill="F0FFFF"/>
          </w:tcPr>
          <w:p>
            <w:pPr>
              <w:spacing w:after="0"/>
              <w:rPr>
                <w:sz w:val="13"/>
                <w:szCs w:val="13"/>
                <w:color w:val="auto"/>
              </w:rPr>
            </w:pPr>
          </w:p>
        </w:tc>
        <w:tc>
          <w:tcPr>
            <w:tcW w:w="18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20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60" w:type="dxa"/>
            <w:vAlign w:val="bottom"/>
            <w:tcBorders>
              <w:right w:val="single" w:sz="8" w:color="F0FFFF"/>
            </w:tcBorders>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40" w:type="dxa"/>
            <w:vAlign w:val="bottom"/>
            <w:tcBorders>
              <w:right w:val="single" w:sz="8" w:color="auto"/>
            </w:tcBorders>
            <w:shd w:val="clear" w:color="auto" w:fill="F0FFFF"/>
          </w:tcPr>
          <w:p>
            <w:pPr>
              <w:spacing w:after="0"/>
              <w:rPr>
                <w:sz w:val="13"/>
                <w:szCs w:val="13"/>
                <w:color w:val="auto"/>
              </w:rPr>
            </w:pPr>
          </w:p>
        </w:tc>
        <w:tc>
          <w:tcPr>
            <w:tcW w:w="1460" w:type="dxa"/>
            <w:vAlign w:val="bottom"/>
            <w:tcBorders>
              <w:right w:val="single" w:sz="8" w:color="auto"/>
            </w:tcBorders>
            <w:shd w:val="clear" w:color="auto" w:fill="F0FFFF"/>
          </w:tcPr>
          <w:p>
            <w:pPr>
              <w:spacing w:after="0"/>
              <w:rPr>
                <w:sz w:val="13"/>
                <w:szCs w:val="13"/>
                <w:color w:val="auto"/>
              </w:rPr>
            </w:pPr>
          </w:p>
        </w:tc>
        <w:tc>
          <w:tcPr>
            <w:tcW w:w="140" w:type="dxa"/>
            <w:vAlign w:val="bottom"/>
            <w:shd w:val="clear" w:color="auto" w:fill="F0FFFF"/>
          </w:tcPr>
          <w:p>
            <w:pPr>
              <w:spacing w:after="0"/>
              <w:rPr>
                <w:sz w:val="13"/>
                <w:szCs w:val="13"/>
                <w:color w:val="auto"/>
              </w:rPr>
            </w:pPr>
          </w:p>
        </w:tc>
        <w:tc>
          <w:tcPr>
            <w:tcW w:w="2200" w:type="dxa"/>
            <w:vAlign w:val="bottom"/>
            <w:tcBorders>
              <w:right w:val="single" w:sz="8" w:color="auto"/>
            </w:tcBorders>
            <w:gridSpan w:val="18"/>
            <w:shd w:val="clear" w:color="auto" w:fill="F0FFFF"/>
          </w:tcPr>
          <w:p>
            <w:pPr>
              <w:spacing w:after="0"/>
              <w:rPr>
                <w:sz w:val="20"/>
                <w:szCs w:val="20"/>
                <w:color w:val="auto"/>
              </w:rPr>
            </w:pPr>
            <w:r>
              <w:rPr>
                <w:rFonts w:ascii="Times New Roman" w:cs="Times New Roman" w:eastAsia="Times New Roman" w:hAnsi="Times New Roman"/>
                <w:sz w:val="13"/>
                <w:szCs w:val="13"/>
                <w:color w:val="auto"/>
              </w:rPr>
              <w:t>of amounts withdrawn for purposes</w:t>
            </w:r>
          </w:p>
        </w:tc>
        <w:tc>
          <w:tcPr>
            <w:tcW w:w="0" w:type="dxa"/>
            <w:vAlign w:val="bottom"/>
          </w:tcPr>
          <w:p>
            <w:pPr>
              <w:spacing w:after="0"/>
              <w:rPr>
                <w:sz w:val="1"/>
                <w:szCs w:val="1"/>
                <w:color w:val="auto"/>
              </w:rPr>
            </w:pPr>
          </w:p>
        </w:tc>
      </w:tr>
      <w:tr>
        <w:trPr>
          <w:trHeight w:val="159"/>
        </w:trPr>
        <w:tc>
          <w:tcPr>
            <w:tcW w:w="40" w:type="dxa"/>
            <w:vAlign w:val="bottom"/>
            <w:tcBorders>
              <w:left w:val="single" w:sz="8" w:color="auto"/>
            </w:tcBorders>
            <w:shd w:val="clear" w:color="auto" w:fill="F0FFFF"/>
          </w:tcPr>
          <w:p>
            <w:pPr>
              <w:spacing w:after="0"/>
              <w:rPr>
                <w:sz w:val="13"/>
                <w:szCs w:val="13"/>
                <w:color w:val="auto"/>
              </w:rPr>
            </w:pPr>
          </w:p>
        </w:tc>
        <w:tc>
          <w:tcPr>
            <w:tcW w:w="460" w:type="dxa"/>
            <w:vAlign w:val="bottom"/>
            <w:shd w:val="clear" w:color="auto" w:fill="F0FFFF"/>
          </w:tcPr>
          <w:p>
            <w:pPr>
              <w:spacing w:after="0"/>
              <w:rPr>
                <w:sz w:val="13"/>
                <w:szCs w:val="13"/>
                <w:color w:val="auto"/>
              </w:rPr>
            </w:pPr>
          </w:p>
        </w:tc>
        <w:tc>
          <w:tcPr>
            <w:tcW w:w="360" w:type="dxa"/>
            <w:vAlign w:val="bottom"/>
            <w:shd w:val="clear" w:color="auto" w:fill="F0FFFF"/>
          </w:tcPr>
          <w:p>
            <w:pPr>
              <w:spacing w:after="0"/>
              <w:rPr>
                <w:sz w:val="13"/>
                <w:szCs w:val="13"/>
                <w:color w:val="auto"/>
              </w:rPr>
            </w:pPr>
          </w:p>
        </w:tc>
        <w:tc>
          <w:tcPr>
            <w:tcW w:w="160" w:type="dxa"/>
            <w:vAlign w:val="bottom"/>
            <w:shd w:val="clear" w:color="auto" w:fill="F0FFFF"/>
          </w:tcPr>
          <w:p>
            <w:pPr>
              <w:spacing w:after="0"/>
              <w:rPr>
                <w:sz w:val="13"/>
                <w:szCs w:val="13"/>
                <w:color w:val="auto"/>
              </w:rPr>
            </w:pPr>
          </w:p>
        </w:tc>
        <w:tc>
          <w:tcPr>
            <w:tcW w:w="60" w:type="dxa"/>
            <w:vAlign w:val="bottom"/>
            <w:tcBorders>
              <w:right w:val="single" w:sz="8" w:color="auto"/>
            </w:tcBorders>
            <w:shd w:val="clear" w:color="auto" w:fill="F0FFFF"/>
          </w:tcPr>
          <w:p>
            <w:pPr>
              <w:spacing w:after="0"/>
              <w:rPr>
                <w:sz w:val="13"/>
                <w:szCs w:val="13"/>
                <w:color w:val="auto"/>
              </w:rPr>
            </w:pPr>
          </w:p>
        </w:tc>
        <w:tc>
          <w:tcPr>
            <w:tcW w:w="260" w:type="dxa"/>
            <w:vAlign w:val="bottom"/>
            <w:shd w:val="clear" w:color="auto" w:fill="F0FFFF"/>
          </w:tcPr>
          <w:p>
            <w:pPr>
              <w:spacing w:after="0"/>
              <w:rPr>
                <w:sz w:val="13"/>
                <w:szCs w:val="13"/>
                <w:color w:val="auto"/>
              </w:rPr>
            </w:pPr>
          </w:p>
        </w:tc>
        <w:tc>
          <w:tcPr>
            <w:tcW w:w="180" w:type="dxa"/>
            <w:vAlign w:val="bottom"/>
            <w:tcBorders>
              <w:right w:val="single" w:sz="8" w:color="F0FFFF"/>
            </w:tcBorders>
            <w:shd w:val="clear" w:color="auto" w:fill="F0FFFF"/>
          </w:tcPr>
          <w:p>
            <w:pPr>
              <w:spacing w:after="0"/>
              <w:rPr>
                <w:sz w:val="13"/>
                <w:szCs w:val="13"/>
                <w:color w:val="auto"/>
              </w:rPr>
            </w:pPr>
          </w:p>
        </w:tc>
        <w:tc>
          <w:tcPr>
            <w:tcW w:w="340" w:type="dxa"/>
            <w:vAlign w:val="bottom"/>
            <w:tcBorders>
              <w:left w:val="single" w:sz="8" w:color="F0FFFF"/>
            </w:tcBorders>
            <w:shd w:val="clear" w:color="auto" w:fill="F0FFFF"/>
          </w:tcPr>
          <w:p>
            <w:pPr>
              <w:spacing w:after="0"/>
              <w:rPr>
                <w:sz w:val="13"/>
                <w:szCs w:val="13"/>
                <w:color w:val="auto"/>
              </w:rPr>
            </w:pPr>
          </w:p>
        </w:tc>
        <w:tc>
          <w:tcPr>
            <w:tcW w:w="420" w:type="dxa"/>
            <w:vAlign w:val="bottom"/>
            <w:shd w:val="clear" w:color="auto" w:fill="F0FFFF"/>
          </w:tcPr>
          <w:p>
            <w:pPr>
              <w:spacing w:after="0"/>
              <w:rPr>
                <w:sz w:val="13"/>
                <w:szCs w:val="13"/>
                <w:color w:val="auto"/>
              </w:rPr>
            </w:pPr>
          </w:p>
        </w:tc>
        <w:tc>
          <w:tcPr>
            <w:tcW w:w="40" w:type="dxa"/>
            <w:vAlign w:val="bottom"/>
            <w:shd w:val="clear" w:color="auto" w:fill="F0FFFF"/>
          </w:tcPr>
          <w:p>
            <w:pPr>
              <w:spacing w:after="0"/>
              <w:rPr>
                <w:sz w:val="13"/>
                <w:szCs w:val="13"/>
                <w:color w:val="auto"/>
              </w:rPr>
            </w:pPr>
          </w:p>
        </w:tc>
        <w:tc>
          <w:tcPr>
            <w:tcW w:w="18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20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60" w:type="dxa"/>
            <w:vAlign w:val="bottom"/>
            <w:tcBorders>
              <w:right w:val="single" w:sz="8" w:color="F0FFFF"/>
            </w:tcBorders>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40" w:type="dxa"/>
            <w:vAlign w:val="bottom"/>
            <w:tcBorders>
              <w:right w:val="single" w:sz="8" w:color="auto"/>
            </w:tcBorders>
            <w:shd w:val="clear" w:color="auto" w:fill="F0FFFF"/>
          </w:tcPr>
          <w:p>
            <w:pPr>
              <w:spacing w:after="0"/>
              <w:rPr>
                <w:sz w:val="13"/>
                <w:szCs w:val="13"/>
                <w:color w:val="auto"/>
              </w:rPr>
            </w:pPr>
          </w:p>
        </w:tc>
        <w:tc>
          <w:tcPr>
            <w:tcW w:w="1460" w:type="dxa"/>
            <w:vAlign w:val="bottom"/>
            <w:tcBorders>
              <w:right w:val="single" w:sz="8" w:color="auto"/>
            </w:tcBorders>
            <w:shd w:val="clear" w:color="auto" w:fill="F0FFFF"/>
          </w:tcPr>
          <w:p>
            <w:pPr>
              <w:spacing w:after="0"/>
              <w:rPr>
                <w:sz w:val="13"/>
                <w:szCs w:val="13"/>
                <w:color w:val="auto"/>
              </w:rPr>
            </w:pPr>
          </w:p>
        </w:tc>
        <w:tc>
          <w:tcPr>
            <w:tcW w:w="140" w:type="dxa"/>
            <w:vAlign w:val="bottom"/>
            <w:shd w:val="clear" w:color="auto" w:fill="F0FFFF"/>
          </w:tcPr>
          <w:p>
            <w:pPr>
              <w:spacing w:after="0"/>
              <w:rPr>
                <w:sz w:val="13"/>
                <w:szCs w:val="13"/>
                <w:color w:val="auto"/>
              </w:rPr>
            </w:pPr>
          </w:p>
        </w:tc>
        <w:tc>
          <w:tcPr>
            <w:tcW w:w="2200" w:type="dxa"/>
            <w:vAlign w:val="bottom"/>
            <w:tcBorders>
              <w:right w:val="single" w:sz="8" w:color="auto"/>
            </w:tcBorders>
            <w:gridSpan w:val="18"/>
            <w:shd w:val="clear" w:color="auto" w:fill="F0FFFF"/>
          </w:tcPr>
          <w:p>
            <w:pPr>
              <w:spacing w:after="0"/>
              <w:rPr>
                <w:sz w:val="20"/>
                <w:szCs w:val="20"/>
                <w:color w:val="auto"/>
              </w:rPr>
            </w:pPr>
            <w:r>
              <w:rPr>
                <w:rFonts w:ascii="Times New Roman" w:cs="Times New Roman" w:eastAsia="Times New Roman" w:hAnsi="Times New Roman"/>
                <w:sz w:val="13"/>
                <w:szCs w:val="13"/>
                <w:color w:val="auto"/>
              </w:rPr>
              <w:t>other than RMDs.</w:t>
            </w:r>
          </w:p>
        </w:tc>
        <w:tc>
          <w:tcPr>
            <w:tcW w:w="0" w:type="dxa"/>
            <w:vAlign w:val="bottom"/>
          </w:tcPr>
          <w:p>
            <w:pPr>
              <w:spacing w:after="0"/>
              <w:rPr>
                <w:sz w:val="1"/>
                <w:szCs w:val="1"/>
                <w:color w:val="auto"/>
              </w:rPr>
            </w:pPr>
          </w:p>
        </w:tc>
      </w:tr>
      <w:tr>
        <w:trPr>
          <w:trHeight w:val="159"/>
        </w:trPr>
        <w:tc>
          <w:tcPr>
            <w:tcW w:w="40" w:type="dxa"/>
            <w:vAlign w:val="bottom"/>
            <w:tcBorders>
              <w:left w:val="single" w:sz="8" w:color="auto"/>
            </w:tcBorders>
            <w:shd w:val="clear" w:color="auto" w:fill="F0FFFF"/>
          </w:tcPr>
          <w:p>
            <w:pPr>
              <w:spacing w:after="0"/>
              <w:rPr>
                <w:sz w:val="13"/>
                <w:szCs w:val="13"/>
                <w:color w:val="auto"/>
              </w:rPr>
            </w:pPr>
          </w:p>
        </w:tc>
        <w:tc>
          <w:tcPr>
            <w:tcW w:w="460" w:type="dxa"/>
            <w:vAlign w:val="bottom"/>
            <w:shd w:val="clear" w:color="auto" w:fill="F0FFFF"/>
          </w:tcPr>
          <w:p>
            <w:pPr>
              <w:spacing w:after="0"/>
              <w:rPr>
                <w:sz w:val="13"/>
                <w:szCs w:val="13"/>
                <w:color w:val="auto"/>
              </w:rPr>
            </w:pPr>
          </w:p>
        </w:tc>
        <w:tc>
          <w:tcPr>
            <w:tcW w:w="360" w:type="dxa"/>
            <w:vAlign w:val="bottom"/>
            <w:shd w:val="clear" w:color="auto" w:fill="F0FFFF"/>
          </w:tcPr>
          <w:p>
            <w:pPr>
              <w:spacing w:after="0"/>
              <w:rPr>
                <w:sz w:val="13"/>
                <w:szCs w:val="13"/>
                <w:color w:val="auto"/>
              </w:rPr>
            </w:pPr>
          </w:p>
        </w:tc>
        <w:tc>
          <w:tcPr>
            <w:tcW w:w="160" w:type="dxa"/>
            <w:vAlign w:val="bottom"/>
            <w:shd w:val="clear" w:color="auto" w:fill="F0FFFF"/>
          </w:tcPr>
          <w:p>
            <w:pPr>
              <w:spacing w:after="0"/>
              <w:rPr>
                <w:sz w:val="13"/>
                <w:szCs w:val="13"/>
                <w:color w:val="auto"/>
              </w:rPr>
            </w:pPr>
          </w:p>
        </w:tc>
        <w:tc>
          <w:tcPr>
            <w:tcW w:w="60" w:type="dxa"/>
            <w:vAlign w:val="bottom"/>
            <w:tcBorders>
              <w:right w:val="single" w:sz="8" w:color="auto"/>
            </w:tcBorders>
            <w:shd w:val="clear" w:color="auto" w:fill="F0FFFF"/>
          </w:tcPr>
          <w:p>
            <w:pPr>
              <w:spacing w:after="0"/>
              <w:rPr>
                <w:sz w:val="13"/>
                <w:szCs w:val="13"/>
                <w:color w:val="auto"/>
              </w:rPr>
            </w:pPr>
          </w:p>
        </w:tc>
        <w:tc>
          <w:tcPr>
            <w:tcW w:w="260" w:type="dxa"/>
            <w:vAlign w:val="bottom"/>
            <w:shd w:val="clear" w:color="auto" w:fill="F0FFFF"/>
          </w:tcPr>
          <w:p>
            <w:pPr>
              <w:spacing w:after="0"/>
              <w:rPr>
                <w:sz w:val="13"/>
                <w:szCs w:val="13"/>
                <w:color w:val="auto"/>
              </w:rPr>
            </w:pPr>
          </w:p>
        </w:tc>
        <w:tc>
          <w:tcPr>
            <w:tcW w:w="180" w:type="dxa"/>
            <w:vAlign w:val="bottom"/>
            <w:tcBorders>
              <w:right w:val="single" w:sz="8" w:color="F0FFFF"/>
            </w:tcBorders>
            <w:shd w:val="clear" w:color="auto" w:fill="F0FFFF"/>
          </w:tcPr>
          <w:p>
            <w:pPr>
              <w:spacing w:after="0"/>
              <w:rPr>
                <w:sz w:val="13"/>
                <w:szCs w:val="13"/>
                <w:color w:val="auto"/>
              </w:rPr>
            </w:pPr>
          </w:p>
        </w:tc>
        <w:tc>
          <w:tcPr>
            <w:tcW w:w="340" w:type="dxa"/>
            <w:vAlign w:val="bottom"/>
            <w:tcBorders>
              <w:left w:val="single" w:sz="8" w:color="F0FFFF"/>
            </w:tcBorders>
            <w:shd w:val="clear" w:color="auto" w:fill="F0FFFF"/>
          </w:tcPr>
          <w:p>
            <w:pPr>
              <w:spacing w:after="0"/>
              <w:rPr>
                <w:sz w:val="13"/>
                <w:szCs w:val="13"/>
                <w:color w:val="auto"/>
              </w:rPr>
            </w:pPr>
          </w:p>
        </w:tc>
        <w:tc>
          <w:tcPr>
            <w:tcW w:w="420" w:type="dxa"/>
            <w:vAlign w:val="bottom"/>
            <w:shd w:val="clear" w:color="auto" w:fill="F0FFFF"/>
          </w:tcPr>
          <w:p>
            <w:pPr>
              <w:spacing w:after="0"/>
              <w:rPr>
                <w:sz w:val="13"/>
                <w:szCs w:val="13"/>
                <w:color w:val="auto"/>
              </w:rPr>
            </w:pPr>
          </w:p>
        </w:tc>
        <w:tc>
          <w:tcPr>
            <w:tcW w:w="40" w:type="dxa"/>
            <w:vAlign w:val="bottom"/>
            <w:shd w:val="clear" w:color="auto" w:fill="F0FFFF"/>
          </w:tcPr>
          <w:p>
            <w:pPr>
              <w:spacing w:after="0"/>
              <w:rPr>
                <w:sz w:val="13"/>
                <w:szCs w:val="13"/>
                <w:color w:val="auto"/>
              </w:rPr>
            </w:pPr>
          </w:p>
        </w:tc>
        <w:tc>
          <w:tcPr>
            <w:tcW w:w="18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20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60" w:type="dxa"/>
            <w:vAlign w:val="bottom"/>
            <w:tcBorders>
              <w:right w:val="single" w:sz="8" w:color="F0FFFF"/>
            </w:tcBorders>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40" w:type="dxa"/>
            <w:vAlign w:val="bottom"/>
            <w:tcBorders>
              <w:right w:val="single" w:sz="8" w:color="auto"/>
            </w:tcBorders>
            <w:shd w:val="clear" w:color="auto" w:fill="F0FFFF"/>
          </w:tcPr>
          <w:p>
            <w:pPr>
              <w:spacing w:after="0"/>
              <w:rPr>
                <w:sz w:val="13"/>
                <w:szCs w:val="13"/>
                <w:color w:val="auto"/>
              </w:rPr>
            </w:pPr>
          </w:p>
        </w:tc>
        <w:tc>
          <w:tcPr>
            <w:tcW w:w="1460" w:type="dxa"/>
            <w:vAlign w:val="bottom"/>
            <w:tcBorders>
              <w:right w:val="single" w:sz="8" w:color="auto"/>
            </w:tcBorders>
            <w:shd w:val="clear" w:color="auto" w:fill="F0FFFF"/>
          </w:tcPr>
          <w:p>
            <w:pPr>
              <w:spacing w:after="0"/>
              <w:rPr>
                <w:sz w:val="13"/>
                <w:szCs w:val="13"/>
                <w:color w:val="auto"/>
              </w:rPr>
            </w:pPr>
          </w:p>
        </w:tc>
        <w:tc>
          <w:tcPr>
            <w:tcW w:w="2340" w:type="dxa"/>
            <w:vAlign w:val="bottom"/>
            <w:tcBorders>
              <w:right w:val="single" w:sz="8" w:color="auto"/>
            </w:tcBorders>
            <w:gridSpan w:val="19"/>
            <w:shd w:val="clear" w:color="auto" w:fill="F0FFFF"/>
          </w:tcPr>
          <w:p>
            <w:pPr>
              <w:ind w:left="20"/>
              <w:spacing w:after="0"/>
              <w:rPr>
                <w:sz w:val="20"/>
                <w:szCs w:val="20"/>
                <w:color w:val="auto"/>
              </w:rPr>
            </w:pPr>
            <w:r>
              <w:rPr>
                <w:rFonts w:ascii="Times New Roman" w:cs="Times New Roman" w:eastAsia="Times New Roman" w:hAnsi="Times New Roman"/>
                <w:sz w:val="13"/>
                <w:szCs w:val="13"/>
                <w:color w:val="auto"/>
              </w:rPr>
              <w:t>● Each payment must be at least $100.</w:t>
            </w:r>
          </w:p>
        </w:tc>
        <w:tc>
          <w:tcPr>
            <w:tcW w:w="0" w:type="dxa"/>
            <w:vAlign w:val="bottom"/>
          </w:tcPr>
          <w:p>
            <w:pPr>
              <w:spacing w:after="0"/>
              <w:rPr>
                <w:sz w:val="1"/>
                <w:szCs w:val="1"/>
                <w:color w:val="auto"/>
              </w:rPr>
            </w:pPr>
          </w:p>
        </w:tc>
      </w:tr>
      <w:tr>
        <w:trPr>
          <w:trHeight w:val="159"/>
        </w:trPr>
        <w:tc>
          <w:tcPr>
            <w:tcW w:w="40" w:type="dxa"/>
            <w:vAlign w:val="bottom"/>
            <w:tcBorders>
              <w:left w:val="single" w:sz="8" w:color="auto"/>
            </w:tcBorders>
            <w:shd w:val="clear" w:color="auto" w:fill="F0FFFF"/>
          </w:tcPr>
          <w:p>
            <w:pPr>
              <w:spacing w:after="0"/>
              <w:rPr>
                <w:sz w:val="13"/>
                <w:szCs w:val="13"/>
                <w:color w:val="auto"/>
              </w:rPr>
            </w:pPr>
          </w:p>
        </w:tc>
        <w:tc>
          <w:tcPr>
            <w:tcW w:w="460" w:type="dxa"/>
            <w:vAlign w:val="bottom"/>
            <w:shd w:val="clear" w:color="auto" w:fill="F0FFFF"/>
          </w:tcPr>
          <w:p>
            <w:pPr>
              <w:spacing w:after="0"/>
              <w:rPr>
                <w:sz w:val="13"/>
                <w:szCs w:val="13"/>
                <w:color w:val="auto"/>
              </w:rPr>
            </w:pPr>
          </w:p>
        </w:tc>
        <w:tc>
          <w:tcPr>
            <w:tcW w:w="360" w:type="dxa"/>
            <w:vAlign w:val="bottom"/>
            <w:shd w:val="clear" w:color="auto" w:fill="F0FFFF"/>
          </w:tcPr>
          <w:p>
            <w:pPr>
              <w:spacing w:after="0"/>
              <w:rPr>
                <w:sz w:val="13"/>
                <w:szCs w:val="13"/>
                <w:color w:val="auto"/>
              </w:rPr>
            </w:pPr>
          </w:p>
        </w:tc>
        <w:tc>
          <w:tcPr>
            <w:tcW w:w="160" w:type="dxa"/>
            <w:vAlign w:val="bottom"/>
            <w:shd w:val="clear" w:color="auto" w:fill="F0FFFF"/>
          </w:tcPr>
          <w:p>
            <w:pPr>
              <w:spacing w:after="0"/>
              <w:rPr>
                <w:sz w:val="13"/>
                <w:szCs w:val="13"/>
                <w:color w:val="auto"/>
              </w:rPr>
            </w:pPr>
          </w:p>
        </w:tc>
        <w:tc>
          <w:tcPr>
            <w:tcW w:w="60" w:type="dxa"/>
            <w:vAlign w:val="bottom"/>
            <w:tcBorders>
              <w:right w:val="single" w:sz="8" w:color="auto"/>
            </w:tcBorders>
            <w:shd w:val="clear" w:color="auto" w:fill="F0FFFF"/>
          </w:tcPr>
          <w:p>
            <w:pPr>
              <w:spacing w:after="0"/>
              <w:rPr>
                <w:sz w:val="13"/>
                <w:szCs w:val="13"/>
                <w:color w:val="auto"/>
              </w:rPr>
            </w:pPr>
          </w:p>
        </w:tc>
        <w:tc>
          <w:tcPr>
            <w:tcW w:w="260" w:type="dxa"/>
            <w:vAlign w:val="bottom"/>
            <w:shd w:val="clear" w:color="auto" w:fill="F0FFFF"/>
          </w:tcPr>
          <w:p>
            <w:pPr>
              <w:spacing w:after="0"/>
              <w:rPr>
                <w:sz w:val="13"/>
                <w:szCs w:val="13"/>
                <w:color w:val="auto"/>
              </w:rPr>
            </w:pPr>
          </w:p>
        </w:tc>
        <w:tc>
          <w:tcPr>
            <w:tcW w:w="180" w:type="dxa"/>
            <w:vAlign w:val="bottom"/>
            <w:tcBorders>
              <w:right w:val="single" w:sz="8" w:color="F0FFFF"/>
            </w:tcBorders>
            <w:shd w:val="clear" w:color="auto" w:fill="F0FFFF"/>
          </w:tcPr>
          <w:p>
            <w:pPr>
              <w:spacing w:after="0"/>
              <w:rPr>
                <w:sz w:val="13"/>
                <w:szCs w:val="13"/>
                <w:color w:val="auto"/>
              </w:rPr>
            </w:pPr>
          </w:p>
        </w:tc>
        <w:tc>
          <w:tcPr>
            <w:tcW w:w="340" w:type="dxa"/>
            <w:vAlign w:val="bottom"/>
            <w:tcBorders>
              <w:left w:val="single" w:sz="8" w:color="F0FFFF"/>
            </w:tcBorders>
            <w:shd w:val="clear" w:color="auto" w:fill="F0FFFF"/>
          </w:tcPr>
          <w:p>
            <w:pPr>
              <w:spacing w:after="0"/>
              <w:rPr>
                <w:sz w:val="13"/>
                <w:szCs w:val="13"/>
                <w:color w:val="auto"/>
              </w:rPr>
            </w:pPr>
          </w:p>
        </w:tc>
        <w:tc>
          <w:tcPr>
            <w:tcW w:w="420" w:type="dxa"/>
            <w:vAlign w:val="bottom"/>
            <w:shd w:val="clear" w:color="auto" w:fill="F0FFFF"/>
          </w:tcPr>
          <w:p>
            <w:pPr>
              <w:spacing w:after="0"/>
              <w:rPr>
                <w:sz w:val="13"/>
                <w:szCs w:val="13"/>
                <w:color w:val="auto"/>
              </w:rPr>
            </w:pPr>
          </w:p>
        </w:tc>
        <w:tc>
          <w:tcPr>
            <w:tcW w:w="40" w:type="dxa"/>
            <w:vAlign w:val="bottom"/>
            <w:shd w:val="clear" w:color="auto" w:fill="F0FFFF"/>
          </w:tcPr>
          <w:p>
            <w:pPr>
              <w:spacing w:after="0"/>
              <w:rPr>
                <w:sz w:val="13"/>
                <w:szCs w:val="13"/>
                <w:color w:val="auto"/>
              </w:rPr>
            </w:pPr>
          </w:p>
        </w:tc>
        <w:tc>
          <w:tcPr>
            <w:tcW w:w="18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20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60" w:type="dxa"/>
            <w:vAlign w:val="bottom"/>
            <w:tcBorders>
              <w:right w:val="single" w:sz="8" w:color="F0FFFF"/>
            </w:tcBorders>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40" w:type="dxa"/>
            <w:vAlign w:val="bottom"/>
            <w:tcBorders>
              <w:right w:val="single" w:sz="8" w:color="auto"/>
            </w:tcBorders>
            <w:shd w:val="clear" w:color="auto" w:fill="F0FFFF"/>
          </w:tcPr>
          <w:p>
            <w:pPr>
              <w:spacing w:after="0"/>
              <w:rPr>
                <w:sz w:val="13"/>
                <w:szCs w:val="13"/>
                <w:color w:val="auto"/>
              </w:rPr>
            </w:pPr>
          </w:p>
        </w:tc>
        <w:tc>
          <w:tcPr>
            <w:tcW w:w="1460" w:type="dxa"/>
            <w:vAlign w:val="bottom"/>
            <w:tcBorders>
              <w:right w:val="single" w:sz="8" w:color="auto"/>
            </w:tcBorders>
            <w:shd w:val="clear" w:color="auto" w:fill="F0FFFF"/>
          </w:tcPr>
          <w:p>
            <w:pPr>
              <w:spacing w:after="0"/>
              <w:rPr>
                <w:sz w:val="13"/>
                <w:szCs w:val="13"/>
                <w:color w:val="auto"/>
              </w:rPr>
            </w:pPr>
          </w:p>
        </w:tc>
        <w:tc>
          <w:tcPr>
            <w:tcW w:w="2340" w:type="dxa"/>
            <w:vAlign w:val="bottom"/>
            <w:tcBorders>
              <w:right w:val="single" w:sz="8" w:color="auto"/>
            </w:tcBorders>
            <w:gridSpan w:val="19"/>
            <w:shd w:val="clear" w:color="auto" w:fill="F0FFFF"/>
          </w:tcPr>
          <w:p>
            <w:pPr>
              <w:ind w:left="20"/>
              <w:spacing w:after="0"/>
              <w:rPr>
                <w:sz w:val="20"/>
                <w:szCs w:val="20"/>
                <w:color w:val="auto"/>
              </w:rPr>
            </w:pPr>
            <w:r>
              <w:rPr>
                <w:rFonts w:ascii="Times New Roman" w:cs="Times New Roman" w:eastAsia="Times New Roman" w:hAnsi="Times New Roman"/>
                <w:sz w:val="13"/>
                <w:szCs w:val="13"/>
                <w:color w:val="auto"/>
              </w:rPr>
              <w:t>● A minimum of $500 must be</w:t>
            </w:r>
          </w:p>
        </w:tc>
        <w:tc>
          <w:tcPr>
            <w:tcW w:w="0" w:type="dxa"/>
            <w:vAlign w:val="bottom"/>
          </w:tcPr>
          <w:p>
            <w:pPr>
              <w:spacing w:after="0"/>
              <w:rPr>
                <w:sz w:val="1"/>
                <w:szCs w:val="1"/>
                <w:color w:val="auto"/>
              </w:rPr>
            </w:pPr>
          </w:p>
        </w:tc>
      </w:tr>
      <w:tr>
        <w:trPr>
          <w:trHeight w:val="142"/>
        </w:trPr>
        <w:tc>
          <w:tcPr>
            <w:tcW w:w="40" w:type="dxa"/>
            <w:vAlign w:val="bottom"/>
            <w:tcBorders>
              <w:left w:val="single" w:sz="8" w:color="auto"/>
            </w:tcBorders>
            <w:shd w:val="clear" w:color="auto" w:fill="F0FFFF"/>
          </w:tcPr>
          <w:p>
            <w:pPr>
              <w:spacing w:after="0"/>
              <w:rPr>
                <w:sz w:val="12"/>
                <w:szCs w:val="12"/>
                <w:color w:val="auto"/>
              </w:rPr>
            </w:pPr>
          </w:p>
        </w:tc>
        <w:tc>
          <w:tcPr>
            <w:tcW w:w="460" w:type="dxa"/>
            <w:vAlign w:val="bottom"/>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0" w:type="dxa"/>
            <w:vAlign w:val="bottom"/>
            <w:tcBorders>
              <w:right w:val="single" w:sz="8" w:color="auto"/>
            </w:tcBorders>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180" w:type="dxa"/>
            <w:vAlign w:val="bottom"/>
            <w:tcBorders>
              <w:right w:val="single" w:sz="8" w:color="F0FFFF"/>
            </w:tcBorders>
            <w:shd w:val="clear" w:color="auto" w:fill="F0FFFF"/>
          </w:tcPr>
          <w:p>
            <w:pPr>
              <w:spacing w:after="0"/>
              <w:rPr>
                <w:sz w:val="12"/>
                <w:szCs w:val="12"/>
                <w:color w:val="auto"/>
              </w:rPr>
            </w:pPr>
          </w:p>
        </w:tc>
        <w:tc>
          <w:tcPr>
            <w:tcW w:w="340" w:type="dxa"/>
            <w:vAlign w:val="bottom"/>
            <w:tcBorders>
              <w:left w:val="single" w:sz="8" w:color="F0FFFF"/>
            </w:tcBorders>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60" w:type="dxa"/>
            <w:vAlign w:val="bottom"/>
            <w:tcBorders>
              <w:righ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40" w:type="dxa"/>
            <w:vAlign w:val="bottom"/>
            <w:tcBorders>
              <w:right w:val="single" w:sz="8" w:color="auto"/>
            </w:tcBorders>
            <w:shd w:val="clear" w:color="auto" w:fill="F0FFFF"/>
          </w:tcPr>
          <w:p>
            <w:pPr>
              <w:spacing w:after="0"/>
              <w:rPr>
                <w:sz w:val="12"/>
                <w:szCs w:val="12"/>
                <w:color w:val="auto"/>
              </w:rPr>
            </w:pPr>
          </w:p>
        </w:tc>
        <w:tc>
          <w:tcPr>
            <w:tcW w:w="1460" w:type="dxa"/>
            <w:vAlign w:val="bottom"/>
            <w:tcBorders>
              <w:right w:val="single" w:sz="8" w:color="auto"/>
            </w:tcBorders>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2200" w:type="dxa"/>
            <w:vAlign w:val="bottom"/>
            <w:tcBorders>
              <w:right w:val="single" w:sz="8" w:color="auto"/>
            </w:tcBorders>
            <w:gridSpan w:val="18"/>
            <w:shd w:val="clear" w:color="auto" w:fill="F0FFFF"/>
          </w:tcPr>
          <w:p>
            <w:pPr>
              <w:spacing w:after="0" w:line="142" w:lineRule="exact"/>
              <w:rPr>
                <w:sz w:val="20"/>
                <w:szCs w:val="20"/>
                <w:color w:val="auto"/>
              </w:rPr>
            </w:pPr>
            <w:r>
              <w:rPr>
                <w:rFonts w:ascii="Times New Roman" w:cs="Times New Roman" w:eastAsia="Times New Roman" w:hAnsi="Times New Roman"/>
                <w:sz w:val="13"/>
                <w:szCs w:val="13"/>
                <w:color w:val="auto"/>
              </w:rPr>
              <w:t>distributed each Contract Year.</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shd w:val="clear" w:color="auto" w:fill="F0FFFF"/>
          </w:tcPr>
          <w:p>
            <w:pPr>
              <w:spacing w:after="0" w:line="20" w:lineRule="exact"/>
              <w:rPr>
                <w:sz w:val="1"/>
                <w:szCs w:val="1"/>
                <w:color w:val="auto"/>
              </w:rPr>
            </w:pPr>
          </w:p>
        </w:tc>
        <w:tc>
          <w:tcPr>
            <w:tcW w:w="460" w:type="dxa"/>
            <w:vAlign w:val="bottom"/>
            <w:shd w:val="clear" w:color="auto" w:fill="F0FFFF"/>
          </w:tcPr>
          <w:p>
            <w:pPr>
              <w:spacing w:after="0" w:line="20" w:lineRule="exact"/>
              <w:rPr>
                <w:sz w:val="1"/>
                <w:szCs w:val="1"/>
                <w:color w:val="auto"/>
              </w:rPr>
            </w:pPr>
          </w:p>
        </w:tc>
        <w:tc>
          <w:tcPr>
            <w:tcW w:w="360" w:type="dxa"/>
            <w:vAlign w:val="bottom"/>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60" w:type="dxa"/>
            <w:vAlign w:val="bottom"/>
            <w:tcBorders>
              <w:right w:val="single" w:sz="8" w:color="auto"/>
            </w:tcBorders>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180" w:type="dxa"/>
            <w:vAlign w:val="bottom"/>
            <w:tcBorders>
              <w:right w:val="single" w:sz="8" w:color="F0FFFF"/>
            </w:tcBorders>
            <w:shd w:val="clear" w:color="auto" w:fill="F0FFFF"/>
          </w:tcPr>
          <w:p>
            <w:pPr>
              <w:spacing w:after="0" w:line="20" w:lineRule="exact"/>
              <w:rPr>
                <w:sz w:val="1"/>
                <w:szCs w:val="1"/>
                <w:color w:val="auto"/>
              </w:rPr>
            </w:pPr>
          </w:p>
        </w:tc>
        <w:tc>
          <w:tcPr>
            <w:tcW w:w="340" w:type="dxa"/>
            <w:vAlign w:val="bottom"/>
            <w:tcBorders>
              <w:left w:val="single" w:sz="8" w:color="F0FFFF"/>
            </w:tcBorders>
            <w:shd w:val="clear" w:color="auto" w:fill="F0FFFF"/>
          </w:tcPr>
          <w:p>
            <w:pPr>
              <w:spacing w:after="0" w:line="20" w:lineRule="exact"/>
              <w:rPr>
                <w:sz w:val="1"/>
                <w:szCs w:val="1"/>
                <w:color w:val="auto"/>
              </w:rPr>
            </w:pPr>
          </w:p>
        </w:tc>
        <w:tc>
          <w:tcPr>
            <w:tcW w:w="420" w:type="dxa"/>
            <w:vAlign w:val="bottom"/>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20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40" w:type="dxa"/>
            <w:vAlign w:val="bottom"/>
            <w:tcBorders>
              <w:right w:val="single" w:sz="8" w:color="auto"/>
            </w:tcBorders>
            <w:shd w:val="clear" w:color="auto" w:fill="F0FFFF"/>
          </w:tcPr>
          <w:p>
            <w:pPr>
              <w:spacing w:after="0" w:line="20" w:lineRule="exact"/>
              <w:rPr>
                <w:sz w:val="1"/>
                <w:szCs w:val="1"/>
                <w:color w:val="auto"/>
              </w:rPr>
            </w:pPr>
          </w:p>
        </w:tc>
        <w:tc>
          <w:tcPr>
            <w:tcW w:w="1460" w:type="dxa"/>
            <w:vAlign w:val="bottom"/>
            <w:tcBorders>
              <w:right w:val="single" w:sz="8" w:color="auto"/>
            </w:tcBorders>
            <w:shd w:val="clear" w:color="auto" w:fill="F0FFFF"/>
          </w:tcPr>
          <w:p>
            <w:pPr>
              <w:spacing w:after="0" w:line="20" w:lineRule="exact"/>
              <w:rPr>
                <w:sz w:val="1"/>
                <w:szCs w:val="1"/>
                <w:color w:val="auto"/>
              </w:rPr>
            </w:pPr>
          </w:p>
        </w:tc>
        <w:tc>
          <w:tcPr>
            <w:tcW w:w="440" w:type="dxa"/>
            <w:vAlign w:val="bottom"/>
            <w:gridSpan w:val="4"/>
            <w:shd w:val="clear" w:color="auto" w:fill="F0FFFF"/>
          </w:tcPr>
          <w:p>
            <w:pPr>
              <w:spacing w:after="0" w:line="20" w:lineRule="exact"/>
              <w:rPr>
                <w:sz w:val="1"/>
                <w:szCs w:val="1"/>
                <w:color w:val="auto"/>
              </w:rPr>
            </w:pPr>
          </w:p>
        </w:tc>
        <w:tc>
          <w:tcPr>
            <w:tcW w:w="120" w:type="dxa"/>
            <w:vAlign w:val="bottom"/>
            <w:tcBorders>
              <w:left w:val="single" w:sz="8" w:color="F0FFFF"/>
            </w:tcBorders>
            <w:shd w:val="clear" w:color="auto" w:fill="F0FFFF"/>
          </w:tcPr>
          <w:p>
            <w:pPr>
              <w:spacing w:after="0" w:line="20" w:lineRule="exact"/>
              <w:rPr>
                <w:sz w:val="1"/>
                <w:szCs w:val="1"/>
                <w:color w:val="auto"/>
              </w:rPr>
            </w:pPr>
          </w:p>
        </w:tc>
        <w:tc>
          <w:tcPr>
            <w:tcW w:w="400" w:type="dxa"/>
            <w:vAlign w:val="bottom"/>
            <w:tcBorders>
              <w:left w:val="single" w:sz="8" w:color="F0FFFF"/>
              <w:right w:val="single" w:sz="8" w:color="F0FFFF"/>
            </w:tcBorders>
            <w:gridSpan w:val="3"/>
            <w:shd w:val="clear" w:color="auto" w:fill="F0FFFF"/>
          </w:tcPr>
          <w:p>
            <w:pPr>
              <w:spacing w:after="0" w:line="20" w:lineRule="exact"/>
              <w:rPr>
                <w:sz w:val="1"/>
                <w:szCs w:val="1"/>
                <w:color w:val="auto"/>
              </w:rPr>
            </w:pPr>
          </w:p>
        </w:tc>
        <w:tc>
          <w:tcPr>
            <w:tcW w:w="240" w:type="dxa"/>
            <w:vAlign w:val="bottom"/>
            <w:tcBorders>
              <w:left w:val="single" w:sz="8" w:color="F0FFFF"/>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F0FFFF"/>
            </w:tcBorders>
            <w:gridSpan w:val="2"/>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100" w:type="dxa"/>
            <w:vAlign w:val="bottom"/>
            <w:tcBorders>
              <w:left w:val="single" w:sz="8" w:color="F0FFFF"/>
            </w:tcBorders>
            <w:shd w:val="clear" w:color="auto" w:fill="F0FFFF"/>
          </w:tcPr>
          <w:p>
            <w:pPr>
              <w:spacing w:after="0" w:line="20" w:lineRule="exact"/>
              <w:rPr>
                <w:sz w:val="1"/>
                <w:szCs w:val="1"/>
                <w:color w:val="auto"/>
              </w:rPr>
            </w:pPr>
          </w:p>
        </w:tc>
        <w:tc>
          <w:tcPr>
            <w:tcW w:w="12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 w:type="dxa"/>
            <w:vAlign w:val="bottom"/>
            <w:tcBorders>
              <w:left w:val="single" w:sz="8" w:color="auto"/>
            </w:tcBorders>
            <w:shd w:val="clear" w:color="auto" w:fill="F0FFFF"/>
          </w:tcPr>
          <w:p>
            <w:pPr>
              <w:spacing w:after="0"/>
              <w:rPr>
                <w:sz w:val="13"/>
                <w:szCs w:val="13"/>
                <w:color w:val="auto"/>
              </w:rPr>
            </w:pPr>
          </w:p>
        </w:tc>
        <w:tc>
          <w:tcPr>
            <w:tcW w:w="460" w:type="dxa"/>
            <w:vAlign w:val="bottom"/>
            <w:shd w:val="clear" w:color="auto" w:fill="F0FFFF"/>
          </w:tcPr>
          <w:p>
            <w:pPr>
              <w:spacing w:after="0"/>
              <w:rPr>
                <w:sz w:val="13"/>
                <w:szCs w:val="13"/>
                <w:color w:val="auto"/>
              </w:rPr>
            </w:pPr>
          </w:p>
        </w:tc>
        <w:tc>
          <w:tcPr>
            <w:tcW w:w="360" w:type="dxa"/>
            <w:vAlign w:val="bottom"/>
            <w:shd w:val="clear" w:color="auto" w:fill="F0FFFF"/>
          </w:tcPr>
          <w:p>
            <w:pPr>
              <w:spacing w:after="0"/>
              <w:rPr>
                <w:sz w:val="13"/>
                <w:szCs w:val="13"/>
                <w:color w:val="auto"/>
              </w:rPr>
            </w:pPr>
          </w:p>
        </w:tc>
        <w:tc>
          <w:tcPr>
            <w:tcW w:w="160" w:type="dxa"/>
            <w:vAlign w:val="bottom"/>
            <w:shd w:val="clear" w:color="auto" w:fill="F0FFFF"/>
          </w:tcPr>
          <w:p>
            <w:pPr>
              <w:spacing w:after="0"/>
              <w:rPr>
                <w:sz w:val="13"/>
                <w:szCs w:val="13"/>
                <w:color w:val="auto"/>
              </w:rPr>
            </w:pPr>
          </w:p>
        </w:tc>
        <w:tc>
          <w:tcPr>
            <w:tcW w:w="60" w:type="dxa"/>
            <w:vAlign w:val="bottom"/>
            <w:tcBorders>
              <w:right w:val="single" w:sz="8" w:color="auto"/>
            </w:tcBorders>
            <w:shd w:val="clear" w:color="auto" w:fill="F0FFFF"/>
          </w:tcPr>
          <w:p>
            <w:pPr>
              <w:spacing w:after="0"/>
              <w:rPr>
                <w:sz w:val="13"/>
                <w:szCs w:val="13"/>
                <w:color w:val="auto"/>
              </w:rPr>
            </w:pPr>
          </w:p>
        </w:tc>
        <w:tc>
          <w:tcPr>
            <w:tcW w:w="260" w:type="dxa"/>
            <w:vAlign w:val="bottom"/>
            <w:shd w:val="clear" w:color="auto" w:fill="F0FFFF"/>
          </w:tcPr>
          <w:p>
            <w:pPr>
              <w:spacing w:after="0"/>
              <w:rPr>
                <w:sz w:val="13"/>
                <w:szCs w:val="13"/>
                <w:color w:val="auto"/>
              </w:rPr>
            </w:pPr>
          </w:p>
        </w:tc>
        <w:tc>
          <w:tcPr>
            <w:tcW w:w="180" w:type="dxa"/>
            <w:vAlign w:val="bottom"/>
            <w:tcBorders>
              <w:right w:val="single" w:sz="8" w:color="F0FFFF"/>
            </w:tcBorders>
            <w:shd w:val="clear" w:color="auto" w:fill="F0FFFF"/>
          </w:tcPr>
          <w:p>
            <w:pPr>
              <w:spacing w:after="0"/>
              <w:rPr>
                <w:sz w:val="13"/>
                <w:szCs w:val="13"/>
                <w:color w:val="auto"/>
              </w:rPr>
            </w:pPr>
          </w:p>
        </w:tc>
        <w:tc>
          <w:tcPr>
            <w:tcW w:w="340" w:type="dxa"/>
            <w:vAlign w:val="bottom"/>
            <w:tcBorders>
              <w:left w:val="single" w:sz="8" w:color="F0FFFF"/>
            </w:tcBorders>
            <w:shd w:val="clear" w:color="auto" w:fill="F0FFFF"/>
          </w:tcPr>
          <w:p>
            <w:pPr>
              <w:spacing w:after="0"/>
              <w:rPr>
                <w:sz w:val="13"/>
                <w:szCs w:val="13"/>
                <w:color w:val="auto"/>
              </w:rPr>
            </w:pPr>
          </w:p>
        </w:tc>
        <w:tc>
          <w:tcPr>
            <w:tcW w:w="420" w:type="dxa"/>
            <w:vAlign w:val="bottom"/>
            <w:shd w:val="clear" w:color="auto" w:fill="F0FFFF"/>
          </w:tcPr>
          <w:p>
            <w:pPr>
              <w:spacing w:after="0"/>
              <w:rPr>
                <w:sz w:val="13"/>
                <w:szCs w:val="13"/>
                <w:color w:val="auto"/>
              </w:rPr>
            </w:pPr>
          </w:p>
        </w:tc>
        <w:tc>
          <w:tcPr>
            <w:tcW w:w="40" w:type="dxa"/>
            <w:vAlign w:val="bottom"/>
            <w:shd w:val="clear" w:color="auto" w:fill="F0FFFF"/>
          </w:tcPr>
          <w:p>
            <w:pPr>
              <w:spacing w:after="0"/>
              <w:rPr>
                <w:sz w:val="13"/>
                <w:szCs w:val="13"/>
                <w:color w:val="auto"/>
              </w:rPr>
            </w:pPr>
          </w:p>
        </w:tc>
        <w:tc>
          <w:tcPr>
            <w:tcW w:w="18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20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60" w:type="dxa"/>
            <w:vAlign w:val="bottom"/>
            <w:tcBorders>
              <w:right w:val="single" w:sz="8" w:color="F0FFFF"/>
            </w:tcBorders>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40" w:type="dxa"/>
            <w:vAlign w:val="bottom"/>
            <w:tcBorders>
              <w:right w:val="single" w:sz="8" w:color="auto"/>
            </w:tcBorders>
            <w:shd w:val="clear" w:color="auto" w:fill="F0FFFF"/>
          </w:tcPr>
          <w:p>
            <w:pPr>
              <w:spacing w:after="0"/>
              <w:rPr>
                <w:sz w:val="13"/>
                <w:szCs w:val="13"/>
                <w:color w:val="auto"/>
              </w:rPr>
            </w:pPr>
          </w:p>
        </w:tc>
        <w:tc>
          <w:tcPr>
            <w:tcW w:w="1460" w:type="dxa"/>
            <w:vAlign w:val="bottom"/>
            <w:tcBorders>
              <w:right w:val="single" w:sz="8" w:color="auto"/>
            </w:tcBorders>
            <w:shd w:val="clear" w:color="auto" w:fill="F0FFFF"/>
          </w:tcPr>
          <w:p>
            <w:pPr>
              <w:spacing w:after="0"/>
              <w:rPr>
                <w:sz w:val="13"/>
                <w:szCs w:val="13"/>
                <w:color w:val="auto"/>
              </w:rPr>
            </w:pPr>
          </w:p>
        </w:tc>
        <w:tc>
          <w:tcPr>
            <w:tcW w:w="2340" w:type="dxa"/>
            <w:vAlign w:val="bottom"/>
            <w:tcBorders>
              <w:right w:val="single" w:sz="8" w:color="auto"/>
            </w:tcBorders>
            <w:gridSpan w:val="19"/>
            <w:shd w:val="clear" w:color="auto" w:fill="F0FFFF"/>
          </w:tcPr>
          <w:p>
            <w:pPr>
              <w:ind w:left="20"/>
              <w:spacing w:after="0"/>
              <w:rPr>
                <w:sz w:val="20"/>
                <w:szCs w:val="20"/>
                <w:color w:val="auto"/>
              </w:rPr>
            </w:pPr>
            <w:r>
              <w:rPr>
                <w:rFonts w:ascii="Times New Roman" w:cs="Times New Roman" w:eastAsia="Times New Roman" w:hAnsi="Times New Roman"/>
                <w:sz w:val="13"/>
                <w:szCs w:val="13"/>
                <w:color w:val="auto"/>
              </w:rPr>
              <w:t>● Withdrawals may only be on a</w:t>
            </w:r>
          </w:p>
        </w:tc>
        <w:tc>
          <w:tcPr>
            <w:tcW w:w="0" w:type="dxa"/>
            <w:vAlign w:val="bottom"/>
          </w:tcPr>
          <w:p>
            <w:pPr>
              <w:spacing w:after="0"/>
              <w:rPr>
                <w:sz w:val="1"/>
                <w:szCs w:val="1"/>
                <w:color w:val="auto"/>
              </w:rPr>
            </w:pPr>
          </w:p>
        </w:tc>
      </w:tr>
      <w:tr>
        <w:trPr>
          <w:trHeight w:val="159"/>
        </w:trPr>
        <w:tc>
          <w:tcPr>
            <w:tcW w:w="40" w:type="dxa"/>
            <w:vAlign w:val="bottom"/>
            <w:tcBorders>
              <w:left w:val="single" w:sz="8" w:color="auto"/>
            </w:tcBorders>
            <w:shd w:val="clear" w:color="auto" w:fill="F0FFFF"/>
          </w:tcPr>
          <w:p>
            <w:pPr>
              <w:spacing w:after="0"/>
              <w:rPr>
                <w:sz w:val="13"/>
                <w:szCs w:val="13"/>
                <w:color w:val="auto"/>
              </w:rPr>
            </w:pPr>
          </w:p>
        </w:tc>
        <w:tc>
          <w:tcPr>
            <w:tcW w:w="460" w:type="dxa"/>
            <w:vAlign w:val="bottom"/>
            <w:shd w:val="clear" w:color="auto" w:fill="F0FFFF"/>
          </w:tcPr>
          <w:p>
            <w:pPr>
              <w:spacing w:after="0"/>
              <w:rPr>
                <w:sz w:val="13"/>
                <w:szCs w:val="13"/>
                <w:color w:val="auto"/>
              </w:rPr>
            </w:pPr>
          </w:p>
        </w:tc>
        <w:tc>
          <w:tcPr>
            <w:tcW w:w="360" w:type="dxa"/>
            <w:vAlign w:val="bottom"/>
            <w:shd w:val="clear" w:color="auto" w:fill="F0FFFF"/>
          </w:tcPr>
          <w:p>
            <w:pPr>
              <w:spacing w:after="0"/>
              <w:rPr>
                <w:sz w:val="13"/>
                <w:szCs w:val="13"/>
                <w:color w:val="auto"/>
              </w:rPr>
            </w:pPr>
          </w:p>
        </w:tc>
        <w:tc>
          <w:tcPr>
            <w:tcW w:w="160" w:type="dxa"/>
            <w:vAlign w:val="bottom"/>
            <w:shd w:val="clear" w:color="auto" w:fill="F0FFFF"/>
          </w:tcPr>
          <w:p>
            <w:pPr>
              <w:spacing w:after="0"/>
              <w:rPr>
                <w:sz w:val="13"/>
                <w:szCs w:val="13"/>
                <w:color w:val="auto"/>
              </w:rPr>
            </w:pPr>
          </w:p>
        </w:tc>
        <w:tc>
          <w:tcPr>
            <w:tcW w:w="60" w:type="dxa"/>
            <w:vAlign w:val="bottom"/>
            <w:tcBorders>
              <w:right w:val="single" w:sz="8" w:color="auto"/>
            </w:tcBorders>
            <w:shd w:val="clear" w:color="auto" w:fill="F0FFFF"/>
          </w:tcPr>
          <w:p>
            <w:pPr>
              <w:spacing w:after="0"/>
              <w:rPr>
                <w:sz w:val="13"/>
                <w:szCs w:val="13"/>
                <w:color w:val="auto"/>
              </w:rPr>
            </w:pPr>
          </w:p>
        </w:tc>
        <w:tc>
          <w:tcPr>
            <w:tcW w:w="260" w:type="dxa"/>
            <w:vAlign w:val="bottom"/>
            <w:shd w:val="clear" w:color="auto" w:fill="F0FFFF"/>
          </w:tcPr>
          <w:p>
            <w:pPr>
              <w:spacing w:after="0"/>
              <w:rPr>
                <w:sz w:val="13"/>
                <w:szCs w:val="13"/>
                <w:color w:val="auto"/>
              </w:rPr>
            </w:pPr>
          </w:p>
        </w:tc>
        <w:tc>
          <w:tcPr>
            <w:tcW w:w="180" w:type="dxa"/>
            <w:vAlign w:val="bottom"/>
            <w:tcBorders>
              <w:right w:val="single" w:sz="8" w:color="F0FFFF"/>
            </w:tcBorders>
            <w:shd w:val="clear" w:color="auto" w:fill="F0FFFF"/>
          </w:tcPr>
          <w:p>
            <w:pPr>
              <w:spacing w:after="0"/>
              <w:rPr>
                <w:sz w:val="13"/>
                <w:szCs w:val="13"/>
                <w:color w:val="auto"/>
              </w:rPr>
            </w:pPr>
          </w:p>
        </w:tc>
        <w:tc>
          <w:tcPr>
            <w:tcW w:w="340" w:type="dxa"/>
            <w:vAlign w:val="bottom"/>
            <w:tcBorders>
              <w:left w:val="single" w:sz="8" w:color="F0FFFF"/>
            </w:tcBorders>
            <w:shd w:val="clear" w:color="auto" w:fill="F0FFFF"/>
          </w:tcPr>
          <w:p>
            <w:pPr>
              <w:spacing w:after="0"/>
              <w:rPr>
                <w:sz w:val="13"/>
                <w:szCs w:val="13"/>
                <w:color w:val="auto"/>
              </w:rPr>
            </w:pPr>
          </w:p>
        </w:tc>
        <w:tc>
          <w:tcPr>
            <w:tcW w:w="420" w:type="dxa"/>
            <w:vAlign w:val="bottom"/>
            <w:shd w:val="clear" w:color="auto" w:fill="F0FFFF"/>
          </w:tcPr>
          <w:p>
            <w:pPr>
              <w:spacing w:after="0"/>
              <w:rPr>
                <w:sz w:val="13"/>
                <w:szCs w:val="13"/>
                <w:color w:val="auto"/>
              </w:rPr>
            </w:pPr>
          </w:p>
        </w:tc>
        <w:tc>
          <w:tcPr>
            <w:tcW w:w="40" w:type="dxa"/>
            <w:vAlign w:val="bottom"/>
            <w:shd w:val="clear" w:color="auto" w:fill="F0FFFF"/>
          </w:tcPr>
          <w:p>
            <w:pPr>
              <w:spacing w:after="0"/>
              <w:rPr>
                <w:sz w:val="13"/>
                <w:szCs w:val="13"/>
                <w:color w:val="auto"/>
              </w:rPr>
            </w:pPr>
          </w:p>
        </w:tc>
        <w:tc>
          <w:tcPr>
            <w:tcW w:w="18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20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60" w:type="dxa"/>
            <w:vAlign w:val="bottom"/>
            <w:tcBorders>
              <w:right w:val="single" w:sz="8" w:color="F0FFFF"/>
            </w:tcBorders>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40" w:type="dxa"/>
            <w:vAlign w:val="bottom"/>
            <w:tcBorders>
              <w:right w:val="single" w:sz="8" w:color="auto"/>
            </w:tcBorders>
            <w:shd w:val="clear" w:color="auto" w:fill="F0FFFF"/>
          </w:tcPr>
          <w:p>
            <w:pPr>
              <w:spacing w:after="0"/>
              <w:rPr>
                <w:sz w:val="13"/>
                <w:szCs w:val="13"/>
                <w:color w:val="auto"/>
              </w:rPr>
            </w:pPr>
          </w:p>
        </w:tc>
        <w:tc>
          <w:tcPr>
            <w:tcW w:w="1460" w:type="dxa"/>
            <w:vAlign w:val="bottom"/>
            <w:tcBorders>
              <w:right w:val="single" w:sz="8" w:color="auto"/>
            </w:tcBorders>
            <w:shd w:val="clear" w:color="auto" w:fill="F0FFFF"/>
          </w:tcPr>
          <w:p>
            <w:pPr>
              <w:spacing w:after="0"/>
              <w:rPr>
                <w:sz w:val="13"/>
                <w:szCs w:val="13"/>
                <w:color w:val="auto"/>
              </w:rPr>
            </w:pPr>
          </w:p>
        </w:tc>
        <w:tc>
          <w:tcPr>
            <w:tcW w:w="140" w:type="dxa"/>
            <w:vAlign w:val="bottom"/>
            <w:shd w:val="clear" w:color="auto" w:fill="F0FFFF"/>
          </w:tcPr>
          <w:p>
            <w:pPr>
              <w:spacing w:after="0"/>
              <w:rPr>
                <w:sz w:val="13"/>
                <w:szCs w:val="13"/>
                <w:color w:val="auto"/>
              </w:rPr>
            </w:pPr>
          </w:p>
        </w:tc>
        <w:tc>
          <w:tcPr>
            <w:tcW w:w="2200" w:type="dxa"/>
            <w:vAlign w:val="bottom"/>
            <w:tcBorders>
              <w:right w:val="single" w:sz="8" w:color="auto"/>
            </w:tcBorders>
            <w:gridSpan w:val="18"/>
            <w:shd w:val="clear" w:color="auto" w:fill="F0FFFF"/>
          </w:tcPr>
          <w:p>
            <w:pPr>
              <w:spacing w:after="0"/>
              <w:rPr>
                <w:sz w:val="20"/>
                <w:szCs w:val="20"/>
                <w:color w:val="auto"/>
              </w:rPr>
            </w:pPr>
            <w:r>
              <w:rPr>
                <w:rFonts w:ascii="Times New Roman" w:cs="Times New Roman" w:eastAsia="Times New Roman" w:hAnsi="Times New Roman"/>
                <w:sz w:val="13"/>
                <w:szCs w:val="13"/>
                <w:color w:val="auto"/>
              </w:rPr>
              <w:t>monthly, quarterly, semi-annual, or</w:t>
            </w:r>
          </w:p>
        </w:tc>
        <w:tc>
          <w:tcPr>
            <w:tcW w:w="0" w:type="dxa"/>
            <w:vAlign w:val="bottom"/>
          </w:tcPr>
          <w:p>
            <w:pPr>
              <w:spacing w:after="0"/>
              <w:rPr>
                <w:sz w:val="1"/>
                <w:szCs w:val="1"/>
                <w:color w:val="auto"/>
              </w:rPr>
            </w:pPr>
          </w:p>
        </w:tc>
      </w:tr>
      <w:tr>
        <w:trPr>
          <w:trHeight w:val="182"/>
        </w:trPr>
        <w:tc>
          <w:tcPr>
            <w:tcW w:w="40" w:type="dxa"/>
            <w:vAlign w:val="bottom"/>
            <w:tcBorders>
              <w:left w:val="single" w:sz="8" w:color="auto"/>
              <w:bottom w:val="single" w:sz="8" w:color="auto"/>
            </w:tcBorders>
            <w:shd w:val="clear" w:color="auto" w:fill="F0FFFF"/>
          </w:tcPr>
          <w:p>
            <w:pPr>
              <w:spacing w:after="0"/>
              <w:rPr>
                <w:sz w:val="15"/>
                <w:szCs w:val="15"/>
                <w:color w:val="auto"/>
              </w:rPr>
            </w:pPr>
          </w:p>
        </w:tc>
        <w:tc>
          <w:tcPr>
            <w:tcW w:w="460" w:type="dxa"/>
            <w:vAlign w:val="bottom"/>
            <w:tcBorders>
              <w:bottom w:val="single" w:sz="8" w:color="auto"/>
            </w:tcBorders>
            <w:shd w:val="clear" w:color="auto" w:fill="F0FFFF"/>
          </w:tcPr>
          <w:p>
            <w:pPr>
              <w:spacing w:after="0"/>
              <w:rPr>
                <w:sz w:val="15"/>
                <w:szCs w:val="15"/>
                <w:color w:val="auto"/>
              </w:rPr>
            </w:pPr>
          </w:p>
        </w:tc>
        <w:tc>
          <w:tcPr>
            <w:tcW w:w="360" w:type="dxa"/>
            <w:vAlign w:val="bottom"/>
            <w:tcBorders>
              <w:bottom w:val="single" w:sz="8" w:color="auto"/>
            </w:tcBorders>
            <w:shd w:val="clear" w:color="auto" w:fill="F0FFFF"/>
          </w:tcPr>
          <w:p>
            <w:pPr>
              <w:spacing w:after="0"/>
              <w:rPr>
                <w:sz w:val="15"/>
                <w:szCs w:val="15"/>
                <w:color w:val="auto"/>
              </w:rPr>
            </w:pPr>
          </w:p>
        </w:tc>
        <w:tc>
          <w:tcPr>
            <w:tcW w:w="160" w:type="dxa"/>
            <w:vAlign w:val="bottom"/>
            <w:tcBorders>
              <w:bottom w:val="single" w:sz="8" w:color="auto"/>
            </w:tcBorders>
            <w:shd w:val="clear" w:color="auto" w:fill="F0FFFF"/>
          </w:tcPr>
          <w:p>
            <w:pPr>
              <w:spacing w:after="0"/>
              <w:rPr>
                <w:sz w:val="15"/>
                <w:szCs w:val="15"/>
                <w:color w:val="auto"/>
              </w:rPr>
            </w:pPr>
          </w:p>
        </w:tc>
        <w:tc>
          <w:tcPr>
            <w:tcW w:w="60" w:type="dxa"/>
            <w:vAlign w:val="bottom"/>
            <w:tcBorders>
              <w:bottom w:val="single" w:sz="8" w:color="auto"/>
              <w:right w:val="single" w:sz="8" w:color="auto"/>
            </w:tcBorders>
            <w:shd w:val="clear" w:color="auto" w:fill="F0FFFF"/>
          </w:tcPr>
          <w:p>
            <w:pPr>
              <w:spacing w:after="0"/>
              <w:rPr>
                <w:sz w:val="15"/>
                <w:szCs w:val="15"/>
                <w:color w:val="auto"/>
              </w:rPr>
            </w:pPr>
          </w:p>
        </w:tc>
        <w:tc>
          <w:tcPr>
            <w:tcW w:w="260" w:type="dxa"/>
            <w:vAlign w:val="bottom"/>
            <w:tcBorders>
              <w:bottom w:val="single" w:sz="8" w:color="auto"/>
            </w:tcBorders>
            <w:shd w:val="clear" w:color="auto" w:fill="F0FFFF"/>
          </w:tcPr>
          <w:p>
            <w:pPr>
              <w:spacing w:after="0"/>
              <w:rPr>
                <w:sz w:val="15"/>
                <w:szCs w:val="15"/>
                <w:color w:val="auto"/>
              </w:rPr>
            </w:pPr>
          </w:p>
        </w:tc>
        <w:tc>
          <w:tcPr>
            <w:tcW w:w="180" w:type="dxa"/>
            <w:vAlign w:val="bottom"/>
            <w:tcBorders>
              <w:bottom w:val="single" w:sz="8" w:color="auto"/>
              <w:right w:val="single" w:sz="8" w:color="F0FFFF"/>
            </w:tcBorders>
            <w:shd w:val="clear" w:color="auto" w:fill="F0FFFF"/>
          </w:tcPr>
          <w:p>
            <w:pPr>
              <w:spacing w:after="0"/>
              <w:rPr>
                <w:sz w:val="15"/>
                <w:szCs w:val="15"/>
                <w:color w:val="auto"/>
              </w:rPr>
            </w:pPr>
          </w:p>
        </w:tc>
        <w:tc>
          <w:tcPr>
            <w:tcW w:w="340" w:type="dxa"/>
            <w:vAlign w:val="bottom"/>
            <w:tcBorders>
              <w:left w:val="single" w:sz="8" w:color="F0FFFF"/>
              <w:bottom w:val="single" w:sz="8" w:color="auto"/>
            </w:tcBorders>
            <w:shd w:val="clear" w:color="auto" w:fill="F0FFFF"/>
          </w:tcPr>
          <w:p>
            <w:pPr>
              <w:spacing w:after="0"/>
              <w:rPr>
                <w:sz w:val="15"/>
                <w:szCs w:val="15"/>
                <w:color w:val="auto"/>
              </w:rPr>
            </w:pPr>
          </w:p>
        </w:tc>
        <w:tc>
          <w:tcPr>
            <w:tcW w:w="420" w:type="dxa"/>
            <w:vAlign w:val="bottom"/>
            <w:tcBorders>
              <w:bottom w:val="single" w:sz="8" w:color="auto"/>
            </w:tcBorders>
            <w:shd w:val="clear" w:color="auto" w:fill="F0FFFF"/>
          </w:tcPr>
          <w:p>
            <w:pPr>
              <w:spacing w:after="0"/>
              <w:rPr>
                <w:sz w:val="15"/>
                <w:szCs w:val="15"/>
                <w:color w:val="auto"/>
              </w:rPr>
            </w:pPr>
          </w:p>
        </w:tc>
        <w:tc>
          <w:tcPr>
            <w:tcW w:w="40" w:type="dxa"/>
            <w:vAlign w:val="bottom"/>
            <w:tcBorders>
              <w:bottom w:val="single" w:sz="8" w:color="auto"/>
            </w:tcBorders>
            <w:shd w:val="clear" w:color="auto" w:fill="F0FFFF"/>
          </w:tcPr>
          <w:p>
            <w:pPr>
              <w:spacing w:after="0"/>
              <w:rPr>
                <w:sz w:val="15"/>
                <w:szCs w:val="15"/>
                <w:color w:val="auto"/>
              </w:rPr>
            </w:pPr>
          </w:p>
        </w:tc>
        <w:tc>
          <w:tcPr>
            <w:tcW w:w="180" w:type="dxa"/>
            <w:vAlign w:val="bottom"/>
            <w:tcBorders>
              <w:bottom w:val="single" w:sz="8" w:color="auto"/>
            </w:tcBorders>
            <w:shd w:val="clear" w:color="auto" w:fill="F0FFFF"/>
          </w:tcPr>
          <w:p>
            <w:pPr>
              <w:spacing w:after="0"/>
              <w:rPr>
                <w:sz w:val="15"/>
                <w:szCs w:val="15"/>
                <w:color w:val="auto"/>
              </w:rPr>
            </w:pPr>
          </w:p>
        </w:tc>
        <w:tc>
          <w:tcPr>
            <w:tcW w:w="120" w:type="dxa"/>
            <w:vAlign w:val="bottom"/>
            <w:tcBorders>
              <w:bottom w:val="single" w:sz="8" w:color="auto"/>
            </w:tcBorders>
            <w:shd w:val="clear" w:color="auto" w:fill="F0FFFF"/>
          </w:tcPr>
          <w:p>
            <w:pPr>
              <w:spacing w:after="0"/>
              <w:rPr>
                <w:sz w:val="15"/>
                <w:szCs w:val="15"/>
                <w:color w:val="auto"/>
              </w:rPr>
            </w:pPr>
          </w:p>
        </w:tc>
        <w:tc>
          <w:tcPr>
            <w:tcW w:w="120" w:type="dxa"/>
            <w:vAlign w:val="bottom"/>
            <w:tcBorders>
              <w:bottom w:val="single" w:sz="8" w:color="auto"/>
            </w:tcBorders>
            <w:shd w:val="clear" w:color="auto" w:fill="F0FFFF"/>
          </w:tcPr>
          <w:p>
            <w:pPr>
              <w:spacing w:after="0"/>
              <w:rPr>
                <w:sz w:val="15"/>
                <w:szCs w:val="15"/>
                <w:color w:val="auto"/>
              </w:rPr>
            </w:pPr>
          </w:p>
        </w:tc>
        <w:tc>
          <w:tcPr>
            <w:tcW w:w="200" w:type="dxa"/>
            <w:vAlign w:val="bottom"/>
            <w:tcBorders>
              <w:bottom w:val="single" w:sz="8" w:color="auto"/>
            </w:tcBorders>
            <w:shd w:val="clear" w:color="auto" w:fill="F0FFFF"/>
          </w:tcPr>
          <w:p>
            <w:pPr>
              <w:spacing w:after="0"/>
              <w:rPr>
                <w:sz w:val="15"/>
                <w:szCs w:val="15"/>
                <w:color w:val="auto"/>
              </w:rPr>
            </w:pPr>
          </w:p>
        </w:tc>
        <w:tc>
          <w:tcPr>
            <w:tcW w:w="120" w:type="dxa"/>
            <w:vAlign w:val="bottom"/>
            <w:tcBorders>
              <w:bottom w:val="single" w:sz="8" w:color="auto"/>
            </w:tcBorders>
            <w:shd w:val="clear" w:color="auto" w:fill="F0FFFF"/>
          </w:tcPr>
          <w:p>
            <w:pPr>
              <w:spacing w:after="0"/>
              <w:rPr>
                <w:sz w:val="15"/>
                <w:szCs w:val="15"/>
                <w:color w:val="auto"/>
              </w:rPr>
            </w:pPr>
          </w:p>
        </w:tc>
        <w:tc>
          <w:tcPr>
            <w:tcW w:w="160" w:type="dxa"/>
            <w:vAlign w:val="bottom"/>
            <w:tcBorders>
              <w:bottom w:val="single" w:sz="8" w:color="auto"/>
              <w:right w:val="single" w:sz="8" w:color="F0FFFF"/>
            </w:tcBorders>
            <w:shd w:val="clear" w:color="auto" w:fill="F0FFFF"/>
          </w:tcPr>
          <w:p>
            <w:pPr>
              <w:spacing w:after="0"/>
              <w:rPr>
                <w:sz w:val="15"/>
                <w:szCs w:val="15"/>
                <w:color w:val="auto"/>
              </w:rPr>
            </w:pPr>
          </w:p>
        </w:tc>
        <w:tc>
          <w:tcPr>
            <w:tcW w:w="80" w:type="dxa"/>
            <w:vAlign w:val="bottom"/>
            <w:tcBorders>
              <w:bottom w:val="single" w:sz="8" w:color="auto"/>
            </w:tcBorders>
            <w:shd w:val="clear" w:color="auto" w:fill="F0FFFF"/>
          </w:tcPr>
          <w:p>
            <w:pPr>
              <w:spacing w:after="0"/>
              <w:rPr>
                <w:sz w:val="15"/>
                <w:szCs w:val="15"/>
                <w:color w:val="auto"/>
              </w:rPr>
            </w:pPr>
          </w:p>
        </w:tc>
        <w:tc>
          <w:tcPr>
            <w:tcW w:w="40" w:type="dxa"/>
            <w:vAlign w:val="bottom"/>
            <w:tcBorders>
              <w:bottom w:val="single" w:sz="8" w:color="auto"/>
              <w:right w:val="single" w:sz="8" w:color="auto"/>
            </w:tcBorders>
            <w:shd w:val="clear" w:color="auto" w:fill="F0FFFF"/>
          </w:tcPr>
          <w:p>
            <w:pPr>
              <w:spacing w:after="0"/>
              <w:rPr>
                <w:sz w:val="15"/>
                <w:szCs w:val="15"/>
                <w:color w:val="auto"/>
              </w:rPr>
            </w:pPr>
          </w:p>
        </w:tc>
        <w:tc>
          <w:tcPr>
            <w:tcW w:w="1460" w:type="dxa"/>
            <w:vAlign w:val="bottom"/>
            <w:tcBorders>
              <w:bottom w:val="single" w:sz="8" w:color="auto"/>
              <w:right w:val="single" w:sz="8" w:color="auto"/>
            </w:tcBorders>
            <w:shd w:val="clear" w:color="auto" w:fill="F0FFFF"/>
          </w:tcPr>
          <w:p>
            <w:pPr>
              <w:spacing w:after="0"/>
              <w:rPr>
                <w:sz w:val="15"/>
                <w:szCs w:val="15"/>
                <w:color w:val="auto"/>
              </w:rPr>
            </w:pPr>
          </w:p>
        </w:tc>
        <w:tc>
          <w:tcPr>
            <w:tcW w:w="140" w:type="dxa"/>
            <w:vAlign w:val="bottom"/>
            <w:tcBorders>
              <w:bottom w:val="single" w:sz="8" w:color="auto"/>
            </w:tcBorders>
            <w:shd w:val="clear" w:color="auto" w:fill="F0FFFF"/>
          </w:tcPr>
          <w:p>
            <w:pPr>
              <w:spacing w:after="0"/>
              <w:rPr>
                <w:sz w:val="15"/>
                <w:szCs w:val="15"/>
                <w:color w:val="auto"/>
              </w:rPr>
            </w:pPr>
          </w:p>
        </w:tc>
        <w:tc>
          <w:tcPr>
            <w:tcW w:w="2200" w:type="dxa"/>
            <w:vAlign w:val="bottom"/>
            <w:tcBorders>
              <w:bottom w:val="single" w:sz="8" w:color="auto"/>
              <w:right w:val="single" w:sz="8" w:color="auto"/>
            </w:tcBorders>
            <w:gridSpan w:val="18"/>
            <w:shd w:val="clear" w:color="auto" w:fill="F0FFFF"/>
          </w:tcPr>
          <w:p>
            <w:pPr>
              <w:spacing w:after="0"/>
              <w:rPr>
                <w:sz w:val="20"/>
                <w:szCs w:val="20"/>
                <w:color w:val="auto"/>
              </w:rPr>
            </w:pPr>
            <w:r>
              <w:rPr>
                <w:rFonts w:ascii="Times New Roman" w:cs="Times New Roman" w:eastAsia="Times New Roman" w:hAnsi="Times New Roman"/>
                <w:sz w:val="13"/>
                <w:szCs w:val="13"/>
                <w:color w:val="auto"/>
              </w:rPr>
              <w:t>annual basis.</w:t>
            </w:r>
          </w:p>
        </w:tc>
        <w:tc>
          <w:tcPr>
            <w:tcW w:w="0" w:type="dxa"/>
            <w:vAlign w:val="bottom"/>
          </w:tcPr>
          <w:p>
            <w:pPr>
              <w:spacing w:after="0"/>
              <w:rPr>
                <w:sz w:val="1"/>
                <w:szCs w:val="1"/>
                <w:color w:val="auto"/>
              </w:rPr>
            </w:pPr>
          </w:p>
        </w:tc>
      </w:tr>
      <w:tr>
        <w:trPr>
          <w:trHeight w:val="139"/>
        </w:trPr>
        <w:tc>
          <w:tcPr>
            <w:tcW w:w="40" w:type="dxa"/>
            <w:vAlign w:val="bottom"/>
            <w:tcBorders>
              <w:left w:val="single" w:sz="8" w:color="auto"/>
            </w:tcBorders>
          </w:tcPr>
          <w:p>
            <w:pPr>
              <w:spacing w:after="0"/>
              <w:rPr>
                <w:sz w:val="12"/>
                <w:szCs w:val="12"/>
                <w:color w:val="auto"/>
              </w:rPr>
            </w:pPr>
          </w:p>
        </w:tc>
        <w:tc>
          <w:tcPr>
            <w:tcW w:w="980" w:type="dxa"/>
            <w:vAlign w:val="bottom"/>
            <w:gridSpan w:val="3"/>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Free Withdrawal</w:t>
            </w:r>
          </w:p>
        </w:tc>
        <w:tc>
          <w:tcPr>
            <w:tcW w:w="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gridSpan w:val="13"/>
          </w:tcPr>
          <w:p>
            <w:pPr>
              <w:spacing w:after="0" w:line="139" w:lineRule="exact"/>
              <w:rPr>
                <w:sz w:val="20"/>
                <w:szCs w:val="20"/>
                <w:color w:val="auto"/>
              </w:rPr>
            </w:pPr>
            <w:r>
              <w:rPr>
                <w:rFonts w:ascii="Times New Roman" w:cs="Times New Roman" w:eastAsia="Times New Roman" w:hAnsi="Times New Roman"/>
                <w:sz w:val="13"/>
                <w:szCs w:val="13"/>
                <w:color w:val="auto"/>
              </w:rPr>
              <w:t>Provides a portion of your Account Value</w:t>
            </w:r>
          </w:p>
        </w:tc>
        <w:tc>
          <w:tcPr>
            <w:tcW w:w="1460" w:type="dxa"/>
            <w:vAlign w:val="bottom"/>
            <w:tcBorders>
              <w:right w:val="single" w:sz="8" w:color="auto"/>
            </w:tcBorders>
          </w:tcPr>
          <w:p>
            <w:pPr>
              <w:ind w:left="20"/>
              <w:spacing w:after="0" w:line="139" w:lineRule="exact"/>
              <w:rPr>
                <w:sz w:val="20"/>
                <w:szCs w:val="20"/>
                <w:color w:val="auto"/>
              </w:rPr>
            </w:pPr>
            <w:r>
              <w:rPr>
                <w:rFonts w:ascii="Times New Roman" w:cs="Times New Roman" w:eastAsia="Times New Roman" w:hAnsi="Times New Roman"/>
                <w:sz w:val="13"/>
                <w:szCs w:val="13"/>
                <w:color w:val="auto"/>
              </w:rPr>
              <w:t>N/A</w:t>
            </w:r>
          </w:p>
        </w:tc>
        <w:tc>
          <w:tcPr>
            <w:tcW w:w="2340" w:type="dxa"/>
            <w:vAlign w:val="bottom"/>
            <w:tcBorders>
              <w:right w:val="single" w:sz="8" w:color="auto"/>
            </w:tcBorders>
            <w:gridSpan w:val="19"/>
          </w:tcPr>
          <w:p>
            <w:pPr>
              <w:ind w:left="20"/>
              <w:spacing w:after="0" w:line="139" w:lineRule="exact"/>
              <w:rPr>
                <w:sz w:val="20"/>
                <w:szCs w:val="20"/>
                <w:color w:val="auto"/>
              </w:rPr>
            </w:pPr>
            <w:r>
              <w:rPr>
                <w:rFonts w:ascii="Times New Roman" w:cs="Times New Roman" w:eastAsia="Times New Roman" w:hAnsi="Times New Roman"/>
                <w:sz w:val="13"/>
                <w:szCs w:val="13"/>
                <w:color w:val="auto"/>
              </w:rPr>
              <w:t>● Only available during the</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auto"/>
            </w:tcBorders>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auto"/>
            </w:tcBorders>
            <w:vMerge w:val="restart"/>
          </w:tcPr>
          <w:p>
            <w:pPr>
              <w:spacing w:after="0" w:line="20" w:lineRule="exact"/>
              <w:rPr>
                <w:sz w:val="1"/>
                <w:szCs w:val="1"/>
                <w:color w:val="auto"/>
              </w:rPr>
            </w:pPr>
          </w:p>
        </w:tc>
        <w:tc>
          <w:tcPr>
            <w:tcW w:w="146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Borders>
              <w:right w:val="single" w:sz="8" w:color="auto"/>
            </w:tcBorders>
            <w:gridSpan w:val="18"/>
            <w:vMerge w:val="restart"/>
          </w:tcPr>
          <w:p>
            <w:pPr>
              <w:spacing w:after="0"/>
              <w:rPr>
                <w:sz w:val="20"/>
                <w:szCs w:val="20"/>
                <w:color w:val="auto"/>
              </w:rPr>
            </w:pPr>
            <w:r>
              <w:rPr>
                <w:rFonts w:ascii="Times New Roman" w:cs="Times New Roman" w:eastAsia="Times New Roman" w:hAnsi="Times New Roman"/>
                <w:sz w:val="13"/>
                <w:szCs w:val="13"/>
                <w:color w:val="auto"/>
              </w:rPr>
              <w:t>Accumulation Period.</w:t>
            </w:r>
          </w:p>
        </w:tc>
        <w:tc>
          <w:tcPr>
            <w:tcW w:w="0" w:type="dxa"/>
            <w:vAlign w:val="bottom"/>
          </w:tcPr>
          <w:p>
            <w:pPr>
              <w:spacing w:after="0" w:line="20" w:lineRule="exact"/>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980" w:type="dxa"/>
            <w:vAlign w:val="bottom"/>
            <w:gridSpan w:val="3"/>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Borders>
              <w:right w:val="single" w:sz="8" w:color="auto"/>
            </w:tcBorders>
            <w:vMerge w:val="continue"/>
          </w:tcPr>
          <w:p>
            <w:pPr>
              <w:spacing w:after="0"/>
              <w:rPr>
                <w:sz w:val="11"/>
                <w:szCs w:val="11"/>
                <w:color w:val="auto"/>
              </w:rPr>
            </w:pPr>
          </w:p>
        </w:tc>
        <w:tc>
          <w:tcPr>
            <w:tcW w:w="2220" w:type="dxa"/>
            <w:vAlign w:val="bottom"/>
            <w:gridSpan w:val="12"/>
          </w:tcPr>
          <w:p>
            <w:pPr>
              <w:spacing w:after="0" w:line="129" w:lineRule="exact"/>
              <w:rPr>
                <w:sz w:val="20"/>
                <w:szCs w:val="20"/>
                <w:color w:val="auto"/>
              </w:rPr>
            </w:pPr>
            <w:r>
              <w:rPr>
                <w:rFonts w:ascii="Times New Roman" w:cs="Times New Roman" w:eastAsia="Times New Roman" w:hAnsi="Times New Roman"/>
                <w:sz w:val="13"/>
                <w:szCs w:val="13"/>
                <w:color w:val="auto"/>
              </w:rPr>
              <w:t>that may be withdrawn each Contract</w:t>
            </w:r>
          </w:p>
        </w:tc>
        <w:tc>
          <w:tcPr>
            <w:tcW w:w="40" w:type="dxa"/>
            <w:vAlign w:val="bottom"/>
            <w:tcBorders>
              <w:right w:val="single" w:sz="8" w:color="auto"/>
            </w:tcBorders>
            <w:vMerge w:val="continue"/>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200" w:type="dxa"/>
            <w:vAlign w:val="bottom"/>
            <w:tcBorders>
              <w:right w:val="single" w:sz="8" w:color="auto"/>
            </w:tcBorders>
            <w:gridSpan w:val="1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gridSpan w:val="3"/>
            <w:vMerge w:val="restart"/>
          </w:tcPr>
          <w:p>
            <w:pPr>
              <w:spacing w:after="0" w:line="20" w:lineRule="exact"/>
              <w:rPr>
                <w:sz w:val="1"/>
                <w:szCs w:val="1"/>
                <w:color w:val="auto"/>
              </w:rPr>
            </w:pPr>
          </w:p>
        </w:tc>
        <w:tc>
          <w:tcPr>
            <w:tcW w:w="1460" w:type="dxa"/>
            <w:vAlign w:val="bottom"/>
            <w:tcBorders>
              <w:right w:val="single" w:sz="8" w:color="auto"/>
            </w:tcBorders>
          </w:tcPr>
          <w:p>
            <w:pPr>
              <w:spacing w:after="0" w:line="20" w:lineRule="exact"/>
              <w:rPr>
                <w:sz w:val="1"/>
                <w:szCs w:val="1"/>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2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1980" w:type="dxa"/>
            <w:vAlign w:val="bottom"/>
            <w:gridSpan w:val="10"/>
          </w:tcPr>
          <w:p>
            <w:pPr>
              <w:spacing w:after="0" w:line="129" w:lineRule="exact"/>
              <w:rPr>
                <w:sz w:val="20"/>
                <w:szCs w:val="20"/>
                <w:color w:val="auto"/>
              </w:rPr>
            </w:pPr>
            <w:r>
              <w:rPr>
                <w:rFonts w:ascii="Times New Roman" w:cs="Times New Roman" w:eastAsia="Times New Roman" w:hAnsi="Times New Roman"/>
                <w:sz w:val="13"/>
                <w:szCs w:val="13"/>
                <w:color w:val="auto"/>
              </w:rPr>
              <w:t>Year without incurring Withdrawal</w:t>
            </w:r>
          </w:p>
        </w:tc>
        <w:tc>
          <w:tcPr>
            <w:tcW w:w="280" w:type="dxa"/>
            <w:vAlign w:val="bottom"/>
            <w:tcBorders>
              <w:right w:val="single" w:sz="8" w:color="auto"/>
            </w:tcBorders>
            <w:gridSpan w:val="3"/>
            <w:vMerge w:val="continue"/>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140" w:type="dxa"/>
            <w:vAlign w:val="bottom"/>
            <w:vMerge w:val="continue"/>
          </w:tcPr>
          <w:p>
            <w:pPr>
              <w:spacing w:after="0"/>
              <w:rPr>
                <w:sz w:val="11"/>
                <w:szCs w:val="11"/>
                <w:color w:val="auto"/>
              </w:rPr>
            </w:pPr>
          </w:p>
        </w:tc>
        <w:tc>
          <w:tcPr>
            <w:tcW w:w="2200" w:type="dxa"/>
            <w:vAlign w:val="bottom"/>
            <w:tcBorders>
              <w:right w:val="single" w:sz="8" w:color="auto"/>
            </w:tcBorders>
            <w:gridSpan w:val="18"/>
          </w:tcPr>
          <w:p>
            <w:pPr>
              <w:spacing w:after="0" w:line="129" w:lineRule="exact"/>
              <w:rPr>
                <w:sz w:val="20"/>
                <w:szCs w:val="20"/>
                <w:color w:val="auto"/>
              </w:rPr>
            </w:pPr>
            <w:r>
              <w:rPr>
                <w:rFonts w:ascii="Times New Roman" w:cs="Times New Roman" w:eastAsia="Times New Roman" w:hAnsi="Times New Roman"/>
                <w:sz w:val="13"/>
                <w:szCs w:val="13"/>
                <w:color w:val="auto"/>
              </w:rPr>
              <w:t>Withdrawals of the Free Withdrawal</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400" w:type="dxa"/>
            <w:vAlign w:val="bottom"/>
            <w:tcBorders>
              <w:right w:val="single" w:sz="8" w:color="auto"/>
            </w:tcBorders>
            <w:gridSpan w:val="4"/>
          </w:tcPr>
          <w:p>
            <w:pPr>
              <w:spacing w:after="0" w:line="20" w:lineRule="exact"/>
              <w:rPr>
                <w:sz w:val="1"/>
                <w:szCs w:val="1"/>
                <w:color w:val="auto"/>
              </w:rPr>
            </w:pPr>
          </w:p>
        </w:tc>
        <w:tc>
          <w:tcPr>
            <w:tcW w:w="146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Borders>
              <w:right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40" w:type="dxa"/>
            <w:vAlign w:val="bottom"/>
            <w:tcBorders>
              <w:lef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440" w:type="dxa"/>
            <w:vAlign w:val="bottom"/>
            <w:gridSpan w:val="2"/>
          </w:tcPr>
          <w:p>
            <w:pPr>
              <w:spacing w:after="0" w:line="119" w:lineRule="exact"/>
              <w:rPr>
                <w:sz w:val="20"/>
                <w:szCs w:val="20"/>
                <w:color w:val="auto"/>
              </w:rPr>
            </w:pPr>
            <w:r>
              <w:rPr>
                <w:rFonts w:ascii="Times New Roman" w:cs="Times New Roman" w:eastAsia="Times New Roman" w:hAnsi="Times New Roman"/>
                <w:sz w:val="13"/>
                <w:szCs w:val="13"/>
                <w:color w:val="auto"/>
                <w:w w:val="93"/>
              </w:rPr>
              <w:t>Charges</w:t>
            </w:r>
          </w:p>
        </w:tc>
        <w:tc>
          <w:tcPr>
            <w:tcW w:w="1820" w:type="dxa"/>
            <w:vAlign w:val="bottom"/>
            <w:tcBorders>
              <w:right w:val="single" w:sz="8" w:color="auto"/>
            </w:tcBorders>
            <w:gridSpan w:val="11"/>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920" w:type="dxa"/>
            <w:vAlign w:val="bottom"/>
            <w:gridSpan w:val="15"/>
          </w:tcPr>
          <w:p>
            <w:pPr>
              <w:spacing w:after="0" w:line="119" w:lineRule="exact"/>
              <w:rPr>
                <w:sz w:val="20"/>
                <w:szCs w:val="20"/>
                <w:color w:val="auto"/>
              </w:rPr>
            </w:pPr>
            <w:r>
              <w:rPr>
                <w:rFonts w:ascii="Times New Roman" w:cs="Times New Roman" w:eastAsia="Times New Roman" w:hAnsi="Times New Roman"/>
                <w:sz w:val="13"/>
                <w:szCs w:val="13"/>
                <w:color w:val="auto"/>
              </w:rPr>
              <w:t>Amount may be subject to taxes and</w:t>
            </w:r>
          </w:p>
        </w:tc>
        <w:tc>
          <w:tcPr>
            <w:tcW w:w="6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46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200" w:type="dxa"/>
            <w:vAlign w:val="bottom"/>
            <w:tcBorders>
              <w:right w:val="single" w:sz="8" w:color="auto"/>
            </w:tcBorders>
            <w:gridSpan w:val="18"/>
          </w:tcPr>
          <w:p>
            <w:pPr>
              <w:spacing w:after="0" w:line="136" w:lineRule="exact"/>
              <w:rPr>
                <w:sz w:val="20"/>
                <w:szCs w:val="20"/>
                <w:color w:val="auto"/>
              </w:rPr>
            </w:pPr>
            <w:r>
              <w:rPr>
                <w:rFonts w:ascii="Times New Roman" w:cs="Times New Roman" w:eastAsia="Times New Roman" w:hAnsi="Times New Roman"/>
                <w:sz w:val="13"/>
                <w:szCs w:val="13"/>
                <w:color w:val="auto"/>
              </w:rPr>
              <w:t>tax penalties.</w:t>
            </w:r>
          </w:p>
        </w:tc>
        <w:tc>
          <w:tcPr>
            <w:tcW w:w="0" w:type="dxa"/>
            <w:vAlign w:val="bottom"/>
          </w:tcPr>
          <w:p>
            <w:pPr>
              <w:spacing w:after="0"/>
              <w:rPr>
                <w:sz w:val="1"/>
                <w:szCs w:val="1"/>
                <w:color w:val="auto"/>
              </w:rPr>
            </w:pPr>
          </w:p>
        </w:tc>
      </w:tr>
      <w:tr>
        <w:trPr>
          <w:trHeight w:val="142"/>
        </w:trPr>
        <w:tc>
          <w:tcPr>
            <w:tcW w:w="40" w:type="dxa"/>
            <w:vAlign w:val="bottom"/>
            <w:tcBorders>
              <w:lef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2340" w:type="dxa"/>
            <w:vAlign w:val="bottom"/>
            <w:tcBorders>
              <w:right w:val="single" w:sz="8" w:color="auto"/>
            </w:tcBorders>
            <w:gridSpan w:val="19"/>
          </w:tcPr>
          <w:p>
            <w:pPr>
              <w:ind w:left="20"/>
              <w:spacing w:after="0" w:line="142" w:lineRule="exact"/>
              <w:rPr>
                <w:sz w:val="20"/>
                <w:szCs w:val="20"/>
                <w:color w:val="auto"/>
              </w:rPr>
            </w:pPr>
            <w:r>
              <w:rPr>
                <w:rFonts w:ascii="Times New Roman" w:cs="Times New Roman" w:eastAsia="Times New Roman" w:hAnsi="Times New Roman"/>
                <w:sz w:val="13"/>
                <w:szCs w:val="13"/>
                <w:color w:val="auto"/>
              </w:rPr>
              <w:t>● Withdrawals from the Shield Options</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46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10"/>
            <w:vMerge w:val="restart"/>
          </w:tcPr>
          <w:p>
            <w:pPr>
              <w:spacing w:after="0" w:line="139" w:lineRule="exact"/>
              <w:rPr>
                <w:sz w:val="20"/>
                <w:szCs w:val="20"/>
                <w:color w:val="auto"/>
              </w:rPr>
            </w:pPr>
            <w:r>
              <w:rPr>
                <w:rFonts w:ascii="Times New Roman" w:cs="Times New Roman" w:eastAsia="Times New Roman" w:hAnsi="Times New Roman"/>
                <w:sz w:val="13"/>
                <w:szCs w:val="13"/>
                <w:color w:val="auto"/>
              </w:rPr>
              <w:t>during a Term will be</w:t>
            </w: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40" w:type="dxa"/>
            <w:vAlign w:val="bottom"/>
            <w:tcBorders>
              <w:lef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10"/>
            <w:vMerge w:val="continue"/>
          </w:tcPr>
          <w:p>
            <w:pPr>
              <w:spacing w:after="0"/>
              <w:rPr>
                <w:sz w:val="10"/>
                <w:szCs w:val="10"/>
                <w:color w:val="auto"/>
              </w:rPr>
            </w:pPr>
          </w:p>
        </w:tc>
        <w:tc>
          <w:tcPr>
            <w:tcW w:w="1020" w:type="dxa"/>
            <w:vAlign w:val="bottom"/>
            <w:tcBorders>
              <w:right w:val="single" w:sz="8" w:color="auto"/>
            </w:tcBorders>
            <w:gridSpan w:val="8"/>
          </w:tcPr>
          <w:p>
            <w:pPr>
              <w:spacing w:after="0" w:line="119" w:lineRule="exact"/>
              <w:rPr>
                <w:sz w:val="20"/>
                <w:szCs w:val="20"/>
                <w:color w:val="auto"/>
              </w:rPr>
            </w:pPr>
            <w:r>
              <w:rPr>
                <w:rFonts w:ascii="Times New Roman" w:cs="Times New Roman" w:eastAsia="Times New Roman" w:hAnsi="Times New Roman"/>
                <w:sz w:val="13"/>
                <w:szCs w:val="13"/>
                <w:color w:val="auto"/>
              </w:rPr>
              <w:t>based on Interim</w:t>
            </w: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gridSpan w:val="4"/>
          </w:tcPr>
          <w:p>
            <w:pPr>
              <w:spacing w:after="0" w:line="129" w:lineRule="exact"/>
              <w:rPr>
                <w:sz w:val="20"/>
                <w:szCs w:val="20"/>
                <w:color w:val="auto"/>
              </w:rPr>
            </w:pPr>
            <w:r>
              <w:rPr>
                <w:rFonts w:ascii="Times New Roman" w:cs="Times New Roman" w:eastAsia="Times New Roman" w:hAnsi="Times New Roman"/>
                <w:sz w:val="13"/>
                <w:szCs w:val="13"/>
                <w:color w:val="auto"/>
                <w:w w:val="96"/>
              </w:rPr>
              <w:t>Values.</w:t>
            </w:r>
          </w:p>
        </w:tc>
        <w:tc>
          <w:tcPr>
            <w:tcW w:w="400" w:type="dxa"/>
            <w:vAlign w:val="bottom"/>
            <w:tcBorders>
              <w:top w:val="single" w:sz="8" w:color="auto"/>
            </w:tcBorders>
            <w:gridSpan w:val="3"/>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gridSpan w:val="3"/>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Borders>
              <w:top w:val="single" w:sz="8" w:color="auto"/>
            </w:tcBorders>
            <w:gridSpan w:val="3"/>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460" w:type="dxa"/>
            <w:vAlign w:val="bottom"/>
            <w:tcBorders>
              <w:right w:val="single" w:sz="8" w:color="auto"/>
            </w:tcBorders>
          </w:tcPr>
          <w:p>
            <w:pPr>
              <w:spacing w:after="0" w:line="20" w:lineRule="exact"/>
              <w:rPr>
                <w:sz w:val="1"/>
                <w:szCs w:val="1"/>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shd w:val="clear" w:color="auto" w:fill="000000"/>
          </w:tcPr>
          <w:p>
            <w:pPr>
              <w:spacing w:after="0" w:line="20" w:lineRule="exact"/>
              <w:rPr>
                <w:sz w:val="1"/>
                <w:szCs w:val="1"/>
                <w:color w:val="auto"/>
              </w:rPr>
            </w:pPr>
          </w:p>
        </w:tc>
        <w:tc>
          <w:tcPr>
            <w:tcW w:w="760" w:type="dxa"/>
            <w:vAlign w:val="bottom"/>
            <w:tcBorders>
              <w:left w:val="single" w:sz="8" w:color="auto"/>
            </w:tcBorders>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140" w:type="dxa"/>
            <w:vAlign w:val="bottom"/>
            <w:vMerge w:val="continue"/>
          </w:tcPr>
          <w:p>
            <w:pPr>
              <w:spacing w:after="0"/>
              <w:rPr>
                <w:sz w:val="11"/>
                <w:szCs w:val="11"/>
                <w:color w:val="auto"/>
              </w:rPr>
            </w:pPr>
          </w:p>
        </w:tc>
        <w:tc>
          <w:tcPr>
            <w:tcW w:w="2200" w:type="dxa"/>
            <w:vAlign w:val="bottom"/>
            <w:tcBorders>
              <w:right w:val="single" w:sz="8" w:color="auto"/>
            </w:tcBorders>
            <w:gridSpan w:val="18"/>
          </w:tcPr>
          <w:p>
            <w:pPr>
              <w:spacing w:after="0" w:line="129" w:lineRule="exact"/>
              <w:rPr>
                <w:sz w:val="20"/>
                <w:szCs w:val="20"/>
                <w:color w:val="auto"/>
              </w:rPr>
            </w:pPr>
            <w:r>
              <w:rPr>
                <w:rFonts w:ascii="Times New Roman" w:cs="Times New Roman" w:eastAsia="Times New Roman" w:hAnsi="Times New Roman"/>
                <w:sz w:val="13"/>
                <w:szCs w:val="13"/>
                <w:color w:val="auto"/>
              </w:rPr>
              <w:t>Any unused portion of the Free</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46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gridSpan w:val="12"/>
            <w:vMerge w:val="restart"/>
          </w:tcPr>
          <w:p>
            <w:pPr>
              <w:spacing w:after="0" w:line="139" w:lineRule="exact"/>
              <w:rPr>
                <w:sz w:val="20"/>
                <w:szCs w:val="20"/>
                <w:color w:val="auto"/>
              </w:rPr>
            </w:pPr>
            <w:r>
              <w:rPr>
                <w:rFonts w:ascii="Times New Roman" w:cs="Times New Roman" w:eastAsia="Times New Roman" w:hAnsi="Times New Roman"/>
                <w:sz w:val="13"/>
                <w:szCs w:val="13"/>
                <w:color w:val="auto"/>
              </w:rPr>
              <w:t>Withdrawal Amount may</w:t>
            </w:r>
          </w:p>
        </w:tc>
        <w:tc>
          <w:tcPr>
            <w:tcW w:w="2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40" w:type="dxa"/>
            <w:vAlign w:val="bottom"/>
            <w:tcBorders>
              <w:lef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gridSpan w:val="12"/>
            <w:vMerge w:val="continue"/>
          </w:tcPr>
          <w:p>
            <w:pPr>
              <w:spacing w:after="0"/>
              <w:rPr>
                <w:sz w:val="10"/>
                <w:szCs w:val="10"/>
                <w:color w:val="auto"/>
              </w:rPr>
            </w:pPr>
          </w:p>
        </w:tc>
        <w:tc>
          <w:tcPr>
            <w:tcW w:w="780" w:type="dxa"/>
            <w:vAlign w:val="bottom"/>
            <w:tcBorders>
              <w:right w:val="single" w:sz="8" w:color="auto"/>
            </w:tcBorders>
            <w:gridSpan w:val="6"/>
          </w:tcPr>
          <w:p>
            <w:pPr>
              <w:spacing w:after="0" w:line="119" w:lineRule="exact"/>
              <w:rPr>
                <w:sz w:val="20"/>
                <w:szCs w:val="20"/>
                <w:color w:val="auto"/>
              </w:rPr>
            </w:pPr>
            <w:r>
              <w:rPr>
                <w:rFonts w:ascii="Times New Roman" w:cs="Times New Roman" w:eastAsia="Times New Roman" w:hAnsi="Times New Roman"/>
                <w:sz w:val="13"/>
                <w:szCs w:val="13"/>
                <w:color w:val="auto"/>
              </w:rPr>
              <w:t>not be</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46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right w:val="single" w:sz="8" w:color="auto"/>
            </w:tcBorders>
            <w:gridSpan w:val="8"/>
            <w:shd w:val="clear" w:color="auto" w:fill="00000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22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200" w:type="dxa"/>
            <w:vAlign w:val="bottom"/>
            <w:tcBorders>
              <w:right w:val="single" w:sz="8" w:color="auto"/>
            </w:tcBorders>
            <w:gridSpan w:val="18"/>
          </w:tcPr>
          <w:p>
            <w:pPr>
              <w:spacing w:after="0" w:line="129" w:lineRule="exact"/>
              <w:rPr>
                <w:sz w:val="20"/>
                <w:szCs w:val="20"/>
                <w:color w:val="auto"/>
              </w:rPr>
            </w:pPr>
            <w:r>
              <w:rPr>
                <w:rFonts w:ascii="Times New Roman" w:cs="Times New Roman" w:eastAsia="Times New Roman" w:hAnsi="Times New Roman"/>
                <w:sz w:val="13"/>
                <w:szCs w:val="13"/>
                <w:color w:val="auto"/>
              </w:rPr>
              <w:t>carried over to the next Contract Year.</w:t>
            </w:r>
          </w:p>
        </w:tc>
        <w:tc>
          <w:tcPr>
            <w:tcW w:w="0" w:type="dxa"/>
            <w:vAlign w:val="bottom"/>
          </w:tcPr>
          <w:p>
            <w:pPr>
              <w:spacing w:after="0"/>
              <w:rPr>
                <w:sz w:val="1"/>
                <w:szCs w:val="1"/>
                <w:color w:val="auto"/>
              </w:rPr>
            </w:pPr>
          </w:p>
        </w:tc>
      </w:tr>
      <w:tr>
        <w:trPr>
          <w:trHeight w:val="114"/>
        </w:trPr>
        <w:tc>
          <w:tcPr>
            <w:tcW w:w="40" w:type="dxa"/>
            <w:vAlign w:val="bottom"/>
            <w:tcBorders>
              <w:left w:val="single" w:sz="8" w:color="auto"/>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 w:type="dxa"/>
            <w:vAlign w:val="bottom"/>
            <w:tcBorders>
              <w:bottom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180" w:type="dxa"/>
            <w:vAlign w:val="bottom"/>
            <w:tcBorders>
              <w:top w:val="single" w:sz="8" w:color="auto"/>
              <w:bottom w:val="single" w:sz="8" w:color="auto"/>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52"/>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13</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-5681345</wp:posOffset>
            </wp:positionV>
            <wp:extent cx="4523105" cy="2330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6">
                      <a:extLst>
                        <a:ext uri="{28A0092B-C50C-407E-A947-70E740481C1C}"/>
                      </a:extLst>
                    </a:blip>
                    <a:srcRect/>
                    <a:stretch>
                      <a:fillRect/>
                    </a:stretch>
                  </pic:blipFill>
                  <pic:spPr bwMode="auto">
                    <a:xfrm>
                      <a:off x="0" y="0"/>
                      <a:ext cx="4523105" cy="2330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-1398270</wp:posOffset>
            </wp:positionV>
            <wp:extent cx="4523105" cy="110236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7">
                      <a:extLst>
                        <a:ext uri="{28A0092B-C50C-407E-A947-70E740481C1C}"/>
                      </a:extLst>
                    </a:blip>
                    <a:srcRect/>
                    <a:stretch>
                      <a:fillRect/>
                    </a:stretch>
                  </pic:blipFill>
                  <pic:spPr bwMode="auto">
                    <a:xfrm>
                      <a:off x="0" y="0"/>
                      <a:ext cx="4523105" cy="110236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-4944745</wp:posOffset>
            </wp:positionV>
            <wp:extent cx="25400" cy="635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8">
                      <a:extLst>
                        <a:ext uri="{28A0092B-C50C-407E-A947-70E740481C1C}"/>
                      </a:extLst>
                    </a:blip>
                    <a:srcRect/>
                    <a:stretch>
                      <a:fillRect/>
                    </a:stretch>
                  </pic:blipFill>
                  <pic:spPr bwMode="auto">
                    <a:xfrm>
                      <a:off x="0" y="0"/>
                      <a:ext cx="25400"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-4201160</wp:posOffset>
            </wp:positionV>
            <wp:extent cx="4523105" cy="12534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9">
                      <a:extLst>
                        <a:ext uri="{28A0092B-C50C-407E-A947-70E740481C1C}"/>
                      </a:extLst>
                    </a:blip>
                    <a:srcRect/>
                    <a:stretch>
                      <a:fillRect/>
                    </a:stretch>
                  </pic:blipFill>
                  <pic:spPr bwMode="auto">
                    <a:xfrm>
                      <a:off x="0" y="0"/>
                      <a:ext cx="4523105" cy="1253490"/>
                    </a:xfrm>
                    <a:prstGeom prst="rect">
                      <a:avLst/>
                    </a:prstGeom>
                    <a:noFill/>
                  </pic:spPr>
                </pic:pic>
              </a:graphicData>
            </a:graphic>
          </wp:anchor>
        </w:drawing>
        <w:drawing>
          <wp:anchor simplePos="0" relativeHeight="251657728" behindDoc="1" locked="0" layoutInCell="0" allowOverlap="1">
            <wp:simplePos x="0" y="0"/>
            <wp:positionH relativeFrom="column">
              <wp:posOffset>3430270</wp:posOffset>
            </wp:positionH>
            <wp:positionV relativeFrom="paragraph">
              <wp:posOffset>-2645410</wp:posOffset>
            </wp:positionV>
            <wp:extent cx="25400" cy="635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0">
                      <a:extLst>
                        <a:ext uri="{28A0092B-C50C-407E-A947-70E740481C1C}"/>
                      </a:extLst>
                    </a:blip>
                    <a:srcRect/>
                    <a:stretch>
                      <a:fillRect/>
                    </a:stretch>
                  </pic:blipFill>
                  <pic:spPr bwMode="auto">
                    <a:xfrm>
                      <a:off x="0" y="0"/>
                      <a:ext cx="25400" cy="6350"/>
                    </a:xfrm>
                    <a:prstGeom prst="rect">
                      <a:avLst/>
                    </a:prstGeom>
                    <a:noFill/>
                  </pic:spPr>
                </pic:pic>
              </a:graphicData>
            </a:graphic>
          </wp:anchor>
        </w:drawing>
      </w:r>
    </w:p>
    <w:p>
      <w:pPr>
        <w:sectPr>
          <w:pgSz w:w="11900" w:h="16838" w:orient="portrait"/>
          <w:cols w:equalWidth="0" w:num="1">
            <w:col w:w="9799"/>
          </w:cols>
          <w:pgMar w:left="660" w:top="1166" w:right="1440" w:bottom="1440" w:gutter="0" w:footer="0" w:header="0"/>
        </w:sectPr>
      </w:pPr>
    </w:p>
    <w:bookmarkStart w:id="146" w:name="page147"/>
    <w:bookmarkEnd w:id="146"/>
    <w:tbl>
      <w:tblPr>
        <w:tblLayout w:type="fixed"/>
        <w:tblInd w:w="10" w:type="dxa"/>
        <w:tblCellMar>
          <w:top w:w="0" w:type="dxa"/>
          <w:left w:w="0" w:type="dxa"/>
          <w:bottom w:w="0" w:type="dxa"/>
          <w:right w:w="0" w:type="dxa"/>
        </w:tblCellMar>
      </w:tblPr>
      <w:tr>
        <w:trPr>
          <w:trHeight w:val="179"/>
        </w:trPr>
        <w:tc>
          <w:tcPr>
            <w:tcW w:w="1000" w:type="dxa"/>
            <w:vAlign w:val="bottom"/>
            <w:tcBorders>
              <w:top w:val="single" w:sz="8" w:color="auto"/>
              <w:left w:val="single" w:sz="8" w:color="auto"/>
              <w:right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00" w:type="dxa"/>
            <w:vAlign w:val="bottom"/>
            <w:tcBorders>
              <w:top w:val="single" w:sz="8" w:color="auto"/>
              <w:right w:val="single" w:sz="8" w:color="auto"/>
            </w:tcBorders>
          </w:tcPr>
          <w:p>
            <w:pPr>
              <w:spacing w:after="0"/>
              <w:rPr>
                <w:sz w:val="15"/>
                <w:szCs w:val="15"/>
                <w:color w:val="auto"/>
              </w:rPr>
            </w:pPr>
          </w:p>
        </w:tc>
        <w:tc>
          <w:tcPr>
            <w:tcW w:w="1600" w:type="dxa"/>
            <w:vAlign w:val="bottom"/>
            <w:tcBorders>
              <w:top w:val="single" w:sz="8" w:color="auto"/>
              <w:right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780" w:type="dxa"/>
            <w:vAlign w:val="bottom"/>
            <w:tcBorders>
              <w:top w:val="single" w:sz="8" w:color="auto"/>
              <w:right w:val="single" w:sz="8" w:color="auto"/>
            </w:tcBorders>
            <w:gridSpan w:val="26"/>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Brief Description of</w:t>
            </w:r>
          </w:p>
        </w:tc>
        <w:tc>
          <w:tcPr>
            <w:tcW w:w="0" w:type="dxa"/>
            <w:vAlign w:val="bottom"/>
          </w:tcPr>
          <w:p>
            <w:pPr>
              <w:spacing w:after="0"/>
              <w:rPr>
                <w:sz w:val="1"/>
                <w:szCs w:val="1"/>
                <w:color w:val="auto"/>
              </w:rPr>
            </w:pPr>
          </w:p>
        </w:tc>
      </w:tr>
      <w:tr>
        <w:trPr>
          <w:trHeight w:val="184"/>
        </w:trPr>
        <w:tc>
          <w:tcPr>
            <w:tcW w:w="10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Name of Benefit</w:t>
            </w:r>
          </w:p>
        </w:tc>
        <w:tc>
          <w:tcPr>
            <w:tcW w:w="4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Purpose</w:t>
            </w:r>
          </w:p>
        </w:tc>
        <w:tc>
          <w:tcPr>
            <w:tcW w:w="160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3"/>
                <w:szCs w:val="13"/>
                <w:b w:val="1"/>
                <w:bCs w:val="1"/>
                <w:color w:val="auto"/>
              </w:rPr>
              <w:t>Maximum Fee</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80" w:type="dxa"/>
            <w:vAlign w:val="bottom"/>
            <w:tcBorders>
              <w:bottom w:val="single" w:sz="8" w:color="auto"/>
              <w:right w:val="single" w:sz="8" w:color="auto"/>
            </w:tcBorders>
            <w:gridSpan w:val="26"/>
          </w:tcPr>
          <w:p>
            <w:pPr>
              <w:spacing w:after="0"/>
              <w:rPr>
                <w:sz w:val="20"/>
                <w:szCs w:val="20"/>
                <w:color w:val="auto"/>
              </w:rPr>
            </w:pPr>
            <w:r>
              <w:rPr>
                <w:rFonts w:ascii="Times New Roman" w:cs="Times New Roman" w:eastAsia="Times New Roman" w:hAnsi="Times New Roman"/>
                <w:sz w:val="13"/>
                <w:szCs w:val="13"/>
                <w:b w:val="1"/>
                <w:bCs w:val="1"/>
                <w:color w:val="auto"/>
              </w:rPr>
              <w:t>Restrictions/Limitations</w:t>
            </w:r>
          </w:p>
        </w:tc>
        <w:tc>
          <w:tcPr>
            <w:tcW w:w="0" w:type="dxa"/>
            <w:vAlign w:val="bottom"/>
          </w:tcPr>
          <w:p>
            <w:pPr>
              <w:spacing w:after="0"/>
              <w:rPr>
                <w:sz w:val="1"/>
                <w:szCs w:val="1"/>
                <w:color w:val="auto"/>
              </w:rPr>
            </w:pPr>
          </w:p>
        </w:tc>
      </w:tr>
      <w:tr>
        <w:trPr>
          <w:trHeight w:val="139"/>
        </w:trPr>
        <w:tc>
          <w:tcPr>
            <w:tcW w:w="1000" w:type="dxa"/>
            <w:vAlign w:val="bottom"/>
            <w:tcBorders>
              <w:left w:val="single" w:sz="8" w:color="auto"/>
              <w:right w:val="single" w:sz="8" w:color="auto"/>
            </w:tcBorders>
            <w:shd w:val="clear" w:color="auto" w:fill="F0FFFF"/>
          </w:tcPr>
          <w:p>
            <w:pPr>
              <w:ind w:left="40"/>
              <w:spacing w:after="0" w:line="139" w:lineRule="exact"/>
              <w:rPr>
                <w:sz w:val="20"/>
                <w:szCs w:val="20"/>
                <w:color w:val="auto"/>
              </w:rPr>
            </w:pPr>
            <w:r>
              <w:rPr>
                <w:rFonts w:ascii="Times New Roman" w:cs="Times New Roman" w:eastAsia="Times New Roman" w:hAnsi="Times New Roman"/>
                <w:sz w:val="13"/>
                <w:szCs w:val="13"/>
                <w:b w:val="1"/>
                <w:bCs w:val="1"/>
                <w:color w:val="auto"/>
              </w:rPr>
              <w:t>Performance</w:t>
            </w:r>
          </w:p>
        </w:tc>
        <w:tc>
          <w:tcPr>
            <w:tcW w:w="2280" w:type="dxa"/>
            <w:vAlign w:val="bottom"/>
            <w:tcBorders>
              <w:right w:val="single" w:sz="8" w:color="auto"/>
            </w:tcBorders>
            <w:gridSpan w:val="6"/>
            <w:shd w:val="clear" w:color="auto" w:fill="F0FFFF"/>
          </w:tcPr>
          <w:p>
            <w:pPr>
              <w:ind w:left="20"/>
              <w:spacing w:after="0" w:line="139" w:lineRule="exact"/>
              <w:rPr>
                <w:sz w:val="20"/>
                <w:szCs w:val="20"/>
                <w:color w:val="auto"/>
              </w:rPr>
            </w:pPr>
            <w:r>
              <w:rPr>
                <w:rFonts w:ascii="Times New Roman" w:cs="Times New Roman" w:eastAsia="Times New Roman" w:hAnsi="Times New Roman"/>
                <w:sz w:val="13"/>
                <w:szCs w:val="13"/>
                <w:color w:val="auto"/>
              </w:rPr>
              <w:t>By providing Notice to us, allows you to</w:t>
            </w:r>
          </w:p>
        </w:tc>
        <w:tc>
          <w:tcPr>
            <w:tcW w:w="1600" w:type="dxa"/>
            <w:vAlign w:val="bottom"/>
            <w:tcBorders>
              <w:right w:val="single" w:sz="8" w:color="auto"/>
            </w:tcBorders>
            <w:shd w:val="clear" w:color="auto" w:fill="F0FFFF"/>
          </w:tcPr>
          <w:p>
            <w:pPr>
              <w:ind w:left="20"/>
              <w:spacing w:after="0" w:line="139" w:lineRule="exact"/>
              <w:rPr>
                <w:sz w:val="20"/>
                <w:szCs w:val="20"/>
                <w:color w:val="auto"/>
              </w:rPr>
            </w:pPr>
            <w:r>
              <w:rPr>
                <w:rFonts w:ascii="Times New Roman" w:cs="Times New Roman" w:eastAsia="Times New Roman" w:hAnsi="Times New Roman"/>
                <w:sz w:val="13"/>
                <w:szCs w:val="13"/>
                <w:color w:val="auto"/>
              </w:rPr>
              <w:t>N/A</w:t>
            </w:r>
          </w:p>
        </w:tc>
        <w:tc>
          <w:tcPr>
            <w:tcW w:w="2260" w:type="dxa"/>
            <w:vAlign w:val="bottom"/>
            <w:tcBorders>
              <w:right w:val="single" w:sz="8" w:color="auto"/>
            </w:tcBorders>
            <w:gridSpan w:val="29"/>
            <w:shd w:val="clear" w:color="auto" w:fill="F0FFFF"/>
          </w:tcPr>
          <w:p>
            <w:pPr>
              <w:ind w:left="20"/>
              <w:spacing w:after="0" w:line="139" w:lineRule="exact"/>
              <w:rPr>
                <w:sz w:val="20"/>
                <w:szCs w:val="20"/>
                <w:color w:val="auto"/>
              </w:rPr>
            </w:pPr>
            <w:r>
              <w:rPr>
                <w:rFonts w:ascii="Times New Roman" w:cs="Times New Roman" w:eastAsia="Times New Roman" w:hAnsi="Times New Roman"/>
                <w:sz w:val="13"/>
                <w:szCs w:val="13"/>
                <w:color w:val="auto"/>
              </w:rPr>
              <w:t>● Only available during the</w:t>
            </w:r>
          </w:p>
        </w:tc>
        <w:tc>
          <w:tcPr>
            <w:tcW w:w="0" w:type="dxa"/>
            <w:vAlign w:val="bottom"/>
          </w:tcPr>
          <w:p>
            <w:pPr>
              <w:spacing w:after="0"/>
              <w:rPr>
                <w:sz w:val="1"/>
                <w:szCs w:val="1"/>
                <w:color w:val="auto"/>
              </w:rPr>
            </w:pPr>
          </w:p>
        </w:tc>
      </w:tr>
      <w:tr>
        <w:trPr>
          <w:trHeight w:val="20"/>
        </w:trPr>
        <w:tc>
          <w:tcPr>
            <w:tcW w:w="1000" w:type="dxa"/>
            <w:vAlign w:val="bottom"/>
            <w:tcBorders>
              <w:left w:val="single" w:sz="8" w:color="auto"/>
              <w:right w:val="single" w:sz="8" w:color="auto"/>
            </w:tcBorders>
            <w:vMerge w:val="restart"/>
            <w:shd w:val="clear" w:color="auto" w:fill="F0FFFF"/>
          </w:tcPr>
          <w:p>
            <w:pPr>
              <w:ind w:left="40"/>
              <w:spacing w:after="0"/>
              <w:rPr>
                <w:sz w:val="20"/>
                <w:szCs w:val="20"/>
                <w:color w:val="auto"/>
              </w:rPr>
            </w:pPr>
            <w:r>
              <w:rPr>
                <w:rFonts w:ascii="Times New Roman" w:cs="Times New Roman" w:eastAsia="Times New Roman" w:hAnsi="Times New Roman"/>
                <w:sz w:val="13"/>
                <w:szCs w:val="13"/>
                <w:b w:val="1"/>
                <w:bCs w:val="1"/>
                <w:color w:val="auto"/>
              </w:rPr>
              <w:t>Lock</w:t>
            </w:r>
          </w:p>
        </w:tc>
        <w:tc>
          <w:tcPr>
            <w:tcW w:w="480" w:type="dxa"/>
            <w:vAlign w:val="bottom"/>
            <w:shd w:val="clear" w:color="auto" w:fill="F0FFFF"/>
          </w:tcPr>
          <w:p>
            <w:pPr>
              <w:spacing w:after="0" w:line="20" w:lineRule="exact"/>
              <w:rPr>
                <w:sz w:val="1"/>
                <w:szCs w:val="1"/>
                <w:color w:val="auto"/>
              </w:rPr>
            </w:pPr>
          </w:p>
        </w:tc>
        <w:tc>
          <w:tcPr>
            <w:tcW w:w="280" w:type="dxa"/>
            <w:vAlign w:val="bottom"/>
            <w:shd w:val="clear" w:color="auto" w:fill="F0FF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Borders>
              <w:right w:val="single" w:sz="8" w:color="F0FFFF"/>
            </w:tcBorders>
            <w:shd w:val="clear" w:color="auto" w:fill="000000"/>
          </w:tcPr>
          <w:p>
            <w:pPr>
              <w:spacing w:after="0" w:line="20" w:lineRule="exact"/>
              <w:rPr>
                <w:sz w:val="1"/>
                <w:szCs w:val="1"/>
                <w:color w:val="auto"/>
              </w:rPr>
            </w:pPr>
          </w:p>
        </w:tc>
        <w:tc>
          <w:tcPr>
            <w:tcW w:w="280" w:type="dxa"/>
            <w:vAlign w:val="bottom"/>
            <w:shd w:val="clear" w:color="auto" w:fill="F0FFFF"/>
          </w:tcPr>
          <w:p>
            <w:pPr>
              <w:spacing w:after="0" w:line="20" w:lineRule="exact"/>
              <w:rPr>
                <w:sz w:val="1"/>
                <w:szCs w:val="1"/>
                <w:color w:val="auto"/>
              </w:rPr>
            </w:pPr>
          </w:p>
        </w:tc>
        <w:tc>
          <w:tcPr>
            <w:tcW w:w="800" w:type="dxa"/>
            <w:vAlign w:val="bottom"/>
            <w:tcBorders>
              <w:right w:val="single" w:sz="8" w:color="auto"/>
            </w:tcBorders>
            <w:shd w:val="clear" w:color="auto" w:fill="F0FFFF"/>
          </w:tcPr>
          <w:p>
            <w:pPr>
              <w:spacing w:after="0" w:line="20" w:lineRule="exact"/>
              <w:rPr>
                <w:sz w:val="1"/>
                <w:szCs w:val="1"/>
                <w:color w:val="auto"/>
              </w:rPr>
            </w:pPr>
          </w:p>
        </w:tc>
        <w:tc>
          <w:tcPr>
            <w:tcW w:w="1600" w:type="dxa"/>
            <w:vAlign w:val="bottom"/>
            <w:tcBorders>
              <w:right w:val="single" w:sz="8" w:color="auto"/>
            </w:tcBorders>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2100" w:type="dxa"/>
            <w:vAlign w:val="bottom"/>
            <w:tcBorders>
              <w:left w:val="single" w:sz="8" w:color="F0FFFF"/>
              <w:right w:val="single" w:sz="8" w:color="auto"/>
            </w:tcBorders>
            <w:gridSpan w:val="28"/>
            <w:vMerge w:val="restart"/>
            <w:shd w:val="clear" w:color="auto" w:fill="F0FFFF"/>
          </w:tcPr>
          <w:p>
            <w:pPr>
              <w:spacing w:after="0"/>
              <w:rPr>
                <w:sz w:val="20"/>
                <w:szCs w:val="20"/>
                <w:color w:val="auto"/>
              </w:rPr>
            </w:pPr>
            <w:r>
              <w:rPr>
                <w:rFonts w:ascii="Times New Roman" w:cs="Times New Roman" w:eastAsia="Times New Roman" w:hAnsi="Times New Roman"/>
                <w:sz w:val="13"/>
                <w:szCs w:val="13"/>
                <w:color w:val="auto"/>
              </w:rPr>
              <w:t>Accumulation Period.</w:t>
            </w:r>
          </w:p>
        </w:tc>
        <w:tc>
          <w:tcPr>
            <w:tcW w:w="0" w:type="dxa"/>
            <w:vAlign w:val="bottom"/>
          </w:tcPr>
          <w:p>
            <w:pPr>
              <w:spacing w:after="0" w:line="20" w:lineRule="exact"/>
              <w:rPr>
                <w:sz w:val="1"/>
                <w:szCs w:val="1"/>
                <w:color w:val="auto"/>
              </w:rPr>
            </w:pPr>
          </w:p>
        </w:tc>
      </w:tr>
      <w:tr>
        <w:trPr>
          <w:trHeight w:val="129"/>
        </w:trPr>
        <w:tc>
          <w:tcPr>
            <w:tcW w:w="1000" w:type="dxa"/>
            <w:vAlign w:val="bottom"/>
            <w:tcBorders>
              <w:left w:val="single" w:sz="8" w:color="auto"/>
              <w:right w:val="single" w:sz="8" w:color="auto"/>
            </w:tcBorders>
            <w:vMerge w:val="continue"/>
            <w:shd w:val="clear" w:color="auto" w:fill="F0FFFF"/>
          </w:tcPr>
          <w:p>
            <w:pPr>
              <w:spacing w:after="0"/>
              <w:rPr>
                <w:sz w:val="11"/>
                <w:szCs w:val="11"/>
                <w:color w:val="auto"/>
              </w:rPr>
            </w:pPr>
          </w:p>
        </w:tc>
        <w:tc>
          <w:tcPr>
            <w:tcW w:w="2280" w:type="dxa"/>
            <w:vAlign w:val="bottom"/>
            <w:tcBorders>
              <w:right w:val="single" w:sz="8" w:color="auto"/>
            </w:tcBorders>
            <w:gridSpan w:val="6"/>
            <w:shd w:val="clear" w:color="auto" w:fill="F0FFFF"/>
          </w:tcPr>
          <w:p>
            <w:pPr>
              <w:ind w:left="20"/>
              <w:spacing w:after="0" w:line="129" w:lineRule="exact"/>
              <w:rPr>
                <w:sz w:val="20"/>
                <w:szCs w:val="20"/>
                <w:color w:val="auto"/>
              </w:rPr>
            </w:pPr>
            <w:r>
              <w:rPr>
                <w:rFonts w:ascii="Times New Roman" w:cs="Times New Roman" w:eastAsia="Times New Roman" w:hAnsi="Times New Roman"/>
                <w:sz w:val="13"/>
                <w:szCs w:val="13"/>
                <w:color w:val="auto"/>
              </w:rPr>
              <w:t>lock the Interim Value of a Shield Option</w:t>
            </w:r>
          </w:p>
        </w:tc>
        <w:tc>
          <w:tcPr>
            <w:tcW w:w="1600" w:type="dxa"/>
            <w:vAlign w:val="bottom"/>
            <w:tcBorders>
              <w:right w:val="single" w:sz="8" w:color="auto"/>
            </w:tcBorders>
            <w:shd w:val="clear" w:color="auto" w:fill="F0FFFF"/>
          </w:tcPr>
          <w:p>
            <w:pPr>
              <w:spacing w:after="0"/>
              <w:rPr>
                <w:sz w:val="11"/>
                <w:szCs w:val="11"/>
                <w:color w:val="auto"/>
              </w:rPr>
            </w:pPr>
          </w:p>
        </w:tc>
        <w:tc>
          <w:tcPr>
            <w:tcW w:w="160" w:type="dxa"/>
            <w:vAlign w:val="bottom"/>
            <w:tcBorders>
              <w:right w:val="single" w:sz="8" w:color="F0FFFF"/>
            </w:tcBorders>
            <w:shd w:val="clear" w:color="auto" w:fill="F0FFFF"/>
          </w:tcPr>
          <w:p>
            <w:pPr>
              <w:spacing w:after="0"/>
              <w:rPr>
                <w:sz w:val="11"/>
                <w:szCs w:val="11"/>
                <w:color w:val="auto"/>
              </w:rPr>
            </w:pPr>
          </w:p>
        </w:tc>
        <w:tc>
          <w:tcPr>
            <w:tcW w:w="2100" w:type="dxa"/>
            <w:vAlign w:val="bottom"/>
            <w:tcBorders>
              <w:left w:val="single" w:sz="8" w:color="F0FFFF"/>
              <w:right w:val="single" w:sz="8" w:color="auto"/>
            </w:tcBorders>
            <w:gridSpan w:val="28"/>
            <w:vMerge w:val="continue"/>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480" w:type="dxa"/>
            <w:vAlign w:val="bottom"/>
            <w:shd w:val="clear" w:color="auto" w:fill="F0FF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vMerge w:val="restart"/>
            <w:shd w:val="clear" w:color="auto" w:fill="F0FFFF"/>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600" w:type="dxa"/>
            <w:vAlign w:val="bottom"/>
            <w:tcBorders>
              <w:right w:val="single" w:sz="8" w:color="auto"/>
            </w:tcBorders>
            <w:shd w:val="clear" w:color="auto" w:fill="F0FFFF"/>
          </w:tcPr>
          <w:p>
            <w:pPr>
              <w:spacing w:after="0" w:line="20" w:lineRule="exact"/>
              <w:rPr>
                <w:sz w:val="1"/>
                <w:szCs w:val="1"/>
                <w:color w:val="auto"/>
              </w:rPr>
            </w:pPr>
          </w:p>
        </w:tc>
        <w:tc>
          <w:tcPr>
            <w:tcW w:w="160" w:type="dxa"/>
            <w:vAlign w:val="bottom"/>
            <w:tcBorders>
              <w:right w:val="single" w:sz="8" w:color="F0FFFF"/>
            </w:tcBorders>
            <w:vMerge w:val="restart"/>
            <w:shd w:val="clear" w:color="auto" w:fill="F0FFFF"/>
          </w:tcPr>
          <w:p>
            <w:pPr>
              <w:ind w:left="20"/>
              <w:spacing w:after="0" w:line="13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980" w:type="dxa"/>
            <w:vAlign w:val="bottom"/>
            <w:tcBorders>
              <w:right w:val="single" w:sz="8" w:color="auto"/>
            </w:tcBorders>
            <w:gridSpan w:val="15"/>
            <w:vMerge w:val="restart"/>
            <w:shd w:val="clear" w:color="auto" w:fill="F0FFFF"/>
          </w:tcPr>
          <w:p>
            <w:pPr>
              <w:jc w:val="right"/>
              <w:ind w:right="300"/>
              <w:spacing w:after="0" w:line="139" w:lineRule="exact"/>
              <w:rPr>
                <w:sz w:val="20"/>
                <w:szCs w:val="20"/>
                <w:color w:val="auto"/>
              </w:rPr>
            </w:pPr>
            <w:r>
              <w:rPr>
                <w:rFonts w:ascii="Times New Roman" w:cs="Times New Roman" w:eastAsia="Times New Roman" w:hAnsi="Times New Roman"/>
                <w:sz w:val="13"/>
                <w:szCs w:val="13"/>
                <w:color w:val="auto"/>
                <w:w w:val="96"/>
              </w:rPr>
              <w:t>any Business</w:t>
            </w:r>
          </w:p>
        </w:tc>
        <w:tc>
          <w:tcPr>
            <w:tcW w:w="0" w:type="dxa"/>
            <w:vAlign w:val="bottom"/>
          </w:tcPr>
          <w:p>
            <w:pPr>
              <w:spacing w:after="0" w:line="20" w:lineRule="exact"/>
              <w:rPr>
                <w:sz w:val="1"/>
                <w:szCs w:val="1"/>
                <w:color w:val="auto"/>
              </w:rPr>
            </w:pPr>
          </w:p>
        </w:tc>
      </w:tr>
      <w:tr>
        <w:trPr>
          <w:trHeight w:val="119"/>
        </w:trPr>
        <w:tc>
          <w:tcPr>
            <w:tcW w:w="1000" w:type="dxa"/>
            <w:vAlign w:val="bottom"/>
            <w:tcBorders>
              <w:left w:val="single" w:sz="8" w:color="auto"/>
              <w:right w:val="single" w:sz="8" w:color="auto"/>
            </w:tcBorders>
            <w:shd w:val="clear" w:color="auto" w:fill="F0FFFF"/>
          </w:tcPr>
          <w:p>
            <w:pPr>
              <w:spacing w:after="0"/>
              <w:rPr>
                <w:sz w:val="10"/>
                <w:szCs w:val="10"/>
                <w:color w:val="auto"/>
              </w:rPr>
            </w:pPr>
          </w:p>
        </w:tc>
        <w:tc>
          <w:tcPr>
            <w:tcW w:w="1200" w:type="dxa"/>
            <w:vAlign w:val="bottom"/>
            <w:tcBorders>
              <w:right w:val="single" w:sz="8" w:color="F0FFFF"/>
            </w:tcBorders>
            <w:gridSpan w:val="4"/>
            <w:shd w:val="clear" w:color="auto" w:fill="F0FFFF"/>
          </w:tcPr>
          <w:p>
            <w:pPr>
              <w:ind w:left="20"/>
              <w:spacing w:after="0" w:line="119" w:lineRule="exact"/>
              <w:rPr>
                <w:sz w:val="20"/>
                <w:szCs w:val="20"/>
                <w:color w:val="auto"/>
              </w:rPr>
            </w:pPr>
            <w:r>
              <w:rPr>
                <w:rFonts w:ascii="Times New Roman" w:cs="Times New Roman" w:eastAsia="Times New Roman" w:hAnsi="Times New Roman"/>
                <w:sz w:val="13"/>
                <w:szCs w:val="13"/>
                <w:color w:val="auto"/>
              </w:rPr>
              <w:t>once during the Term</w:t>
            </w:r>
          </w:p>
        </w:tc>
        <w:tc>
          <w:tcPr>
            <w:tcW w:w="280" w:type="dxa"/>
            <w:vAlign w:val="bottom"/>
            <w:vMerge w:val="continue"/>
            <w:shd w:val="clear" w:color="auto" w:fill="F0FFFF"/>
          </w:tcPr>
          <w:p>
            <w:pPr>
              <w:spacing w:after="0"/>
              <w:rPr>
                <w:sz w:val="10"/>
                <w:szCs w:val="10"/>
                <w:color w:val="auto"/>
              </w:rPr>
            </w:pPr>
          </w:p>
        </w:tc>
        <w:tc>
          <w:tcPr>
            <w:tcW w:w="800" w:type="dxa"/>
            <w:vAlign w:val="bottom"/>
            <w:tcBorders>
              <w:right w:val="single" w:sz="8" w:color="auto"/>
            </w:tcBorders>
            <w:shd w:val="clear" w:color="auto" w:fill="F0FFFF"/>
          </w:tcPr>
          <w:p>
            <w:pPr>
              <w:spacing w:after="0"/>
              <w:rPr>
                <w:sz w:val="10"/>
                <w:szCs w:val="10"/>
                <w:color w:val="auto"/>
              </w:rPr>
            </w:pPr>
          </w:p>
        </w:tc>
        <w:tc>
          <w:tcPr>
            <w:tcW w:w="1600" w:type="dxa"/>
            <w:vAlign w:val="bottom"/>
            <w:tcBorders>
              <w:right w:val="single" w:sz="8" w:color="auto"/>
            </w:tcBorders>
            <w:shd w:val="clear" w:color="auto" w:fill="F0FFFF"/>
          </w:tcPr>
          <w:p>
            <w:pPr>
              <w:spacing w:after="0"/>
              <w:rPr>
                <w:sz w:val="10"/>
                <w:szCs w:val="10"/>
                <w:color w:val="auto"/>
              </w:rPr>
            </w:pPr>
          </w:p>
        </w:tc>
        <w:tc>
          <w:tcPr>
            <w:tcW w:w="160" w:type="dxa"/>
            <w:vAlign w:val="bottom"/>
            <w:tcBorders>
              <w:right w:val="single" w:sz="8" w:color="F0FFFF"/>
            </w:tcBorders>
            <w:vMerge w:val="continue"/>
            <w:shd w:val="clear" w:color="auto" w:fill="F0FFFF"/>
          </w:tcPr>
          <w:p>
            <w:pPr>
              <w:spacing w:after="0"/>
              <w:rPr>
                <w:sz w:val="10"/>
                <w:szCs w:val="10"/>
                <w:color w:val="auto"/>
              </w:rPr>
            </w:pPr>
          </w:p>
        </w:tc>
        <w:tc>
          <w:tcPr>
            <w:tcW w:w="1120" w:type="dxa"/>
            <w:vAlign w:val="bottom"/>
            <w:tcBorders>
              <w:left w:val="single" w:sz="8" w:color="F0FFFF"/>
              <w:right w:val="single" w:sz="8" w:color="F0FFFF"/>
            </w:tcBorders>
            <w:gridSpan w:val="13"/>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auto"/>
                <w:w w:val="99"/>
              </w:rPr>
              <w:t>May be requested on</w:t>
            </w:r>
          </w:p>
        </w:tc>
        <w:tc>
          <w:tcPr>
            <w:tcW w:w="980" w:type="dxa"/>
            <w:vAlign w:val="bottom"/>
            <w:tcBorders>
              <w:right w:val="single" w:sz="8" w:color="auto"/>
            </w:tcBorders>
            <w:gridSpan w:val="15"/>
            <w:vMerge w:val="continue"/>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000" w:type="dxa"/>
            <w:vAlign w:val="bottom"/>
            <w:tcBorders>
              <w:top w:val="single" w:sz="8" w:color="F0FFFF"/>
              <w:left w:val="single" w:sz="8" w:color="auto"/>
              <w:right w:val="single" w:sz="8" w:color="auto"/>
            </w:tcBorders>
            <w:shd w:val="clear" w:color="auto" w:fill="F0FFFF"/>
          </w:tcPr>
          <w:p>
            <w:pPr>
              <w:spacing w:after="0"/>
              <w:rPr>
                <w:sz w:val="11"/>
                <w:szCs w:val="11"/>
                <w:color w:val="auto"/>
              </w:rPr>
            </w:pPr>
          </w:p>
        </w:tc>
        <w:tc>
          <w:tcPr>
            <w:tcW w:w="480" w:type="dxa"/>
            <w:vAlign w:val="bottom"/>
            <w:tcBorders>
              <w:top w:val="single" w:sz="8" w:color="F0FFFF"/>
            </w:tcBorders>
            <w:shd w:val="clear" w:color="auto" w:fill="F0FFFF"/>
          </w:tcPr>
          <w:p>
            <w:pPr>
              <w:spacing w:after="0"/>
              <w:rPr>
                <w:sz w:val="11"/>
                <w:szCs w:val="11"/>
                <w:color w:val="auto"/>
              </w:rPr>
            </w:pPr>
          </w:p>
        </w:tc>
        <w:tc>
          <w:tcPr>
            <w:tcW w:w="280" w:type="dxa"/>
            <w:vAlign w:val="bottom"/>
            <w:tcBorders>
              <w:top w:val="single" w:sz="8" w:color="F0FFFF"/>
            </w:tcBorders>
            <w:shd w:val="clear" w:color="auto" w:fill="F0FFFF"/>
          </w:tcPr>
          <w:p>
            <w:pPr>
              <w:spacing w:after="0"/>
              <w:rPr>
                <w:sz w:val="11"/>
                <w:szCs w:val="11"/>
                <w:color w:val="auto"/>
              </w:rPr>
            </w:pPr>
          </w:p>
        </w:tc>
        <w:tc>
          <w:tcPr>
            <w:tcW w:w="120" w:type="dxa"/>
            <w:vAlign w:val="bottom"/>
            <w:tcBorders>
              <w:top w:val="single" w:sz="8" w:color="F0FFFF"/>
            </w:tcBorders>
            <w:shd w:val="clear" w:color="auto" w:fill="F0FFFF"/>
          </w:tcPr>
          <w:p>
            <w:pPr>
              <w:spacing w:after="0"/>
              <w:rPr>
                <w:sz w:val="11"/>
                <w:szCs w:val="11"/>
                <w:color w:val="auto"/>
              </w:rPr>
            </w:pPr>
          </w:p>
        </w:tc>
        <w:tc>
          <w:tcPr>
            <w:tcW w:w="320" w:type="dxa"/>
            <w:vAlign w:val="bottom"/>
            <w:tcBorders>
              <w:top w:val="single" w:sz="8" w:color="auto"/>
              <w:right w:val="single" w:sz="8" w:color="F0FFFF"/>
            </w:tcBorders>
            <w:shd w:val="clear" w:color="auto" w:fill="F0FFFF"/>
          </w:tcPr>
          <w:p>
            <w:pPr>
              <w:spacing w:after="0"/>
              <w:rPr>
                <w:sz w:val="11"/>
                <w:szCs w:val="11"/>
                <w:color w:val="auto"/>
              </w:rPr>
            </w:pPr>
          </w:p>
        </w:tc>
        <w:tc>
          <w:tcPr>
            <w:tcW w:w="280" w:type="dxa"/>
            <w:vAlign w:val="bottom"/>
            <w:tcBorders>
              <w:top w:val="single" w:sz="8" w:color="F0FFFF"/>
            </w:tcBorders>
            <w:shd w:val="clear" w:color="auto" w:fill="F0FFFF"/>
          </w:tcPr>
          <w:p>
            <w:pPr>
              <w:spacing w:after="0"/>
              <w:rPr>
                <w:sz w:val="11"/>
                <w:szCs w:val="11"/>
                <w:color w:val="auto"/>
              </w:rPr>
            </w:pPr>
          </w:p>
        </w:tc>
        <w:tc>
          <w:tcPr>
            <w:tcW w:w="800" w:type="dxa"/>
            <w:vAlign w:val="bottom"/>
            <w:tcBorders>
              <w:top w:val="single" w:sz="8" w:color="F0FFFF"/>
              <w:right w:val="single" w:sz="8" w:color="auto"/>
            </w:tcBorders>
            <w:shd w:val="clear" w:color="auto" w:fill="F0FFFF"/>
          </w:tcPr>
          <w:p>
            <w:pPr>
              <w:spacing w:after="0"/>
              <w:rPr>
                <w:sz w:val="11"/>
                <w:szCs w:val="11"/>
                <w:color w:val="auto"/>
              </w:rPr>
            </w:pPr>
          </w:p>
        </w:tc>
        <w:tc>
          <w:tcPr>
            <w:tcW w:w="1600" w:type="dxa"/>
            <w:vAlign w:val="bottom"/>
            <w:tcBorders>
              <w:top w:val="single" w:sz="8" w:color="F0FFFF"/>
              <w:right w:val="single" w:sz="8" w:color="auto"/>
            </w:tcBorders>
            <w:shd w:val="clear" w:color="auto" w:fill="F0FFFF"/>
          </w:tcPr>
          <w:p>
            <w:pPr>
              <w:spacing w:after="0"/>
              <w:rPr>
                <w:sz w:val="11"/>
                <w:szCs w:val="11"/>
                <w:color w:val="auto"/>
              </w:rPr>
            </w:pPr>
          </w:p>
        </w:tc>
        <w:tc>
          <w:tcPr>
            <w:tcW w:w="160" w:type="dxa"/>
            <w:vAlign w:val="bottom"/>
            <w:tcBorders>
              <w:top w:val="single" w:sz="8" w:color="F0FFFF"/>
              <w:right w:val="single" w:sz="8" w:color="F0FFFF"/>
            </w:tcBorders>
            <w:shd w:val="clear" w:color="auto" w:fill="F0FFFF"/>
          </w:tcPr>
          <w:p>
            <w:pPr>
              <w:spacing w:after="0"/>
              <w:rPr>
                <w:sz w:val="11"/>
                <w:szCs w:val="11"/>
                <w:color w:val="auto"/>
              </w:rPr>
            </w:pPr>
          </w:p>
        </w:tc>
        <w:tc>
          <w:tcPr>
            <w:tcW w:w="1340" w:type="dxa"/>
            <w:vAlign w:val="bottom"/>
            <w:tcBorders>
              <w:top w:val="single" w:sz="8" w:color="F0FFFF"/>
              <w:left w:val="single" w:sz="8" w:color="F0FFFF"/>
            </w:tcBorders>
            <w:gridSpan w:val="20"/>
            <w:shd w:val="clear" w:color="auto" w:fill="F0FFFF"/>
          </w:tcPr>
          <w:p>
            <w:pPr>
              <w:spacing w:after="0" w:line="129" w:lineRule="exact"/>
              <w:rPr>
                <w:sz w:val="20"/>
                <w:szCs w:val="20"/>
                <w:color w:val="auto"/>
              </w:rPr>
            </w:pPr>
            <w:r>
              <w:rPr>
                <w:rFonts w:ascii="Times New Roman" w:cs="Times New Roman" w:eastAsia="Times New Roman" w:hAnsi="Times New Roman"/>
                <w:sz w:val="13"/>
                <w:szCs w:val="13"/>
                <w:color w:val="auto"/>
                <w:w w:val="95"/>
              </w:rPr>
              <w:t>Day prior to the Term End</w:t>
            </w:r>
          </w:p>
        </w:tc>
        <w:tc>
          <w:tcPr>
            <w:tcW w:w="100" w:type="dxa"/>
            <w:vAlign w:val="bottom"/>
            <w:tcBorders>
              <w:top w:val="single" w:sz="8" w:color="auto"/>
              <w:right w:val="single" w:sz="8" w:color="F0FFFF"/>
            </w:tcBorders>
            <w:shd w:val="clear" w:color="auto" w:fill="F0FFFF"/>
          </w:tcPr>
          <w:p>
            <w:pPr>
              <w:spacing w:after="0"/>
              <w:rPr>
                <w:sz w:val="11"/>
                <w:szCs w:val="11"/>
                <w:color w:val="auto"/>
              </w:rPr>
            </w:pPr>
          </w:p>
        </w:tc>
        <w:tc>
          <w:tcPr>
            <w:tcW w:w="360" w:type="dxa"/>
            <w:vAlign w:val="bottom"/>
            <w:tcBorders>
              <w:top w:val="single" w:sz="8" w:color="auto"/>
            </w:tcBorders>
            <w:gridSpan w:val="3"/>
            <w:shd w:val="clear" w:color="auto" w:fill="F0FFFF"/>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w w:val="86"/>
              </w:rPr>
              <w:t>Date.</w:t>
            </w:r>
          </w:p>
        </w:tc>
        <w:tc>
          <w:tcPr>
            <w:tcW w:w="20" w:type="dxa"/>
            <w:vAlign w:val="bottom"/>
            <w:tcBorders>
              <w:top w:val="single" w:sz="8" w:color="F0FFFF"/>
            </w:tcBorders>
            <w:shd w:val="clear" w:color="auto" w:fill="F0FFFF"/>
          </w:tcPr>
          <w:p>
            <w:pPr>
              <w:spacing w:after="0"/>
              <w:rPr>
                <w:sz w:val="11"/>
                <w:szCs w:val="11"/>
                <w:color w:val="auto"/>
              </w:rPr>
            </w:pPr>
          </w:p>
        </w:tc>
        <w:tc>
          <w:tcPr>
            <w:tcW w:w="40" w:type="dxa"/>
            <w:vAlign w:val="bottom"/>
            <w:tcBorders>
              <w:top w:val="single" w:sz="8" w:color="F0FFFF"/>
            </w:tcBorders>
            <w:shd w:val="clear" w:color="auto" w:fill="F0FFFF"/>
          </w:tcPr>
          <w:p>
            <w:pPr>
              <w:spacing w:after="0"/>
              <w:rPr>
                <w:sz w:val="11"/>
                <w:szCs w:val="11"/>
                <w:color w:val="auto"/>
              </w:rPr>
            </w:pPr>
          </w:p>
        </w:tc>
        <w:tc>
          <w:tcPr>
            <w:tcW w:w="20" w:type="dxa"/>
            <w:vAlign w:val="bottom"/>
            <w:tcBorders>
              <w:top w:val="single" w:sz="8" w:color="F0FFFF"/>
            </w:tcBorders>
            <w:shd w:val="clear" w:color="auto" w:fill="F0FFFF"/>
          </w:tcPr>
          <w:p>
            <w:pPr>
              <w:spacing w:after="0"/>
              <w:rPr>
                <w:sz w:val="11"/>
                <w:szCs w:val="11"/>
                <w:color w:val="auto"/>
              </w:rPr>
            </w:pPr>
          </w:p>
        </w:tc>
        <w:tc>
          <w:tcPr>
            <w:tcW w:w="220" w:type="dxa"/>
            <w:vAlign w:val="bottom"/>
            <w:tcBorders>
              <w:top w:val="single" w:sz="8" w:color="F0FFFF"/>
              <w:right w:val="single" w:sz="8" w:color="auto"/>
            </w:tcBorders>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480" w:type="dxa"/>
            <w:vAlign w:val="bottom"/>
            <w:shd w:val="clear" w:color="auto" w:fill="F0FFFF"/>
          </w:tcPr>
          <w:p>
            <w:pPr>
              <w:spacing w:after="0" w:line="20" w:lineRule="exact"/>
              <w:rPr>
                <w:sz w:val="1"/>
                <w:szCs w:val="1"/>
                <w:color w:val="auto"/>
              </w:rPr>
            </w:pPr>
          </w:p>
        </w:tc>
        <w:tc>
          <w:tcPr>
            <w:tcW w:w="28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shd w:val="clear" w:color="auto" w:fill="F0FFFF"/>
          </w:tcPr>
          <w:p>
            <w:pPr>
              <w:spacing w:after="0" w:line="20" w:lineRule="exact"/>
              <w:rPr>
                <w:sz w:val="1"/>
                <w:szCs w:val="1"/>
                <w:color w:val="auto"/>
              </w:rPr>
            </w:pPr>
          </w:p>
        </w:tc>
        <w:tc>
          <w:tcPr>
            <w:tcW w:w="800" w:type="dxa"/>
            <w:vAlign w:val="bottom"/>
            <w:tcBorders>
              <w:right w:val="single" w:sz="8" w:color="auto"/>
            </w:tcBorders>
            <w:shd w:val="clear" w:color="auto" w:fill="F0FFFF"/>
          </w:tcPr>
          <w:p>
            <w:pPr>
              <w:spacing w:after="0" w:line="20" w:lineRule="exact"/>
              <w:rPr>
                <w:sz w:val="1"/>
                <w:szCs w:val="1"/>
                <w:color w:val="auto"/>
              </w:rPr>
            </w:pPr>
          </w:p>
        </w:tc>
        <w:tc>
          <w:tcPr>
            <w:tcW w:w="1600" w:type="dxa"/>
            <w:vAlign w:val="bottom"/>
            <w:tcBorders>
              <w:right w:val="single" w:sz="8" w:color="auto"/>
            </w:tcBorders>
            <w:shd w:val="clear" w:color="auto" w:fill="F0FFFF"/>
          </w:tcPr>
          <w:p>
            <w:pPr>
              <w:spacing w:after="0" w:line="20" w:lineRule="exact"/>
              <w:rPr>
                <w:sz w:val="1"/>
                <w:szCs w:val="1"/>
                <w:color w:val="auto"/>
              </w:rPr>
            </w:pPr>
          </w:p>
        </w:tc>
        <w:tc>
          <w:tcPr>
            <w:tcW w:w="160" w:type="dxa"/>
            <w:vAlign w:val="bottom"/>
            <w:tcBorders>
              <w:right w:val="single" w:sz="8" w:color="F0FFFF"/>
            </w:tcBorders>
            <w:vMerge w:val="restart"/>
            <w:shd w:val="clear" w:color="auto" w:fill="F0FF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14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80" w:type="dxa"/>
            <w:vAlign w:val="bottom"/>
            <w:tcBorders>
              <w:right w:val="single" w:sz="8" w:color="auto"/>
            </w:tcBorders>
            <w:shd w:val="clear" w:color="auto" w:fill="F0FFFF"/>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00" w:type="dxa"/>
            <w:vAlign w:val="bottom"/>
            <w:tcBorders>
              <w:left w:val="single" w:sz="8" w:color="auto"/>
              <w:right w:val="single" w:sz="8" w:color="auto"/>
            </w:tcBorders>
            <w:shd w:val="clear" w:color="auto" w:fill="F0FFFF"/>
          </w:tcPr>
          <w:p>
            <w:pPr>
              <w:spacing w:after="0"/>
              <w:rPr>
                <w:sz w:val="11"/>
                <w:szCs w:val="11"/>
                <w:color w:val="auto"/>
              </w:rPr>
            </w:pPr>
          </w:p>
        </w:tc>
        <w:tc>
          <w:tcPr>
            <w:tcW w:w="480" w:type="dxa"/>
            <w:vAlign w:val="bottom"/>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320" w:type="dxa"/>
            <w:vAlign w:val="bottom"/>
            <w:tcBorders>
              <w:right w:val="single" w:sz="8" w:color="F0FFFF"/>
            </w:tcBorders>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800" w:type="dxa"/>
            <w:vAlign w:val="bottom"/>
            <w:tcBorders>
              <w:right w:val="single" w:sz="8" w:color="auto"/>
            </w:tcBorders>
            <w:shd w:val="clear" w:color="auto" w:fill="F0FFFF"/>
          </w:tcPr>
          <w:p>
            <w:pPr>
              <w:spacing w:after="0"/>
              <w:rPr>
                <w:sz w:val="11"/>
                <w:szCs w:val="11"/>
                <w:color w:val="auto"/>
              </w:rPr>
            </w:pPr>
          </w:p>
        </w:tc>
        <w:tc>
          <w:tcPr>
            <w:tcW w:w="1600" w:type="dxa"/>
            <w:vAlign w:val="bottom"/>
            <w:tcBorders>
              <w:right w:val="single" w:sz="8" w:color="auto"/>
            </w:tcBorders>
            <w:shd w:val="clear" w:color="auto" w:fill="F0FFFF"/>
          </w:tcPr>
          <w:p>
            <w:pPr>
              <w:spacing w:after="0"/>
              <w:rPr>
                <w:sz w:val="11"/>
                <w:szCs w:val="11"/>
                <w:color w:val="auto"/>
              </w:rPr>
            </w:pPr>
          </w:p>
        </w:tc>
        <w:tc>
          <w:tcPr>
            <w:tcW w:w="160" w:type="dxa"/>
            <w:vAlign w:val="bottom"/>
            <w:tcBorders>
              <w:right w:val="single" w:sz="8" w:color="F0FFFF"/>
            </w:tcBorders>
            <w:vMerge w:val="continue"/>
            <w:shd w:val="clear" w:color="auto" w:fill="F0FFFF"/>
          </w:tcPr>
          <w:p>
            <w:pPr>
              <w:spacing w:after="0"/>
              <w:rPr>
                <w:sz w:val="11"/>
                <w:szCs w:val="11"/>
                <w:color w:val="auto"/>
              </w:rPr>
            </w:pPr>
          </w:p>
        </w:tc>
        <w:tc>
          <w:tcPr>
            <w:tcW w:w="320" w:type="dxa"/>
            <w:vAlign w:val="bottom"/>
            <w:tcBorders>
              <w:left w:val="single" w:sz="8" w:color="F0FFFF"/>
              <w:right w:val="single" w:sz="8" w:color="F0FFFF"/>
            </w:tcBorders>
            <w:gridSpan w:val="2"/>
            <w:shd w:val="clear" w:color="auto" w:fill="F0FFFF"/>
          </w:tcPr>
          <w:p>
            <w:pPr>
              <w:spacing w:after="0" w:line="129" w:lineRule="exact"/>
              <w:rPr>
                <w:sz w:val="20"/>
                <w:szCs w:val="20"/>
                <w:color w:val="auto"/>
              </w:rPr>
            </w:pPr>
            <w:r>
              <w:rPr>
                <w:rFonts w:ascii="Times New Roman" w:cs="Times New Roman" w:eastAsia="Times New Roman" w:hAnsi="Times New Roman"/>
                <w:sz w:val="13"/>
                <w:szCs w:val="13"/>
                <w:color w:val="auto"/>
              </w:rPr>
              <w:t>We</w:t>
            </w:r>
          </w:p>
        </w:tc>
        <w:tc>
          <w:tcPr>
            <w:tcW w:w="1780" w:type="dxa"/>
            <w:vAlign w:val="bottom"/>
            <w:tcBorders>
              <w:right w:val="single" w:sz="8" w:color="auto"/>
            </w:tcBorders>
            <w:gridSpan w:val="26"/>
            <w:shd w:val="clear" w:color="auto" w:fill="F0FFFF"/>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w w:val="91"/>
              </w:rPr>
              <w:t>use the Interim Value calculated at</w:t>
            </w:r>
          </w:p>
        </w:tc>
        <w:tc>
          <w:tcPr>
            <w:tcW w:w="0" w:type="dxa"/>
            <w:vAlign w:val="bottom"/>
          </w:tcPr>
          <w:p>
            <w:pPr>
              <w:spacing w:after="0"/>
              <w:rPr>
                <w:sz w:val="1"/>
                <w:szCs w:val="1"/>
                <w:color w:val="auto"/>
              </w:rPr>
            </w:pPr>
          </w:p>
        </w:tc>
      </w:tr>
      <w:tr>
        <w:trPr>
          <w:trHeight w:val="20"/>
        </w:trPr>
        <w:tc>
          <w:tcPr>
            <w:tcW w:w="100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480" w:type="dxa"/>
            <w:vAlign w:val="bottom"/>
            <w:shd w:val="clear" w:color="auto" w:fill="F0FFFF"/>
          </w:tcPr>
          <w:p>
            <w:pPr>
              <w:spacing w:after="0" w:line="20" w:lineRule="exact"/>
              <w:rPr>
                <w:sz w:val="1"/>
                <w:szCs w:val="1"/>
                <w:color w:val="auto"/>
              </w:rPr>
            </w:pPr>
          </w:p>
        </w:tc>
        <w:tc>
          <w:tcPr>
            <w:tcW w:w="28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shd w:val="clear" w:color="auto" w:fill="F0FFFF"/>
          </w:tcPr>
          <w:p>
            <w:pPr>
              <w:spacing w:after="0" w:line="20" w:lineRule="exact"/>
              <w:rPr>
                <w:sz w:val="1"/>
                <w:szCs w:val="1"/>
                <w:color w:val="auto"/>
              </w:rPr>
            </w:pPr>
          </w:p>
        </w:tc>
        <w:tc>
          <w:tcPr>
            <w:tcW w:w="800" w:type="dxa"/>
            <w:vAlign w:val="bottom"/>
            <w:tcBorders>
              <w:right w:val="single" w:sz="8" w:color="auto"/>
            </w:tcBorders>
            <w:shd w:val="clear" w:color="auto" w:fill="F0FFFF"/>
          </w:tcPr>
          <w:p>
            <w:pPr>
              <w:spacing w:after="0" w:line="20" w:lineRule="exact"/>
              <w:rPr>
                <w:sz w:val="1"/>
                <w:szCs w:val="1"/>
                <w:color w:val="auto"/>
              </w:rPr>
            </w:pPr>
          </w:p>
        </w:tc>
        <w:tc>
          <w:tcPr>
            <w:tcW w:w="1600" w:type="dxa"/>
            <w:vAlign w:val="bottom"/>
            <w:tcBorders>
              <w:right w:val="single" w:sz="8" w:color="auto"/>
            </w:tcBorders>
            <w:shd w:val="clear" w:color="auto" w:fill="F0FFFF"/>
          </w:tcPr>
          <w:p>
            <w:pPr>
              <w:spacing w:after="0" w:line="20" w:lineRule="exact"/>
              <w:rPr>
                <w:sz w:val="1"/>
                <w:szCs w:val="1"/>
                <w:color w:val="auto"/>
              </w:rPr>
            </w:pPr>
          </w:p>
        </w:tc>
        <w:tc>
          <w:tcPr>
            <w:tcW w:w="160" w:type="dxa"/>
            <w:vAlign w:val="bottom"/>
            <w:tcBorders>
              <w:right w:val="single" w:sz="8" w:color="F0FFFF"/>
            </w:tcBorders>
            <w:vMerge w:val="restart"/>
            <w:shd w:val="clear" w:color="auto" w:fill="F0FFFF"/>
          </w:tcPr>
          <w:p>
            <w:pPr>
              <w:spacing w:after="0" w:line="20" w:lineRule="exact"/>
              <w:rPr>
                <w:sz w:val="1"/>
                <w:szCs w:val="1"/>
                <w:color w:val="auto"/>
              </w:rPr>
            </w:pPr>
          </w:p>
        </w:tc>
        <w:tc>
          <w:tcPr>
            <w:tcW w:w="580" w:type="dxa"/>
            <w:vAlign w:val="bottom"/>
            <w:tcBorders>
              <w:left w:val="single" w:sz="8" w:color="F0FFFF"/>
            </w:tcBorders>
            <w:gridSpan w:val="6"/>
            <w:vMerge w:val="restart"/>
            <w:shd w:val="clear" w:color="auto" w:fill="F0FFFF"/>
          </w:tcPr>
          <w:p>
            <w:pPr>
              <w:spacing w:after="0" w:line="139" w:lineRule="exact"/>
              <w:rPr>
                <w:sz w:val="20"/>
                <w:szCs w:val="20"/>
                <w:color w:val="auto"/>
              </w:rPr>
            </w:pPr>
            <w:r>
              <w:rPr>
                <w:rFonts w:ascii="Times New Roman" w:cs="Times New Roman" w:eastAsia="Times New Roman" w:hAnsi="Times New Roman"/>
                <w:sz w:val="13"/>
                <w:szCs w:val="13"/>
                <w:color w:val="auto"/>
              </w:rPr>
              <w:t>the end of</w:t>
            </w: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F0FFFF"/>
            </w:tcBorders>
            <w:gridSpan w:val="2"/>
            <w:shd w:val="clear" w:color="auto" w:fill="F0FFFF"/>
          </w:tcPr>
          <w:p>
            <w:pPr>
              <w:spacing w:after="0" w:line="20" w:lineRule="exact"/>
              <w:rPr>
                <w:sz w:val="1"/>
                <w:szCs w:val="1"/>
                <w:color w:val="auto"/>
              </w:rPr>
            </w:pPr>
          </w:p>
        </w:tc>
        <w:tc>
          <w:tcPr>
            <w:tcW w:w="100" w:type="dxa"/>
            <w:vAlign w:val="bottom"/>
            <w:tcBorders>
              <w:right w:val="single" w:sz="8" w:color="F0FFFF"/>
            </w:tcBorders>
            <w:shd w:val="clear" w:color="auto" w:fill="F0FFFF"/>
          </w:tcPr>
          <w:p>
            <w:pPr>
              <w:spacing w:after="0" w:line="20" w:lineRule="exact"/>
              <w:rPr>
                <w:sz w:val="1"/>
                <w:szCs w:val="1"/>
                <w:color w:val="auto"/>
              </w:rPr>
            </w:pPr>
          </w:p>
        </w:tc>
        <w:tc>
          <w:tcPr>
            <w:tcW w:w="20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gridSpan w:val="2"/>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000" w:type="dxa"/>
            <w:vAlign w:val="bottom"/>
            <w:tcBorders>
              <w:left w:val="single" w:sz="8" w:color="auto"/>
              <w:right w:val="single" w:sz="8" w:color="auto"/>
            </w:tcBorders>
            <w:shd w:val="clear" w:color="auto" w:fill="F0FFFF"/>
          </w:tcPr>
          <w:p>
            <w:pPr>
              <w:spacing w:after="0"/>
              <w:rPr>
                <w:sz w:val="10"/>
                <w:szCs w:val="10"/>
                <w:color w:val="auto"/>
              </w:rPr>
            </w:pPr>
          </w:p>
        </w:tc>
        <w:tc>
          <w:tcPr>
            <w:tcW w:w="480" w:type="dxa"/>
            <w:vAlign w:val="bottom"/>
            <w:shd w:val="clear" w:color="auto" w:fill="F0FFFF"/>
          </w:tcPr>
          <w:p>
            <w:pPr>
              <w:spacing w:after="0"/>
              <w:rPr>
                <w:sz w:val="10"/>
                <w:szCs w:val="10"/>
                <w:color w:val="auto"/>
              </w:rPr>
            </w:pPr>
          </w:p>
        </w:tc>
        <w:tc>
          <w:tcPr>
            <w:tcW w:w="28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320" w:type="dxa"/>
            <w:vAlign w:val="bottom"/>
            <w:tcBorders>
              <w:right w:val="single" w:sz="8" w:color="F0FFFF"/>
            </w:tcBorders>
            <w:shd w:val="clear" w:color="auto" w:fill="F0FFFF"/>
          </w:tcPr>
          <w:p>
            <w:pPr>
              <w:spacing w:after="0"/>
              <w:rPr>
                <w:sz w:val="10"/>
                <w:szCs w:val="10"/>
                <w:color w:val="auto"/>
              </w:rPr>
            </w:pPr>
          </w:p>
        </w:tc>
        <w:tc>
          <w:tcPr>
            <w:tcW w:w="280" w:type="dxa"/>
            <w:vAlign w:val="bottom"/>
            <w:shd w:val="clear" w:color="auto" w:fill="F0FFFF"/>
          </w:tcPr>
          <w:p>
            <w:pPr>
              <w:spacing w:after="0"/>
              <w:rPr>
                <w:sz w:val="10"/>
                <w:szCs w:val="10"/>
                <w:color w:val="auto"/>
              </w:rPr>
            </w:pPr>
          </w:p>
        </w:tc>
        <w:tc>
          <w:tcPr>
            <w:tcW w:w="800" w:type="dxa"/>
            <w:vAlign w:val="bottom"/>
            <w:tcBorders>
              <w:right w:val="single" w:sz="8" w:color="auto"/>
            </w:tcBorders>
            <w:shd w:val="clear" w:color="auto" w:fill="F0FFFF"/>
          </w:tcPr>
          <w:p>
            <w:pPr>
              <w:spacing w:after="0"/>
              <w:rPr>
                <w:sz w:val="10"/>
                <w:szCs w:val="10"/>
                <w:color w:val="auto"/>
              </w:rPr>
            </w:pPr>
          </w:p>
        </w:tc>
        <w:tc>
          <w:tcPr>
            <w:tcW w:w="1600" w:type="dxa"/>
            <w:vAlign w:val="bottom"/>
            <w:tcBorders>
              <w:right w:val="single" w:sz="8" w:color="auto"/>
            </w:tcBorders>
            <w:shd w:val="clear" w:color="auto" w:fill="F0FFFF"/>
          </w:tcPr>
          <w:p>
            <w:pPr>
              <w:spacing w:after="0"/>
              <w:rPr>
                <w:sz w:val="10"/>
                <w:szCs w:val="10"/>
                <w:color w:val="auto"/>
              </w:rPr>
            </w:pPr>
          </w:p>
        </w:tc>
        <w:tc>
          <w:tcPr>
            <w:tcW w:w="160" w:type="dxa"/>
            <w:vAlign w:val="bottom"/>
            <w:tcBorders>
              <w:right w:val="single" w:sz="8" w:color="F0FFFF"/>
            </w:tcBorders>
            <w:vMerge w:val="continue"/>
            <w:shd w:val="clear" w:color="auto" w:fill="F0FFFF"/>
          </w:tcPr>
          <w:p>
            <w:pPr>
              <w:spacing w:after="0"/>
              <w:rPr>
                <w:sz w:val="10"/>
                <w:szCs w:val="10"/>
                <w:color w:val="auto"/>
              </w:rPr>
            </w:pPr>
          </w:p>
        </w:tc>
        <w:tc>
          <w:tcPr>
            <w:tcW w:w="580" w:type="dxa"/>
            <w:vAlign w:val="bottom"/>
            <w:tcBorders>
              <w:left w:val="single" w:sz="8" w:color="F0FFFF"/>
            </w:tcBorders>
            <w:gridSpan w:val="6"/>
            <w:vMerge w:val="continue"/>
            <w:shd w:val="clear" w:color="auto" w:fill="F0FFFF"/>
          </w:tcPr>
          <w:p>
            <w:pPr>
              <w:spacing w:after="0"/>
              <w:rPr>
                <w:sz w:val="10"/>
                <w:szCs w:val="10"/>
                <w:color w:val="auto"/>
              </w:rPr>
            </w:pPr>
          </w:p>
        </w:tc>
        <w:tc>
          <w:tcPr>
            <w:tcW w:w="1520" w:type="dxa"/>
            <w:vAlign w:val="bottom"/>
            <w:tcBorders>
              <w:right w:val="single" w:sz="8" w:color="auto"/>
            </w:tcBorders>
            <w:gridSpan w:val="22"/>
            <w:shd w:val="clear" w:color="auto" w:fill="F0FFFF"/>
          </w:tcPr>
          <w:p>
            <w:pPr>
              <w:jc w:val="right"/>
              <w:ind w:right="220"/>
              <w:spacing w:after="0" w:line="119" w:lineRule="exact"/>
              <w:rPr>
                <w:sz w:val="20"/>
                <w:szCs w:val="20"/>
                <w:color w:val="auto"/>
              </w:rPr>
            </w:pPr>
            <w:r>
              <w:rPr>
                <w:rFonts w:ascii="Times New Roman" w:cs="Times New Roman" w:eastAsia="Times New Roman" w:hAnsi="Times New Roman"/>
                <w:sz w:val="13"/>
                <w:szCs w:val="13"/>
                <w:color w:val="auto"/>
                <w:w w:val="98"/>
              </w:rPr>
              <w:t>the current Business Day</w:t>
            </w:r>
          </w:p>
        </w:tc>
        <w:tc>
          <w:tcPr>
            <w:tcW w:w="0" w:type="dxa"/>
            <w:vAlign w:val="bottom"/>
          </w:tcPr>
          <w:p>
            <w:pPr>
              <w:spacing w:after="0"/>
              <w:rPr>
                <w:sz w:val="1"/>
                <w:szCs w:val="1"/>
                <w:color w:val="auto"/>
              </w:rPr>
            </w:pPr>
          </w:p>
        </w:tc>
      </w:tr>
      <w:tr>
        <w:trPr>
          <w:trHeight w:val="136"/>
        </w:trPr>
        <w:tc>
          <w:tcPr>
            <w:tcW w:w="1000" w:type="dxa"/>
            <w:vAlign w:val="bottom"/>
            <w:tcBorders>
              <w:top w:val="single" w:sz="8" w:color="F0FFFF"/>
              <w:left w:val="single" w:sz="8" w:color="auto"/>
              <w:right w:val="single" w:sz="8" w:color="auto"/>
            </w:tcBorders>
            <w:shd w:val="clear" w:color="auto" w:fill="F0FFFF"/>
          </w:tcPr>
          <w:p>
            <w:pPr>
              <w:spacing w:after="0"/>
              <w:rPr>
                <w:sz w:val="11"/>
                <w:szCs w:val="11"/>
                <w:color w:val="auto"/>
              </w:rPr>
            </w:pPr>
          </w:p>
        </w:tc>
        <w:tc>
          <w:tcPr>
            <w:tcW w:w="480" w:type="dxa"/>
            <w:vAlign w:val="bottom"/>
            <w:tcBorders>
              <w:top w:val="single" w:sz="8" w:color="F0FFFF"/>
            </w:tcBorders>
            <w:shd w:val="clear" w:color="auto" w:fill="F0FFFF"/>
          </w:tcPr>
          <w:p>
            <w:pPr>
              <w:spacing w:after="0"/>
              <w:rPr>
                <w:sz w:val="11"/>
                <w:szCs w:val="11"/>
                <w:color w:val="auto"/>
              </w:rPr>
            </w:pPr>
          </w:p>
        </w:tc>
        <w:tc>
          <w:tcPr>
            <w:tcW w:w="280" w:type="dxa"/>
            <w:vAlign w:val="bottom"/>
            <w:tcBorders>
              <w:top w:val="single" w:sz="8" w:color="F0FFFF"/>
            </w:tcBorders>
            <w:shd w:val="clear" w:color="auto" w:fill="F0FFFF"/>
          </w:tcPr>
          <w:p>
            <w:pPr>
              <w:spacing w:after="0"/>
              <w:rPr>
                <w:sz w:val="11"/>
                <w:szCs w:val="11"/>
                <w:color w:val="auto"/>
              </w:rPr>
            </w:pPr>
          </w:p>
        </w:tc>
        <w:tc>
          <w:tcPr>
            <w:tcW w:w="120" w:type="dxa"/>
            <w:vAlign w:val="bottom"/>
            <w:tcBorders>
              <w:top w:val="single" w:sz="8" w:color="F0FFFF"/>
            </w:tcBorders>
            <w:shd w:val="clear" w:color="auto" w:fill="F0FFFF"/>
          </w:tcPr>
          <w:p>
            <w:pPr>
              <w:spacing w:after="0"/>
              <w:rPr>
                <w:sz w:val="11"/>
                <w:szCs w:val="11"/>
                <w:color w:val="auto"/>
              </w:rPr>
            </w:pPr>
          </w:p>
        </w:tc>
        <w:tc>
          <w:tcPr>
            <w:tcW w:w="320" w:type="dxa"/>
            <w:vAlign w:val="bottom"/>
            <w:tcBorders>
              <w:top w:val="single" w:sz="8" w:color="F0FFFF"/>
              <w:right w:val="single" w:sz="8" w:color="F0FFFF"/>
            </w:tcBorders>
            <w:shd w:val="clear" w:color="auto" w:fill="F0FFFF"/>
          </w:tcPr>
          <w:p>
            <w:pPr>
              <w:spacing w:after="0"/>
              <w:rPr>
                <w:sz w:val="11"/>
                <w:szCs w:val="11"/>
                <w:color w:val="auto"/>
              </w:rPr>
            </w:pPr>
          </w:p>
        </w:tc>
        <w:tc>
          <w:tcPr>
            <w:tcW w:w="280" w:type="dxa"/>
            <w:vAlign w:val="bottom"/>
            <w:tcBorders>
              <w:top w:val="single" w:sz="8" w:color="F0FFFF"/>
            </w:tcBorders>
            <w:shd w:val="clear" w:color="auto" w:fill="F0FFFF"/>
          </w:tcPr>
          <w:p>
            <w:pPr>
              <w:spacing w:after="0"/>
              <w:rPr>
                <w:sz w:val="11"/>
                <w:szCs w:val="11"/>
                <w:color w:val="auto"/>
              </w:rPr>
            </w:pPr>
          </w:p>
        </w:tc>
        <w:tc>
          <w:tcPr>
            <w:tcW w:w="800" w:type="dxa"/>
            <w:vAlign w:val="bottom"/>
            <w:tcBorders>
              <w:top w:val="single" w:sz="8" w:color="F0FFFF"/>
              <w:right w:val="single" w:sz="8" w:color="auto"/>
            </w:tcBorders>
            <w:shd w:val="clear" w:color="auto" w:fill="F0FFFF"/>
          </w:tcPr>
          <w:p>
            <w:pPr>
              <w:spacing w:after="0"/>
              <w:rPr>
                <w:sz w:val="11"/>
                <w:szCs w:val="11"/>
                <w:color w:val="auto"/>
              </w:rPr>
            </w:pPr>
          </w:p>
        </w:tc>
        <w:tc>
          <w:tcPr>
            <w:tcW w:w="1600" w:type="dxa"/>
            <w:vAlign w:val="bottom"/>
            <w:tcBorders>
              <w:top w:val="single" w:sz="8" w:color="F0FFFF"/>
              <w:right w:val="single" w:sz="8" w:color="auto"/>
            </w:tcBorders>
            <w:shd w:val="clear" w:color="auto" w:fill="F0FFFF"/>
          </w:tcPr>
          <w:p>
            <w:pPr>
              <w:spacing w:after="0"/>
              <w:rPr>
                <w:sz w:val="11"/>
                <w:szCs w:val="11"/>
                <w:color w:val="auto"/>
              </w:rPr>
            </w:pPr>
          </w:p>
        </w:tc>
        <w:tc>
          <w:tcPr>
            <w:tcW w:w="160" w:type="dxa"/>
            <w:vAlign w:val="bottom"/>
            <w:tcBorders>
              <w:top w:val="single" w:sz="8" w:color="F0FFFF"/>
              <w:right w:val="single" w:sz="8" w:color="F0FFFF"/>
            </w:tcBorders>
            <w:shd w:val="clear" w:color="auto" w:fill="F0FFFF"/>
          </w:tcPr>
          <w:p>
            <w:pPr>
              <w:spacing w:after="0"/>
              <w:rPr>
                <w:sz w:val="11"/>
                <w:szCs w:val="11"/>
                <w:color w:val="auto"/>
              </w:rPr>
            </w:pPr>
          </w:p>
        </w:tc>
        <w:tc>
          <w:tcPr>
            <w:tcW w:w="1140" w:type="dxa"/>
            <w:vAlign w:val="bottom"/>
            <w:tcBorders>
              <w:top w:val="single" w:sz="8" w:color="F0FFFF"/>
              <w:left w:val="single" w:sz="8" w:color="F0FFFF"/>
            </w:tcBorders>
            <w:gridSpan w:val="14"/>
            <w:shd w:val="clear" w:color="auto" w:fill="F0FFFF"/>
          </w:tcPr>
          <w:p>
            <w:pPr>
              <w:spacing w:after="0" w:line="136" w:lineRule="exact"/>
              <w:rPr>
                <w:sz w:val="20"/>
                <w:szCs w:val="20"/>
                <w:color w:val="auto"/>
              </w:rPr>
            </w:pPr>
            <w:r>
              <w:rPr>
                <w:rFonts w:ascii="Times New Roman" w:cs="Times New Roman" w:eastAsia="Times New Roman" w:hAnsi="Times New Roman"/>
                <w:sz w:val="13"/>
                <w:szCs w:val="13"/>
                <w:color w:val="auto"/>
                <w:w w:val="96"/>
              </w:rPr>
              <w:t>on which you exercise</w:t>
            </w:r>
          </w:p>
        </w:tc>
        <w:tc>
          <w:tcPr>
            <w:tcW w:w="20" w:type="dxa"/>
            <w:vAlign w:val="bottom"/>
            <w:tcBorders>
              <w:top w:val="single" w:sz="8" w:color="auto"/>
            </w:tcBorders>
            <w:shd w:val="clear" w:color="auto" w:fill="F0FFFF"/>
          </w:tcPr>
          <w:p>
            <w:pPr>
              <w:spacing w:after="0"/>
              <w:rPr>
                <w:sz w:val="11"/>
                <w:szCs w:val="11"/>
                <w:color w:val="auto"/>
              </w:rPr>
            </w:pPr>
          </w:p>
        </w:tc>
        <w:tc>
          <w:tcPr>
            <w:tcW w:w="20" w:type="dxa"/>
            <w:vAlign w:val="bottom"/>
            <w:tcBorders>
              <w:top w:val="single" w:sz="8" w:color="auto"/>
            </w:tcBorders>
            <w:shd w:val="clear" w:color="auto" w:fill="F0FFFF"/>
          </w:tcPr>
          <w:p>
            <w:pPr>
              <w:spacing w:after="0"/>
              <w:rPr>
                <w:sz w:val="11"/>
                <w:szCs w:val="11"/>
                <w:color w:val="auto"/>
              </w:rPr>
            </w:pPr>
          </w:p>
        </w:tc>
        <w:tc>
          <w:tcPr>
            <w:tcW w:w="20" w:type="dxa"/>
            <w:vAlign w:val="bottom"/>
            <w:tcBorders>
              <w:top w:val="single" w:sz="8" w:color="auto"/>
            </w:tcBorders>
            <w:shd w:val="clear" w:color="auto" w:fill="F0FFFF"/>
          </w:tcPr>
          <w:p>
            <w:pPr>
              <w:spacing w:after="0"/>
              <w:rPr>
                <w:sz w:val="11"/>
                <w:szCs w:val="11"/>
                <w:color w:val="auto"/>
              </w:rPr>
            </w:pPr>
          </w:p>
        </w:tc>
        <w:tc>
          <w:tcPr>
            <w:tcW w:w="680" w:type="dxa"/>
            <w:vAlign w:val="bottom"/>
            <w:tcBorders>
              <w:top w:val="single" w:sz="8" w:color="auto"/>
            </w:tcBorders>
            <w:gridSpan w:val="10"/>
            <w:shd w:val="clear" w:color="auto" w:fill="F0FFFF"/>
          </w:tcPr>
          <w:p>
            <w:pPr>
              <w:jc w:val="right"/>
              <w:ind w:right="520"/>
              <w:spacing w:after="0" w:line="136" w:lineRule="exact"/>
              <w:rPr>
                <w:sz w:val="20"/>
                <w:szCs w:val="20"/>
                <w:color w:val="auto"/>
              </w:rPr>
            </w:pPr>
            <w:r>
              <w:rPr>
                <w:rFonts w:ascii="Times New Roman" w:cs="Times New Roman" w:eastAsia="Times New Roman" w:hAnsi="Times New Roman"/>
                <w:sz w:val="13"/>
                <w:szCs w:val="13"/>
                <w:color w:val="auto"/>
                <w:w w:val="87"/>
              </w:rPr>
              <w:t>the</w:t>
            </w:r>
          </w:p>
        </w:tc>
        <w:tc>
          <w:tcPr>
            <w:tcW w:w="220" w:type="dxa"/>
            <w:vAlign w:val="bottom"/>
            <w:tcBorders>
              <w:top w:val="single" w:sz="8" w:color="F0FFFF"/>
              <w:right w:val="single" w:sz="8" w:color="auto"/>
            </w:tcBorders>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00" w:type="dxa"/>
            <w:vAlign w:val="bottom"/>
            <w:tcBorders>
              <w:left w:val="single" w:sz="8" w:color="auto"/>
              <w:right w:val="single" w:sz="8" w:color="auto"/>
            </w:tcBorders>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320" w:type="dxa"/>
            <w:vAlign w:val="bottom"/>
            <w:tcBorders>
              <w:right w:val="single" w:sz="8" w:color="F0FFFF"/>
            </w:tcBorders>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800" w:type="dxa"/>
            <w:vAlign w:val="bottom"/>
            <w:tcBorders>
              <w:right w:val="single" w:sz="8" w:color="auto"/>
            </w:tcBorders>
            <w:shd w:val="clear" w:color="auto" w:fill="F0FFFF"/>
          </w:tcPr>
          <w:p>
            <w:pPr>
              <w:spacing w:after="0"/>
              <w:rPr>
                <w:sz w:val="12"/>
                <w:szCs w:val="12"/>
                <w:color w:val="auto"/>
              </w:rPr>
            </w:pPr>
          </w:p>
        </w:tc>
        <w:tc>
          <w:tcPr>
            <w:tcW w:w="1600" w:type="dxa"/>
            <w:vAlign w:val="bottom"/>
            <w:tcBorders>
              <w:right w:val="single" w:sz="8" w:color="auto"/>
            </w:tcBorders>
            <w:shd w:val="clear" w:color="auto" w:fill="F0FFFF"/>
          </w:tcPr>
          <w:p>
            <w:pPr>
              <w:spacing w:after="0"/>
              <w:rPr>
                <w:sz w:val="12"/>
                <w:szCs w:val="12"/>
                <w:color w:val="auto"/>
              </w:rPr>
            </w:pPr>
          </w:p>
        </w:tc>
        <w:tc>
          <w:tcPr>
            <w:tcW w:w="160" w:type="dxa"/>
            <w:vAlign w:val="bottom"/>
            <w:tcBorders>
              <w:right w:val="single" w:sz="8" w:color="F0FFFF"/>
            </w:tcBorders>
            <w:shd w:val="clear" w:color="auto" w:fill="F0FFFF"/>
          </w:tcPr>
          <w:p>
            <w:pPr>
              <w:spacing w:after="0"/>
              <w:rPr>
                <w:sz w:val="12"/>
                <w:szCs w:val="12"/>
                <w:color w:val="auto"/>
              </w:rPr>
            </w:pPr>
          </w:p>
        </w:tc>
        <w:tc>
          <w:tcPr>
            <w:tcW w:w="2100" w:type="dxa"/>
            <w:vAlign w:val="bottom"/>
            <w:tcBorders>
              <w:left w:val="single" w:sz="8" w:color="F0FFFF"/>
              <w:right w:val="single" w:sz="8" w:color="auto"/>
            </w:tcBorders>
            <w:gridSpan w:val="28"/>
            <w:shd w:val="clear" w:color="auto" w:fill="F0FFFF"/>
          </w:tcPr>
          <w:p>
            <w:pPr>
              <w:spacing w:after="0" w:line="142" w:lineRule="exact"/>
              <w:rPr>
                <w:sz w:val="20"/>
                <w:szCs w:val="20"/>
                <w:color w:val="auto"/>
              </w:rPr>
            </w:pPr>
            <w:r>
              <w:rPr>
                <w:rFonts w:ascii="Times New Roman" w:cs="Times New Roman" w:eastAsia="Times New Roman" w:hAnsi="Times New Roman"/>
                <w:sz w:val="13"/>
                <w:szCs w:val="13"/>
                <w:color w:val="auto"/>
              </w:rPr>
              <w:t>Performance Lock to determine the</w:t>
            </w:r>
          </w:p>
        </w:tc>
        <w:tc>
          <w:tcPr>
            <w:tcW w:w="0" w:type="dxa"/>
            <w:vAlign w:val="bottom"/>
          </w:tcPr>
          <w:p>
            <w:pPr>
              <w:spacing w:after="0"/>
              <w:rPr>
                <w:sz w:val="1"/>
                <w:szCs w:val="1"/>
                <w:color w:val="auto"/>
              </w:rPr>
            </w:pPr>
          </w:p>
        </w:tc>
      </w:tr>
      <w:tr>
        <w:trPr>
          <w:trHeight w:val="119"/>
        </w:trPr>
        <w:tc>
          <w:tcPr>
            <w:tcW w:w="1000" w:type="dxa"/>
            <w:vAlign w:val="bottom"/>
            <w:tcBorders>
              <w:top w:val="single" w:sz="8" w:color="F0FFFF"/>
              <w:left w:val="single" w:sz="8" w:color="auto"/>
              <w:right w:val="single" w:sz="8" w:color="auto"/>
            </w:tcBorders>
            <w:shd w:val="clear" w:color="auto" w:fill="F0FFFF"/>
          </w:tcPr>
          <w:p>
            <w:pPr>
              <w:spacing w:after="0"/>
              <w:rPr>
                <w:sz w:val="10"/>
                <w:szCs w:val="10"/>
                <w:color w:val="auto"/>
              </w:rPr>
            </w:pPr>
          </w:p>
        </w:tc>
        <w:tc>
          <w:tcPr>
            <w:tcW w:w="480" w:type="dxa"/>
            <w:vAlign w:val="bottom"/>
            <w:tcBorders>
              <w:top w:val="single" w:sz="8" w:color="F0FFFF"/>
            </w:tcBorders>
            <w:shd w:val="clear" w:color="auto" w:fill="F0FFFF"/>
          </w:tcPr>
          <w:p>
            <w:pPr>
              <w:spacing w:after="0"/>
              <w:rPr>
                <w:sz w:val="10"/>
                <w:szCs w:val="10"/>
                <w:color w:val="auto"/>
              </w:rPr>
            </w:pPr>
          </w:p>
        </w:tc>
        <w:tc>
          <w:tcPr>
            <w:tcW w:w="280" w:type="dxa"/>
            <w:vAlign w:val="bottom"/>
            <w:tcBorders>
              <w:top w:val="single" w:sz="8" w:color="F0FFFF"/>
            </w:tcBorders>
            <w:shd w:val="clear" w:color="auto" w:fill="F0FFFF"/>
          </w:tcPr>
          <w:p>
            <w:pPr>
              <w:spacing w:after="0"/>
              <w:rPr>
                <w:sz w:val="10"/>
                <w:szCs w:val="10"/>
                <w:color w:val="auto"/>
              </w:rPr>
            </w:pPr>
          </w:p>
        </w:tc>
        <w:tc>
          <w:tcPr>
            <w:tcW w:w="120" w:type="dxa"/>
            <w:vAlign w:val="bottom"/>
            <w:tcBorders>
              <w:top w:val="single" w:sz="8" w:color="F0FFFF"/>
            </w:tcBorders>
            <w:shd w:val="clear" w:color="auto" w:fill="F0FFFF"/>
          </w:tcPr>
          <w:p>
            <w:pPr>
              <w:spacing w:after="0"/>
              <w:rPr>
                <w:sz w:val="10"/>
                <w:szCs w:val="10"/>
                <w:color w:val="auto"/>
              </w:rPr>
            </w:pPr>
          </w:p>
        </w:tc>
        <w:tc>
          <w:tcPr>
            <w:tcW w:w="320" w:type="dxa"/>
            <w:vAlign w:val="bottom"/>
            <w:tcBorders>
              <w:top w:val="single" w:sz="8" w:color="F0FFFF"/>
              <w:right w:val="single" w:sz="8" w:color="F0FFFF"/>
            </w:tcBorders>
            <w:shd w:val="clear" w:color="auto" w:fill="F0FFFF"/>
          </w:tcPr>
          <w:p>
            <w:pPr>
              <w:spacing w:after="0"/>
              <w:rPr>
                <w:sz w:val="10"/>
                <w:szCs w:val="10"/>
                <w:color w:val="auto"/>
              </w:rPr>
            </w:pPr>
          </w:p>
        </w:tc>
        <w:tc>
          <w:tcPr>
            <w:tcW w:w="280" w:type="dxa"/>
            <w:vAlign w:val="bottom"/>
            <w:tcBorders>
              <w:top w:val="single" w:sz="8" w:color="F0FFFF"/>
            </w:tcBorders>
            <w:shd w:val="clear" w:color="auto" w:fill="F0FFFF"/>
          </w:tcPr>
          <w:p>
            <w:pPr>
              <w:spacing w:after="0"/>
              <w:rPr>
                <w:sz w:val="10"/>
                <w:szCs w:val="10"/>
                <w:color w:val="auto"/>
              </w:rPr>
            </w:pPr>
          </w:p>
        </w:tc>
        <w:tc>
          <w:tcPr>
            <w:tcW w:w="800" w:type="dxa"/>
            <w:vAlign w:val="bottom"/>
            <w:tcBorders>
              <w:top w:val="single" w:sz="8" w:color="F0FFFF"/>
              <w:right w:val="single" w:sz="8" w:color="auto"/>
            </w:tcBorders>
            <w:shd w:val="clear" w:color="auto" w:fill="F0FFFF"/>
          </w:tcPr>
          <w:p>
            <w:pPr>
              <w:spacing w:after="0"/>
              <w:rPr>
                <w:sz w:val="10"/>
                <w:szCs w:val="10"/>
                <w:color w:val="auto"/>
              </w:rPr>
            </w:pPr>
          </w:p>
        </w:tc>
        <w:tc>
          <w:tcPr>
            <w:tcW w:w="1600" w:type="dxa"/>
            <w:vAlign w:val="bottom"/>
            <w:tcBorders>
              <w:top w:val="single" w:sz="8" w:color="F0FFFF"/>
              <w:right w:val="single" w:sz="8" w:color="auto"/>
            </w:tcBorders>
            <w:shd w:val="clear" w:color="auto" w:fill="F0FFFF"/>
          </w:tcPr>
          <w:p>
            <w:pPr>
              <w:spacing w:after="0"/>
              <w:rPr>
                <w:sz w:val="10"/>
                <w:szCs w:val="10"/>
                <w:color w:val="auto"/>
              </w:rPr>
            </w:pPr>
          </w:p>
        </w:tc>
        <w:tc>
          <w:tcPr>
            <w:tcW w:w="160" w:type="dxa"/>
            <w:vAlign w:val="bottom"/>
            <w:tcBorders>
              <w:top w:val="single" w:sz="8" w:color="F0FFFF"/>
              <w:right w:val="single" w:sz="8" w:color="F0FFFF"/>
            </w:tcBorders>
            <w:shd w:val="clear" w:color="auto" w:fill="F0FFFF"/>
          </w:tcPr>
          <w:p>
            <w:pPr>
              <w:spacing w:after="0"/>
              <w:rPr>
                <w:sz w:val="10"/>
                <w:szCs w:val="10"/>
                <w:color w:val="auto"/>
              </w:rPr>
            </w:pPr>
          </w:p>
        </w:tc>
        <w:tc>
          <w:tcPr>
            <w:tcW w:w="960" w:type="dxa"/>
            <w:vAlign w:val="bottom"/>
            <w:tcBorders>
              <w:top w:val="single" w:sz="8" w:color="auto"/>
              <w:left w:val="single" w:sz="8" w:color="F0FFFF"/>
            </w:tcBorders>
            <w:gridSpan w:val="10"/>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auto"/>
                <w:w w:val="97"/>
              </w:rPr>
              <w:t>Performance Lock</w:t>
            </w:r>
          </w:p>
        </w:tc>
        <w:tc>
          <w:tcPr>
            <w:tcW w:w="1140" w:type="dxa"/>
            <w:vAlign w:val="bottom"/>
            <w:tcBorders>
              <w:top w:val="single" w:sz="8" w:color="F0FFFF"/>
              <w:right w:val="single" w:sz="8" w:color="auto"/>
            </w:tcBorders>
            <w:gridSpan w:val="18"/>
            <w:shd w:val="clear" w:color="auto" w:fill="F0FFFF"/>
          </w:tcPr>
          <w:p>
            <w:pPr>
              <w:jc w:val="right"/>
              <w:ind w:right="760"/>
              <w:spacing w:after="0" w:line="119" w:lineRule="exact"/>
              <w:rPr>
                <w:sz w:val="20"/>
                <w:szCs w:val="20"/>
                <w:color w:val="auto"/>
              </w:rPr>
            </w:pPr>
            <w:r>
              <w:rPr>
                <w:rFonts w:ascii="Times New Roman" w:cs="Times New Roman" w:eastAsia="Times New Roman" w:hAnsi="Times New Roman"/>
                <w:sz w:val="13"/>
                <w:szCs w:val="13"/>
                <w:color w:val="auto"/>
              </w:rPr>
              <w:t>Value.</w:t>
            </w:r>
          </w:p>
        </w:tc>
        <w:tc>
          <w:tcPr>
            <w:tcW w:w="0" w:type="dxa"/>
            <w:vAlign w:val="bottom"/>
          </w:tcPr>
          <w:p>
            <w:pPr>
              <w:spacing w:after="0"/>
              <w:rPr>
                <w:sz w:val="1"/>
                <w:szCs w:val="1"/>
                <w:color w:val="auto"/>
              </w:rPr>
            </w:pPr>
          </w:p>
        </w:tc>
      </w:tr>
      <w:tr>
        <w:trPr>
          <w:trHeight w:val="136"/>
        </w:trPr>
        <w:tc>
          <w:tcPr>
            <w:tcW w:w="1000" w:type="dxa"/>
            <w:vAlign w:val="bottom"/>
            <w:tcBorders>
              <w:top w:val="single" w:sz="8" w:color="F0FFFF"/>
              <w:left w:val="single" w:sz="8" w:color="auto"/>
              <w:right w:val="single" w:sz="8" w:color="auto"/>
            </w:tcBorders>
            <w:shd w:val="clear" w:color="auto" w:fill="F0FFFF"/>
          </w:tcPr>
          <w:p>
            <w:pPr>
              <w:spacing w:after="0"/>
              <w:rPr>
                <w:sz w:val="11"/>
                <w:szCs w:val="11"/>
                <w:color w:val="auto"/>
              </w:rPr>
            </w:pPr>
          </w:p>
        </w:tc>
        <w:tc>
          <w:tcPr>
            <w:tcW w:w="480" w:type="dxa"/>
            <w:vAlign w:val="bottom"/>
            <w:tcBorders>
              <w:top w:val="single" w:sz="8" w:color="F0FFFF"/>
            </w:tcBorders>
            <w:shd w:val="clear" w:color="auto" w:fill="F0FFFF"/>
          </w:tcPr>
          <w:p>
            <w:pPr>
              <w:spacing w:after="0"/>
              <w:rPr>
                <w:sz w:val="11"/>
                <w:szCs w:val="11"/>
                <w:color w:val="auto"/>
              </w:rPr>
            </w:pPr>
          </w:p>
        </w:tc>
        <w:tc>
          <w:tcPr>
            <w:tcW w:w="280" w:type="dxa"/>
            <w:vAlign w:val="bottom"/>
            <w:tcBorders>
              <w:top w:val="single" w:sz="8" w:color="F0FFFF"/>
            </w:tcBorders>
            <w:shd w:val="clear" w:color="auto" w:fill="F0FFFF"/>
          </w:tcPr>
          <w:p>
            <w:pPr>
              <w:spacing w:after="0"/>
              <w:rPr>
                <w:sz w:val="11"/>
                <w:szCs w:val="11"/>
                <w:color w:val="auto"/>
              </w:rPr>
            </w:pPr>
          </w:p>
        </w:tc>
        <w:tc>
          <w:tcPr>
            <w:tcW w:w="120" w:type="dxa"/>
            <w:vAlign w:val="bottom"/>
            <w:tcBorders>
              <w:top w:val="single" w:sz="8" w:color="F0FFFF"/>
            </w:tcBorders>
            <w:shd w:val="clear" w:color="auto" w:fill="F0FFFF"/>
          </w:tcPr>
          <w:p>
            <w:pPr>
              <w:spacing w:after="0"/>
              <w:rPr>
                <w:sz w:val="11"/>
                <w:szCs w:val="11"/>
                <w:color w:val="auto"/>
              </w:rPr>
            </w:pPr>
          </w:p>
        </w:tc>
        <w:tc>
          <w:tcPr>
            <w:tcW w:w="320" w:type="dxa"/>
            <w:vAlign w:val="bottom"/>
            <w:tcBorders>
              <w:top w:val="single" w:sz="8" w:color="F0FFFF"/>
              <w:right w:val="single" w:sz="8" w:color="F0FFFF"/>
            </w:tcBorders>
            <w:shd w:val="clear" w:color="auto" w:fill="F0FFFF"/>
          </w:tcPr>
          <w:p>
            <w:pPr>
              <w:spacing w:after="0"/>
              <w:rPr>
                <w:sz w:val="11"/>
                <w:szCs w:val="11"/>
                <w:color w:val="auto"/>
              </w:rPr>
            </w:pPr>
          </w:p>
        </w:tc>
        <w:tc>
          <w:tcPr>
            <w:tcW w:w="280" w:type="dxa"/>
            <w:vAlign w:val="bottom"/>
            <w:tcBorders>
              <w:top w:val="single" w:sz="8" w:color="F0FFFF"/>
            </w:tcBorders>
            <w:shd w:val="clear" w:color="auto" w:fill="F0FFFF"/>
          </w:tcPr>
          <w:p>
            <w:pPr>
              <w:spacing w:after="0"/>
              <w:rPr>
                <w:sz w:val="11"/>
                <w:szCs w:val="11"/>
                <w:color w:val="auto"/>
              </w:rPr>
            </w:pPr>
          </w:p>
        </w:tc>
        <w:tc>
          <w:tcPr>
            <w:tcW w:w="800" w:type="dxa"/>
            <w:vAlign w:val="bottom"/>
            <w:tcBorders>
              <w:top w:val="single" w:sz="8" w:color="F0FFFF"/>
              <w:right w:val="single" w:sz="8" w:color="auto"/>
            </w:tcBorders>
            <w:shd w:val="clear" w:color="auto" w:fill="F0FFFF"/>
          </w:tcPr>
          <w:p>
            <w:pPr>
              <w:spacing w:after="0"/>
              <w:rPr>
                <w:sz w:val="11"/>
                <w:szCs w:val="11"/>
                <w:color w:val="auto"/>
              </w:rPr>
            </w:pPr>
          </w:p>
        </w:tc>
        <w:tc>
          <w:tcPr>
            <w:tcW w:w="1600" w:type="dxa"/>
            <w:vAlign w:val="bottom"/>
            <w:tcBorders>
              <w:top w:val="single" w:sz="8" w:color="F0FFFF"/>
              <w:right w:val="single" w:sz="8" w:color="auto"/>
            </w:tcBorders>
            <w:shd w:val="clear" w:color="auto" w:fill="F0FFFF"/>
          </w:tcPr>
          <w:p>
            <w:pPr>
              <w:spacing w:after="0"/>
              <w:rPr>
                <w:sz w:val="11"/>
                <w:szCs w:val="11"/>
                <w:color w:val="auto"/>
              </w:rPr>
            </w:pPr>
          </w:p>
        </w:tc>
        <w:tc>
          <w:tcPr>
            <w:tcW w:w="160" w:type="dxa"/>
            <w:vAlign w:val="bottom"/>
            <w:tcBorders>
              <w:top w:val="single" w:sz="8" w:color="F0FFFF"/>
              <w:right w:val="single" w:sz="8" w:color="F0FFFF"/>
            </w:tcBorders>
            <w:shd w:val="clear" w:color="auto" w:fill="F0FFFF"/>
          </w:tcPr>
          <w:p>
            <w:pPr>
              <w:ind w:left="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top w:val="single" w:sz="8" w:color="auto"/>
              <w:left w:val="single" w:sz="8" w:color="F0FFFF"/>
              <w:right w:val="single" w:sz="8" w:color="F0FFFF"/>
            </w:tcBorders>
            <w:gridSpan w:val="19"/>
            <w:shd w:val="clear" w:color="auto" w:fill="F0FFFF"/>
          </w:tcPr>
          <w:p>
            <w:pPr>
              <w:spacing w:after="0" w:line="136" w:lineRule="exact"/>
              <w:rPr>
                <w:sz w:val="20"/>
                <w:szCs w:val="20"/>
                <w:color w:val="auto"/>
              </w:rPr>
            </w:pPr>
            <w:r>
              <w:rPr>
                <w:rFonts w:ascii="Times New Roman" w:cs="Times New Roman" w:eastAsia="Times New Roman" w:hAnsi="Times New Roman"/>
                <w:sz w:val="13"/>
                <w:szCs w:val="13"/>
                <w:color w:val="auto"/>
              </w:rPr>
              <w:t>You will not be able to</w:t>
            </w:r>
          </w:p>
        </w:tc>
        <w:tc>
          <w:tcPr>
            <w:tcW w:w="780" w:type="dxa"/>
            <w:vAlign w:val="bottom"/>
            <w:tcBorders>
              <w:top w:val="single" w:sz="8" w:color="F0FFFF"/>
              <w:right w:val="single" w:sz="8" w:color="auto"/>
            </w:tcBorders>
            <w:gridSpan w:val="9"/>
            <w:shd w:val="clear" w:color="auto" w:fill="F0FFFF"/>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w w:val="82"/>
              </w:rPr>
              <w:t>determine in</w:t>
            </w:r>
          </w:p>
        </w:tc>
        <w:tc>
          <w:tcPr>
            <w:tcW w:w="0" w:type="dxa"/>
            <w:vAlign w:val="bottom"/>
          </w:tcPr>
          <w:p>
            <w:pPr>
              <w:spacing w:after="0"/>
              <w:rPr>
                <w:sz w:val="1"/>
                <w:szCs w:val="1"/>
                <w:color w:val="auto"/>
              </w:rPr>
            </w:pPr>
          </w:p>
        </w:tc>
      </w:tr>
      <w:tr>
        <w:trPr>
          <w:trHeight w:val="142"/>
        </w:trPr>
        <w:tc>
          <w:tcPr>
            <w:tcW w:w="1000" w:type="dxa"/>
            <w:vAlign w:val="bottom"/>
            <w:tcBorders>
              <w:left w:val="single" w:sz="8" w:color="auto"/>
              <w:right w:val="single" w:sz="8" w:color="auto"/>
            </w:tcBorders>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320" w:type="dxa"/>
            <w:vAlign w:val="bottom"/>
            <w:tcBorders>
              <w:right w:val="single" w:sz="8" w:color="F0FFFF"/>
            </w:tcBorders>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800" w:type="dxa"/>
            <w:vAlign w:val="bottom"/>
            <w:tcBorders>
              <w:right w:val="single" w:sz="8" w:color="auto"/>
            </w:tcBorders>
            <w:shd w:val="clear" w:color="auto" w:fill="F0FFFF"/>
          </w:tcPr>
          <w:p>
            <w:pPr>
              <w:spacing w:after="0"/>
              <w:rPr>
                <w:sz w:val="12"/>
                <w:szCs w:val="12"/>
                <w:color w:val="auto"/>
              </w:rPr>
            </w:pPr>
          </w:p>
        </w:tc>
        <w:tc>
          <w:tcPr>
            <w:tcW w:w="1600" w:type="dxa"/>
            <w:vAlign w:val="bottom"/>
            <w:tcBorders>
              <w:right w:val="single" w:sz="8" w:color="auto"/>
            </w:tcBorders>
            <w:shd w:val="clear" w:color="auto" w:fill="F0FFFF"/>
          </w:tcPr>
          <w:p>
            <w:pPr>
              <w:spacing w:after="0"/>
              <w:rPr>
                <w:sz w:val="12"/>
                <w:szCs w:val="12"/>
                <w:color w:val="auto"/>
              </w:rPr>
            </w:pPr>
          </w:p>
        </w:tc>
        <w:tc>
          <w:tcPr>
            <w:tcW w:w="160" w:type="dxa"/>
            <w:vAlign w:val="bottom"/>
            <w:tcBorders>
              <w:right w:val="single" w:sz="8" w:color="F0FFFF"/>
            </w:tcBorders>
            <w:shd w:val="clear" w:color="auto" w:fill="F0FFFF"/>
          </w:tcPr>
          <w:p>
            <w:pPr>
              <w:spacing w:after="0"/>
              <w:rPr>
                <w:sz w:val="12"/>
                <w:szCs w:val="12"/>
                <w:color w:val="auto"/>
              </w:rPr>
            </w:pPr>
          </w:p>
        </w:tc>
        <w:tc>
          <w:tcPr>
            <w:tcW w:w="2100" w:type="dxa"/>
            <w:vAlign w:val="bottom"/>
            <w:tcBorders>
              <w:left w:val="single" w:sz="8" w:color="F0FFFF"/>
              <w:right w:val="single" w:sz="8" w:color="auto"/>
            </w:tcBorders>
            <w:gridSpan w:val="28"/>
            <w:shd w:val="clear" w:color="auto" w:fill="F0FFFF"/>
          </w:tcPr>
          <w:p>
            <w:pPr>
              <w:spacing w:after="0" w:line="142" w:lineRule="exact"/>
              <w:rPr>
                <w:sz w:val="20"/>
                <w:szCs w:val="20"/>
                <w:color w:val="auto"/>
              </w:rPr>
            </w:pPr>
            <w:r>
              <w:rPr>
                <w:rFonts w:ascii="Times New Roman" w:cs="Times New Roman" w:eastAsia="Times New Roman" w:hAnsi="Times New Roman"/>
                <w:sz w:val="13"/>
                <w:szCs w:val="13"/>
                <w:color w:val="auto"/>
              </w:rPr>
              <w:t>advance the Performance Lock Value,</w:t>
            </w:r>
          </w:p>
        </w:tc>
        <w:tc>
          <w:tcPr>
            <w:tcW w:w="0" w:type="dxa"/>
            <w:vAlign w:val="bottom"/>
          </w:tcPr>
          <w:p>
            <w:pPr>
              <w:spacing w:after="0"/>
              <w:rPr>
                <w:sz w:val="1"/>
                <w:szCs w:val="1"/>
                <w:color w:val="auto"/>
              </w:rPr>
            </w:pPr>
          </w:p>
        </w:tc>
      </w:tr>
      <w:tr>
        <w:trPr>
          <w:trHeight w:val="20"/>
        </w:trPr>
        <w:tc>
          <w:tcPr>
            <w:tcW w:w="100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480" w:type="dxa"/>
            <w:vAlign w:val="bottom"/>
            <w:shd w:val="clear" w:color="auto" w:fill="F0FFFF"/>
          </w:tcPr>
          <w:p>
            <w:pPr>
              <w:spacing w:after="0" w:line="20" w:lineRule="exact"/>
              <w:rPr>
                <w:sz w:val="1"/>
                <w:szCs w:val="1"/>
                <w:color w:val="auto"/>
              </w:rPr>
            </w:pPr>
          </w:p>
        </w:tc>
        <w:tc>
          <w:tcPr>
            <w:tcW w:w="28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shd w:val="clear" w:color="auto" w:fill="F0FFFF"/>
          </w:tcPr>
          <w:p>
            <w:pPr>
              <w:spacing w:after="0" w:line="20" w:lineRule="exact"/>
              <w:rPr>
                <w:sz w:val="1"/>
                <w:szCs w:val="1"/>
                <w:color w:val="auto"/>
              </w:rPr>
            </w:pPr>
          </w:p>
        </w:tc>
        <w:tc>
          <w:tcPr>
            <w:tcW w:w="800" w:type="dxa"/>
            <w:vAlign w:val="bottom"/>
            <w:tcBorders>
              <w:right w:val="single" w:sz="8" w:color="auto"/>
            </w:tcBorders>
            <w:shd w:val="clear" w:color="auto" w:fill="F0FFFF"/>
          </w:tcPr>
          <w:p>
            <w:pPr>
              <w:spacing w:after="0" w:line="20" w:lineRule="exact"/>
              <w:rPr>
                <w:sz w:val="1"/>
                <w:szCs w:val="1"/>
                <w:color w:val="auto"/>
              </w:rPr>
            </w:pPr>
          </w:p>
        </w:tc>
        <w:tc>
          <w:tcPr>
            <w:tcW w:w="1600" w:type="dxa"/>
            <w:vAlign w:val="bottom"/>
            <w:tcBorders>
              <w:right w:val="single" w:sz="8" w:color="auto"/>
            </w:tcBorders>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120" w:type="dxa"/>
            <w:vAlign w:val="bottom"/>
            <w:tcBorders>
              <w:left w:val="single" w:sz="8" w:color="F0FFFF"/>
            </w:tcBorders>
            <w:shd w:val="clear" w:color="auto" w:fill="F0FFFF"/>
          </w:tcPr>
          <w:p>
            <w:pPr>
              <w:spacing w:after="0" w:line="20" w:lineRule="exact"/>
              <w:rPr>
                <w:sz w:val="1"/>
                <w:szCs w:val="1"/>
                <w:color w:val="auto"/>
              </w:rPr>
            </w:pPr>
          </w:p>
        </w:tc>
        <w:tc>
          <w:tcPr>
            <w:tcW w:w="200" w:type="dxa"/>
            <w:vAlign w:val="bottom"/>
            <w:tcBorders>
              <w:right w:val="single" w:sz="8" w:color="F0FFFF"/>
            </w:tcBorders>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220" w:type="dxa"/>
            <w:vAlign w:val="bottom"/>
            <w:tcBorders>
              <w:right w:val="single" w:sz="8" w:color="auto"/>
            </w:tcBorders>
            <w:gridSpan w:val="2"/>
            <w:shd w:val="clear" w:color="auto" w:fill="F0FF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1000" w:type="dxa"/>
            <w:vAlign w:val="bottom"/>
            <w:tcBorders>
              <w:left w:val="single" w:sz="8" w:color="auto"/>
              <w:right w:val="single" w:sz="8" w:color="auto"/>
            </w:tcBorders>
            <w:shd w:val="clear" w:color="auto" w:fill="F0FFFF"/>
          </w:tcPr>
          <w:p>
            <w:pPr>
              <w:spacing w:after="0"/>
              <w:rPr>
                <w:sz w:val="10"/>
                <w:szCs w:val="10"/>
                <w:color w:val="auto"/>
              </w:rPr>
            </w:pPr>
          </w:p>
        </w:tc>
        <w:tc>
          <w:tcPr>
            <w:tcW w:w="480" w:type="dxa"/>
            <w:vAlign w:val="bottom"/>
            <w:shd w:val="clear" w:color="auto" w:fill="F0FFFF"/>
          </w:tcPr>
          <w:p>
            <w:pPr>
              <w:spacing w:after="0"/>
              <w:rPr>
                <w:sz w:val="10"/>
                <w:szCs w:val="10"/>
                <w:color w:val="auto"/>
              </w:rPr>
            </w:pPr>
          </w:p>
        </w:tc>
        <w:tc>
          <w:tcPr>
            <w:tcW w:w="28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320" w:type="dxa"/>
            <w:vAlign w:val="bottom"/>
            <w:tcBorders>
              <w:right w:val="single" w:sz="8" w:color="F0FFFF"/>
            </w:tcBorders>
            <w:shd w:val="clear" w:color="auto" w:fill="F0FFFF"/>
          </w:tcPr>
          <w:p>
            <w:pPr>
              <w:spacing w:after="0"/>
              <w:rPr>
                <w:sz w:val="10"/>
                <w:szCs w:val="10"/>
                <w:color w:val="auto"/>
              </w:rPr>
            </w:pPr>
          </w:p>
        </w:tc>
        <w:tc>
          <w:tcPr>
            <w:tcW w:w="280" w:type="dxa"/>
            <w:vAlign w:val="bottom"/>
            <w:shd w:val="clear" w:color="auto" w:fill="F0FFFF"/>
          </w:tcPr>
          <w:p>
            <w:pPr>
              <w:spacing w:after="0"/>
              <w:rPr>
                <w:sz w:val="10"/>
                <w:szCs w:val="10"/>
                <w:color w:val="auto"/>
              </w:rPr>
            </w:pPr>
          </w:p>
        </w:tc>
        <w:tc>
          <w:tcPr>
            <w:tcW w:w="800" w:type="dxa"/>
            <w:vAlign w:val="bottom"/>
            <w:tcBorders>
              <w:right w:val="single" w:sz="8" w:color="auto"/>
            </w:tcBorders>
            <w:shd w:val="clear" w:color="auto" w:fill="F0FFFF"/>
          </w:tcPr>
          <w:p>
            <w:pPr>
              <w:spacing w:after="0"/>
              <w:rPr>
                <w:sz w:val="10"/>
                <w:szCs w:val="10"/>
                <w:color w:val="auto"/>
              </w:rPr>
            </w:pPr>
          </w:p>
        </w:tc>
        <w:tc>
          <w:tcPr>
            <w:tcW w:w="1600" w:type="dxa"/>
            <w:vAlign w:val="bottom"/>
            <w:tcBorders>
              <w:right w:val="single" w:sz="8" w:color="auto"/>
            </w:tcBorders>
            <w:shd w:val="clear" w:color="auto" w:fill="F0FFFF"/>
          </w:tcPr>
          <w:p>
            <w:pPr>
              <w:spacing w:after="0"/>
              <w:rPr>
                <w:sz w:val="10"/>
                <w:szCs w:val="10"/>
                <w:color w:val="auto"/>
              </w:rPr>
            </w:pPr>
          </w:p>
        </w:tc>
        <w:tc>
          <w:tcPr>
            <w:tcW w:w="160" w:type="dxa"/>
            <w:vAlign w:val="bottom"/>
            <w:tcBorders>
              <w:right w:val="single" w:sz="8" w:color="F0FFFF"/>
            </w:tcBorders>
            <w:shd w:val="clear" w:color="auto" w:fill="F0FFFF"/>
          </w:tcPr>
          <w:p>
            <w:pPr>
              <w:spacing w:after="0"/>
              <w:rPr>
                <w:sz w:val="10"/>
                <w:szCs w:val="10"/>
                <w:color w:val="auto"/>
              </w:rPr>
            </w:pPr>
          </w:p>
        </w:tc>
        <w:tc>
          <w:tcPr>
            <w:tcW w:w="2100" w:type="dxa"/>
            <w:vAlign w:val="bottom"/>
            <w:tcBorders>
              <w:left w:val="single" w:sz="8" w:color="F0FFFF"/>
              <w:right w:val="single" w:sz="8" w:color="auto"/>
            </w:tcBorders>
            <w:gridSpan w:val="28"/>
            <w:shd w:val="clear" w:color="auto" w:fill="F0FFFF"/>
          </w:tcPr>
          <w:p>
            <w:pPr>
              <w:spacing w:after="0" w:line="126" w:lineRule="exact"/>
              <w:rPr>
                <w:sz w:val="20"/>
                <w:szCs w:val="20"/>
                <w:color w:val="auto"/>
              </w:rPr>
            </w:pPr>
            <w:r>
              <w:rPr>
                <w:rFonts w:ascii="Times New Roman" w:cs="Times New Roman" w:eastAsia="Times New Roman" w:hAnsi="Times New Roman"/>
                <w:sz w:val="13"/>
                <w:szCs w:val="13"/>
                <w:color w:val="auto"/>
              </w:rPr>
              <w:t>and it may be higher or lower than it</w:t>
            </w:r>
          </w:p>
        </w:tc>
        <w:tc>
          <w:tcPr>
            <w:tcW w:w="0" w:type="dxa"/>
            <w:vAlign w:val="bottom"/>
          </w:tcPr>
          <w:p>
            <w:pPr>
              <w:spacing w:after="0"/>
              <w:rPr>
                <w:sz w:val="1"/>
                <w:szCs w:val="1"/>
                <w:color w:val="auto"/>
              </w:rPr>
            </w:pPr>
          </w:p>
        </w:tc>
      </w:tr>
      <w:tr>
        <w:trPr>
          <w:trHeight w:val="149"/>
        </w:trPr>
        <w:tc>
          <w:tcPr>
            <w:tcW w:w="1000" w:type="dxa"/>
            <w:vAlign w:val="bottom"/>
            <w:tcBorders>
              <w:left w:val="single" w:sz="8" w:color="auto"/>
              <w:right w:val="single" w:sz="8" w:color="auto"/>
            </w:tcBorders>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320" w:type="dxa"/>
            <w:vAlign w:val="bottom"/>
            <w:tcBorders>
              <w:right w:val="single" w:sz="8" w:color="F0FFFF"/>
            </w:tcBorders>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800" w:type="dxa"/>
            <w:vAlign w:val="bottom"/>
            <w:tcBorders>
              <w:right w:val="single" w:sz="8" w:color="auto"/>
            </w:tcBorders>
            <w:shd w:val="clear" w:color="auto" w:fill="F0FFFF"/>
          </w:tcPr>
          <w:p>
            <w:pPr>
              <w:spacing w:after="0"/>
              <w:rPr>
                <w:sz w:val="12"/>
                <w:szCs w:val="12"/>
                <w:color w:val="auto"/>
              </w:rPr>
            </w:pPr>
          </w:p>
        </w:tc>
        <w:tc>
          <w:tcPr>
            <w:tcW w:w="1600" w:type="dxa"/>
            <w:vAlign w:val="bottom"/>
            <w:tcBorders>
              <w:right w:val="single" w:sz="8" w:color="auto"/>
            </w:tcBorders>
            <w:shd w:val="clear" w:color="auto" w:fill="F0FFFF"/>
          </w:tcPr>
          <w:p>
            <w:pPr>
              <w:spacing w:after="0"/>
              <w:rPr>
                <w:sz w:val="12"/>
                <w:szCs w:val="12"/>
                <w:color w:val="auto"/>
              </w:rPr>
            </w:pPr>
          </w:p>
        </w:tc>
        <w:tc>
          <w:tcPr>
            <w:tcW w:w="160" w:type="dxa"/>
            <w:vAlign w:val="bottom"/>
            <w:tcBorders>
              <w:right w:val="single" w:sz="8" w:color="F0FFFF"/>
            </w:tcBorders>
            <w:shd w:val="clear" w:color="auto" w:fill="F0FFFF"/>
          </w:tcPr>
          <w:p>
            <w:pPr>
              <w:spacing w:after="0"/>
              <w:rPr>
                <w:sz w:val="12"/>
                <w:szCs w:val="12"/>
                <w:color w:val="auto"/>
              </w:rPr>
            </w:pPr>
          </w:p>
        </w:tc>
        <w:tc>
          <w:tcPr>
            <w:tcW w:w="2100" w:type="dxa"/>
            <w:vAlign w:val="bottom"/>
            <w:tcBorders>
              <w:left w:val="single" w:sz="8" w:color="F0FFFF"/>
              <w:right w:val="single" w:sz="8" w:color="auto"/>
            </w:tcBorders>
            <w:gridSpan w:val="28"/>
            <w:shd w:val="clear" w:color="auto" w:fill="F0FFFF"/>
          </w:tcPr>
          <w:p>
            <w:pPr>
              <w:spacing w:after="0"/>
              <w:rPr>
                <w:sz w:val="20"/>
                <w:szCs w:val="20"/>
                <w:color w:val="auto"/>
              </w:rPr>
            </w:pPr>
            <w:r>
              <w:rPr>
                <w:rFonts w:ascii="Times New Roman" w:cs="Times New Roman" w:eastAsia="Times New Roman" w:hAnsi="Times New Roman"/>
                <w:sz w:val="13"/>
                <w:szCs w:val="13"/>
                <w:color w:val="auto"/>
              </w:rPr>
              <w:t>was at the point in time you requested</w:t>
            </w:r>
          </w:p>
        </w:tc>
        <w:tc>
          <w:tcPr>
            <w:tcW w:w="0" w:type="dxa"/>
            <w:vAlign w:val="bottom"/>
          </w:tcPr>
          <w:p>
            <w:pPr>
              <w:spacing w:after="0"/>
              <w:rPr>
                <w:sz w:val="1"/>
                <w:szCs w:val="1"/>
                <w:color w:val="auto"/>
              </w:rPr>
            </w:pPr>
          </w:p>
        </w:tc>
      </w:tr>
      <w:tr>
        <w:trPr>
          <w:trHeight w:val="142"/>
        </w:trPr>
        <w:tc>
          <w:tcPr>
            <w:tcW w:w="1000" w:type="dxa"/>
            <w:vAlign w:val="bottom"/>
            <w:tcBorders>
              <w:left w:val="single" w:sz="8" w:color="auto"/>
              <w:right w:val="single" w:sz="8" w:color="auto"/>
            </w:tcBorders>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320" w:type="dxa"/>
            <w:vAlign w:val="bottom"/>
            <w:tcBorders>
              <w:right w:val="single" w:sz="8" w:color="F0FFFF"/>
            </w:tcBorders>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800" w:type="dxa"/>
            <w:vAlign w:val="bottom"/>
            <w:tcBorders>
              <w:right w:val="single" w:sz="8" w:color="auto"/>
            </w:tcBorders>
            <w:shd w:val="clear" w:color="auto" w:fill="F0FFFF"/>
          </w:tcPr>
          <w:p>
            <w:pPr>
              <w:spacing w:after="0"/>
              <w:rPr>
                <w:sz w:val="12"/>
                <w:szCs w:val="12"/>
                <w:color w:val="auto"/>
              </w:rPr>
            </w:pPr>
          </w:p>
        </w:tc>
        <w:tc>
          <w:tcPr>
            <w:tcW w:w="1600" w:type="dxa"/>
            <w:vAlign w:val="bottom"/>
            <w:tcBorders>
              <w:right w:val="single" w:sz="8" w:color="auto"/>
            </w:tcBorders>
            <w:shd w:val="clear" w:color="auto" w:fill="F0FFFF"/>
          </w:tcPr>
          <w:p>
            <w:pPr>
              <w:spacing w:after="0"/>
              <w:rPr>
                <w:sz w:val="12"/>
                <w:szCs w:val="12"/>
                <w:color w:val="auto"/>
              </w:rPr>
            </w:pPr>
          </w:p>
        </w:tc>
        <w:tc>
          <w:tcPr>
            <w:tcW w:w="160" w:type="dxa"/>
            <w:vAlign w:val="bottom"/>
            <w:tcBorders>
              <w:right w:val="single" w:sz="8" w:color="F0FFFF"/>
            </w:tcBorders>
            <w:shd w:val="clear" w:color="auto" w:fill="F0FFFF"/>
          </w:tcPr>
          <w:p>
            <w:pPr>
              <w:spacing w:after="0"/>
              <w:rPr>
                <w:sz w:val="12"/>
                <w:szCs w:val="12"/>
                <w:color w:val="auto"/>
              </w:rPr>
            </w:pPr>
          </w:p>
        </w:tc>
        <w:tc>
          <w:tcPr>
            <w:tcW w:w="2100" w:type="dxa"/>
            <w:vAlign w:val="bottom"/>
            <w:tcBorders>
              <w:left w:val="single" w:sz="8" w:color="F0FFFF"/>
              <w:right w:val="single" w:sz="8" w:color="auto"/>
            </w:tcBorders>
            <w:gridSpan w:val="28"/>
            <w:shd w:val="clear" w:color="auto" w:fill="F0FFFF"/>
          </w:tcPr>
          <w:p>
            <w:pPr>
              <w:spacing w:after="0" w:line="142" w:lineRule="exact"/>
              <w:rPr>
                <w:sz w:val="20"/>
                <w:szCs w:val="20"/>
                <w:color w:val="auto"/>
              </w:rPr>
            </w:pPr>
            <w:r>
              <w:rPr>
                <w:rFonts w:ascii="Times New Roman" w:cs="Times New Roman" w:eastAsia="Times New Roman" w:hAnsi="Times New Roman"/>
                <w:sz w:val="13"/>
                <w:szCs w:val="13"/>
                <w:color w:val="auto"/>
              </w:rPr>
              <w:t>the Performance Lock.</w:t>
            </w:r>
          </w:p>
        </w:tc>
        <w:tc>
          <w:tcPr>
            <w:tcW w:w="0" w:type="dxa"/>
            <w:vAlign w:val="bottom"/>
          </w:tcPr>
          <w:p>
            <w:pPr>
              <w:spacing w:after="0"/>
              <w:rPr>
                <w:sz w:val="1"/>
                <w:szCs w:val="1"/>
                <w:color w:val="auto"/>
              </w:rPr>
            </w:pPr>
          </w:p>
        </w:tc>
      </w:tr>
      <w:tr>
        <w:trPr>
          <w:trHeight w:val="126"/>
        </w:trPr>
        <w:tc>
          <w:tcPr>
            <w:tcW w:w="1000" w:type="dxa"/>
            <w:vAlign w:val="bottom"/>
            <w:tcBorders>
              <w:top w:val="single" w:sz="8" w:color="F0FFFF"/>
              <w:left w:val="single" w:sz="8" w:color="auto"/>
              <w:right w:val="single" w:sz="8" w:color="auto"/>
            </w:tcBorders>
            <w:shd w:val="clear" w:color="auto" w:fill="F0FFFF"/>
          </w:tcPr>
          <w:p>
            <w:pPr>
              <w:spacing w:after="0"/>
              <w:rPr>
                <w:sz w:val="10"/>
                <w:szCs w:val="10"/>
                <w:color w:val="auto"/>
              </w:rPr>
            </w:pPr>
          </w:p>
        </w:tc>
        <w:tc>
          <w:tcPr>
            <w:tcW w:w="480" w:type="dxa"/>
            <w:vAlign w:val="bottom"/>
            <w:tcBorders>
              <w:top w:val="single" w:sz="8" w:color="F0FFFF"/>
            </w:tcBorders>
            <w:shd w:val="clear" w:color="auto" w:fill="F0FFFF"/>
          </w:tcPr>
          <w:p>
            <w:pPr>
              <w:spacing w:after="0"/>
              <w:rPr>
                <w:sz w:val="10"/>
                <w:szCs w:val="10"/>
                <w:color w:val="auto"/>
              </w:rPr>
            </w:pPr>
          </w:p>
        </w:tc>
        <w:tc>
          <w:tcPr>
            <w:tcW w:w="280" w:type="dxa"/>
            <w:vAlign w:val="bottom"/>
            <w:tcBorders>
              <w:top w:val="single" w:sz="8" w:color="F0FFFF"/>
            </w:tcBorders>
            <w:shd w:val="clear" w:color="auto" w:fill="F0FFFF"/>
          </w:tcPr>
          <w:p>
            <w:pPr>
              <w:spacing w:after="0"/>
              <w:rPr>
                <w:sz w:val="10"/>
                <w:szCs w:val="10"/>
                <w:color w:val="auto"/>
              </w:rPr>
            </w:pPr>
          </w:p>
        </w:tc>
        <w:tc>
          <w:tcPr>
            <w:tcW w:w="120" w:type="dxa"/>
            <w:vAlign w:val="bottom"/>
            <w:tcBorders>
              <w:top w:val="single" w:sz="8" w:color="F0FFFF"/>
            </w:tcBorders>
            <w:shd w:val="clear" w:color="auto" w:fill="F0FFFF"/>
          </w:tcPr>
          <w:p>
            <w:pPr>
              <w:spacing w:after="0"/>
              <w:rPr>
                <w:sz w:val="10"/>
                <w:szCs w:val="10"/>
                <w:color w:val="auto"/>
              </w:rPr>
            </w:pPr>
          </w:p>
        </w:tc>
        <w:tc>
          <w:tcPr>
            <w:tcW w:w="320" w:type="dxa"/>
            <w:vAlign w:val="bottom"/>
            <w:tcBorders>
              <w:top w:val="single" w:sz="8" w:color="F0FFFF"/>
              <w:right w:val="single" w:sz="8" w:color="F0FFFF"/>
            </w:tcBorders>
            <w:shd w:val="clear" w:color="auto" w:fill="F0FFFF"/>
          </w:tcPr>
          <w:p>
            <w:pPr>
              <w:spacing w:after="0"/>
              <w:rPr>
                <w:sz w:val="10"/>
                <w:szCs w:val="10"/>
                <w:color w:val="auto"/>
              </w:rPr>
            </w:pPr>
          </w:p>
        </w:tc>
        <w:tc>
          <w:tcPr>
            <w:tcW w:w="280" w:type="dxa"/>
            <w:vAlign w:val="bottom"/>
            <w:tcBorders>
              <w:top w:val="single" w:sz="8" w:color="F0FFFF"/>
            </w:tcBorders>
            <w:shd w:val="clear" w:color="auto" w:fill="F0FFFF"/>
          </w:tcPr>
          <w:p>
            <w:pPr>
              <w:spacing w:after="0"/>
              <w:rPr>
                <w:sz w:val="10"/>
                <w:szCs w:val="10"/>
                <w:color w:val="auto"/>
              </w:rPr>
            </w:pPr>
          </w:p>
        </w:tc>
        <w:tc>
          <w:tcPr>
            <w:tcW w:w="800" w:type="dxa"/>
            <w:vAlign w:val="bottom"/>
            <w:tcBorders>
              <w:top w:val="single" w:sz="8" w:color="F0FFFF"/>
              <w:right w:val="single" w:sz="8" w:color="auto"/>
            </w:tcBorders>
            <w:shd w:val="clear" w:color="auto" w:fill="F0FFFF"/>
          </w:tcPr>
          <w:p>
            <w:pPr>
              <w:spacing w:after="0"/>
              <w:rPr>
                <w:sz w:val="10"/>
                <w:szCs w:val="10"/>
                <w:color w:val="auto"/>
              </w:rPr>
            </w:pPr>
          </w:p>
        </w:tc>
        <w:tc>
          <w:tcPr>
            <w:tcW w:w="1600" w:type="dxa"/>
            <w:vAlign w:val="bottom"/>
            <w:tcBorders>
              <w:top w:val="single" w:sz="8" w:color="F0FFFF"/>
              <w:right w:val="single" w:sz="8" w:color="auto"/>
            </w:tcBorders>
            <w:shd w:val="clear" w:color="auto" w:fill="F0FFFF"/>
          </w:tcPr>
          <w:p>
            <w:pPr>
              <w:spacing w:after="0"/>
              <w:rPr>
                <w:sz w:val="10"/>
                <w:szCs w:val="10"/>
                <w:color w:val="auto"/>
              </w:rPr>
            </w:pPr>
          </w:p>
        </w:tc>
        <w:tc>
          <w:tcPr>
            <w:tcW w:w="480" w:type="dxa"/>
            <w:vAlign w:val="bottom"/>
            <w:tcBorders>
              <w:top w:val="single" w:sz="8" w:color="F0FFFF"/>
              <w:right w:val="single" w:sz="8" w:color="F0FFFF"/>
            </w:tcBorders>
            <w:gridSpan w:val="3"/>
            <w:shd w:val="clear" w:color="auto" w:fill="F0FFFF"/>
          </w:tcPr>
          <w:p>
            <w:pPr>
              <w:ind w:left="20"/>
              <w:spacing w:after="0" w:line="126" w:lineRule="exact"/>
              <w:rPr>
                <w:sz w:val="20"/>
                <w:szCs w:val="20"/>
                <w:color w:val="auto"/>
              </w:rPr>
            </w:pPr>
            <w:r>
              <w:rPr>
                <w:rFonts w:ascii="Times New Roman" w:cs="Times New Roman" w:eastAsia="Times New Roman" w:hAnsi="Times New Roman"/>
                <w:sz w:val="13"/>
                <w:szCs w:val="13"/>
                <w:color w:val="auto"/>
              </w:rPr>
              <w:t>● You</w:t>
            </w:r>
          </w:p>
        </w:tc>
        <w:tc>
          <w:tcPr>
            <w:tcW w:w="840" w:type="dxa"/>
            <w:vAlign w:val="bottom"/>
            <w:tcBorders>
              <w:top w:val="single" w:sz="8" w:color="auto"/>
            </w:tcBorders>
            <w:gridSpan w:val="13"/>
            <w:shd w:val="clear" w:color="auto" w:fill="F0FFFF"/>
          </w:tcPr>
          <w:p>
            <w:pPr>
              <w:spacing w:after="0" w:line="126" w:lineRule="exact"/>
              <w:rPr>
                <w:sz w:val="20"/>
                <w:szCs w:val="20"/>
                <w:color w:val="auto"/>
              </w:rPr>
            </w:pPr>
            <w:r>
              <w:rPr>
                <w:rFonts w:ascii="Times New Roman" w:cs="Times New Roman" w:eastAsia="Times New Roman" w:hAnsi="Times New Roman"/>
                <w:sz w:val="13"/>
                <w:szCs w:val="13"/>
                <w:color w:val="auto"/>
                <w:w w:val="84"/>
              </w:rPr>
              <w:t>may lock in a loss.</w:t>
            </w:r>
          </w:p>
        </w:tc>
        <w:tc>
          <w:tcPr>
            <w:tcW w:w="20" w:type="dxa"/>
            <w:vAlign w:val="bottom"/>
            <w:tcBorders>
              <w:top w:val="single" w:sz="8" w:color="F0FFFF"/>
            </w:tcBorders>
            <w:shd w:val="clear" w:color="auto" w:fill="F0FFFF"/>
          </w:tcPr>
          <w:p>
            <w:pPr>
              <w:spacing w:after="0"/>
              <w:rPr>
                <w:sz w:val="10"/>
                <w:szCs w:val="10"/>
                <w:color w:val="auto"/>
              </w:rPr>
            </w:pPr>
          </w:p>
        </w:tc>
        <w:tc>
          <w:tcPr>
            <w:tcW w:w="20" w:type="dxa"/>
            <w:vAlign w:val="bottom"/>
            <w:tcBorders>
              <w:top w:val="single" w:sz="8" w:color="F0FFFF"/>
            </w:tcBorders>
            <w:shd w:val="clear" w:color="auto" w:fill="F0FFFF"/>
          </w:tcPr>
          <w:p>
            <w:pPr>
              <w:spacing w:after="0"/>
              <w:rPr>
                <w:sz w:val="10"/>
                <w:szCs w:val="10"/>
                <w:color w:val="auto"/>
              </w:rPr>
            </w:pPr>
          </w:p>
        </w:tc>
        <w:tc>
          <w:tcPr>
            <w:tcW w:w="40" w:type="dxa"/>
            <w:vAlign w:val="bottom"/>
            <w:tcBorders>
              <w:top w:val="single" w:sz="8" w:color="F0FFFF"/>
            </w:tcBorders>
            <w:shd w:val="clear" w:color="auto" w:fill="F0FFFF"/>
          </w:tcPr>
          <w:p>
            <w:pPr>
              <w:spacing w:after="0"/>
              <w:rPr>
                <w:sz w:val="10"/>
                <w:szCs w:val="10"/>
                <w:color w:val="auto"/>
              </w:rPr>
            </w:pPr>
          </w:p>
        </w:tc>
        <w:tc>
          <w:tcPr>
            <w:tcW w:w="200" w:type="dxa"/>
            <w:vAlign w:val="bottom"/>
            <w:tcBorders>
              <w:top w:val="single" w:sz="8" w:color="F0FFFF"/>
              <w:right w:val="single" w:sz="8" w:color="F0FFFF"/>
            </w:tcBorders>
            <w:gridSpan w:val="3"/>
            <w:shd w:val="clear" w:color="auto" w:fill="F0FFFF"/>
          </w:tcPr>
          <w:p>
            <w:pPr>
              <w:spacing w:after="0"/>
              <w:rPr>
                <w:sz w:val="10"/>
                <w:szCs w:val="10"/>
                <w:color w:val="auto"/>
              </w:rPr>
            </w:pPr>
          </w:p>
        </w:tc>
        <w:tc>
          <w:tcPr>
            <w:tcW w:w="100" w:type="dxa"/>
            <w:vAlign w:val="bottom"/>
            <w:tcBorders>
              <w:top w:val="single" w:sz="8" w:color="F0FFFF"/>
              <w:right w:val="single" w:sz="8" w:color="F0FFFF"/>
            </w:tcBorders>
            <w:shd w:val="clear" w:color="auto" w:fill="F0FFFF"/>
          </w:tcPr>
          <w:p>
            <w:pPr>
              <w:spacing w:after="0"/>
              <w:rPr>
                <w:sz w:val="10"/>
                <w:szCs w:val="10"/>
                <w:color w:val="auto"/>
              </w:rPr>
            </w:pPr>
          </w:p>
        </w:tc>
        <w:tc>
          <w:tcPr>
            <w:tcW w:w="200" w:type="dxa"/>
            <w:vAlign w:val="bottom"/>
            <w:tcBorders>
              <w:top w:val="single" w:sz="8" w:color="F0FFFF"/>
              <w:right w:val="single" w:sz="8" w:color="F0FFFF"/>
            </w:tcBorders>
            <w:shd w:val="clear" w:color="auto" w:fill="F0FFFF"/>
          </w:tcPr>
          <w:p>
            <w:pPr>
              <w:spacing w:after="0"/>
              <w:rPr>
                <w:sz w:val="10"/>
                <w:szCs w:val="10"/>
                <w:color w:val="auto"/>
              </w:rPr>
            </w:pPr>
          </w:p>
        </w:tc>
        <w:tc>
          <w:tcPr>
            <w:tcW w:w="80" w:type="dxa"/>
            <w:vAlign w:val="bottom"/>
            <w:tcBorders>
              <w:top w:val="single" w:sz="8" w:color="F0FFFF"/>
            </w:tcBorders>
            <w:gridSpan w:val="2"/>
            <w:shd w:val="clear" w:color="auto" w:fill="F0FFFF"/>
          </w:tcPr>
          <w:p>
            <w:pPr>
              <w:spacing w:after="0"/>
              <w:rPr>
                <w:sz w:val="10"/>
                <w:szCs w:val="10"/>
                <w:color w:val="auto"/>
              </w:rPr>
            </w:pPr>
          </w:p>
        </w:tc>
        <w:tc>
          <w:tcPr>
            <w:tcW w:w="40" w:type="dxa"/>
            <w:vAlign w:val="bottom"/>
            <w:tcBorders>
              <w:top w:val="single" w:sz="8" w:color="F0FFFF"/>
            </w:tcBorders>
            <w:shd w:val="clear" w:color="auto" w:fill="F0FFFF"/>
          </w:tcPr>
          <w:p>
            <w:pPr>
              <w:spacing w:after="0"/>
              <w:rPr>
                <w:sz w:val="10"/>
                <w:szCs w:val="10"/>
                <w:color w:val="auto"/>
              </w:rPr>
            </w:pPr>
          </w:p>
        </w:tc>
        <w:tc>
          <w:tcPr>
            <w:tcW w:w="240" w:type="dxa"/>
            <w:vAlign w:val="bottom"/>
            <w:tcBorders>
              <w:top w:val="single" w:sz="8" w:color="F0FFFF"/>
              <w:right w:val="single" w:sz="8" w:color="auto"/>
            </w:tcBorders>
            <w:gridSpan w:val="2"/>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000" w:type="dxa"/>
            <w:vAlign w:val="bottom"/>
            <w:tcBorders>
              <w:left w:val="single" w:sz="8" w:color="auto"/>
              <w:right w:val="single" w:sz="8" w:color="auto"/>
            </w:tcBorders>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320" w:type="dxa"/>
            <w:vAlign w:val="bottom"/>
            <w:tcBorders>
              <w:right w:val="single" w:sz="8" w:color="F0FFFF"/>
            </w:tcBorders>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800" w:type="dxa"/>
            <w:vAlign w:val="bottom"/>
            <w:tcBorders>
              <w:right w:val="single" w:sz="8" w:color="auto"/>
            </w:tcBorders>
            <w:shd w:val="clear" w:color="auto" w:fill="F0FFFF"/>
          </w:tcPr>
          <w:p>
            <w:pPr>
              <w:spacing w:after="0"/>
              <w:rPr>
                <w:sz w:val="12"/>
                <w:szCs w:val="12"/>
                <w:color w:val="auto"/>
              </w:rPr>
            </w:pPr>
          </w:p>
        </w:tc>
        <w:tc>
          <w:tcPr>
            <w:tcW w:w="1600" w:type="dxa"/>
            <w:vAlign w:val="bottom"/>
            <w:tcBorders>
              <w:right w:val="single" w:sz="8" w:color="auto"/>
            </w:tcBorders>
            <w:shd w:val="clear" w:color="auto" w:fill="F0FFFF"/>
          </w:tcPr>
          <w:p>
            <w:pPr>
              <w:spacing w:after="0"/>
              <w:rPr>
                <w:sz w:val="12"/>
                <w:szCs w:val="12"/>
                <w:color w:val="auto"/>
              </w:rPr>
            </w:pPr>
          </w:p>
        </w:tc>
        <w:tc>
          <w:tcPr>
            <w:tcW w:w="2260" w:type="dxa"/>
            <w:vAlign w:val="bottom"/>
            <w:tcBorders>
              <w:right w:val="single" w:sz="8" w:color="auto"/>
            </w:tcBorders>
            <w:gridSpan w:val="29"/>
            <w:shd w:val="clear" w:color="auto" w:fill="F0FFFF"/>
          </w:tcPr>
          <w:p>
            <w:pPr>
              <w:ind w:left="20"/>
              <w:spacing w:after="0" w:line="142" w:lineRule="exact"/>
              <w:rPr>
                <w:sz w:val="20"/>
                <w:szCs w:val="20"/>
                <w:color w:val="auto"/>
              </w:rPr>
            </w:pPr>
            <w:r>
              <w:rPr>
                <w:rFonts w:ascii="Times New Roman" w:cs="Times New Roman" w:eastAsia="Times New Roman" w:hAnsi="Times New Roman"/>
                <w:sz w:val="13"/>
                <w:szCs w:val="13"/>
                <w:color w:val="auto"/>
              </w:rPr>
              <w:t>● The Performance Lock Value Will not</w:t>
            </w:r>
          </w:p>
        </w:tc>
        <w:tc>
          <w:tcPr>
            <w:tcW w:w="0" w:type="dxa"/>
            <w:vAlign w:val="bottom"/>
          </w:tcPr>
          <w:p>
            <w:pPr>
              <w:spacing w:after="0"/>
              <w:rPr>
                <w:sz w:val="1"/>
                <w:szCs w:val="1"/>
                <w:color w:val="auto"/>
              </w:rPr>
            </w:pPr>
          </w:p>
        </w:tc>
      </w:tr>
      <w:tr>
        <w:trPr>
          <w:trHeight w:val="20"/>
        </w:trPr>
        <w:tc>
          <w:tcPr>
            <w:tcW w:w="100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480" w:type="dxa"/>
            <w:vAlign w:val="bottom"/>
            <w:shd w:val="clear" w:color="auto" w:fill="F0FFFF"/>
          </w:tcPr>
          <w:p>
            <w:pPr>
              <w:spacing w:after="0" w:line="20" w:lineRule="exact"/>
              <w:rPr>
                <w:sz w:val="1"/>
                <w:szCs w:val="1"/>
                <w:color w:val="auto"/>
              </w:rPr>
            </w:pPr>
          </w:p>
        </w:tc>
        <w:tc>
          <w:tcPr>
            <w:tcW w:w="28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shd w:val="clear" w:color="auto" w:fill="F0FFFF"/>
          </w:tcPr>
          <w:p>
            <w:pPr>
              <w:spacing w:after="0" w:line="20" w:lineRule="exact"/>
              <w:rPr>
                <w:sz w:val="1"/>
                <w:szCs w:val="1"/>
                <w:color w:val="auto"/>
              </w:rPr>
            </w:pPr>
          </w:p>
        </w:tc>
        <w:tc>
          <w:tcPr>
            <w:tcW w:w="800" w:type="dxa"/>
            <w:vAlign w:val="bottom"/>
            <w:tcBorders>
              <w:right w:val="single" w:sz="8" w:color="auto"/>
            </w:tcBorders>
            <w:shd w:val="clear" w:color="auto" w:fill="F0FFFF"/>
          </w:tcPr>
          <w:p>
            <w:pPr>
              <w:spacing w:after="0" w:line="20" w:lineRule="exact"/>
              <w:rPr>
                <w:sz w:val="1"/>
                <w:szCs w:val="1"/>
                <w:color w:val="auto"/>
              </w:rPr>
            </w:pPr>
          </w:p>
        </w:tc>
        <w:tc>
          <w:tcPr>
            <w:tcW w:w="1600" w:type="dxa"/>
            <w:vAlign w:val="bottom"/>
            <w:tcBorders>
              <w:right w:val="single" w:sz="8" w:color="auto"/>
            </w:tcBorders>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120" w:type="dxa"/>
            <w:vAlign w:val="bottom"/>
            <w:tcBorders>
              <w:left w:val="single" w:sz="8" w:color="F0FFFF"/>
            </w:tcBorders>
            <w:shd w:val="clear" w:color="auto" w:fill="F0FFFF"/>
          </w:tcPr>
          <w:p>
            <w:pPr>
              <w:spacing w:after="0" w:line="20" w:lineRule="exact"/>
              <w:rPr>
                <w:sz w:val="1"/>
                <w:szCs w:val="1"/>
                <w:color w:val="auto"/>
              </w:rPr>
            </w:pPr>
          </w:p>
        </w:tc>
        <w:tc>
          <w:tcPr>
            <w:tcW w:w="200" w:type="dxa"/>
            <w:vAlign w:val="bottom"/>
            <w:tcBorders>
              <w:right w:val="single" w:sz="8" w:color="auto"/>
            </w:tcBorders>
            <w:shd w:val="clear" w:color="auto" w:fill="F0FF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gridSpan w:val="2"/>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240" w:type="dxa"/>
            <w:vAlign w:val="bottom"/>
            <w:tcBorders>
              <w:right w:val="single" w:sz="8" w:color="auto"/>
            </w:tcBorders>
            <w:gridSpan w:val="2"/>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000" w:type="dxa"/>
            <w:vAlign w:val="bottom"/>
            <w:tcBorders>
              <w:left w:val="single" w:sz="8" w:color="auto"/>
              <w:right w:val="single" w:sz="8" w:color="auto"/>
            </w:tcBorders>
            <w:shd w:val="clear" w:color="auto" w:fill="F0FFFF"/>
          </w:tcPr>
          <w:p>
            <w:pPr>
              <w:spacing w:after="0"/>
              <w:rPr>
                <w:sz w:val="10"/>
                <w:szCs w:val="10"/>
                <w:color w:val="auto"/>
              </w:rPr>
            </w:pPr>
          </w:p>
        </w:tc>
        <w:tc>
          <w:tcPr>
            <w:tcW w:w="480" w:type="dxa"/>
            <w:vAlign w:val="bottom"/>
            <w:shd w:val="clear" w:color="auto" w:fill="F0FFFF"/>
          </w:tcPr>
          <w:p>
            <w:pPr>
              <w:spacing w:after="0"/>
              <w:rPr>
                <w:sz w:val="10"/>
                <w:szCs w:val="10"/>
                <w:color w:val="auto"/>
              </w:rPr>
            </w:pPr>
          </w:p>
        </w:tc>
        <w:tc>
          <w:tcPr>
            <w:tcW w:w="28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320" w:type="dxa"/>
            <w:vAlign w:val="bottom"/>
            <w:tcBorders>
              <w:right w:val="single" w:sz="8" w:color="F0FFFF"/>
            </w:tcBorders>
            <w:shd w:val="clear" w:color="auto" w:fill="F0FFFF"/>
          </w:tcPr>
          <w:p>
            <w:pPr>
              <w:spacing w:after="0"/>
              <w:rPr>
                <w:sz w:val="10"/>
                <w:szCs w:val="10"/>
                <w:color w:val="auto"/>
              </w:rPr>
            </w:pPr>
          </w:p>
        </w:tc>
        <w:tc>
          <w:tcPr>
            <w:tcW w:w="280" w:type="dxa"/>
            <w:vAlign w:val="bottom"/>
            <w:shd w:val="clear" w:color="auto" w:fill="F0FFFF"/>
          </w:tcPr>
          <w:p>
            <w:pPr>
              <w:spacing w:after="0"/>
              <w:rPr>
                <w:sz w:val="10"/>
                <w:szCs w:val="10"/>
                <w:color w:val="auto"/>
              </w:rPr>
            </w:pPr>
          </w:p>
        </w:tc>
        <w:tc>
          <w:tcPr>
            <w:tcW w:w="800" w:type="dxa"/>
            <w:vAlign w:val="bottom"/>
            <w:tcBorders>
              <w:right w:val="single" w:sz="8" w:color="auto"/>
            </w:tcBorders>
            <w:shd w:val="clear" w:color="auto" w:fill="F0FFFF"/>
          </w:tcPr>
          <w:p>
            <w:pPr>
              <w:spacing w:after="0"/>
              <w:rPr>
                <w:sz w:val="10"/>
                <w:szCs w:val="10"/>
                <w:color w:val="auto"/>
              </w:rPr>
            </w:pPr>
          </w:p>
        </w:tc>
        <w:tc>
          <w:tcPr>
            <w:tcW w:w="1600" w:type="dxa"/>
            <w:vAlign w:val="bottom"/>
            <w:tcBorders>
              <w:right w:val="single" w:sz="8" w:color="auto"/>
            </w:tcBorders>
            <w:shd w:val="clear" w:color="auto" w:fill="F0FFFF"/>
          </w:tcPr>
          <w:p>
            <w:pPr>
              <w:spacing w:after="0"/>
              <w:rPr>
                <w:sz w:val="10"/>
                <w:szCs w:val="10"/>
                <w:color w:val="auto"/>
              </w:rPr>
            </w:pPr>
          </w:p>
        </w:tc>
        <w:tc>
          <w:tcPr>
            <w:tcW w:w="160" w:type="dxa"/>
            <w:vAlign w:val="bottom"/>
            <w:tcBorders>
              <w:right w:val="single" w:sz="8" w:color="F0FFFF"/>
            </w:tcBorders>
            <w:shd w:val="clear" w:color="auto" w:fill="F0FFFF"/>
          </w:tcPr>
          <w:p>
            <w:pPr>
              <w:spacing w:after="0"/>
              <w:rPr>
                <w:sz w:val="10"/>
                <w:szCs w:val="10"/>
                <w:color w:val="auto"/>
              </w:rPr>
            </w:pPr>
          </w:p>
        </w:tc>
        <w:tc>
          <w:tcPr>
            <w:tcW w:w="2100" w:type="dxa"/>
            <w:vAlign w:val="bottom"/>
            <w:tcBorders>
              <w:left w:val="single" w:sz="8" w:color="F0FFFF"/>
              <w:right w:val="single" w:sz="8" w:color="auto"/>
            </w:tcBorders>
            <w:gridSpan w:val="28"/>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auto"/>
              </w:rPr>
              <w:t>participate in Index performance</w:t>
            </w:r>
          </w:p>
        </w:tc>
        <w:tc>
          <w:tcPr>
            <w:tcW w:w="0" w:type="dxa"/>
            <w:vAlign w:val="bottom"/>
          </w:tcPr>
          <w:p>
            <w:pPr>
              <w:spacing w:after="0"/>
              <w:rPr>
                <w:sz w:val="1"/>
                <w:szCs w:val="1"/>
                <w:color w:val="auto"/>
              </w:rPr>
            </w:pPr>
          </w:p>
        </w:tc>
      </w:tr>
      <w:tr>
        <w:trPr>
          <w:trHeight w:val="136"/>
        </w:trPr>
        <w:tc>
          <w:tcPr>
            <w:tcW w:w="1000" w:type="dxa"/>
            <w:vAlign w:val="bottom"/>
            <w:tcBorders>
              <w:top w:val="single" w:sz="8" w:color="F0FFFF"/>
              <w:left w:val="single" w:sz="8" w:color="auto"/>
              <w:right w:val="single" w:sz="8" w:color="auto"/>
            </w:tcBorders>
            <w:shd w:val="clear" w:color="auto" w:fill="F0FFFF"/>
          </w:tcPr>
          <w:p>
            <w:pPr>
              <w:spacing w:after="0"/>
              <w:rPr>
                <w:sz w:val="11"/>
                <w:szCs w:val="11"/>
                <w:color w:val="auto"/>
              </w:rPr>
            </w:pPr>
          </w:p>
        </w:tc>
        <w:tc>
          <w:tcPr>
            <w:tcW w:w="480" w:type="dxa"/>
            <w:vAlign w:val="bottom"/>
            <w:tcBorders>
              <w:top w:val="single" w:sz="8" w:color="F0FFFF"/>
            </w:tcBorders>
            <w:shd w:val="clear" w:color="auto" w:fill="F0FFFF"/>
          </w:tcPr>
          <w:p>
            <w:pPr>
              <w:spacing w:after="0"/>
              <w:rPr>
                <w:sz w:val="11"/>
                <w:szCs w:val="11"/>
                <w:color w:val="auto"/>
              </w:rPr>
            </w:pPr>
          </w:p>
        </w:tc>
        <w:tc>
          <w:tcPr>
            <w:tcW w:w="280" w:type="dxa"/>
            <w:vAlign w:val="bottom"/>
            <w:tcBorders>
              <w:top w:val="single" w:sz="8" w:color="F0FFFF"/>
            </w:tcBorders>
            <w:shd w:val="clear" w:color="auto" w:fill="F0FFFF"/>
          </w:tcPr>
          <w:p>
            <w:pPr>
              <w:spacing w:after="0"/>
              <w:rPr>
                <w:sz w:val="11"/>
                <w:szCs w:val="11"/>
                <w:color w:val="auto"/>
              </w:rPr>
            </w:pPr>
          </w:p>
        </w:tc>
        <w:tc>
          <w:tcPr>
            <w:tcW w:w="120" w:type="dxa"/>
            <w:vAlign w:val="bottom"/>
            <w:tcBorders>
              <w:top w:val="single" w:sz="8" w:color="F0FFFF"/>
            </w:tcBorders>
            <w:shd w:val="clear" w:color="auto" w:fill="F0FFFF"/>
          </w:tcPr>
          <w:p>
            <w:pPr>
              <w:spacing w:after="0"/>
              <w:rPr>
                <w:sz w:val="11"/>
                <w:szCs w:val="11"/>
                <w:color w:val="auto"/>
              </w:rPr>
            </w:pPr>
          </w:p>
        </w:tc>
        <w:tc>
          <w:tcPr>
            <w:tcW w:w="320" w:type="dxa"/>
            <w:vAlign w:val="bottom"/>
            <w:tcBorders>
              <w:top w:val="single" w:sz="8" w:color="F0FFFF"/>
              <w:right w:val="single" w:sz="8" w:color="F0FFFF"/>
            </w:tcBorders>
            <w:shd w:val="clear" w:color="auto" w:fill="F0FFFF"/>
          </w:tcPr>
          <w:p>
            <w:pPr>
              <w:spacing w:after="0"/>
              <w:rPr>
                <w:sz w:val="11"/>
                <w:szCs w:val="11"/>
                <w:color w:val="auto"/>
              </w:rPr>
            </w:pPr>
          </w:p>
        </w:tc>
        <w:tc>
          <w:tcPr>
            <w:tcW w:w="280" w:type="dxa"/>
            <w:vAlign w:val="bottom"/>
            <w:tcBorders>
              <w:top w:val="single" w:sz="8" w:color="F0FFFF"/>
            </w:tcBorders>
            <w:shd w:val="clear" w:color="auto" w:fill="F0FFFF"/>
          </w:tcPr>
          <w:p>
            <w:pPr>
              <w:spacing w:after="0"/>
              <w:rPr>
                <w:sz w:val="11"/>
                <w:szCs w:val="11"/>
                <w:color w:val="auto"/>
              </w:rPr>
            </w:pPr>
          </w:p>
        </w:tc>
        <w:tc>
          <w:tcPr>
            <w:tcW w:w="800" w:type="dxa"/>
            <w:vAlign w:val="bottom"/>
            <w:tcBorders>
              <w:top w:val="single" w:sz="8" w:color="F0FFFF"/>
              <w:right w:val="single" w:sz="8" w:color="auto"/>
            </w:tcBorders>
            <w:shd w:val="clear" w:color="auto" w:fill="F0FFFF"/>
          </w:tcPr>
          <w:p>
            <w:pPr>
              <w:spacing w:after="0"/>
              <w:rPr>
                <w:sz w:val="11"/>
                <w:szCs w:val="11"/>
                <w:color w:val="auto"/>
              </w:rPr>
            </w:pPr>
          </w:p>
        </w:tc>
        <w:tc>
          <w:tcPr>
            <w:tcW w:w="1600" w:type="dxa"/>
            <w:vAlign w:val="bottom"/>
            <w:tcBorders>
              <w:top w:val="single" w:sz="8" w:color="F0FFFF"/>
              <w:right w:val="single" w:sz="8" w:color="auto"/>
            </w:tcBorders>
            <w:shd w:val="clear" w:color="auto" w:fill="F0FFFF"/>
          </w:tcPr>
          <w:p>
            <w:pPr>
              <w:spacing w:after="0"/>
              <w:rPr>
                <w:sz w:val="11"/>
                <w:szCs w:val="11"/>
                <w:color w:val="auto"/>
              </w:rPr>
            </w:pPr>
          </w:p>
        </w:tc>
        <w:tc>
          <w:tcPr>
            <w:tcW w:w="160" w:type="dxa"/>
            <w:vAlign w:val="bottom"/>
            <w:tcBorders>
              <w:top w:val="single" w:sz="8" w:color="F0FFFF"/>
              <w:right w:val="single" w:sz="8" w:color="F0FFFF"/>
            </w:tcBorders>
            <w:shd w:val="clear" w:color="auto" w:fill="F0FFFF"/>
          </w:tcPr>
          <w:p>
            <w:pPr>
              <w:spacing w:after="0"/>
              <w:rPr>
                <w:sz w:val="11"/>
                <w:szCs w:val="11"/>
                <w:color w:val="auto"/>
              </w:rPr>
            </w:pPr>
          </w:p>
        </w:tc>
        <w:tc>
          <w:tcPr>
            <w:tcW w:w="720" w:type="dxa"/>
            <w:vAlign w:val="bottom"/>
            <w:tcBorders>
              <w:top w:val="single" w:sz="8" w:color="F0FFFF"/>
              <w:left w:val="single" w:sz="8" w:color="F0FFFF"/>
              <w:right w:val="single" w:sz="8" w:color="F0FFFF"/>
            </w:tcBorders>
            <w:gridSpan w:val="7"/>
            <w:shd w:val="clear" w:color="auto" w:fill="F0FFFF"/>
          </w:tcPr>
          <w:p>
            <w:pPr>
              <w:spacing w:after="0" w:line="136" w:lineRule="exact"/>
              <w:rPr>
                <w:sz w:val="20"/>
                <w:szCs w:val="20"/>
                <w:color w:val="auto"/>
              </w:rPr>
            </w:pPr>
            <w:r>
              <w:rPr>
                <w:rFonts w:ascii="Times New Roman" w:cs="Times New Roman" w:eastAsia="Times New Roman" w:hAnsi="Times New Roman"/>
                <w:sz w:val="13"/>
                <w:szCs w:val="13"/>
                <w:color w:val="auto"/>
              </w:rPr>
              <w:t>(positive or</w:t>
            </w:r>
          </w:p>
        </w:tc>
        <w:tc>
          <w:tcPr>
            <w:tcW w:w="300" w:type="dxa"/>
            <w:vAlign w:val="bottom"/>
            <w:tcBorders>
              <w:top w:val="single" w:sz="8" w:color="auto"/>
            </w:tcBorders>
            <w:gridSpan w:val="5"/>
            <w:shd w:val="clear" w:color="auto" w:fill="F0FFFF"/>
          </w:tcPr>
          <w:p>
            <w:pPr>
              <w:spacing w:after="0"/>
              <w:rPr>
                <w:sz w:val="20"/>
                <w:szCs w:val="20"/>
                <w:color w:val="auto"/>
              </w:rPr>
            </w:pPr>
            <w:r>
              <w:rPr>
                <w:rFonts w:ascii="Times New Roman" w:cs="Times New Roman" w:eastAsia="Times New Roman" w:hAnsi="Times New Roman"/>
                <w:sz w:val="10"/>
                <w:szCs w:val="10"/>
                <w:color w:val="auto"/>
                <w:w w:val="75"/>
              </w:rPr>
              <w:t>negative)</w:t>
            </w:r>
          </w:p>
        </w:tc>
        <w:tc>
          <w:tcPr>
            <w:tcW w:w="100" w:type="dxa"/>
            <w:vAlign w:val="bottom"/>
            <w:tcBorders>
              <w:top w:val="single" w:sz="8" w:color="F0FFFF"/>
              <w:right w:val="single" w:sz="8" w:color="F0FFFF"/>
            </w:tcBorders>
            <w:shd w:val="clear" w:color="auto" w:fill="F0FFFF"/>
          </w:tcPr>
          <w:p>
            <w:pPr>
              <w:spacing w:after="0"/>
              <w:rPr>
                <w:sz w:val="11"/>
                <w:szCs w:val="11"/>
                <w:color w:val="auto"/>
              </w:rPr>
            </w:pPr>
          </w:p>
        </w:tc>
        <w:tc>
          <w:tcPr>
            <w:tcW w:w="20" w:type="dxa"/>
            <w:vAlign w:val="bottom"/>
            <w:tcBorders>
              <w:top w:val="single" w:sz="8" w:color="F0FFFF"/>
            </w:tcBorders>
            <w:shd w:val="clear" w:color="auto" w:fill="F0FFFF"/>
          </w:tcPr>
          <w:p>
            <w:pPr>
              <w:spacing w:after="0"/>
              <w:rPr>
                <w:sz w:val="11"/>
                <w:szCs w:val="11"/>
                <w:color w:val="auto"/>
              </w:rPr>
            </w:pPr>
          </w:p>
        </w:tc>
        <w:tc>
          <w:tcPr>
            <w:tcW w:w="960" w:type="dxa"/>
            <w:vAlign w:val="bottom"/>
            <w:tcBorders>
              <w:top w:val="single" w:sz="8" w:color="F0FFFF"/>
              <w:right w:val="single" w:sz="8" w:color="auto"/>
            </w:tcBorders>
            <w:gridSpan w:val="14"/>
            <w:shd w:val="clear" w:color="auto" w:fill="F0FFFF"/>
          </w:tcPr>
          <w:p>
            <w:pPr>
              <w:jc w:val="right"/>
              <w:ind w:right="600"/>
              <w:spacing w:after="0" w:line="136" w:lineRule="exact"/>
              <w:rPr>
                <w:sz w:val="20"/>
                <w:szCs w:val="20"/>
                <w:color w:val="auto"/>
              </w:rPr>
            </w:pPr>
            <w:r>
              <w:rPr>
                <w:rFonts w:ascii="Times New Roman" w:cs="Times New Roman" w:eastAsia="Times New Roman" w:hAnsi="Times New Roman"/>
                <w:sz w:val="13"/>
                <w:szCs w:val="13"/>
                <w:color w:val="auto"/>
                <w:w w:val="98"/>
              </w:rPr>
              <w:t>for the</w:t>
            </w:r>
          </w:p>
        </w:tc>
        <w:tc>
          <w:tcPr>
            <w:tcW w:w="0" w:type="dxa"/>
            <w:vAlign w:val="bottom"/>
          </w:tcPr>
          <w:p>
            <w:pPr>
              <w:spacing w:after="0"/>
              <w:rPr>
                <w:sz w:val="1"/>
                <w:szCs w:val="1"/>
                <w:color w:val="auto"/>
              </w:rPr>
            </w:pPr>
          </w:p>
        </w:tc>
      </w:tr>
      <w:tr>
        <w:trPr>
          <w:trHeight w:val="142"/>
        </w:trPr>
        <w:tc>
          <w:tcPr>
            <w:tcW w:w="1000" w:type="dxa"/>
            <w:vAlign w:val="bottom"/>
            <w:tcBorders>
              <w:left w:val="single" w:sz="8" w:color="auto"/>
              <w:right w:val="single" w:sz="8" w:color="auto"/>
            </w:tcBorders>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320" w:type="dxa"/>
            <w:vAlign w:val="bottom"/>
            <w:tcBorders>
              <w:right w:val="single" w:sz="8" w:color="F0FFFF"/>
            </w:tcBorders>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800" w:type="dxa"/>
            <w:vAlign w:val="bottom"/>
            <w:tcBorders>
              <w:right w:val="single" w:sz="8" w:color="auto"/>
            </w:tcBorders>
            <w:shd w:val="clear" w:color="auto" w:fill="F0FFFF"/>
          </w:tcPr>
          <w:p>
            <w:pPr>
              <w:spacing w:after="0"/>
              <w:rPr>
                <w:sz w:val="12"/>
                <w:szCs w:val="12"/>
                <w:color w:val="auto"/>
              </w:rPr>
            </w:pPr>
          </w:p>
        </w:tc>
        <w:tc>
          <w:tcPr>
            <w:tcW w:w="1600" w:type="dxa"/>
            <w:vAlign w:val="bottom"/>
            <w:tcBorders>
              <w:right w:val="single" w:sz="8" w:color="auto"/>
            </w:tcBorders>
            <w:shd w:val="clear" w:color="auto" w:fill="F0FFFF"/>
          </w:tcPr>
          <w:p>
            <w:pPr>
              <w:spacing w:after="0"/>
              <w:rPr>
                <w:sz w:val="12"/>
                <w:szCs w:val="12"/>
                <w:color w:val="auto"/>
              </w:rPr>
            </w:pPr>
          </w:p>
        </w:tc>
        <w:tc>
          <w:tcPr>
            <w:tcW w:w="160" w:type="dxa"/>
            <w:vAlign w:val="bottom"/>
            <w:tcBorders>
              <w:right w:val="single" w:sz="8" w:color="F0FFFF"/>
            </w:tcBorders>
            <w:shd w:val="clear" w:color="auto" w:fill="F0FFFF"/>
          </w:tcPr>
          <w:p>
            <w:pPr>
              <w:spacing w:after="0"/>
              <w:rPr>
                <w:sz w:val="12"/>
                <w:szCs w:val="12"/>
                <w:color w:val="auto"/>
              </w:rPr>
            </w:pPr>
          </w:p>
        </w:tc>
        <w:tc>
          <w:tcPr>
            <w:tcW w:w="2100" w:type="dxa"/>
            <w:vAlign w:val="bottom"/>
            <w:tcBorders>
              <w:left w:val="single" w:sz="8" w:color="F0FFFF"/>
              <w:right w:val="single" w:sz="8" w:color="auto"/>
            </w:tcBorders>
            <w:gridSpan w:val="28"/>
            <w:shd w:val="clear" w:color="auto" w:fill="F0FFFF"/>
          </w:tcPr>
          <w:p>
            <w:pPr>
              <w:spacing w:after="0" w:line="142" w:lineRule="exact"/>
              <w:rPr>
                <w:sz w:val="20"/>
                <w:szCs w:val="20"/>
                <w:color w:val="auto"/>
              </w:rPr>
            </w:pPr>
            <w:r>
              <w:rPr>
                <w:rFonts w:ascii="Times New Roman" w:cs="Times New Roman" w:eastAsia="Times New Roman" w:hAnsi="Times New Roman"/>
                <w:sz w:val="13"/>
                <w:szCs w:val="13"/>
                <w:color w:val="auto"/>
              </w:rPr>
              <w:t>remainder of the Term, including the</w:t>
            </w:r>
          </w:p>
        </w:tc>
        <w:tc>
          <w:tcPr>
            <w:tcW w:w="0" w:type="dxa"/>
            <w:vAlign w:val="bottom"/>
          </w:tcPr>
          <w:p>
            <w:pPr>
              <w:spacing w:after="0"/>
              <w:rPr>
                <w:sz w:val="1"/>
                <w:szCs w:val="1"/>
                <w:color w:val="auto"/>
              </w:rPr>
            </w:pPr>
          </w:p>
        </w:tc>
      </w:tr>
      <w:tr>
        <w:trPr>
          <w:trHeight w:val="119"/>
        </w:trPr>
        <w:tc>
          <w:tcPr>
            <w:tcW w:w="1000" w:type="dxa"/>
            <w:vAlign w:val="bottom"/>
            <w:tcBorders>
              <w:top w:val="single" w:sz="8" w:color="F0FFFF"/>
              <w:left w:val="single" w:sz="8" w:color="auto"/>
              <w:right w:val="single" w:sz="8" w:color="auto"/>
            </w:tcBorders>
            <w:shd w:val="clear" w:color="auto" w:fill="F0FFFF"/>
          </w:tcPr>
          <w:p>
            <w:pPr>
              <w:spacing w:after="0"/>
              <w:rPr>
                <w:sz w:val="10"/>
                <w:szCs w:val="10"/>
                <w:color w:val="auto"/>
              </w:rPr>
            </w:pPr>
          </w:p>
        </w:tc>
        <w:tc>
          <w:tcPr>
            <w:tcW w:w="480" w:type="dxa"/>
            <w:vAlign w:val="bottom"/>
            <w:tcBorders>
              <w:top w:val="single" w:sz="8" w:color="F0FFFF"/>
            </w:tcBorders>
            <w:shd w:val="clear" w:color="auto" w:fill="F0FFFF"/>
          </w:tcPr>
          <w:p>
            <w:pPr>
              <w:spacing w:after="0"/>
              <w:rPr>
                <w:sz w:val="10"/>
                <w:szCs w:val="10"/>
                <w:color w:val="auto"/>
              </w:rPr>
            </w:pPr>
          </w:p>
        </w:tc>
        <w:tc>
          <w:tcPr>
            <w:tcW w:w="280" w:type="dxa"/>
            <w:vAlign w:val="bottom"/>
            <w:tcBorders>
              <w:top w:val="single" w:sz="8" w:color="F0FFFF"/>
            </w:tcBorders>
            <w:shd w:val="clear" w:color="auto" w:fill="F0FFFF"/>
          </w:tcPr>
          <w:p>
            <w:pPr>
              <w:spacing w:after="0"/>
              <w:rPr>
                <w:sz w:val="10"/>
                <w:szCs w:val="10"/>
                <w:color w:val="auto"/>
              </w:rPr>
            </w:pPr>
          </w:p>
        </w:tc>
        <w:tc>
          <w:tcPr>
            <w:tcW w:w="120" w:type="dxa"/>
            <w:vAlign w:val="bottom"/>
            <w:tcBorders>
              <w:top w:val="single" w:sz="8" w:color="F0FFFF"/>
            </w:tcBorders>
            <w:shd w:val="clear" w:color="auto" w:fill="F0FFFF"/>
          </w:tcPr>
          <w:p>
            <w:pPr>
              <w:spacing w:after="0"/>
              <w:rPr>
                <w:sz w:val="10"/>
                <w:szCs w:val="10"/>
                <w:color w:val="auto"/>
              </w:rPr>
            </w:pPr>
          </w:p>
        </w:tc>
        <w:tc>
          <w:tcPr>
            <w:tcW w:w="320" w:type="dxa"/>
            <w:vAlign w:val="bottom"/>
            <w:tcBorders>
              <w:top w:val="single" w:sz="8" w:color="F0FFFF"/>
              <w:right w:val="single" w:sz="8" w:color="F0FFFF"/>
            </w:tcBorders>
            <w:shd w:val="clear" w:color="auto" w:fill="F0FFFF"/>
          </w:tcPr>
          <w:p>
            <w:pPr>
              <w:spacing w:after="0"/>
              <w:rPr>
                <w:sz w:val="10"/>
                <w:szCs w:val="10"/>
                <w:color w:val="auto"/>
              </w:rPr>
            </w:pPr>
          </w:p>
        </w:tc>
        <w:tc>
          <w:tcPr>
            <w:tcW w:w="280" w:type="dxa"/>
            <w:vAlign w:val="bottom"/>
            <w:tcBorders>
              <w:top w:val="single" w:sz="8" w:color="F0FFFF"/>
            </w:tcBorders>
            <w:shd w:val="clear" w:color="auto" w:fill="F0FFFF"/>
          </w:tcPr>
          <w:p>
            <w:pPr>
              <w:spacing w:after="0"/>
              <w:rPr>
                <w:sz w:val="10"/>
                <w:szCs w:val="10"/>
                <w:color w:val="auto"/>
              </w:rPr>
            </w:pPr>
          </w:p>
        </w:tc>
        <w:tc>
          <w:tcPr>
            <w:tcW w:w="800" w:type="dxa"/>
            <w:vAlign w:val="bottom"/>
            <w:tcBorders>
              <w:top w:val="single" w:sz="8" w:color="F0FFFF"/>
              <w:right w:val="single" w:sz="8" w:color="auto"/>
            </w:tcBorders>
            <w:shd w:val="clear" w:color="auto" w:fill="F0FFFF"/>
          </w:tcPr>
          <w:p>
            <w:pPr>
              <w:spacing w:after="0"/>
              <w:rPr>
                <w:sz w:val="10"/>
                <w:szCs w:val="10"/>
                <w:color w:val="auto"/>
              </w:rPr>
            </w:pPr>
          </w:p>
        </w:tc>
        <w:tc>
          <w:tcPr>
            <w:tcW w:w="1600" w:type="dxa"/>
            <w:vAlign w:val="bottom"/>
            <w:tcBorders>
              <w:top w:val="single" w:sz="8" w:color="F0FFFF"/>
              <w:right w:val="single" w:sz="8" w:color="auto"/>
            </w:tcBorders>
            <w:shd w:val="clear" w:color="auto" w:fill="F0FFFF"/>
          </w:tcPr>
          <w:p>
            <w:pPr>
              <w:spacing w:after="0"/>
              <w:rPr>
                <w:sz w:val="10"/>
                <w:szCs w:val="10"/>
                <w:color w:val="auto"/>
              </w:rPr>
            </w:pPr>
          </w:p>
        </w:tc>
        <w:tc>
          <w:tcPr>
            <w:tcW w:w="160" w:type="dxa"/>
            <w:vAlign w:val="bottom"/>
            <w:tcBorders>
              <w:top w:val="single" w:sz="8" w:color="F0FFFF"/>
              <w:right w:val="single" w:sz="8" w:color="F0FFFF"/>
            </w:tcBorders>
            <w:shd w:val="clear" w:color="auto" w:fill="F0FFFF"/>
          </w:tcPr>
          <w:p>
            <w:pPr>
              <w:spacing w:after="0"/>
              <w:rPr>
                <w:sz w:val="10"/>
                <w:szCs w:val="10"/>
                <w:color w:val="auto"/>
              </w:rPr>
            </w:pPr>
          </w:p>
        </w:tc>
        <w:tc>
          <w:tcPr>
            <w:tcW w:w="880" w:type="dxa"/>
            <w:vAlign w:val="bottom"/>
            <w:tcBorders>
              <w:top w:val="single" w:sz="8" w:color="F0FFFF"/>
              <w:left w:val="single" w:sz="8" w:color="F0FFFF"/>
              <w:right w:val="single" w:sz="8" w:color="F0FFFF"/>
            </w:tcBorders>
            <w:gridSpan w:val="9"/>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auto"/>
                <w:w w:val="96"/>
              </w:rPr>
              <w:t>Term End Date .</w:t>
            </w:r>
          </w:p>
        </w:tc>
        <w:tc>
          <w:tcPr>
            <w:tcW w:w="120" w:type="dxa"/>
            <w:vAlign w:val="bottom"/>
            <w:tcBorders>
              <w:top w:val="single" w:sz="8" w:color="auto"/>
              <w:left w:val="single" w:sz="8" w:color="F0FFFF"/>
            </w:tcBorders>
            <w:gridSpan w:val="2"/>
            <w:shd w:val="clear" w:color="auto" w:fill="F0FFFF"/>
          </w:tcPr>
          <w:p>
            <w:pPr>
              <w:spacing w:after="0"/>
              <w:rPr>
                <w:sz w:val="10"/>
                <w:szCs w:val="10"/>
                <w:color w:val="auto"/>
              </w:rPr>
            </w:pPr>
          </w:p>
        </w:tc>
        <w:tc>
          <w:tcPr>
            <w:tcW w:w="120" w:type="dxa"/>
            <w:vAlign w:val="bottom"/>
            <w:tcBorders>
              <w:top w:val="single" w:sz="8" w:color="auto"/>
              <w:right w:val="single" w:sz="8" w:color="F0FFFF"/>
            </w:tcBorders>
            <w:gridSpan w:val="2"/>
            <w:shd w:val="clear" w:color="auto" w:fill="F0FFFF"/>
          </w:tcPr>
          <w:p>
            <w:pPr>
              <w:spacing w:after="0"/>
              <w:rPr>
                <w:sz w:val="10"/>
                <w:szCs w:val="10"/>
                <w:color w:val="auto"/>
              </w:rPr>
            </w:pPr>
          </w:p>
        </w:tc>
        <w:tc>
          <w:tcPr>
            <w:tcW w:w="20" w:type="dxa"/>
            <w:vAlign w:val="bottom"/>
            <w:tcBorders>
              <w:top w:val="single" w:sz="8" w:color="auto"/>
            </w:tcBorders>
            <w:shd w:val="clear" w:color="auto" w:fill="F0FFFF"/>
          </w:tcPr>
          <w:p>
            <w:pPr>
              <w:spacing w:after="0"/>
              <w:rPr>
                <w:sz w:val="10"/>
                <w:szCs w:val="10"/>
                <w:color w:val="auto"/>
              </w:rPr>
            </w:pPr>
          </w:p>
        </w:tc>
        <w:tc>
          <w:tcPr>
            <w:tcW w:w="40" w:type="dxa"/>
            <w:vAlign w:val="bottom"/>
            <w:tcBorders>
              <w:top w:val="single" w:sz="8" w:color="auto"/>
            </w:tcBorders>
            <w:gridSpan w:val="2"/>
            <w:shd w:val="clear" w:color="auto" w:fill="F0FFFF"/>
          </w:tcPr>
          <w:p>
            <w:pPr>
              <w:spacing w:after="0"/>
              <w:rPr>
                <w:sz w:val="10"/>
                <w:szCs w:val="10"/>
                <w:color w:val="auto"/>
              </w:rPr>
            </w:pPr>
          </w:p>
        </w:tc>
        <w:tc>
          <w:tcPr>
            <w:tcW w:w="20" w:type="dxa"/>
            <w:vAlign w:val="bottom"/>
            <w:tcBorders>
              <w:top w:val="single" w:sz="8" w:color="F0FFFF"/>
            </w:tcBorders>
            <w:shd w:val="clear" w:color="auto" w:fill="F0FFFF"/>
          </w:tcPr>
          <w:p>
            <w:pPr>
              <w:spacing w:after="0"/>
              <w:rPr>
                <w:sz w:val="10"/>
                <w:szCs w:val="10"/>
                <w:color w:val="auto"/>
              </w:rPr>
            </w:pPr>
          </w:p>
        </w:tc>
        <w:tc>
          <w:tcPr>
            <w:tcW w:w="40" w:type="dxa"/>
            <w:vAlign w:val="bottom"/>
            <w:tcBorders>
              <w:top w:val="single" w:sz="8" w:color="F0FFFF"/>
            </w:tcBorders>
            <w:shd w:val="clear" w:color="auto" w:fill="F0FFFF"/>
          </w:tcPr>
          <w:p>
            <w:pPr>
              <w:spacing w:after="0"/>
              <w:rPr>
                <w:sz w:val="10"/>
                <w:szCs w:val="10"/>
                <w:color w:val="auto"/>
              </w:rPr>
            </w:pPr>
          </w:p>
        </w:tc>
        <w:tc>
          <w:tcPr>
            <w:tcW w:w="200" w:type="dxa"/>
            <w:vAlign w:val="bottom"/>
            <w:tcBorders>
              <w:top w:val="single" w:sz="8" w:color="F0FFFF"/>
              <w:right w:val="single" w:sz="8" w:color="F0FFFF"/>
            </w:tcBorders>
            <w:gridSpan w:val="3"/>
            <w:shd w:val="clear" w:color="auto" w:fill="F0FFFF"/>
          </w:tcPr>
          <w:p>
            <w:pPr>
              <w:spacing w:after="0"/>
              <w:rPr>
                <w:sz w:val="10"/>
                <w:szCs w:val="10"/>
                <w:color w:val="auto"/>
              </w:rPr>
            </w:pPr>
          </w:p>
        </w:tc>
        <w:tc>
          <w:tcPr>
            <w:tcW w:w="100" w:type="dxa"/>
            <w:vAlign w:val="bottom"/>
            <w:tcBorders>
              <w:top w:val="single" w:sz="8" w:color="F0FFFF"/>
              <w:right w:val="single" w:sz="8" w:color="F0FFFF"/>
            </w:tcBorders>
            <w:shd w:val="clear" w:color="auto" w:fill="F0FFFF"/>
          </w:tcPr>
          <w:p>
            <w:pPr>
              <w:spacing w:after="0"/>
              <w:rPr>
                <w:sz w:val="10"/>
                <w:szCs w:val="10"/>
                <w:color w:val="auto"/>
              </w:rPr>
            </w:pPr>
          </w:p>
        </w:tc>
        <w:tc>
          <w:tcPr>
            <w:tcW w:w="200" w:type="dxa"/>
            <w:vAlign w:val="bottom"/>
            <w:tcBorders>
              <w:top w:val="single" w:sz="8" w:color="F0FFFF"/>
              <w:right w:val="single" w:sz="8" w:color="F0FFFF"/>
            </w:tcBorders>
            <w:shd w:val="clear" w:color="auto" w:fill="F0FFFF"/>
          </w:tcPr>
          <w:p>
            <w:pPr>
              <w:spacing w:after="0"/>
              <w:rPr>
                <w:sz w:val="10"/>
                <w:szCs w:val="10"/>
                <w:color w:val="auto"/>
              </w:rPr>
            </w:pPr>
          </w:p>
        </w:tc>
        <w:tc>
          <w:tcPr>
            <w:tcW w:w="80" w:type="dxa"/>
            <w:vAlign w:val="bottom"/>
            <w:tcBorders>
              <w:top w:val="single" w:sz="8" w:color="F0FFFF"/>
            </w:tcBorders>
            <w:gridSpan w:val="2"/>
            <w:shd w:val="clear" w:color="auto" w:fill="F0FFFF"/>
          </w:tcPr>
          <w:p>
            <w:pPr>
              <w:spacing w:after="0"/>
              <w:rPr>
                <w:sz w:val="10"/>
                <w:szCs w:val="10"/>
                <w:color w:val="auto"/>
              </w:rPr>
            </w:pPr>
          </w:p>
        </w:tc>
        <w:tc>
          <w:tcPr>
            <w:tcW w:w="40" w:type="dxa"/>
            <w:vAlign w:val="bottom"/>
            <w:tcBorders>
              <w:top w:val="single" w:sz="8" w:color="F0FFFF"/>
            </w:tcBorders>
            <w:shd w:val="clear" w:color="auto" w:fill="F0FFFF"/>
          </w:tcPr>
          <w:p>
            <w:pPr>
              <w:spacing w:after="0"/>
              <w:rPr>
                <w:sz w:val="10"/>
                <w:szCs w:val="10"/>
                <w:color w:val="auto"/>
              </w:rPr>
            </w:pPr>
          </w:p>
        </w:tc>
        <w:tc>
          <w:tcPr>
            <w:tcW w:w="240" w:type="dxa"/>
            <w:vAlign w:val="bottom"/>
            <w:tcBorders>
              <w:top w:val="single" w:sz="8" w:color="F0FFFF"/>
              <w:right w:val="single" w:sz="8" w:color="auto"/>
            </w:tcBorders>
            <w:gridSpan w:val="2"/>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0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480" w:type="dxa"/>
            <w:vAlign w:val="bottom"/>
            <w:shd w:val="clear" w:color="auto" w:fill="F0FFFF"/>
          </w:tcPr>
          <w:p>
            <w:pPr>
              <w:spacing w:after="0" w:line="20" w:lineRule="exact"/>
              <w:rPr>
                <w:sz w:val="1"/>
                <w:szCs w:val="1"/>
                <w:color w:val="auto"/>
              </w:rPr>
            </w:pPr>
          </w:p>
        </w:tc>
        <w:tc>
          <w:tcPr>
            <w:tcW w:w="28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shd w:val="clear" w:color="auto" w:fill="F0FFFF"/>
          </w:tcPr>
          <w:p>
            <w:pPr>
              <w:spacing w:after="0" w:line="20" w:lineRule="exact"/>
              <w:rPr>
                <w:sz w:val="1"/>
                <w:szCs w:val="1"/>
                <w:color w:val="auto"/>
              </w:rPr>
            </w:pPr>
          </w:p>
        </w:tc>
        <w:tc>
          <w:tcPr>
            <w:tcW w:w="800" w:type="dxa"/>
            <w:vAlign w:val="bottom"/>
            <w:tcBorders>
              <w:right w:val="single" w:sz="8" w:color="auto"/>
            </w:tcBorders>
            <w:shd w:val="clear" w:color="auto" w:fill="F0FFFF"/>
          </w:tcPr>
          <w:p>
            <w:pPr>
              <w:spacing w:after="0" w:line="20" w:lineRule="exact"/>
              <w:rPr>
                <w:sz w:val="1"/>
                <w:szCs w:val="1"/>
                <w:color w:val="auto"/>
              </w:rPr>
            </w:pPr>
          </w:p>
        </w:tc>
        <w:tc>
          <w:tcPr>
            <w:tcW w:w="1600" w:type="dxa"/>
            <w:vAlign w:val="bottom"/>
            <w:tcBorders>
              <w:right w:val="single" w:sz="8" w:color="auto"/>
            </w:tcBorders>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F0FFFF"/>
            </w:tcBorders>
            <w:gridSpan w:val="2"/>
            <w:shd w:val="clear" w:color="auto" w:fill="F0FFFF"/>
          </w:tcPr>
          <w:p>
            <w:pPr>
              <w:spacing w:after="0" w:line="20" w:lineRule="exact"/>
              <w:rPr>
                <w:sz w:val="1"/>
                <w:szCs w:val="1"/>
                <w:color w:val="auto"/>
              </w:rPr>
            </w:pPr>
          </w:p>
        </w:tc>
        <w:tc>
          <w:tcPr>
            <w:tcW w:w="120" w:type="dxa"/>
            <w:vAlign w:val="bottom"/>
            <w:tcBorders>
              <w:right w:val="single" w:sz="8" w:color="F0FFFF"/>
            </w:tcBorders>
            <w:gridSpan w:val="2"/>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60" w:type="dxa"/>
            <w:vAlign w:val="bottom"/>
            <w:gridSpan w:val="3"/>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200" w:type="dxa"/>
            <w:vAlign w:val="bottom"/>
            <w:tcBorders>
              <w:right w:val="single" w:sz="8" w:color="F0FFFF"/>
            </w:tcBorders>
            <w:gridSpan w:val="3"/>
            <w:shd w:val="clear" w:color="auto" w:fill="F0FFFF"/>
          </w:tcPr>
          <w:p>
            <w:pPr>
              <w:spacing w:after="0" w:line="20" w:lineRule="exact"/>
              <w:rPr>
                <w:sz w:val="1"/>
                <w:szCs w:val="1"/>
                <w:color w:val="auto"/>
              </w:rPr>
            </w:pPr>
          </w:p>
        </w:tc>
        <w:tc>
          <w:tcPr>
            <w:tcW w:w="100" w:type="dxa"/>
            <w:vAlign w:val="bottom"/>
            <w:tcBorders>
              <w:right w:val="single" w:sz="8" w:color="F0FFFF"/>
            </w:tcBorders>
            <w:shd w:val="clear" w:color="auto" w:fill="F0FFFF"/>
          </w:tcPr>
          <w:p>
            <w:pPr>
              <w:spacing w:after="0" w:line="20" w:lineRule="exact"/>
              <w:rPr>
                <w:sz w:val="1"/>
                <w:szCs w:val="1"/>
                <w:color w:val="auto"/>
              </w:rPr>
            </w:pPr>
          </w:p>
        </w:tc>
        <w:tc>
          <w:tcPr>
            <w:tcW w:w="20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gridSpan w:val="2"/>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240" w:type="dxa"/>
            <w:vAlign w:val="bottom"/>
            <w:tcBorders>
              <w:right w:val="single" w:sz="8" w:color="auto"/>
            </w:tcBorders>
            <w:gridSpan w:val="2"/>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000" w:type="dxa"/>
            <w:vAlign w:val="bottom"/>
            <w:tcBorders>
              <w:left w:val="single" w:sz="8" w:color="auto"/>
              <w:right w:val="single" w:sz="8" w:color="auto"/>
            </w:tcBorders>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320" w:type="dxa"/>
            <w:vAlign w:val="bottom"/>
            <w:tcBorders>
              <w:right w:val="single" w:sz="8" w:color="F0FFFF"/>
            </w:tcBorders>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800" w:type="dxa"/>
            <w:vAlign w:val="bottom"/>
            <w:tcBorders>
              <w:right w:val="single" w:sz="8" w:color="auto"/>
            </w:tcBorders>
            <w:shd w:val="clear" w:color="auto" w:fill="F0FFFF"/>
          </w:tcPr>
          <w:p>
            <w:pPr>
              <w:spacing w:after="0"/>
              <w:rPr>
                <w:sz w:val="12"/>
                <w:szCs w:val="12"/>
                <w:color w:val="auto"/>
              </w:rPr>
            </w:pPr>
          </w:p>
        </w:tc>
        <w:tc>
          <w:tcPr>
            <w:tcW w:w="1600" w:type="dxa"/>
            <w:vAlign w:val="bottom"/>
            <w:tcBorders>
              <w:right w:val="single" w:sz="8" w:color="auto"/>
            </w:tcBorders>
            <w:shd w:val="clear" w:color="auto" w:fill="F0FFFF"/>
          </w:tcPr>
          <w:p>
            <w:pPr>
              <w:spacing w:after="0"/>
              <w:rPr>
                <w:sz w:val="12"/>
                <w:szCs w:val="12"/>
                <w:color w:val="auto"/>
              </w:rPr>
            </w:pPr>
          </w:p>
        </w:tc>
        <w:tc>
          <w:tcPr>
            <w:tcW w:w="2260" w:type="dxa"/>
            <w:vAlign w:val="bottom"/>
            <w:tcBorders>
              <w:right w:val="single" w:sz="8" w:color="auto"/>
            </w:tcBorders>
            <w:gridSpan w:val="29"/>
            <w:shd w:val="clear" w:color="auto" w:fill="F0FFFF"/>
          </w:tcPr>
          <w:p>
            <w:pPr>
              <w:ind w:left="20"/>
              <w:spacing w:after="0" w:line="139" w:lineRule="exact"/>
              <w:rPr>
                <w:sz w:val="20"/>
                <w:szCs w:val="20"/>
                <w:color w:val="auto"/>
              </w:rPr>
            </w:pPr>
            <w:r>
              <w:rPr>
                <w:rFonts w:ascii="Times New Roman" w:cs="Times New Roman" w:eastAsia="Times New Roman" w:hAnsi="Times New Roman"/>
                <w:sz w:val="13"/>
                <w:szCs w:val="13"/>
                <w:color w:val="auto"/>
              </w:rPr>
              <w:t>● Shield Rate and Cap Rate, Step Rate,</w:t>
            </w:r>
          </w:p>
        </w:tc>
        <w:tc>
          <w:tcPr>
            <w:tcW w:w="0" w:type="dxa"/>
            <w:vAlign w:val="bottom"/>
          </w:tcPr>
          <w:p>
            <w:pPr>
              <w:spacing w:after="0"/>
              <w:rPr>
                <w:sz w:val="1"/>
                <w:szCs w:val="1"/>
                <w:color w:val="auto"/>
              </w:rPr>
            </w:pPr>
          </w:p>
        </w:tc>
      </w:tr>
      <w:tr>
        <w:trPr>
          <w:trHeight w:val="20"/>
        </w:trPr>
        <w:tc>
          <w:tcPr>
            <w:tcW w:w="100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480" w:type="dxa"/>
            <w:vAlign w:val="bottom"/>
            <w:shd w:val="clear" w:color="auto" w:fill="F0FFFF"/>
          </w:tcPr>
          <w:p>
            <w:pPr>
              <w:spacing w:after="0" w:line="20" w:lineRule="exact"/>
              <w:rPr>
                <w:sz w:val="1"/>
                <w:szCs w:val="1"/>
                <w:color w:val="auto"/>
              </w:rPr>
            </w:pPr>
          </w:p>
        </w:tc>
        <w:tc>
          <w:tcPr>
            <w:tcW w:w="28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shd w:val="clear" w:color="auto" w:fill="F0FFFF"/>
          </w:tcPr>
          <w:p>
            <w:pPr>
              <w:spacing w:after="0" w:line="20" w:lineRule="exact"/>
              <w:rPr>
                <w:sz w:val="1"/>
                <w:szCs w:val="1"/>
                <w:color w:val="auto"/>
              </w:rPr>
            </w:pPr>
          </w:p>
        </w:tc>
        <w:tc>
          <w:tcPr>
            <w:tcW w:w="800" w:type="dxa"/>
            <w:vAlign w:val="bottom"/>
            <w:tcBorders>
              <w:right w:val="single" w:sz="8" w:color="auto"/>
            </w:tcBorders>
            <w:shd w:val="clear" w:color="auto" w:fill="F0FFFF"/>
          </w:tcPr>
          <w:p>
            <w:pPr>
              <w:spacing w:after="0" w:line="20" w:lineRule="exact"/>
              <w:rPr>
                <w:sz w:val="1"/>
                <w:szCs w:val="1"/>
                <w:color w:val="auto"/>
              </w:rPr>
            </w:pPr>
          </w:p>
        </w:tc>
        <w:tc>
          <w:tcPr>
            <w:tcW w:w="1600" w:type="dxa"/>
            <w:vAlign w:val="bottom"/>
            <w:tcBorders>
              <w:right w:val="single" w:sz="8" w:color="auto"/>
            </w:tcBorders>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120" w:type="dxa"/>
            <w:vAlign w:val="bottom"/>
            <w:tcBorders>
              <w:left w:val="single" w:sz="8" w:color="F0FF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tcBorders>
              <w:right w:val="single" w:sz="8" w:color="F0FFFF"/>
            </w:tcBorders>
            <w:gridSpan w:val="2"/>
            <w:shd w:val="clear" w:color="auto" w:fill="000000"/>
          </w:tcPr>
          <w:p>
            <w:pPr>
              <w:spacing w:after="0" w:line="20" w:lineRule="exact"/>
              <w:rPr>
                <w:sz w:val="1"/>
                <w:szCs w:val="1"/>
                <w:color w:val="auto"/>
              </w:rPr>
            </w:pPr>
          </w:p>
        </w:tc>
        <w:tc>
          <w:tcPr>
            <w:tcW w:w="160" w:type="dxa"/>
            <w:vAlign w:val="bottom"/>
            <w:tcBorders>
              <w:right w:val="single" w:sz="8" w:color="F0FFFF"/>
            </w:tcBorders>
            <w:gridSpan w:val="2"/>
            <w:vMerge w:val="restart"/>
            <w:shd w:val="clear" w:color="auto" w:fill="F0FFFF"/>
          </w:tcPr>
          <w:p>
            <w:pPr>
              <w:spacing w:after="0"/>
              <w:rPr>
                <w:sz w:val="20"/>
                <w:szCs w:val="20"/>
                <w:color w:val="auto"/>
              </w:rPr>
            </w:pPr>
            <w:r>
              <w:rPr>
                <w:rFonts w:ascii="Times New Roman" w:cs="Times New Roman" w:eastAsia="Times New Roman" w:hAnsi="Times New Roman"/>
                <w:sz w:val="10"/>
                <w:szCs w:val="10"/>
                <w:color w:val="auto"/>
                <w:w w:val="76"/>
              </w:rPr>
              <w:t>will</w:t>
            </w: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tcBorders>
              <w:right w:val="single" w:sz="8" w:color="F0FFFF"/>
            </w:tcBorders>
            <w:gridSpan w:val="3"/>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00" w:type="dxa"/>
            <w:vAlign w:val="bottom"/>
            <w:tcBorders>
              <w:left w:val="single" w:sz="8" w:color="auto"/>
              <w:right w:val="single" w:sz="8" w:color="auto"/>
            </w:tcBorders>
            <w:shd w:val="clear" w:color="auto" w:fill="F0FFFF"/>
          </w:tcPr>
          <w:p>
            <w:pPr>
              <w:spacing w:after="0"/>
              <w:rPr>
                <w:sz w:val="11"/>
                <w:szCs w:val="11"/>
                <w:color w:val="auto"/>
              </w:rPr>
            </w:pPr>
          </w:p>
        </w:tc>
        <w:tc>
          <w:tcPr>
            <w:tcW w:w="480" w:type="dxa"/>
            <w:vAlign w:val="bottom"/>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320" w:type="dxa"/>
            <w:vAlign w:val="bottom"/>
            <w:tcBorders>
              <w:right w:val="single" w:sz="8" w:color="F0FFFF"/>
            </w:tcBorders>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800" w:type="dxa"/>
            <w:vAlign w:val="bottom"/>
            <w:tcBorders>
              <w:right w:val="single" w:sz="8" w:color="auto"/>
            </w:tcBorders>
            <w:shd w:val="clear" w:color="auto" w:fill="F0FFFF"/>
          </w:tcPr>
          <w:p>
            <w:pPr>
              <w:spacing w:after="0"/>
              <w:rPr>
                <w:sz w:val="11"/>
                <w:szCs w:val="11"/>
                <w:color w:val="auto"/>
              </w:rPr>
            </w:pPr>
          </w:p>
        </w:tc>
        <w:tc>
          <w:tcPr>
            <w:tcW w:w="1600" w:type="dxa"/>
            <w:vAlign w:val="bottom"/>
            <w:tcBorders>
              <w:right w:val="single" w:sz="8" w:color="auto"/>
            </w:tcBorders>
            <w:shd w:val="clear" w:color="auto" w:fill="F0FFFF"/>
          </w:tcPr>
          <w:p>
            <w:pPr>
              <w:spacing w:after="0"/>
              <w:rPr>
                <w:sz w:val="11"/>
                <w:szCs w:val="11"/>
                <w:color w:val="auto"/>
              </w:rPr>
            </w:pPr>
          </w:p>
        </w:tc>
        <w:tc>
          <w:tcPr>
            <w:tcW w:w="160" w:type="dxa"/>
            <w:vAlign w:val="bottom"/>
            <w:tcBorders>
              <w:right w:val="single" w:sz="8" w:color="F0FFFF"/>
            </w:tcBorders>
            <w:shd w:val="clear" w:color="auto" w:fill="F0FFFF"/>
          </w:tcPr>
          <w:p>
            <w:pPr>
              <w:spacing w:after="0"/>
              <w:rPr>
                <w:sz w:val="11"/>
                <w:szCs w:val="11"/>
                <w:color w:val="auto"/>
              </w:rPr>
            </w:pPr>
          </w:p>
        </w:tc>
        <w:tc>
          <w:tcPr>
            <w:tcW w:w="720" w:type="dxa"/>
            <w:vAlign w:val="bottom"/>
            <w:tcBorders>
              <w:left w:val="single" w:sz="8" w:color="F0FFFF"/>
              <w:right w:val="single" w:sz="8" w:color="F0FFFF"/>
            </w:tcBorders>
            <w:gridSpan w:val="7"/>
            <w:shd w:val="clear" w:color="auto" w:fill="F0FFFF"/>
          </w:tcPr>
          <w:p>
            <w:pPr>
              <w:ind w:left="20"/>
              <w:spacing w:after="0" w:line="129" w:lineRule="exact"/>
              <w:rPr>
                <w:sz w:val="20"/>
                <w:szCs w:val="20"/>
                <w:color w:val="auto"/>
              </w:rPr>
            </w:pPr>
            <w:r>
              <w:rPr>
                <w:rFonts w:ascii="Times New Roman" w:cs="Times New Roman" w:eastAsia="Times New Roman" w:hAnsi="Times New Roman"/>
                <w:sz w:val="13"/>
                <w:szCs w:val="13"/>
                <w:color w:val="auto"/>
                <w:w w:val="97"/>
              </w:rPr>
              <w:t>or Edge Rate</w:t>
            </w:r>
          </w:p>
        </w:tc>
        <w:tc>
          <w:tcPr>
            <w:tcW w:w="160" w:type="dxa"/>
            <w:vAlign w:val="bottom"/>
            <w:tcBorders>
              <w:right w:val="single" w:sz="8" w:color="F0FFFF"/>
            </w:tcBorders>
            <w:gridSpan w:val="2"/>
            <w:vMerge w:val="continue"/>
            <w:shd w:val="clear" w:color="auto" w:fill="F0FFFF"/>
          </w:tcPr>
          <w:p>
            <w:pPr>
              <w:spacing w:after="0"/>
              <w:rPr>
                <w:sz w:val="11"/>
                <w:szCs w:val="11"/>
                <w:color w:val="auto"/>
              </w:rPr>
            </w:pPr>
          </w:p>
        </w:tc>
        <w:tc>
          <w:tcPr>
            <w:tcW w:w="1220" w:type="dxa"/>
            <w:vAlign w:val="bottom"/>
            <w:tcBorders>
              <w:left w:val="single" w:sz="8" w:color="F0FFFF"/>
              <w:right w:val="single" w:sz="8" w:color="auto"/>
            </w:tcBorders>
            <w:gridSpan w:val="19"/>
            <w:shd w:val="clear" w:color="auto" w:fill="F0FFFF"/>
          </w:tcPr>
          <w:p>
            <w:pPr>
              <w:jc w:val="right"/>
              <w:ind w:right="300"/>
              <w:spacing w:after="0" w:line="129" w:lineRule="exact"/>
              <w:rPr>
                <w:sz w:val="20"/>
                <w:szCs w:val="20"/>
                <w:color w:val="auto"/>
              </w:rPr>
            </w:pPr>
            <w:r>
              <w:rPr>
                <w:rFonts w:ascii="Times New Roman" w:cs="Times New Roman" w:eastAsia="Times New Roman" w:hAnsi="Times New Roman"/>
                <w:sz w:val="13"/>
                <w:szCs w:val="13"/>
                <w:color w:val="auto"/>
              </w:rPr>
              <w:t>not apply on the</w:t>
            </w:r>
          </w:p>
        </w:tc>
        <w:tc>
          <w:tcPr>
            <w:tcW w:w="0" w:type="dxa"/>
            <w:vAlign w:val="bottom"/>
          </w:tcPr>
          <w:p>
            <w:pPr>
              <w:spacing w:after="0"/>
              <w:rPr>
                <w:sz w:val="1"/>
                <w:szCs w:val="1"/>
                <w:color w:val="auto"/>
              </w:rPr>
            </w:pPr>
          </w:p>
        </w:tc>
      </w:tr>
      <w:tr>
        <w:trPr>
          <w:trHeight w:val="20"/>
        </w:trPr>
        <w:tc>
          <w:tcPr>
            <w:tcW w:w="100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480" w:type="dxa"/>
            <w:vAlign w:val="bottom"/>
            <w:shd w:val="clear" w:color="auto" w:fill="F0FFFF"/>
          </w:tcPr>
          <w:p>
            <w:pPr>
              <w:spacing w:after="0" w:line="20" w:lineRule="exact"/>
              <w:rPr>
                <w:sz w:val="1"/>
                <w:szCs w:val="1"/>
                <w:color w:val="auto"/>
              </w:rPr>
            </w:pPr>
          </w:p>
        </w:tc>
        <w:tc>
          <w:tcPr>
            <w:tcW w:w="28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shd w:val="clear" w:color="auto" w:fill="F0FFFF"/>
          </w:tcPr>
          <w:p>
            <w:pPr>
              <w:spacing w:after="0" w:line="20" w:lineRule="exact"/>
              <w:rPr>
                <w:sz w:val="1"/>
                <w:szCs w:val="1"/>
                <w:color w:val="auto"/>
              </w:rPr>
            </w:pPr>
          </w:p>
        </w:tc>
        <w:tc>
          <w:tcPr>
            <w:tcW w:w="800" w:type="dxa"/>
            <w:vAlign w:val="bottom"/>
            <w:tcBorders>
              <w:right w:val="single" w:sz="8" w:color="auto"/>
            </w:tcBorders>
            <w:shd w:val="clear" w:color="auto" w:fill="F0FFFF"/>
          </w:tcPr>
          <w:p>
            <w:pPr>
              <w:spacing w:after="0" w:line="20" w:lineRule="exact"/>
              <w:rPr>
                <w:sz w:val="1"/>
                <w:szCs w:val="1"/>
                <w:color w:val="auto"/>
              </w:rPr>
            </w:pPr>
          </w:p>
        </w:tc>
        <w:tc>
          <w:tcPr>
            <w:tcW w:w="1600" w:type="dxa"/>
            <w:vAlign w:val="bottom"/>
            <w:tcBorders>
              <w:right w:val="single" w:sz="8" w:color="auto"/>
            </w:tcBorders>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120" w:type="dxa"/>
            <w:vAlign w:val="bottom"/>
            <w:tcBorders>
              <w:left w:val="single" w:sz="8" w:color="F0FFFF"/>
            </w:tcBorders>
            <w:shd w:val="clear" w:color="auto" w:fill="F0FFFF"/>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80" w:type="dxa"/>
            <w:vAlign w:val="bottom"/>
            <w:tcBorders>
              <w:right w:val="single" w:sz="8" w:color="F0FFFF"/>
            </w:tcBorders>
            <w:shd w:val="clear" w:color="auto" w:fill="F0FFFF"/>
          </w:tcPr>
          <w:p>
            <w:pPr>
              <w:spacing w:after="0" w:line="20" w:lineRule="exact"/>
              <w:rPr>
                <w:sz w:val="1"/>
                <w:szCs w:val="1"/>
                <w:color w:val="auto"/>
              </w:rPr>
            </w:pPr>
          </w:p>
        </w:tc>
        <w:tc>
          <w:tcPr>
            <w:tcW w:w="120" w:type="dxa"/>
            <w:vAlign w:val="bottom"/>
            <w:tcBorders>
              <w:left w:val="single" w:sz="8" w:color="F0FFFF"/>
            </w:tcBorders>
            <w:gridSpan w:val="2"/>
            <w:shd w:val="clear" w:color="auto" w:fill="F0FFFF"/>
          </w:tcPr>
          <w:p>
            <w:pPr>
              <w:spacing w:after="0" w:line="20" w:lineRule="exact"/>
              <w:rPr>
                <w:sz w:val="1"/>
                <w:szCs w:val="1"/>
                <w:color w:val="auto"/>
              </w:rPr>
            </w:pPr>
          </w:p>
        </w:tc>
        <w:tc>
          <w:tcPr>
            <w:tcW w:w="120" w:type="dxa"/>
            <w:vAlign w:val="bottom"/>
            <w:tcBorders>
              <w:right w:val="single" w:sz="8" w:color="F0FFFF"/>
            </w:tcBorders>
            <w:gridSpan w:val="2"/>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60" w:type="dxa"/>
            <w:vAlign w:val="bottom"/>
            <w:gridSpan w:val="3"/>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200" w:type="dxa"/>
            <w:vAlign w:val="bottom"/>
            <w:tcBorders>
              <w:right w:val="single" w:sz="8" w:color="F0FFFF"/>
            </w:tcBorders>
            <w:gridSpan w:val="3"/>
            <w:shd w:val="clear" w:color="auto" w:fill="F0FFFF"/>
          </w:tcPr>
          <w:p>
            <w:pPr>
              <w:spacing w:after="0" w:line="20" w:lineRule="exact"/>
              <w:rPr>
                <w:sz w:val="1"/>
                <w:szCs w:val="1"/>
                <w:color w:val="auto"/>
              </w:rPr>
            </w:pPr>
          </w:p>
        </w:tc>
        <w:tc>
          <w:tcPr>
            <w:tcW w:w="100" w:type="dxa"/>
            <w:vAlign w:val="bottom"/>
            <w:tcBorders>
              <w:right w:val="single" w:sz="8" w:color="F0FFFF"/>
            </w:tcBorders>
            <w:shd w:val="clear" w:color="auto" w:fill="F0FFFF"/>
          </w:tcPr>
          <w:p>
            <w:pPr>
              <w:spacing w:after="0" w:line="20" w:lineRule="exact"/>
              <w:rPr>
                <w:sz w:val="1"/>
                <w:szCs w:val="1"/>
                <w:color w:val="auto"/>
              </w:rPr>
            </w:pPr>
          </w:p>
        </w:tc>
        <w:tc>
          <w:tcPr>
            <w:tcW w:w="200" w:type="dxa"/>
            <w:vAlign w:val="bottom"/>
            <w:tcBorders>
              <w:right w:val="single" w:sz="8" w:color="F0FFFF"/>
            </w:tcBorders>
            <w:shd w:val="clear" w:color="auto" w:fill="F0FFFF"/>
          </w:tcPr>
          <w:p>
            <w:pPr>
              <w:spacing w:after="0" w:line="20" w:lineRule="exact"/>
              <w:rPr>
                <w:sz w:val="1"/>
                <w:szCs w:val="1"/>
                <w:color w:val="auto"/>
              </w:rPr>
            </w:pPr>
          </w:p>
        </w:tc>
        <w:tc>
          <w:tcPr>
            <w:tcW w:w="80" w:type="dxa"/>
            <w:vAlign w:val="bottom"/>
            <w:gridSpan w:val="2"/>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240" w:type="dxa"/>
            <w:vAlign w:val="bottom"/>
            <w:tcBorders>
              <w:right w:val="single" w:sz="8" w:color="auto"/>
            </w:tcBorders>
            <w:gridSpan w:val="2"/>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000" w:type="dxa"/>
            <w:vAlign w:val="bottom"/>
            <w:tcBorders>
              <w:left w:val="single" w:sz="8" w:color="auto"/>
              <w:right w:val="single" w:sz="8" w:color="auto"/>
            </w:tcBorders>
            <w:shd w:val="clear" w:color="auto" w:fill="F0FFFF"/>
          </w:tcPr>
          <w:p>
            <w:pPr>
              <w:spacing w:after="0"/>
              <w:rPr>
                <w:sz w:val="10"/>
                <w:szCs w:val="10"/>
                <w:color w:val="auto"/>
              </w:rPr>
            </w:pPr>
          </w:p>
        </w:tc>
        <w:tc>
          <w:tcPr>
            <w:tcW w:w="480" w:type="dxa"/>
            <w:vAlign w:val="bottom"/>
            <w:shd w:val="clear" w:color="auto" w:fill="F0FFFF"/>
          </w:tcPr>
          <w:p>
            <w:pPr>
              <w:spacing w:after="0"/>
              <w:rPr>
                <w:sz w:val="10"/>
                <w:szCs w:val="10"/>
                <w:color w:val="auto"/>
              </w:rPr>
            </w:pPr>
          </w:p>
        </w:tc>
        <w:tc>
          <w:tcPr>
            <w:tcW w:w="28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320" w:type="dxa"/>
            <w:vAlign w:val="bottom"/>
            <w:tcBorders>
              <w:right w:val="single" w:sz="8" w:color="F0FFFF"/>
            </w:tcBorders>
            <w:shd w:val="clear" w:color="auto" w:fill="F0FFFF"/>
          </w:tcPr>
          <w:p>
            <w:pPr>
              <w:spacing w:after="0"/>
              <w:rPr>
                <w:sz w:val="10"/>
                <w:szCs w:val="10"/>
                <w:color w:val="auto"/>
              </w:rPr>
            </w:pPr>
          </w:p>
        </w:tc>
        <w:tc>
          <w:tcPr>
            <w:tcW w:w="280" w:type="dxa"/>
            <w:vAlign w:val="bottom"/>
            <w:shd w:val="clear" w:color="auto" w:fill="F0FFFF"/>
          </w:tcPr>
          <w:p>
            <w:pPr>
              <w:spacing w:after="0"/>
              <w:rPr>
                <w:sz w:val="10"/>
                <w:szCs w:val="10"/>
                <w:color w:val="auto"/>
              </w:rPr>
            </w:pPr>
          </w:p>
        </w:tc>
        <w:tc>
          <w:tcPr>
            <w:tcW w:w="800" w:type="dxa"/>
            <w:vAlign w:val="bottom"/>
            <w:tcBorders>
              <w:right w:val="single" w:sz="8" w:color="auto"/>
            </w:tcBorders>
            <w:shd w:val="clear" w:color="auto" w:fill="F0FFFF"/>
          </w:tcPr>
          <w:p>
            <w:pPr>
              <w:spacing w:after="0"/>
              <w:rPr>
                <w:sz w:val="10"/>
                <w:szCs w:val="10"/>
                <w:color w:val="auto"/>
              </w:rPr>
            </w:pPr>
          </w:p>
        </w:tc>
        <w:tc>
          <w:tcPr>
            <w:tcW w:w="1600" w:type="dxa"/>
            <w:vAlign w:val="bottom"/>
            <w:tcBorders>
              <w:right w:val="single" w:sz="8" w:color="auto"/>
            </w:tcBorders>
            <w:shd w:val="clear" w:color="auto" w:fill="F0FFFF"/>
          </w:tcPr>
          <w:p>
            <w:pPr>
              <w:spacing w:after="0"/>
              <w:rPr>
                <w:sz w:val="10"/>
                <w:szCs w:val="10"/>
                <w:color w:val="auto"/>
              </w:rPr>
            </w:pPr>
          </w:p>
        </w:tc>
        <w:tc>
          <w:tcPr>
            <w:tcW w:w="160" w:type="dxa"/>
            <w:vAlign w:val="bottom"/>
            <w:tcBorders>
              <w:right w:val="single" w:sz="8" w:color="F0FFFF"/>
            </w:tcBorders>
            <w:shd w:val="clear" w:color="auto" w:fill="F0FFFF"/>
          </w:tcPr>
          <w:p>
            <w:pPr>
              <w:spacing w:after="0"/>
              <w:rPr>
                <w:sz w:val="10"/>
                <w:szCs w:val="10"/>
                <w:color w:val="auto"/>
              </w:rPr>
            </w:pPr>
          </w:p>
        </w:tc>
        <w:tc>
          <w:tcPr>
            <w:tcW w:w="2100" w:type="dxa"/>
            <w:vAlign w:val="bottom"/>
            <w:tcBorders>
              <w:left w:val="single" w:sz="8" w:color="F0FFFF"/>
              <w:right w:val="single" w:sz="8" w:color="auto"/>
            </w:tcBorders>
            <w:gridSpan w:val="28"/>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auto"/>
              </w:rPr>
              <w:t>Term End Date after a Performance</w:t>
            </w:r>
          </w:p>
        </w:tc>
        <w:tc>
          <w:tcPr>
            <w:tcW w:w="0" w:type="dxa"/>
            <w:vAlign w:val="bottom"/>
          </w:tcPr>
          <w:p>
            <w:pPr>
              <w:spacing w:after="0"/>
              <w:rPr>
                <w:sz w:val="1"/>
                <w:szCs w:val="1"/>
                <w:color w:val="auto"/>
              </w:rPr>
            </w:pPr>
          </w:p>
        </w:tc>
      </w:tr>
      <w:tr>
        <w:trPr>
          <w:trHeight w:val="129"/>
        </w:trPr>
        <w:tc>
          <w:tcPr>
            <w:tcW w:w="1000" w:type="dxa"/>
            <w:vAlign w:val="bottom"/>
            <w:tcBorders>
              <w:top w:val="single" w:sz="8" w:color="F0FFFF"/>
              <w:left w:val="single" w:sz="8" w:color="auto"/>
              <w:right w:val="single" w:sz="8" w:color="auto"/>
            </w:tcBorders>
            <w:shd w:val="clear" w:color="auto" w:fill="F0FFFF"/>
          </w:tcPr>
          <w:p>
            <w:pPr>
              <w:spacing w:after="0"/>
              <w:rPr>
                <w:sz w:val="11"/>
                <w:szCs w:val="11"/>
                <w:color w:val="auto"/>
              </w:rPr>
            </w:pPr>
          </w:p>
        </w:tc>
        <w:tc>
          <w:tcPr>
            <w:tcW w:w="480" w:type="dxa"/>
            <w:vAlign w:val="bottom"/>
            <w:tcBorders>
              <w:top w:val="single" w:sz="8" w:color="F0FFFF"/>
            </w:tcBorders>
            <w:shd w:val="clear" w:color="auto" w:fill="F0FFFF"/>
          </w:tcPr>
          <w:p>
            <w:pPr>
              <w:spacing w:after="0"/>
              <w:rPr>
                <w:sz w:val="11"/>
                <w:szCs w:val="11"/>
                <w:color w:val="auto"/>
              </w:rPr>
            </w:pPr>
          </w:p>
        </w:tc>
        <w:tc>
          <w:tcPr>
            <w:tcW w:w="280" w:type="dxa"/>
            <w:vAlign w:val="bottom"/>
            <w:tcBorders>
              <w:top w:val="single" w:sz="8" w:color="F0FFFF"/>
            </w:tcBorders>
            <w:shd w:val="clear" w:color="auto" w:fill="F0FFFF"/>
          </w:tcPr>
          <w:p>
            <w:pPr>
              <w:spacing w:after="0"/>
              <w:rPr>
                <w:sz w:val="11"/>
                <w:szCs w:val="11"/>
                <w:color w:val="auto"/>
              </w:rPr>
            </w:pPr>
          </w:p>
        </w:tc>
        <w:tc>
          <w:tcPr>
            <w:tcW w:w="120" w:type="dxa"/>
            <w:vAlign w:val="bottom"/>
            <w:tcBorders>
              <w:top w:val="single" w:sz="8" w:color="F0FFFF"/>
            </w:tcBorders>
            <w:shd w:val="clear" w:color="auto" w:fill="F0FFFF"/>
          </w:tcPr>
          <w:p>
            <w:pPr>
              <w:spacing w:after="0"/>
              <w:rPr>
                <w:sz w:val="11"/>
                <w:szCs w:val="11"/>
                <w:color w:val="auto"/>
              </w:rPr>
            </w:pPr>
          </w:p>
        </w:tc>
        <w:tc>
          <w:tcPr>
            <w:tcW w:w="320" w:type="dxa"/>
            <w:vAlign w:val="bottom"/>
            <w:tcBorders>
              <w:top w:val="single" w:sz="8" w:color="F0FFFF"/>
              <w:right w:val="single" w:sz="8" w:color="F0FFFF"/>
            </w:tcBorders>
            <w:shd w:val="clear" w:color="auto" w:fill="F0FFFF"/>
          </w:tcPr>
          <w:p>
            <w:pPr>
              <w:spacing w:after="0"/>
              <w:rPr>
                <w:sz w:val="11"/>
                <w:szCs w:val="11"/>
                <w:color w:val="auto"/>
              </w:rPr>
            </w:pPr>
          </w:p>
        </w:tc>
        <w:tc>
          <w:tcPr>
            <w:tcW w:w="280" w:type="dxa"/>
            <w:vAlign w:val="bottom"/>
            <w:tcBorders>
              <w:top w:val="single" w:sz="8" w:color="F0FFFF"/>
            </w:tcBorders>
            <w:shd w:val="clear" w:color="auto" w:fill="F0FFFF"/>
          </w:tcPr>
          <w:p>
            <w:pPr>
              <w:spacing w:after="0"/>
              <w:rPr>
                <w:sz w:val="11"/>
                <w:szCs w:val="11"/>
                <w:color w:val="auto"/>
              </w:rPr>
            </w:pPr>
          </w:p>
        </w:tc>
        <w:tc>
          <w:tcPr>
            <w:tcW w:w="800" w:type="dxa"/>
            <w:vAlign w:val="bottom"/>
            <w:tcBorders>
              <w:top w:val="single" w:sz="8" w:color="F0FFFF"/>
              <w:right w:val="single" w:sz="8" w:color="auto"/>
            </w:tcBorders>
            <w:shd w:val="clear" w:color="auto" w:fill="F0FFFF"/>
          </w:tcPr>
          <w:p>
            <w:pPr>
              <w:spacing w:after="0"/>
              <w:rPr>
                <w:sz w:val="11"/>
                <w:szCs w:val="11"/>
                <w:color w:val="auto"/>
              </w:rPr>
            </w:pPr>
          </w:p>
        </w:tc>
        <w:tc>
          <w:tcPr>
            <w:tcW w:w="1600" w:type="dxa"/>
            <w:vAlign w:val="bottom"/>
            <w:tcBorders>
              <w:top w:val="single" w:sz="8" w:color="F0FFFF"/>
              <w:right w:val="single" w:sz="8" w:color="auto"/>
            </w:tcBorders>
            <w:shd w:val="clear" w:color="auto" w:fill="F0FFFF"/>
          </w:tcPr>
          <w:p>
            <w:pPr>
              <w:spacing w:after="0"/>
              <w:rPr>
                <w:sz w:val="11"/>
                <w:szCs w:val="11"/>
                <w:color w:val="auto"/>
              </w:rPr>
            </w:pPr>
          </w:p>
        </w:tc>
        <w:tc>
          <w:tcPr>
            <w:tcW w:w="160" w:type="dxa"/>
            <w:vAlign w:val="bottom"/>
            <w:tcBorders>
              <w:top w:val="single" w:sz="8" w:color="F0FFFF"/>
              <w:right w:val="single" w:sz="8" w:color="F0FFFF"/>
            </w:tcBorders>
            <w:shd w:val="clear" w:color="auto" w:fill="F0FFFF"/>
          </w:tcPr>
          <w:p>
            <w:pPr>
              <w:spacing w:after="0"/>
              <w:rPr>
                <w:sz w:val="11"/>
                <w:szCs w:val="11"/>
                <w:color w:val="auto"/>
              </w:rPr>
            </w:pPr>
          </w:p>
        </w:tc>
        <w:tc>
          <w:tcPr>
            <w:tcW w:w="880" w:type="dxa"/>
            <w:vAlign w:val="bottom"/>
            <w:tcBorders>
              <w:top w:val="single" w:sz="8" w:color="auto"/>
              <w:left w:val="single" w:sz="8" w:color="F0FFFF"/>
              <w:right w:val="single" w:sz="8" w:color="F0FFFF"/>
            </w:tcBorders>
            <w:gridSpan w:val="9"/>
            <w:shd w:val="clear" w:color="auto" w:fill="F0FFFF"/>
          </w:tcPr>
          <w:p>
            <w:pPr>
              <w:spacing w:after="0" w:line="129" w:lineRule="exact"/>
              <w:rPr>
                <w:sz w:val="20"/>
                <w:szCs w:val="20"/>
                <w:color w:val="auto"/>
              </w:rPr>
            </w:pPr>
            <w:r>
              <w:rPr>
                <w:rFonts w:ascii="Times New Roman" w:cs="Times New Roman" w:eastAsia="Times New Roman" w:hAnsi="Times New Roman"/>
                <w:sz w:val="13"/>
                <w:szCs w:val="13"/>
                <w:color w:val="auto"/>
                <w:w w:val="89"/>
              </w:rPr>
              <w:t>Lock is exercised.</w:t>
            </w:r>
          </w:p>
        </w:tc>
        <w:tc>
          <w:tcPr>
            <w:tcW w:w="120" w:type="dxa"/>
            <w:vAlign w:val="bottom"/>
            <w:tcBorders>
              <w:top w:val="single" w:sz="8" w:color="F0FFFF"/>
              <w:left w:val="single" w:sz="8" w:color="F0FFFF"/>
            </w:tcBorders>
            <w:gridSpan w:val="2"/>
            <w:shd w:val="clear" w:color="auto" w:fill="F0FFFF"/>
          </w:tcPr>
          <w:p>
            <w:pPr>
              <w:spacing w:after="0"/>
              <w:rPr>
                <w:sz w:val="11"/>
                <w:szCs w:val="11"/>
                <w:color w:val="auto"/>
              </w:rPr>
            </w:pPr>
          </w:p>
        </w:tc>
        <w:tc>
          <w:tcPr>
            <w:tcW w:w="120" w:type="dxa"/>
            <w:vAlign w:val="bottom"/>
            <w:tcBorders>
              <w:top w:val="single" w:sz="8" w:color="F0FFFF"/>
              <w:right w:val="single" w:sz="8" w:color="F0FFFF"/>
            </w:tcBorders>
            <w:gridSpan w:val="2"/>
            <w:shd w:val="clear" w:color="auto" w:fill="F0FFFF"/>
          </w:tcPr>
          <w:p>
            <w:pPr>
              <w:spacing w:after="0"/>
              <w:rPr>
                <w:sz w:val="11"/>
                <w:szCs w:val="11"/>
                <w:color w:val="auto"/>
              </w:rPr>
            </w:pPr>
          </w:p>
        </w:tc>
        <w:tc>
          <w:tcPr>
            <w:tcW w:w="20" w:type="dxa"/>
            <w:vAlign w:val="bottom"/>
            <w:tcBorders>
              <w:top w:val="single" w:sz="8" w:color="F0FFFF"/>
            </w:tcBorders>
            <w:shd w:val="clear" w:color="auto" w:fill="F0FFFF"/>
          </w:tcPr>
          <w:p>
            <w:pPr>
              <w:spacing w:after="0"/>
              <w:rPr>
                <w:sz w:val="11"/>
                <w:szCs w:val="11"/>
                <w:color w:val="auto"/>
              </w:rPr>
            </w:pPr>
          </w:p>
        </w:tc>
        <w:tc>
          <w:tcPr>
            <w:tcW w:w="60" w:type="dxa"/>
            <w:vAlign w:val="bottom"/>
            <w:tcBorders>
              <w:top w:val="single" w:sz="8" w:color="F0FFFF"/>
            </w:tcBorders>
            <w:gridSpan w:val="3"/>
            <w:shd w:val="clear" w:color="auto" w:fill="F0FFFF"/>
          </w:tcPr>
          <w:p>
            <w:pPr>
              <w:spacing w:after="0"/>
              <w:rPr>
                <w:sz w:val="11"/>
                <w:szCs w:val="11"/>
                <w:color w:val="auto"/>
              </w:rPr>
            </w:pPr>
          </w:p>
        </w:tc>
        <w:tc>
          <w:tcPr>
            <w:tcW w:w="40" w:type="dxa"/>
            <w:vAlign w:val="bottom"/>
            <w:tcBorders>
              <w:top w:val="single" w:sz="8" w:color="auto"/>
            </w:tcBorders>
            <w:shd w:val="clear" w:color="auto" w:fill="F0FFFF"/>
          </w:tcPr>
          <w:p>
            <w:pPr>
              <w:spacing w:after="0"/>
              <w:rPr>
                <w:sz w:val="11"/>
                <w:szCs w:val="11"/>
                <w:color w:val="auto"/>
              </w:rPr>
            </w:pPr>
          </w:p>
        </w:tc>
        <w:tc>
          <w:tcPr>
            <w:tcW w:w="200" w:type="dxa"/>
            <w:vAlign w:val="bottom"/>
            <w:tcBorders>
              <w:top w:val="single" w:sz="8" w:color="auto"/>
              <w:right w:val="single" w:sz="8" w:color="F0FFFF"/>
            </w:tcBorders>
            <w:gridSpan w:val="3"/>
            <w:shd w:val="clear" w:color="auto" w:fill="F0FFFF"/>
          </w:tcPr>
          <w:p>
            <w:pPr>
              <w:spacing w:after="0"/>
              <w:rPr>
                <w:sz w:val="11"/>
                <w:szCs w:val="11"/>
                <w:color w:val="auto"/>
              </w:rPr>
            </w:pPr>
          </w:p>
        </w:tc>
        <w:tc>
          <w:tcPr>
            <w:tcW w:w="100" w:type="dxa"/>
            <w:vAlign w:val="bottom"/>
            <w:tcBorders>
              <w:top w:val="single" w:sz="8" w:color="auto"/>
              <w:right w:val="single" w:sz="8" w:color="F0FFFF"/>
            </w:tcBorders>
            <w:shd w:val="clear" w:color="auto" w:fill="F0FFFF"/>
          </w:tcPr>
          <w:p>
            <w:pPr>
              <w:spacing w:after="0"/>
              <w:rPr>
                <w:sz w:val="11"/>
                <w:szCs w:val="11"/>
                <w:color w:val="auto"/>
              </w:rPr>
            </w:pPr>
          </w:p>
        </w:tc>
        <w:tc>
          <w:tcPr>
            <w:tcW w:w="200" w:type="dxa"/>
            <w:vAlign w:val="bottom"/>
            <w:tcBorders>
              <w:top w:val="single" w:sz="8" w:color="auto"/>
              <w:right w:val="single" w:sz="8" w:color="F0FFFF"/>
            </w:tcBorders>
            <w:shd w:val="clear" w:color="auto" w:fill="F0FFFF"/>
          </w:tcPr>
          <w:p>
            <w:pPr>
              <w:spacing w:after="0"/>
              <w:rPr>
                <w:sz w:val="11"/>
                <w:szCs w:val="11"/>
                <w:color w:val="auto"/>
              </w:rPr>
            </w:pPr>
          </w:p>
        </w:tc>
        <w:tc>
          <w:tcPr>
            <w:tcW w:w="80" w:type="dxa"/>
            <w:vAlign w:val="bottom"/>
            <w:tcBorders>
              <w:top w:val="single" w:sz="8" w:color="auto"/>
            </w:tcBorders>
            <w:gridSpan w:val="2"/>
            <w:shd w:val="clear" w:color="auto" w:fill="F0FFFF"/>
          </w:tcPr>
          <w:p>
            <w:pPr>
              <w:spacing w:after="0"/>
              <w:rPr>
                <w:sz w:val="11"/>
                <w:szCs w:val="11"/>
                <w:color w:val="auto"/>
              </w:rPr>
            </w:pPr>
          </w:p>
        </w:tc>
        <w:tc>
          <w:tcPr>
            <w:tcW w:w="40" w:type="dxa"/>
            <w:vAlign w:val="bottom"/>
            <w:tcBorders>
              <w:top w:val="single" w:sz="8" w:color="auto"/>
            </w:tcBorders>
            <w:shd w:val="clear" w:color="auto" w:fill="F0FFFF"/>
          </w:tcPr>
          <w:p>
            <w:pPr>
              <w:spacing w:after="0"/>
              <w:rPr>
                <w:sz w:val="11"/>
                <w:szCs w:val="11"/>
                <w:color w:val="auto"/>
              </w:rPr>
            </w:pPr>
          </w:p>
        </w:tc>
        <w:tc>
          <w:tcPr>
            <w:tcW w:w="240" w:type="dxa"/>
            <w:vAlign w:val="bottom"/>
            <w:tcBorders>
              <w:top w:val="single" w:sz="8" w:color="F0FFFF"/>
              <w:right w:val="single" w:sz="8" w:color="auto"/>
            </w:tcBorders>
            <w:gridSpan w:val="2"/>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000" w:type="dxa"/>
            <w:vAlign w:val="bottom"/>
            <w:tcBorders>
              <w:top w:val="single" w:sz="8" w:color="F0FFFF"/>
              <w:left w:val="single" w:sz="8" w:color="auto"/>
              <w:right w:val="single" w:sz="8" w:color="auto"/>
            </w:tcBorders>
            <w:shd w:val="clear" w:color="auto" w:fill="F0FFFF"/>
          </w:tcPr>
          <w:p>
            <w:pPr>
              <w:spacing w:after="0"/>
              <w:rPr>
                <w:sz w:val="10"/>
                <w:szCs w:val="10"/>
                <w:color w:val="auto"/>
              </w:rPr>
            </w:pPr>
          </w:p>
        </w:tc>
        <w:tc>
          <w:tcPr>
            <w:tcW w:w="480" w:type="dxa"/>
            <w:vAlign w:val="bottom"/>
            <w:tcBorders>
              <w:top w:val="single" w:sz="8" w:color="F0FFFF"/>
            </w:tcBorders>
            <w:shd w:val="clear" w:color="auto" w:fill="F0FFFF"/>
          </w:tcPr>
          <w:p>
            <w:pPr>
              <w:spacing w:after="0"/>
              <w:rPr>
                <w:sz w:val="10"/>
                <w:szCs w:val="10"/>
                <w:color w:val="auto"/>
              </w:rPr>
            </w:pPr>
          </w:p>
        </w:tc>
        <w:tc>
          <w:tcPr>
            <w:tcW w:w="280" w:type="dxa"/>
            <w:vAlign w:val="bottom"/>
            <w:tcBorders>
              <w:top w:val="single" w:sz="8" w:color="F0FFFF"/>
            </w:tcBorders>
            <w:shd w:val="clear" w:color="auto" w:fill="F0FFFF"/>
          </w:tcPr>
          <w:p>
            <w:pPr>
              <w:spacing w:after="0"/>
              <w:rPr>
                <w:sz w:val="10"/>
                <w:szCs w:val="10"/>
                <w:color w:val="auto"/>
              </w:rPr>
            </w:pPr>
          </w:p>
        </w:tc>
        <w:tc>
          <w:tcPr>
            <w:tcW w:w="120" w:type="dxa"/>
            <w:vAlign w:val="bottom"/>
            <w:tcBorders>
              <w:top w:val="single" w:sz="8" w:color="F0FFFF"/>
            </w:tcBorders>
            <w:shd w:val="clear" w:color="auto" w:fill="F0FFFF"/>
          </w:tcPr>
          <w:p>
            <w:pPr>
              <w:spacing w:after="0"/>
              <w:rPr>
                <w:sz w:val="10"/>
                <w:szCs w:val="10"/>
                <w:color w:val="auto"/>
              </w:rPr>
            </w:pPr>
          </w:p>
        </w:tc>
        <w:tc>
          <w:tcPr>
            <w:tcW w:w="320" w:type="dxa"/>
            <w:vAlign w:val="bottom"/>
            <w:tcBorders>
              <w:top w:val="single" w:sz="8" w:color="F0FFFF"/>
              <w:right w:val="single" w:sz="8" w:color="F0FFFF"/>
            </w:tcBorders>
            <w:shd w:val="clear" w:color="auto" w:fill="F0FFFF"/>
          </w:tcPr>
          <w:p>
            <w:pPr>
              <w:spacing w:after="0"/>
              <w:rPr>
                <w:sz w:val="10"/>
                <w:szCs w:val="10"/>
                <w:color w:val="auto"/>
              </w:rPr>
            </w:pPr>
          </w:p>
        </w:tc>
        <w:tc>
          <w:tcPr>
            <w:tcW w:w="280" w:type="dxa"/>
            <w:vAlign w:val="bottom"/>
            <w:tcBorders>
              <w:top w:val="single" w:sz="8" w:color="F0FFFF"/>
            </w:tcBorders>
            <w:shd w:val="clear" w:color="auto" w:fill="F0FFFF"/>
          </w:tcPr>
          <w:p>
            <w:pPr>
              <w:spacing w:after="0"/>
              <w:rPr>
                <w:sz w:val="10"/>
                <w:szCs w:val="10"/>
                <w:color w:val="auto"/>
              </w:rPr>
            </w:pPr>
          </w:p>
        </w:tc>
        <w:tc>
          <w:tcPr>
            <w:tcW w:w="800" w:type="dxa"/>
            <w:vAlign w:val="bottom"/>
            <w:tcBorders>
              <w:top w:val="single" w:sz="8" w:color="F0FFFF"/>
              <w:right w:val="single" w:sz="8" w:color="auto"/>
            </w:tcBorders>
            <w:shd w:val="clear" w:color="auto" w:fill="F0FFFF"/>
          </w:tcPr>
          <w:p>
            <w:pPr>
              <w:spacing w:after="0"/>
              <w:rPr>
                <w:sz w:val="10"/>
                <w:szCs w:val="10"/>
                <w:color w:val="auto"/>
              </w:rPr>
            </w:pPr>
          </w:p>
        </w:tc>
        <w:tc>
          <w:tcPr>
            <w:tcW w:w="1600" w:type="dxa"/>
            <w:vAlign w:val="bottom"/>
            <w:tcBorders>
              <w:top w:val="single" w:sz="8" w:color="F0FFFF"/>
              <w:right w:val="single" w:sz="8" w:color="auto"/>
            </w:tcBorders>
            <w:shd w:val="clear" w:color="auto" w:fill="F0FFFF"/>
          </w:tcPr>
          <w:p>
            <w:pPr>
              <w:spacing w:after="0"/>
              <w:rPr>
                <w:sz w:val="10"/>
                <w:szCs w:val="10"/>
                <w:color w:val="auto"/>
              </w:rPr>
            </w:pPr>
          </w:p>
        </w:tc>
        <w:tc>
          <w:tcPr>
            <w:tcW w:w="160" w:type="dxa"/>
            <w:vAlign w:val="bottom"/>
            <w:tcBorders>
              <w:top w:val="single" w:sz="8" w:color="F0FFFF"/>
              <w:right w:val="single" w:sz="8" w:color="F0FFFF"/>
            </w:tcBorders>
            <w:shd w:val="clear" w:color="auto" w:fill="F0FFFF"/>
          </w:tcPr>
          <w:p>
            <w:pPr>
              <w:ind w:left="20"/>
              <w:spacing w:after="0" w:line="126"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top w:val="single" w:sz="8" w:color="auto"/>
              <w:left w:val="single" w:sz="8" w:color="F0FFFF"/>
              <w:right w:val="single" w:sz="8" w:color="F0FFFF"/>
            </w:tcBorders>
            <w:gridSpan w:val="2"/>
            <w:shd w:val="clear" w:color="auto" w:fill="F0FFFF"/>
          </w:tcPr>
          <w:p>
            <w:pPr>
              <w:spacing w:after="0" w:line="126" w:lineRule="exact"/>
              <w:rPr>
                <w:sz w:val="20"/>
                <w:szCs w:val="20"/>
                <w:color w:val="auto"/>
              </w:rPr>
            </w:pPr>
            <w:r>
              <w:rPr>
                <w:rFonts w:ascii="Times New Roman" w:cs="Times New Roman" w:eastAsia="Times New Roman" w:hAnsi="Times New Roman"/>
                <w:sz w:val="13"/>
                <w:szCs w:val="13"/>
                <w:color w:val="auto"/>
              </w:rPr>
              <w:t>Must</w:t>
            </w:r>
          </w:p>
        </w:tc>
        <w:tc>
          <w:tcPr>
            <w:tcW w:w="1780" w:type="dxa"/>
            <w:vAlign w:val="bottom"/>
            <w:tcBorders>
              <w:top w:val="single" w:sz="8" w:color="F0FFFF"/>
              <w:right w:val="single" w:sz="8" w:color="auto"/>
            </w:tcBorders>
            <w:gridSpan w:val="26"/>
            <w:shd w:val="clear" w:color="auto" w:fill="F0FFFF"/>
          </w:tcPr>
          <w:p>
            <w:pPr>
              <w:spacing w:after="0" w:line="126" w:lineRule="exact"/>
              <w:rPr>
                <w:sz w:val="20"/>
                <w:szCs w:val="20"/>
                <w:color w:val="auto"/>
              </w:rPr>
            </w:pPr>
            <w:r>
              <w:rPr>
                <w:rFonts w:ascii="Times New Roman" w:cs="Times New Roman" w:eastAsia="Times New Roman" w:hAnsi="Times New Roman"/>
                <w:sz w:val="13"/>
                <w:szCs w:val="13"/>
                <w:color w:val="auto"/>
              </w:rPr>
              <w:t>be exercised for the full amount</w:t>
            </w:r>
          </w:p>
        </w:tc>
        <w:tc>
          <w:tcPr>
            <w:tcW w:w="0" w:type="dxa"/>
            <w:vAlign w:val="bottom"/>
          </w:tcPr>
          <w:p>
            <w:pPr>
              <w:spacing w:after="0"/>
              <w:rPr>
                <w:sz w:val="1"/>
                <w:szCs w:val="1"/>
                <w:color w:val="auto"/>
              </w:rPr>
            </w:pPr>
          </w:p>
        </w:tc>
      </w:tr>
      <w:tr>
        <w:trPr>
          <w:trHeight w:val="142"/>
        </w:trPr>
        <w:tc>
          <w:tcPr>
            <w:tcW w:w="1000" w:type="dxa"/>
            <w:vAlign w:val="bottom"/>
            <w:tcBorders>
              <w:left w:val="single" w:sz="8" w:color="auto"/>
              <w:right w:val="single" w:sz="8" w:color="auto"/>
            </w:tcBorders>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320" w:type="dxa"/>
            <w:vAlign w:val="bottom"/>
            <w:tcBorders>
              <w:right w:val="single" w:sz="8" w:color="F0FFFF"/>
            </w:tcBorders>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800" w:type="dxa"/>
            <w:vAlign w:val="bottom"/>
            <w:tcBorders>
              <w:right w:val="single" w:sz="8" w:color="auto"/>
            </w:tcBorders>
            <w:shd w:val="clear" w:color="auto" w:fill="F0FFFF"/>
          </w:tcPr>
          <w:p>
            <w:pPr>
              <w:spacing w:after="0"/>
              <w:rPr>
                <w:sz w:val="12"/>
                <w:szCs w:val="12"/>
                <w:color w:val="auto"/>
              </w:rPr>
            </w:pPr>
          </w:p>
        </w:tc>
        <w:tc>
          <w:tcPr>
            <w:tcW w:w="1600" w:type="dxa"/>
            <w:vAlign w:val="bottom"/>
            <w:tcBorders>
              <w:right w:val="single" w:sz="8" w:color="auto"/>
            </w:tcBorders>
            <w:shd w:val="clear" w:color="auto" w:fill="F0FFFF"/>
          </w:tcPr>
          <w:p>
            <w:pPr>
              <w:spacing w:after="0"/>
              <w:rPr>
                <w:sz w:val="12"/>
                <w:szCs w:val="12"/>
                <w:color w:val="auto"/>
              </w:rPr>
            </w:pPr>
          </w:p>
        </w:tc>
        <w:tc>
          <w:tcPr>
            <w:tcW w:w="160" w:type="dxa"/>
            <w:vAlign w:val="bottom"/>
            <w:tcBorders>
              <w:right w:val="single" w:sz="8" w:color="F0FFFF"/>
            </w:tcBorders>
            <w:shd w:val="clear" w:color="auto" w:fill="F0FFFF"/>
          </w:tcPr>
          <w:p>
            <w:pPr>
              <w:spacing w:after="0"/>
              <w:rPr>
                <w:sz w:val="12"/>
                <w:szCs w:val="12"/>
                <w:color w:val="auto"/>
              </w:rPr>
            </w:pPr>
          </w:p>
        </w:tc>
        <w:tc>
          <w:tcPr>
            <w:tcW w:w="2100" w:type="dxa"/>
            <w:vAlign w:val="bottom"/>
            <w:tcBorders>
              <w:left w:val="single" w:sz="8" w:color="F0FFFF"/>
              <w:right w:val="single" w:sz="8" w:color="auto"/>
            </w:tcBorders>
            <w:gridSpan w:val="28"/>
            <w:shd w:val="clear" w:color="auto" w:fill="F0FFFF"/>
          </w:tcPr>
          <w:p>
            <w:pPr>
              <w:spacing w:after="0" w:line="142" w:lineRule="exact"/>
              <w:rPr>
                <w:sz w:val="20"/>
                <w:szCs w:val="20"/>
                <w:color w:val="auto"/>
              </w:rPr>
            </w:pPr>
            <w:r>
              <w:rPr>
                <w:rFonts w:ascii="Times New Roman" w:cs="Times New Roman" w:eastAsia="Times New Roman" w:hAnsi="Times New Roman"/>
                <w:sz w:val="13"/>
                <w:szCs w:val="13"/>
                <w:color w:val="auto"/>
              </w:rPr>
              <w:t>of the Shield Option Interim Value.</w:t>
            </w:r>
          </w:p>
        </w:tc>
        <w:tc>
          <w:tcPr>
            <w:tcW w:w="0" w:type="dxa"/>
            <w:vAlign w:val="bottom"/>
          </w:tcPr>
          <w:p>
            <w:pPr>
              <w:spacing w:after="0"/>
              <w:rPr>
                <w:sz w:val="1"/>
                <w:szCs w:val="1"/>
                <w:color w:val="auto"/>
              </w:rPr>
            </w:pPr>
          </w:p>
        </w:tc>
      </w:tr>
      <w:tr>
        <w:trPr>
          <w:trHeight w:val="20"/>
        </w:trPr>
        <w:tc>
          <w:tcPr>
            <w:tcW w:w="100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480" w:type="dxa"/>
            <w:vAlign w:val="bottom"/>
            <w:shd w:val="clear" w:color="auto" w:fill="F0FFFF"/>
          </w:tcPr>
          <w:p>
            <w:pPr>
              <w:spacing w:after="0" w:line="20" w:lineRule="exact"/>
              <w:rPr>
                <w:sz w:val="1"/>
                <w:szCs w:val="1"/>
                <w:color w:val="auto"/>
              </w:rPr>
            </w:pPr>
          </w:p>
        </w:tc>
        <w:tc>
          <w:tcPr>
            <w:tcW w:w="28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shd w:val="clear" w:color="auto" w:fill="F0FFFF"/>
          </w:tcPr>
          <w:p>
            <w:pPr>
              <w:spacing w:after="0" w:line="20" w:lineRule="exact"/>
              <w:rPr>
                <w:sz w:val="1"/>
                <w:szCs w:val="1"/>
                <w:color w:val="auto"/>
              </w:rPr>
            </w:pPr>
          </w:p>
        </w:tc>
        <w:tc>
          <w:tcPr>
            <w:tcW w:w="800" w:type="dxa"/>
            <w:vAlign w:val="bottom"/>
            <w:tcBorders>
              <w:right w:val="single" w:sz="8" w:color="auto"/>
            </w:tcBorders>
            <w:shd w:val="clear" w:color="auto" w:fill="F0FFFF"/>
          </w:tcPr>
          <w:p>
            <w:pPr>
              <w:spacing w:after="0" w:line="20" w:lineRule="exact"/>
              <w:rPr>
                <w:sz w:val="1"/>
                <w:szCs w:val="1"/>
                <w:color w:val="auto"/>
              </w:rPr>
            </w:pPr>
          </w:p>
        </w:tc>
        <w:tc>
          <w:tcPr>
            <w:tcW w:w="1600" w:type="dxa"/>
            <w:vAlign w:val="bottom"/>
            <w:tcBorders>
              <w:right w:val="single" w:sz="8" w:color="auto"/>
            </w:tcBorders>
            <w:shd w:val="clear" w:color="auto" w:fill="F0FFFF"/>
          </w:tcPr>
          <w:p>
            <w:pPr>
              <w:spacing w:after="0" w:line="20" w:lineRule="exact"/>
              <w:rPr>
                <w:sz w:val="1"/>
                <w:szCs w:val="1"/>
                <w:color w:val="auto"/>
              </w:rPr>
            </w:pPr>
          </w:p>
        </w:tc>
        <w:tc>
          <w:tcPr>
            <w:tcW w:w="480" w:type="dxa"/>
            <w:vAlign w:val="bottom"/>
            <w:tcBorders>
              <w:right w:val="single" w:sz="8" w:color="F0FFFF"/>
            </w:tcBorders>
            <w:gridSpan w:val="3"/>
            <w:shd w:val="clear" w:color="auto" w:fill="F0FF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gridSpan w:val="4"/>
            <w:shd w:val="clear" w:color="auto" w:fill="000000"/>
          </w:tcPr>
          <w:p>
            <w:pPr>
              <w:spacing w:after="0" w:line="20" w:lineRule="exact"/>
              <w:rPr>
                <w:sz w:val="1"/>
                <w:szCs w:val="1"/>
                <w:color w:val="auto"/>
              </w:rPr>
            </w:pPr>
          </w:p>
        </w:tc>
        <w:tc>
          <w:tcPr>
            <w:tcW w:w="20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auto"/>
            </w:tcBorders>
            <w:gridSpan w:val="3"/>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00" w:type="dxa"/>
            <w:vAlign w:val="bottom"/>
            <w:tcBorders>
              <w:left w:val="single" w:sz="8" w:color="auto"/>
              <w:right w:val="single" w:sz="8" w:color="auto"/>
            </w:tcBorders>
            <w:shd w:val="clear" w:color="auto" w:fill="F0FFFF"/>
          </w:tcPr>
          <w:p>
            <w:pPr>
              <w:spacing w:after="0"/>
              <w:rPr>
                <w:sz w:val="11"/>
                <w:szCs w:val="11"/>
                <w:color w:val="auto"/>
              </w:rPr>
            </w:pPr>
          </w:p>
        </w:tc>
        <w:tc>
          <w:tcPr>
            <w:tcW w:w="480" w:type="dxa"/>
            <w:vAlign w:val="bottom"/>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320" w:type="dxa"/>
            <w:vAlign w:val="bottom"/>
            <w:tcBorders>
              <w:right w:val="single" w:sz="8" w:color="F0FFFF"/>
            </w:tcBorders>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800" w:type="dxa"/>
            <w:vAlign w:val="bottom"/>
            <w:tcBorders>
              <w:right w:val="single" w:sz="8" w:color="auto"/>
            </w:tcBorders>
            <w:shd w:val="clear" w:color="auto" w:fill="F0FFFF"/>
          </w:tcPr>
          <w:p>
            <w:pPr>
              <w:spacing w:after="0"/>
              <w:rPr>
                <w:sz w:val="11"/>
                <w:szCs w:val="11"/>
                <w:color w:val="auto"/>
              </w:rPr>
            </w:pPr>
          </w:p>
        </w:tc>
        <w:tc>
          <w:tcPr>
            <w:tcW w:w="1600" w:type="dxa"/>
            <w:vAlign w:val="bottom"/>
            <w:tcBorders>
              <w:right w:val="single" w:sz="8" w:color="auto"/>
            </w:tcBorders>
            <w:shd w:val="clear" w:color="auto" w:fill="F0FFFF"/>
          </w:tcPr>
          <w:p>
            <w:pPr>
              <w:spacing w:after="0"/>
              <w:rPr>
                <w:sz w:val="11"/>
                <w:szCs w:val="11"/>
                <w:color w:val="auto"/>
              </w:rPr>
            </w:pPr>
          </w:p>
        </w:tc>
        <w:tc>
          <w:tcPr>
            <w:tcW w:w="2260" w:type="dxa"/>
            <w:vAlign w:val="bottom"/>
            <w:tcBorders>
              <w:right w:val="single" w:sz="8" w:color="auto"/>
            </w:tcBorders>
            <w:gridSpan w:val="29"/>
            <w:shd w:val="clear" w:color="auto" w:fill="F0FFFF"/>
          </w:tcPr>
          <w:p>
            <w:pPr>
              <w:ind w:left="20"/>
              <w:spacing w:after="0" w:line="129" w:lineRule="exact"/>
              <w:rPr>
                <w:sz w:val="20"/>
                <w:szCs w:val="20"/>
                <w:color w:val="auto"/>
              </w:rPr>
            </w:pPr>
            <w:r>
              <w:rPr>
                <w:rFonts w:ascii="Times New Roman" w:cs="Times New Roman" w:eastAsia="Times New Roman" w:hAnsi="Times New Roman"/>
                <w:sz w:val="13"/>
                <w:szCs w:val="13"/>
                <w:color w:val="auto"/>
              </w:rPr>
              <w:t>● May be exercised once per Term for</w:t>
            </w:r>
          </w:p>
        </w:tc>
        <w:tc>
          <w:tcPr>
            <w:tcW w:w="0" w:type="dxa"/>
            <w:vAlign w:val="bottom"/>
          </w:tcPr>
          <w:p>
            <w:pPr>
              <w:spacing w:after="0"/>
              <w:rPr>
                <w:sz w:val="1"/>
                <w:szCs w:val="1"/>
                <w:color w:val="auto"/>
              </w:rPr>
            </w:pPr>
          </w:p>
        </w:tc>
      </w:tr>
      <w:tr>
        <w:trPr>
          <w:trHeight w:val="129"/>
        </w:trPr>
        <w:tc>
          <w:tcPr>
            <w:tcW w:w="1000" w:type="dxa"/>
            <w:vAlign w:val="bottom"/>
            <w:tcBorders>
              <w:top w:val="single" w:sz="8" w:color="F0FFFF"/>
              <w:left w:val="single" w:sz="8" w:color="auto"/>
              <w:right w:val="single" w:sz="8" w:color="auto"/>
            </w:tcBorders>
            <w:shd w:val="clear" w:color="auto" w:fill="F0FFFF"/>
          </w:tcPr>
          <w:p>
            <w:pPr>
              <w:spacing w:after="0"/>
              <w:rPr>
                <w:sz w:val="11"/>
                <w:szCs w:val="11"/>
                <w:color w:val="auto"/>
              </w:rPr>
            </w:pPr>
          </w:p>
        </w:tc>
        <w:tc>
          <w:tcPr>
            <w:tcW w:w="480" w:type="dxa"/>
            <w:vAlign w:val="bottom"/>
            <w:tcBorders>
              <w:top w:val="single" w:sz="8" w:color="F0FFFF"/>
            </w:tcBorders>
            <w:shd w:val="clear" w:color="auto" w:fill="F0FFFF"/>
          </w:tcPr>
          <w:p>
            <w:pPr>
              <w:spacing w:after="0"/>
              <w:rPr>
                <w:sz w:val="11"/>
                <w:szCs w:val="11"/>
                <w:color w:val="auto"/>
              </w:rPr>
            </w:pPr>
          </w:p>
        </w:tc>
        <w:tc>
          <w:tcPr>
            <w:tcW w:w="280" w:type="dxa"/>
            <w:vAlign w:val="bottom"/>
            <w:tcBorders>
              <w:top w:val="single" w:sz="8" w:color="F0FFFF"/>
            </w:tcBorders>
            <w:shd w:val="clear" w:color="auto" w:fill="F0FFFF"/>
          </w:tcPr>
          <w:p>
            <w:pPr>
              <w:spacing w:after="0"/>
              <w:rPr>
                <w:sz w:val="11"/>
                <w:szCs w:val="11"/>
                <w:color w:val="auto"/>
              </w:rPr>
            </w:pPr>
          </w:p>
        </w:tc>
        <w:tc>
          <w:tcPr>
            <w:tcW w:w="120" w:type="dxa"/>
            <w:vAlign w:val="bottom"/>
            <w:tcBorders>
              <w:top w:val="single" w:sz="8" w:color="F0FFFF"/>
            </w:tcBorders>
            <w:shd w:val="clear" w:color="auto" w:fill="F0FFFF"/>
          </w:tcPr>
          <w:p>
            <w:pPr>
              <w:spacing w:after="0"/>
              <w:rPr>
                <w:sz w:val="11"/>
                <w:szCs w:val="11"/>
                <w:color w:val="auto"/>
              </w:rPr>
            </w:pPr>
          </w:p>
        </w:tc>
        <w:tc>
          <w:tcPr>
            <w:tcW w:w="320" w:type="dxa"/>
            <w:vAlign w:val="bottom"/>
            <w:tcBorders>
              <w:top w:val="single" w:sz="8" w:color="F0FFFF"/>
              <w:right w:val="single" w:sz="8" w:color="F0FFFF"/>
            </w:tcBorders>
            <w:shd w:val="clear" w:color="auto" w:fill="F0FFFF"/>
          </w:tcPr>
          <w:p>
            <w:pPr>
              <w:spacing w:after="0"/>
              <w:rPr>
                <w:sz w:val="11"/>
                <w:szCs w:val="11"/>
                <w:color w:val="auto"/>
              </w:rPr>
            </w:pPr>
          </w:p>
        </w:tc>
        <w:tc>
          <w:tcPr>
            <w:tcW w:w="280" w:type="dxa"/>
            <w:vAlign w:val="bottom"/>
            <w:tcBorders>
              <w:top w:val="single" w:sz="8" w:color="F0FFFF"/>
            </w:tcBorders>
            <w:shd w:val="clear" w:color="auto" w:fill="F0FFFF"/>
          </w:tcPr>
          <w:p>
            <w:pPr>
              <w:spacing w:after="0"/>
              <w:rPr>
                <w:sz w:val="11"/>
                <w:szCs w:val="11"/>
                <w:color w:val="auto"/>
              </w:rPr>
            </w:pPr>
          </w:p>
        </w:tc>
        <w:tc>
          <w:tcPr>
            <w:tcW w:w="800" w:type="dxa"/>
            <w:vAlign w:val="bottom"/>
            <w:tcBorders>
              <w:top w:val="single" w:sz="8" w:color="F0FFFF"/>
              <w:right w:val="single" w:sz="8" w:color="auto"/>
            </w:tcBorders>
            <w:shd w:val="clear" w:color="auto" w:fill="F0FFFF"/>
          </w:tcPr>
          <w:p>
            <w:pPr>
              <w:spacing w:after="0"/>
              <w:rPr>
                <w:sz w:val="11"/>
                <w:szCs w:val="11"/>
                <w:color w:val="auto"/>
              </w:rPr>
            </w:pPr>
          </w:p>
        </w:tc>
        <w:tc>
          <w:tcPr>
            <w:tcW w:w="1600" w:type="dxa"/>
            <w:vAlign w:val="bottom"/>
            <w:tcBorders>
              <w:top w:val="single" w:sz="8" w:color="F0FFFF"/>
              <w:right w:val="single" w:sz="8" w:color="auto"/>
            </w:tcBorders>
            <w:shd w:val="clear" w:color="auto" w:fill="F0FFFF"/>
          </w:tcPr>
          <w:p>
            <w:pPr>
              <w:spacing w:after="0"/>
              <w:rPr>
                <w:sz w:val="11"/>
                <w:szCs w:val="11"/>
                <w:color w:val="auto"/>
              </w:rPr>
            </w:pPr>
          </w:p>
        </w:tc>
        <w:tc>
          <w:tcPr>
            <w:tcW w:w="160" w:type="dxa"/>
            <w:vAlign w:val="bottom"/>
            <w:tcBorders>
              <w:top w:val="single" w:sz="8" w:color="F0FFFF"/>
              <w:right w:val="single" w:sz="8" w:color="F0FFFF"/>
            </w:tcBorders>
            <w:shd w:val="clear" w:color="auto" w:fill="F0FFFF"/>
          </w:tcPr>
          <w:p>
            <w:pPr>
              <w:spacing w:after="0"/>
              <w:rPr>
                <w:sz w:val="11"/>
                <w:szCs w:val="11"/>
                <w:color w:val="auto"/>
              </w:rPr>
            </w:pPr>
          </w:p>
        </w:tc>
        <w:tc>
          <w:tcPr>
            <w:tcW w:w="1440" w:type="dxa"/>
            <w:vAlign w:val="bottom"/>
            <w:tcBorders>
              <w:top w:val="single" w:sz="8" w:color="F0FFFF"/>
              <w:left w:val="single" w:sz="8" w:color="F0FFFF"/>
              <w:right w:val="single" w:sz="8" w:color="F0FFFF"/>
            </w:tcBorders>
            <w:gridSpan w:val="21"/>
            <w:shd w:val="clear" w:color="auto" w:fill="F0FFFF"/>
          </w:tcPr>
          <w:p>
            <w:pPr>
              <w:spacing w:after="0" w:line="129" w:lineRule="exact"/>
              <w:rPr>
                <w:sz w:val="20"/>
                <w:szCs w:val="20"/>
                <w:color w:val="auto"/>
              </w:rPr>
            </w:pPr>
            <w:r>
              <w:rPr>
                <w:rFonts w:ascii="Times New Roman" w:cs="Times New Roman" w:eastAsia="Times New Roman" w:hAnsi="Times New Roman"/>
                <w:sz w:val="13"/>
                <w:szCs w:val="13"/>
                <w:color w:val="auto"/>
              </w:rPr>
              <w:t>each Shield Option.</w:t>
            </w:r>
          </w:p>
        </w:tc>
        <w:tc>
          <w:tcPr>
            <w:tcW w:w="100" w:type="dxa"/>
            <w:vAlign w:val="bottom"/>
            <w:tcBorders>
              <w:top w:val="single" w:sz="8" w:color="auto"/>
              <w:right w:val="single" w:sz="8" w:color="F0FFFF"/>
            </w:tcBorders>
            <w:shd w:val="clear" w:color="auto" w:fill="F0FFFF"/>
          </w:tcPr>
          <w:p>
            <w:pPr>
              <w:spacing w:after="0"/>
              <w:rPr>
                <w:sz w:val="11"/>
                <w:szCs w:val="11"/>
                <w:color w:val="auto"/>
              </w:rPr>
            </w:pPr>
          </w:p>
        </w:tc>
        <w:tc>
          <w:tcPr>
            <w:tcW w:w="200" w:type="dxa"/>
            <w:vAlign w:val="bottom"/>
            <w:tcBorders>
              <w:top w:val="single" w:sz="8" w:color="auto"/>
              <w:right w:val="single" w:sz="8" w:color="F0FFFF"/>
            </w:tcBorders>
            <w:shd w:val="clear" w:color="auto" w:fill="F0FFFF"/>
          </w:tcPr>
          <w:p>
            <w:pPr>
              <w:spacing w:after="0"/>
              <w:rPr>
                <w:sz w:val="11"/>
                <w:szCs w:val="11"/>
                <w:color w:val="auto"/>
              </w:rPr>
            </w:pPr>
          </w:p>
        </w:tc>
        <w:tc>
          <w:tcPr>
            <w:tcW w:w="360" w:type="dxa"/>
            <w:vAlign w:val="bottom"/>
            <w:tcBorders>
              <w:top w:val="single" w:sz="8" w:color="F0FFFF"/>
              <w:right w:val="single" w:sz="8" w:color="auto"/>
            </w:tcBorders>
            <w:gridSpan w:val="5"/>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000" w:type="dxa"/>
            <w:vAlign w:val="bottom"/>
            <w:tcBorders>
              <w:top w:val="single" w:sz="8" w:color="F0FFFF"/>
              <w:left w:val="single" w:sz="8" w:color="auto"/>
              <w:right w:val="single" w:sz="8" w:color="auto"/>
            </w:tcBorders>
            <w:shd w:val="clear" w:color="auto" w:fill="F0FFFF"/>
          </w:tcPr>
          <w:p>
            <w:pPr>
              <w:spacing w:after="0"/>
              <w:rPr>
                <w:sz w:val="10"/>
                <w:szCs w:val="10"/>
                <w:color w:val="auto"/>
              </w:rPr>
            </w:pPr>
          </w:p>
        </w:tc>
        <w:tc>
          <w:tcPr>
            <w:tcW w:w="480" w:type="dxa"/>
            <w:vAlign w:val="bottom"/>
            <w:tcBorders>
              <w:top w:val="single" w:sz="8" w:color="F0FFFF"/>
            </w:tcBorders>
            <w:shd w:val="clear" w:color="auto" w:fill="F0FFFF"/>
          </w:tcPr>
          <w:p>
            <w:pPr>
              <w:spacing w:after="0"/>
              <w:rPr>
                <w:sz w:val="10"/>
                <w:szCs w:val="10"/>
                <w:color w:val="auto"/>
              </w:rPr>
            </w:pPr>
          </w:p>
        </w:tc>
        <w:tc>
          <w:tcPr>
            <w:tcW w:w="280" w:type="dxa"/>
            <w:vAlign w:val="bottom"/>
            <w:tcBorders>
              <w:top w:val="single" w:sz="8" w:color="F0FFFF"/>
            </w:tcBorders>
            <w:shd w:val="clear" w:color="auto" w:fill="F0FFFF"/>
          </w:tcPr>
          <w:p>
            <w:pPr>
              <w:spacing w:after="0"/>
              <w:rPr>
                <w:sz w:val="10"/>
                <w:szCs w:val="10"/>
                <w:color w:val="auto"/>
              </w:rPr>
            </w:pPr>
          </w:p>
        </w:tc>
        <w:tc>
          <w:tcPr>
            <w:tcW w:w="120" w:type="dxa"/>
            <w:vAlign w:val="bottom"/>
            <w:tcBorders>
              <w:top w:val="single" w:sz="8" w:color="F0FFFF"/>
            </w:tcBorders>
            <w:shd w:val="clear" w:color="auto" w:fill="F0FFFF"/>
          </w:tcPr>
          <w:p>
            <w:pPr>
              <w:spacing w:after="0"/>
              <w:rPr>
                <w:sz w:val="10"/>
                <w:szCs w:val="10"/>
                <w:color w:val="auto"/>
              </w:rPr>
            </w:pPr>
          </w:p>
        </w:tc>
        <w:tc>
          <w:tcPr>
            <w:tcW w:w="320" w:type="dxa"/>
            <w:vAlign w:val="bottom"/>
            <w:tcBorders>
              <w:top w:val="single" w:sz="8" w:color="F0FFFF"/>
              <w:right w:val="single" w:sz="8" w:color="F0FFFF"/>
            </w:tcBorders>
            <w:shd w:val="clear" w:color="auto" w:fill="F0FFFF"/>
          </w:tcPr>
          <w:p>
            <w:pPr>
              <w:spacing w:after="0"/>
              <w:rPr>
                <w:sz w:val="10"/>
                <w:szCs w:val="10"/>
                <w:color w:val="auto"/>
              </w:rPr>
            </w:pPr>
          </w:p>
        </w:tc>
        <w:tc>
          <w:tcPr>
            <w:tcW w:w="280" w:type="dxa"/>
            <w:vAlign w:val="bottom"/>
            <w:tcBorders>
              <w:top w:val="single" w:sz="8" w:color="F0FFFF"/>
            </w:tcBorders>
            <w:shd w:val="clear" w:color="auto" w:fill="F0FFFF"/>
          </w:tcPr>
          <w:p>
            <w:pPr>
              <w:spacing w:after="0"/>
              <w:rPr>
                <w:sz w:val="10"/>
                <w:szCs w:val="10"/>
                <w:color w:val="auto"/>
              </w:rPr>
            </w:pPr>
          </w:p>
        </w:tc>
        <w:tc>
          <w:tcPr>
            <w:tcW w:w="800" w:type="dxa"/>
            <w:vAlign w:val="bottom"/>
            <w:tcBorders>
              <w:top w:val="single" w:sz="8" w:color="F0FFFF"/>
              <w:right w:val="single" w:sz="8" w:color="auto"/>
            </w:tcBorders>
            <w:shd w:val="clear" w:color="auto" w:fill="F0FFFF"/>
          </w:tcPr>
          <w:p>
            <w:pPr>
              <w:spacing w:after="0"/>
              <w:rPr>
                <w:sz w:val="10"/>
                <w:szCs w:val="10"/>
                <w:color w:val="auto"/>
              </w:rPr>
            </w:pPr>
          </w:p>
        </w:tc>
        <w:tc>
          <w:tcPr>
            <w:tcW w:w="1600" w:type="dxa"/>
            <w:vAlign w:val="bottom"/>
            <w:tcBorders>
              <w:top w:val="single" w:sz="8" w:color="F0FFFF"/>
              <w:right w:val="single" w:sz="8" w:color="auto"/>
            </w:tcBorders>
            <w:shd w:val="clear" w:color="auto" w:fill="F0FFFF"/>
          </w:tcPr>
          <w:p>
            <w:pPr>
              <w:spacing w:after="0"/>
              <w:rPr>
                <w:sz w:val="10"/>
                <w:szCs w:val="10"/>
                <w:color w:val="auto"/>
              </w:rPr>
            </w:pPr>
          </w:p>
        </w:tc>
        <w:tc>
          <w:tcPr>
            <w:tcW w:w="480" w:type="dxa"/>
            <w:vAlign w:val="bottom"/>
            <w:tcBorders>
              <w:top w:val="single" w:sz="8" w:color="F0FFFF"/>
              <w:right w:val="single" w:sz="8" w:color="F0FFFF"/>
            </w:tcBorders>
            <w:gridSpan w:val="3"/>
            <w:shd w:val="clear" w:color="auto" w:fill="F0FFFF"/>
          </w:tcPr>
          <w:p>
            <w:pPr>
              <w:ind w:left="20"/>
              <w:spacing w:after="0" w:line="119" w:lineRule="exact"/>
              <w:rPr>
                <w:sz w:val="20"/>
                <w:szCs w:val="20"/>
                <w:color w:val="auto"/>
              </w:rPr>
            </w:pPr>
            <w:r>
              <w:rPr>
                <w:rFonts w:ascii="Times New Roman" w:cs="Times New Roman" w:eastAsia="Times New Roman" w:hAnsi="Times New Roman"/>
                <w:sz w:val="13"/>
                <w:szCs w:val="13"/>
                <w:color w:val="auto"/>
              </w:rPr>
              <w:t>● Once</w:t>
            </w:r>
          </w:p>
        </w:tc>
        <w:tc>
          <w:tcPr>
            <w:tcW w:w="680" w:type="dxa"/>
            <w:vAlign w:val="bottom"/>
            <w:tcBorders>
              <w:top w:val="single" w:sz="8" w:color="auto"/>
            </w:tcBorders>
            <w:gridSpan w:val="9"/>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auto"/>
                <w:w w:val="77"/>
              </w:rPr>
              <w:t>the Performance</w:t>
            </w:r>
          </w:p>
        </w:tc>
        <w:tc>
          <w:tcPr>
            <w:tcW w:w="140" w:type="dxa"/>
            <w:vAlign w:val="bottom"/>
            <w:tcBorders>
              <w:top w:val="single" w:sz="8" w:color="F0FFFF"/>
            </w:tcBorders>
            <w:gridSpan w:val="3"/>
            <w:shd w:val="clear" w:color="auto" w:fill="F0FFFF"/>
          </w:tcPr>
          <w:p>
            <w:pPr>
              <w:spacing w:after="0"/>
              <w:rPr>
                <w:sz w:val="10"/>
                <w:szCs w:val="10"/>
                <w:color w:val="auto"/>
              </w:rPr>
            </w:pPr>
          </w:p>
        </w:tc>
        <w:tc>
          <w:tcPr>
            <w:tcW w:w="960" w:type="dxa"/>
            <w:vAlign w:val="bottom"/>
            <w:tcBorders>
              <w:top w:val="single" w:sz="8" w:color="F0FFFF"/>
              <w:right w:val="single" w:sz="8" w:color="auto"/>
            </w:tcBorders>
            <w:gridSpan w:val="14"/>
            <w:shd w:val="clear" w:color="auto" w:fill="F0FFFF"/>
          </w:tcPr>
          <w:p>
            <w:pPr>
              <w:jc w:val="right"/>
              <w:ind w:right="520"/>
              <w:spacing w:after="0" w:line="119" w:lineRule="exact"/>
              <w:rPr>
                <w:sz w:val="20"/>
                <w:szCs w:val="20"/>
                <w:color w:val="auto"/>
              </w:rPr>
            </w:pPr>
            <w:r>
              <w:rPr>
                <w:rFonts w:ascii="Times New Roman" w:cs="Times New Roman" w:eastAsia="Times New Roman" w:hAnsi="Times New Roman"/>
                <w:sz w:val="13"/>
                <w:szCs w:val="13"/>
                <w:color w:val="auto"/>
              </w:rPr>
              <w:t>Lock is</w:t>
            </w:r>
          </w:p>
        </w:tc>
        <w:tc>
          <w:tcPr>
            <w:tcW w:w="0" w:type="dxa"/>
            <w:vAlign w:val="bottom"/>
          </w:tcPr>
          <w:p>
            <w:pPr>
              <w:spacing w:after="0"/>
              <w:rPr>
                <w:sz w:val="1"/>
                <w:szCs w:val="1"/>
                <w:color w:val="auto"/>
              </w:rPr>
            </w:pPr>
          </w:p>
        </w:tc>
      </w:tr>
      <w:tr>
        <w:trPr>
          <w:trHeight w:val="129"/>
        </w:trPr>
        <w:tc>
          <w:tcPr>
            <w:tcW w:w="1000" w:type="dxa"/>
            <w:vAlign w:val="bottom"/>
            <w:tcBorders>
              <w:top w:val="single" w:sz="8" w:color="F0FFFF"/>
              <w:left w:val="single" w:sz="8" w:color="auto"/>
              <w:right w:val="single" w:sz="8" w:color="auto"/>
            </w:tcBorders>
            <w:shd w:val="clear" w:color="auto" w:fill="F0FFFF"/>
          </w:tcPr>
          <w:p>
            <w:pPr>
              <w:spacing w:after="0"/>
              <w:rPr>
                <w:sz w:val="11"/>
                <w:szCs w:val="11"/>
                <w:color w:val="auto"/>
              </w:rPr>
            </w:pPr>
          </w:p>
        </w:tc>
        <w:tc>
          <w:tcPr>
            <w:tcW w:w="480" w:type="dxa"/>
            <w:vAlign w:val="bottom"/>
            <w:tcBorders>
              <w:top w:val="single" w:sz="8" w:color="F0FFFF"/>
            </w:tcBorders>
            <w:shd w:val="clear" w:color="auto" w:fill="F0FFFF"/>
          </w:tcPr>
          <w:p>
            <w:pPr>
              <w:spacing w:after="0"/>
              <w:rPr>
                <w:sz w:val="11"/>
                <w:szCs w:val="11"/>
                <w:color w:val="auto"/>
              </w:rPr>
            </w:pPr>
          </w:p>
        </w:tc>
        <w:tc>
          <w:tcPr>
            <w:tcW w:w="280" w:type="dxa"/>
            <w:vAlign w:val="bottom"/>
            <w:tcBorders>
              <w:top w:val="single" w:sz="8" w:color="F0FFFF"/>
            </w:tcBorders>
            <w:shd w:val="clear" w:color="auto" w:fill="F0FFFF"/>
          </w:tcPr>
          <w:p>
            <w:pPr>
              <w:spacing w:after="0"/>
              <w:rPr>
                <w:sz w:val="11"/>
                <w:szCs w:val="11"/>
                <w:color w:val="auto"/>
              </w:rPr>
            </w:pPr>
          </w:p>
        </w:tc>
        <w:tc>
          <w:tcPr>
            <w:tcW w:w="120" w:type="dxa"/>
            <w:vAlign w:val="bottom"/>
            <w:tcBorders>
              <w:top w:val="single" w:sz="8" w:color="F0FFFF"/>
            </w:tcBorders>
            <w:shd w:val="clear" w:color="auto" w:fill="F0FFFF"/>
          </w:tcPr>
          <w:p>
            <w:pPr>
              <w:spacing w:after="0"/>
              <w:rPr>
                <w:sz w:val="11"/>
                <w:szCs w:val="11"/>
                <w:color w:val="auto"/>
              </w:rPr>
            </w:pPr>
          </w:p>
        </w:tc>
        <w:tc>
          <w:tcPr>
            <w:tcW w:w="320" w:type="dxa"/>
            <w:vAlign w:val="bottom"/>
            <w:tcBorders>
              <w:top w:val="single" w:sz="8" w:color="F0FFFF"/>
              <w:right w:val="single" w:sz="8" w:color="F0FFFF"/>
            </w:tcBorders>
            <w:shd w:val="clear" w:color="auto" w:fill="F0FFFF"/>
          </w:tcPr>
          <w:p>
            <w:pPr>
              <w:spacing w:after="0"/>
              <w:rPr>
                <w:sz w:val="11"/>
                <w:szCs w:val="11"/>
                <w:color w:val="auto"/>
              </w:rPr>
            </w:pPr>
          </w:p>
        </w:tc>
        <w:tc>
          <w:tcPr>
            <w:tcW w:w="280" w:type="dxa"/>
            <w:vAlign w:val="bottom"/>
            <w:tcBorders>
              <w:top w:val="single" w:sz="8" w:color="F0FFFF"/>
            </w:tcBorders>
            <w:shd w:val="clear" w:color="auto" w:fill="F0FFFF"/>
          </w:tcPr>
          <w:p>
            <w:pPr>
              <w:spacing w:after="0"/>
              <w:rPr>
                <w:sz w:val="11"/>
                <w:szCs w:val="11"/>
                <w:color w:val="auto"/>
              </w:rPr>
            </w:pPr>
          </w:p>
        </w:tc>
        <w:tc>
          <w:tcPr>
            <w:tcW w:w="800" w:type="dxa"/>
            <w:vAlign w:val="bottom"/>
            <w:tcBorders>
              <w:top w:val="single" w:sz="8" w:color="F0FFFF"/>
              <w:right w:val="single" w:sz="8" w:color="auto"/>
            </w:tcBorders>
            <w:shd w:val="clear" w:color="auto" w:fill="F0FFFF"/>
          </w:tcPr>
          <w:p>
            <w:pPr>
              <w:spacing w:after="0"/>
              <w:rPr>
                <w:sz w:val="11"/>
                <w:szCs w:val="11"/>
                <w:color w:val="auto"/>
              </w:rPr>
            </w:pPr>
          </w:p>
        </w:tc>
        <w:tc>
          <w:tcPr>
            <w:tcW w:w="1600" w:type="dxa"/>
            <w:vAlign w:val="bottom"/>
            <w:tcBorders>
              <w:top w:val="single" w:sz="8" w:color="F0FFFF"/>
              <w:right w:val="single" w:sz="8" w:color="auto"/>
            </w:tcBorders>
            <w:shd w:val="clear" w:color="auto" w:fill="F0FFFF"/>
          </w:tcPr>
          <w:p>
            <w:pPr>
              <w:spacing w:after="0"/>
              <w:rPr>
                <w:sz w:val="11"/>
                <w:szCs w:val="11"/>
                <w:color w:val="auto"/>
              </w:rPr>
            </w:pPr>
          </w:p>
        </w:tc>
        <w:tc>
          <w:tcPr>
            <w:tcW w:w="160" w:type="dxa"/>
            <w:vAlign w:val="bottom"/>
            <w:tcBorders>
              <w:top w:val="single" w:sz="8" w:color="F0FFFF"/>
              <w:right w:val="single" w:sz="8" w:color="F0FFFF"/>
            </w:tcBorders>
            <w:shd w:val="clear" w:color="auto" w:fill="F0FFFF"/>
          </w:tcPr>
          <w:p>
            <w:pPr>
              <w:spacing w:after="0"/>
              <w:rPr>
                <w:sz w:val="11"/>
                <w:szCs w:val="11"/>
                <w:color w:val="auto"/>
              </w:rPr>
            </w:pPr>
          </w:p>
        </w:tc>
        <w:tc>
          <w:tcPr>
            <w:tcW w:w="480" w:type="dxa"/>
            <w:vAlign w:val="bottom"/>
            <w:tcBorders>
              <w:top w:val="single" w:sz="8" w:color="F0FFFF"/>
              <w:left w:val="single" w:sz="8" w:color="F0FFFF"/>
            </w:tcBorders>
            <w:gridSpan w:val="4"/>
            <w:shd w:val="clear" w:color="auto" w:fill="F0FFFF"/>
          </w:tcPr>
          <w:p>
            <w:pPr>
              <w:spacing w:after="0" w:line="129" w:lineRule="exact"/>
              <w:rPr>
                <w:sz w:val="20"/>
                <w:szCs w:val="20"/>
                <w:color w:val="auto"/>
              </w:rPr>
            </w:pPr>
            <w:r>
              <w:rPr>
                <w:rFonts w:ascii="Times New Roman" w:cs="Times New Roman" w:eastAsia="Times New Roman" w:hAnsi="Times New Roman"/>
                <w:sz w:val="13"/>
                <w:szCs w:val="13"/>
                <w:color w:val="auto"/>
                <w:w w:val="93"/>
              </w:rPr>
              <w:t>exercised</w:t>
            </w:r>
          </w:p>
        </w:tc>
        <w:tc>
          <w:tcPr>
            <w:tcW w:w="20" w:type="dxa"/>
            <w:vAlign w:val="bottom"/>
            <w:tcBorders>
              <w:top w:val="single" w:sz="8" w:color="auto"/>
            </w:tcBorders>
            <w:shd w:val="clear" w:color="auto" w:fill="F0FFFF"/>
          </w:tcPr>
          <w:p>
            <w:pPr>
              <w:spacing w:after="0"/>
              <w:rPr>
                <w:sz w:val="11"/>
                <w:szCs w:val="11"/>
                <w:color w:val="auto"/>
              </w:rPr>
            </w:pPr>
          </w:p>
        </w:tc>
        <w:tc>
          <w:tcPr>
            <w:tcW w:w="1040" w:type="dxa"/>
            <w:vAlign w:val="bottom"/>
            <w:tcBorders>
              <w:top w:val="single" w:sz="8" w:color="auto"/>
              <w:right w:val="single" w:sz="8" w:color="F0FFFF"/>
            </w:tcBorders>
            <w:gridSpan w:val="17"/>
            <w:shd w:val="clear" w:color="auto" w:fill="F0FFFF"/>
          </w:tcPr>
          <w:p>
            <w:pPr>
              <w:jc w:val="right"/>
              <w:ind w:right="14"/>
              <w:spacing w:after="0" w:line="129" w:lineRule="exact"/>
              <w:rPr>
                <w:sz w:val="20"/>
                <w:szCs w:val="20"/>
                <w:color w:val="auto"/>
              </w:rPr>
            </w:pPr>
            <w:r>
              <w:rPr>
                <w:rFonts w:ascii="Times New Roman" w:cs="Times New Roman" w:eastAsia="Times New Roman" w:hAnsi="Times New Roman"/>
                <w:sz w:val="13"/>
                <w:szCs w:val="13"/>
                <w:color w:val="auto"/>
                <w:w w:val="93"/>
              </w:rPr>
              <w:t>for a Shield Option</w:t>
            </w:r>
          </w:p>
        </w:tc>
        <w:tc>
          <w:tcPr>
            <w:tcW w:w="560" w:type="dxa"/>
            <w:vAlign w:val="bottom"/>
            <w:tcBorders>
              <w:top w:val="single" w:sz="8" w:color="F0FFFF"/>
              <w:right w:val="single" w:sz="8" w:color="auto"/>
            </w:tcBorders>
            <w:gridSpan w:val="6"/>
            <w:shd w:val="clear" w:color="auto" w:fill="F0FFFF"/>
          </w:tcPr>
          <w:p>
            <w:pPr>
              <w:jc w:val="right"/>
              <w:ind w:right="300"/>
              <w:spacing w:after="0" w:line="129" w:lineRule="exact"/>
              <w:rPr>
                <w:sz w:val="20"/>
                <w:szCs w:val="20"/>
                <w:color w:val="auto"/>
              </w:rPr>
            </w:pPr>
            <w:r>
              <w:rPr>
                <w:rFonts w:ascii="Times New Roman" w:cs="Times New Roman" w:eastAsia="Times New Roman" w:hAnsi="Times New Roman"/>
                <w:sz w:val="13"/>
                <w:szCs w:val="13"/>
                <w:color w:val="auto"/>
                <w:w w:val="93"/>
              </w:rPr>
              <w:t>, it is</w:t>
            </w:r>
          </w:p>
        </w:tc>
        <w:tc>
          <w:tcPr>
            <w:tcW w:w="0" w:type="dxa"/>
            <w:vAlign w:val="bottom"/>
          </w:tcPr>
          <w:p>
            <w:pPr>
              <w:spacing w:after="0"/>
              <w:rPr>
                <w:sz w:val="1"/>
                <w:szCs w:val="1"/>
                <w:color w:val="auto"/>
              </w:rPr>
            </w:pPr>
          </w:p>
        </w:tc>
      </w:tr>
      <w:tr>
        <w:trPr>
          <w:trHeight w:val="136"/>
        </w:trPr>
        <w:tc>
          <w:tcPr>
            <w:tcW w:w="1000" w:type="dxa"/>
            <w:vAlign w:val="bottom"/>
            <w:tcBorders>
              <w:top w:val="single" w:sz="8" w:color="F0FFFF"/>
              <w:left w:val="single" w:sz="8" w:color="auto"/>
              <w:right w:val="single" w:sz="8" w:color="auto"/>
            </w:tcBorders>
            <w:shd w:val="clear" w:color="auto" w:fill="F0FFFF"/>
          </w:tcPr>
          <w:p>
            <w:pPr>
              <w:spacing w:after="0"/>
              <w:rPr>
                <w:sz w:val="11"/>
                <w:szCs w:val="11"/>
                <w:color w:val="auto"/>
              </w:rPr>
            </w:pPr>
          </w:p>
        </w:tc>
        <w:tc>
          <w:tcPr>
            <w:tcW w:w="480" w:type="dxa"/>
            <w:vAlign w:val="bottom"/>
            <w:tcBorders>
              <w:top w:val="single" w:sz="8" w:color="F0FFFF"/>
            </w:tcBorders>
            <w:shd w:val="clear" w:color="auto" w:fill="F0FFFF"/>
          </w:tcPr>
          <w:p>
            <w:pPr>
              <w:spacing w:after="0"/>
              <w:rPr>
                <w:sz w:val="11"/>
                <w:szCs w:val="11"/>
                <w:color w:val="auto"/>
              </w:rPr>
            </w:pPr>
          </w:p>
        </w:tc>
        <w:tc>
          <w:tcPr>
            <w:tcW w:w="280" w:type="dxa"/>
            <w:vAlign w:val="bottom"/>
            <w:tcBorders>
              <w:top w:val="single" w:sz="8" w:color="F0FFFF"/>
            </w:tcBorders>
            <w:shd w:val="clear" w:color="auto" w:fill="F0FFFF"/>
          </w:tcPr>
          <w:p>
            <w:pPr>
              <w:spacing w:after="0"/>
              <w:rPr>
                <w:sz w:val="11"/>
                <w:szCs w:val="11"/>
                <w:color w:val="auto"/>
              </w:rPr>
            </w:pPr>
          </w:p>
        </w:tc>
        <w:tc>
          <w:tcPr>
            <w:tcW w:w="120" w:type="dxa"/>
            <w:vAlign w:val="bottom"/>
            <w:tcBorders>
              <w:top w:val="single" w:sz="8" w:color="F0FFFF"/>
            </w:tcBorders>
            <w:shd w:val="clear" w:color="auto" w:fill="F0FFFF"/>
          </w:tcPr>
          <w:p>
            <w:pPr>
              <w:spacing w:after="0"/>
              <w:rPr>
                <w:sz w:val="11"/>
                <w:szCs w:val="11"/>
                <w:color w:val="auto"/>
              </w:rPr>
            </w:pPr>
          </w:p>
        </w:tc>
        <w:tc>
          <w:tcPr>
            <w:tcW w:w="320" w:type="dxa"/>
            <w:vAlign w:val="bottom"/>
            <w:tcBorders>
              <w:top w:val="single" w:sz="8" w:color="F0FFFF"/>
              <w:right w:val="single" w:sz="8" w:color="F0FFFF"/>
            </w:tcBorders>
            <w:shd w:val="clear" w:color="auto" w:fill="F0FFFF"/>
          </w:tcPr>
          <w:p>
            <w:pPr>
              <w:spacing w:after="0"/>
              <w:rPr>
                <w:sz w:val="11"/>
                <w:szCs w:val="11"/>
                <w:color w:val="auto"/>
              </w:rPr>
            </w:pPr>
          </w:p>
        </w:tc>
        <w:tc>
          <w:tcPr>
            <w:tcW w:w="280" w:type="dxa"/>
            <w:vAlign w:val="bottom"/>
            <w:tcBorders>
              <w:top w:val="single" w:sz="8" w:color="F0FFFF"/>
            </w:tcBorders>
            <w:shd w:val="clear" w:color="auto" w:fill="F0FFFF"/>
          </w:tcPr>
          <w:p>
            <w:pPr>
              <w:spacing w:after="0"/>
              <w:rPr>
                <w:sz w:val="11"/>
                <w:szCs w:val="11"/>
                <w:color w:val="auto"/>
              </w:rPr>
            </w:pPr>
          </w:p>
        </w:tc>
        <w:tc>
          <w:tcPr>
            <w:tcW w:w="800" w:type="dxa"/>
            <w:vAlign w:val="bottom"/>
            <w:tcBorders>
              <w:top w:val="single" w:sz="8" w:color="F0FFFF"/>
              <w:right w:val="single" w:sz="8" w:color="auto"/>
            </w:tcBorders>
            <w:shd w:val="clear" w:color="auto" w:fill="F0FFFF"/>
          </w:tcPr>
          <w:p>
            <w:pPr>
              <w:spacing w:after="0"/>
              <w:rPr>
                <w:sz w:val="11"/>
                <w:szCs w:val="11"/>
                <w:color w:val="auto"/>
              </w:rPr>
            </w:pPr>
          </w:p>
        </w:tc>
        <w:tc>
          <w:tcPr>
            <w:tcW w:w="1600" w:type="dxa"/>
            <w:vAlign w:val="bottom"/>
            <w:tcBorders>
              <w:top w:val="single" w:sz="8" w:color="F0FFFF"/>
              <w:right w:val="single" w:sz="8" w:color="auto"/>
            </w:tcBorders>
            <w:shd w:val="clear" w:color="auto" w:fill="F0FFFF"/>
          </w:tcPr>
          <w:p>
            <w:pPr>
              <w:spacing w:after="0"/>
              <w:rPr>
                <w:sz w:val="11"/>
                <w:szCs w:val="11"/>
                <w:color w:val="auto"/>
              </w:rPr>
            </w:pPr>
          </w:p>
        </w:tc>
        <w:tc>
          <w:tcPr>
            <w:tcW w:w="160" w:type="dxa"/>
            <w:vAlign w:val="bottom"/>
            <w:tcBorders>
              <w:top w:val="single" w:sz="8" w:color="F0FFFF"/>
              <w:right w:val="single" w:sz="8" w:color="F0FFFF"/>
            </w:tcBorders>
            <w:shd w:val="clear" w:color="auto" w:fill="F0FFFF"/>
          </w:tcPr>
          <w:p>
            <w:pPr>
              <w:spacing w:after="0"/>
              <w:rPr>
                <w:sz w:val="11"/>
                <w:szCs w:val="11"/>
                <w:color w:val="auto"/>
              </w:rPr>
            </w:pPr>
          </w:p>
        </w:tc>
        <w:tc>
          <w:tcPr>
            <w:tcW w:w="800" w:type="dxa"/>
            <w:vAlign w:val="bottom"/>
            <w:tcBorders>
              <w:top w:val="single" w:sz="8" w:color="F0FFFF"/>
              <w:left w:val="single" w:sz="8" w:color="F0FFFF"/>
            </w:tcBorders>
            <w:gridSpan w:val="8"/>
            <w:shd w:val="clear" w:color="auto" w:fill="F0FFFF"/>
          </w:tcPr>
          <w:p>
            <w:pPr>
              <w:spacing w:after="0" w:line="136" w:lineRule="exact"/>
              <w:rPr>
                <w:sz w:val="20"/>
                <w:szCs w:val="20"/>
                <w:color w:val="auto"/>
              </w:rPr>
            </w:pPr>
            <w:r>
              <w:rPr>
                <w:rFonts w:ascii="Times New Roman" w:cs="Times New Roman" w:eastAsia="Times New Roman" w:hAnsi="Times New Roman"/>
                <w:sz w:val="13"/>
                <w:szCs w:val="13"/>
                <w:color w:val="auto"/>
              </w:rPr>
              <w:t>irrevocable for</w:t>
            </w:r>
          </w:p>
        </w:tc>
        <w:tc>
          <w:tcPr>
            <w:tcW w:w="740" w:type="dxa"/>
            <w:vAlign w:val="bottom"/>
            <w:tcBorders>
              <w:top w:val="single" w:sz="8" w:color="auto"/>
              <w:right w:val="single" w:sz="8" w:color="F0FFFF"/>
            </w:tcBorders>
            <w:gridSpan w:val="14"/>
            <w:shd w:val="clear" w:color="auto" w:fill="F0FFFF"/>
          </w:tcPr>
          <w:p>
            <w:pPr>
              <w:jc w:val="right"/>
              <w:spacing w:after="0" w:line="136" w:lineRule="exact"/>
              <w:rPr>
                <w:sz w:val="20"/>
                <w:szCs w:val="20"/>
                <w:color w:val="auto"/>
              </w:rPr>
            </w:pPr>
            <w:r>
              <w:rPr>
                <w:rFonts w:ascii="Times New Roman" w:cs="Times New Roman" w:eastAsia="Times New Roman" w:hAnsi="Times New Roman"/>
                <w:sz w:val="13"/>
                <w:szCs w:val="13"/>
                <w:color w:val="auto"/>
              </w:rPr>
              <w:t>the remainder</w:t>
            </w:r>
          </w:p>
        </w:tc>
        <w:tc>
          <w:tcPr>
            <w:tcW w:w="560" w:type="dxa"/>
            <w:vAlign w:val="bottom"/>
            <w:tcBorders>
              <w:top w:val="single" w:sz="8" w:color="F0FFFF"/>
              <w:right w:val="single" w:sz="8" w:color="auto"/>
            </w:tcBorders>
            <w:gridSpan w:val="6"/>
            <w:shd w:val="clear" w:color="auto" w:fill="F0FFFF"/>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of that</w:t>
            </w:r>
          </w:p>
        </w:tc>
        <w:tc>
          <w:tcPr>
            <w:tcW w:w="0" w:type="dxa"/>
            <w:vAlign w:val="bottom"/>
          </w:tcPr>
          <w:p>
            <w:pPr>
              <w:spacing w:after="0"/>
              <w:rPr>
                <w:sz w:val="1"/>
                <w:szCs w:val="1"/>
                <w:color w:val="auto"/>
              </w:rPr>
            </w:pPr>
          </w:p>
        </w:tc>
      </w:tr>
      <w:tr>
        <w:trPr>
          <w:trHeight w:val="142"/>
        </w:trPr>
        <w:tc>
          <w:tcPr>
            <w:tcW w:w="1000" w:type="dxa"/>
            <w:vAlign w:val="bottom"/>
            <w:tcBorders>
              <w:left w:val="single" w:sz="8" w:color="auto"/>
              <w:right w:val="single" w:sz="8" w:color="auto"/>
            </w:tcBorders>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320" w:type="dxa"/>
            <w:vAlign w:val="bottom"/>
            <w:tcBorders>
              <w:right w:val="single" w:sz="8" w:color="F0FFFF"/>
            </w:tcBorders>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800" w:type="dxa"/>
            <w:vAlign w:val="bottom"/>
            <w:tcBorders>
              <w:right w:val="single" w:sz="8" w:color="auto"/>
            </w:tcBorders>
            <w:shd w:val="clear" w:color="auto" w:fill="F0FFFF"/>
          </w:tcPr>
          <w:p>
            <w:pPr>
              <w:spacing w:after="0"/>
              <w:rPr>
                <w:sz w:val="12"/>
                <w:szCs w:val="12"/>
                <w:color w:val="auto"/>
              </w:rPr>
            </w:pPr>
          </w:p>
        </w:tc>
        <w:tc>
          <w:tcPr>
            <w:tcW w:w="1600" w:type="dxa"/>
            <w:vAlign w:val="bottom"/>
            <w:tcBorders>
              <w:right w:val="single" w:sz="8" w:color="auto"/>
            </w:tcBorders>
            <w:shd w:val="clear" w:color="auto" w:fill="F0FFFF"/>
          </w:tcPr>
          <w:p>
            <w:pPr>
              <w:spacing w:after="0"/>
              <w:rPr>
                <w:sz w:val="12"/>
                <w:szCs w:val="12"/>
                <w:color w:val="auto"/>
              </w:rPr>
            </w:pPr>
          </w:p>
        </w:tc>
        <w:tc>
          <w:tcPr>
            <w:tcW w:w="160" w:type="dxa"/>
            <w:vAlign w:val="bottom"/>
            <w:tcBorders>
              <w:right w:val="single" w:sz="8" w:color="F0FFFF"/>
            </w:tcBorders>
            <w:shd w:val="clear" w:color="auto" w:fill="F0FFFF"/>
          </w:tcPr>
          <w:p>
            <w:pPr>
              <w:spacing w:after="0"/>
              <w:rPr>
                <w:sz w:val="12"/>
                <w:szCs w:val="12"/>
                <w:color w:val="auto"/>
              </w:rPr>
            </w:pPr>
          </w:p>
        </w:tc>
        <w:tc>
          <w:tcPr>
            <w:tcW w:w="2100" w:type="dxa"/>
            <w:vAlign w:val="bottom"/>
            <w:tcBorders>
              <w:left w:val="single" w:sz="8" w:color="F0FFFF"/>
              <w:right w:val="single" w:sz="8" w:color="auto"/>
            </w:tcBorders>
            <w:gridSpan w:val="28"/>
            <w:shd w:val="clear" w:color="auto" w:fill="F0FFFF"/>
          </w:tcPr>
          <w:p>
            <w:pPr>
              <w:spacing w:after="0" w:line="142" w:lineRule="exact"/>
              <w:rPr>
                <w:sz w:val="20"/>
                <w:szCs w:val="20"/>
                <w:color w:val="auto"/>
              </w:rPr>
            </w:pPr>
            <w:r>
              <w:rPr>
                <w:rFonts w:ascii="Times New Roman" w:cs="Times New Roman" w:eastAsia="Times New Roman" w:hAnsi="Times New Roman"/>
                <w:sz w:val="13"/>
                <w:szCs w:val="13"/>
                <w:color w:val="auto"/>
              </w:rPr>
              <w:t>Term .</w:t>
            </w:r>
          </w:p>
        </w:tc>
        <w:tc>
          <w:tcPr>
            <w:tcW w:w="0" w:type="dxa"/>
            <w:vAlign w:val="bottom"/>
          </w:tcPr>
          <w:p>
            <w:pPr>
              <w:spacing w:after="0"/>
              <w:rPr>
                <w:sz w:val="1"/>
                <w:szCs w:val="1"/>
                <w:color w:val="auto"/>
              </w:rPr>
            </w:pPr>
          </w:p>
        </w:tc>
      </w:tr>
      <w:tr>
        <w:trPr>
          <w:trHeight w:val="136"/>
        </w:trPr>
        <w:tc>
          <w:tcPr>
            <w:tcW w:w="1000" w:type="dxa"/>
            <w:vAlign w:val="bottom"/>
            <w:tcBorders>
              <w:top w:val="single" w:sz="8" w:color="F0FFFF"/>
              <w:left w:val="single" w:sz="8" w:color="auto"/>
              <w:right w:val="single" w:sz="8" w:color="auto"/>
            </w:tcBorders>
            <w:shd w:val="clear" w:color="auto" w:fill="F0FFFF"/>
          </w:tcPr>
          <w:p>
            <w:pPr>
              <w:spacing w:after="0"/>
              <w:rPr>
                <w:sz w:val="11"/>
                <w:szCs w:val="11"/>
                <w:color w:val="auto"/>
              </w:rPr>
            </w:pPr>
          </w:p>
        </w:tc>
        <w:tc>
          <w:tcPr>
            <w:tcW w:w="480" w:type="dxa"/>
            <w:vAlign w:val="bottom"/>
            <w:tcBorders>
              <w:top w:val="single" w:sz="8" w:color="F0FFFF"/>
            </w:tcBorders>
            <w:shd w:val="clear" w:color="auto" w:fill="F0FFFF"/>
          </w:tcPr>
          <w:p>
            <w:pPr>
              <w:spacing w:after="0"/>
              <w:rPr>
                <w:sz w:val="11"/>
                <w:szCs w:val="11"/>
                <w:color w:val="auto"/>
              </w:rPr>
            </w:pPr>
          </w:p>
        </w:tc>
        <w:tc>
          <w:tcPr>
            <w:tcW w:w="280" w:type="dxa"/>
            <w:vAlign w:val="bottom"/>
            <w:tcBorders>
              <w:top w:val="single" w:sz="8" w:color="F0FFFF"/>
            </w:tcBorders>
            <w:shd w:val="clear" w:color="auto" w:fill="F0FFFF"/>
          </w:tcPr>
          <w:p>
            <w:pPr>
              <w:spacing w:after="0"/>
              <w:rPr>
                <w:sz w:val="11"/>
                <w:szCs w:val="11"/>
                <w:color w:val="auto"/>
              </w:rPr>
            </w:pPr>
          </w:p>
        </w:tc>
        <w:tc>
          <w:tcPr>
            <w:tcW w:w="120" w:type="dxa"/>
            <w:vAlign w:val="bottom"/>
            <w:tcBorders>
              <w:top w:val="single" w:sz="8" w:color="F0FFFF"/>
            </w:tcBorders>
            <w:shd w:val="clear" w:color="auto" w:fill="F0FFFF"/>
          </w:tcPr>
          <w:p>
            <w:pPr>
              <w:spacing w:after="0"/>
              <w:rPr>
                <w:sz w:val="11"/>
                <w:szCs w:val="11"/>
                <w:color w:val="auto"/>
              </w:rPr>
            </w:pPr>
          </w:p>
        </w:tc>
        <w:tc>
          <w:tcPr>
            <w:tcW w:w="320" w:type="dxa"/>
            <w:vAlign w:val="bottom"/>
            <w:tcBorders>
              <w:top w:val="single" w:sz="8" w:color="F0FFFF"/>
              <w:right w:val="single" w:sz="8" w:color="F0FFFF"/>
            </w:tcBorders>
            <w:shd w:val="clear" w:color="auto" w:fill="F0FFFF"/>
          </w:tcPr>
          <w:p>
            <w:pPr>
              <w:spacing w:after="0"/>
              <w:rPr>
                <w:sz w:val="11"/>
                <w:szCs w:val="11"/>
                <w:color w:val="auto"/>
              </w:rPr>
            </w:pPr>
          </w:p>
        </w:tc>
        <w:tc>
          <w:tcPr>
            <w:tcW w:w="280" w:type="dxa"/>
            <w:vAlign w:val="bottom"/>
            <w:tcBorders>
              <w:top w:val="single" w:sz="8" w:color="F0FFFF"/>
            </w:tcBorders>
            <w:shd w:val="clear" w:color="auto" w:fill="F0FFFF"/>
          </w:tcPr>
          <w:p>
            <w:pPr>
              <w:spacing w:after="0"/>
              <w:rPr>
                <w:sz w:val="11"/>
                <w:szCs w:val="11"/>
                <w:color w:val="auto"/>
              </w:rPr>
            </w:pPr>
          </w:p>
        </w:tc>
        <w:tc>
          <w:tcPr>
            <w:tcW w:w="800" w:type="dxa"/>
            <w:vAlign w:val="bottom"/>
            <w:tcBorders>
              <w:top w:val="single" w:sz="8" w:color="F0FFFF"/>
              <w:right w:val="single" w:sz="8" w:color="auto"/>
            </w:tcBorders>
            <w:shd w:val="clear" w:color="auto" w:fill="F0FFFF"/>
          </w:tcPr>
          <w:p>
            <w:pPr>
              <w:spacing w:after="0"/>
              <w:rPr>
                <w:sz w:val="11"/>
                <w:szCs w:val="11"/>
                <w:color w:val="auto"/>
              </w:rPr>
            </w:pPr>
          </w:p>
        </w:tc>
        <w:tc>
          <w:tcPr>
            <w:tcW w:w="1600" w:type="dxa"/>
            <w:vAlign w:val="bottom"/>
            <w:tcBorders>
              <w:top w:val="single" w:sz="8" w:color="F0FFFF"/>
              <w:right w:val="single" w:sz="8" w:color="auto"/>
            </w:tcBorders>
            <w:shd w:val="clear" w:color="auto" w:fill="F0FFFF"/>
          </w:tcPr>
          <w:p>
            <w:pPr>
              <w:spacing w:after="0"/>
              <w:rPr>
                <w:sz w:val="11"/>
                <w:szCs w:val="11"/>
                <w:color w:val="auto"/>
              </w:rPr>
            </w:pPr>
          </w:p>
        </w:tc>
        <w:tc>
          <w:tcPr>
            <w:tcW w:w="160" w:type="dxa"/>
            <w:vAlign w:val="bottom"/>
            <w:tcBorders>
              <w:top w:val="single" w:sz="8" w:color="F0FFFF"/>
              <w:right w:val="single" w:sz="8" w:color="F0FFFF"/>
            </w:tcBorders>
            <w:shd w:val="clear" w:color="auto" w:fill="F0FFFF"/>
          </w:tcPr>
          <w:p>
            <w:pPr>
              <w:ind w:left="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top w:val="single" w:sz="8" w:color="auto"/>
              <w:left w:val="single" w:sz="8" w:color="F0FFFF"/>
              <w:right w:val="single" w:sz="8" w:color="F0FFFF"/>
            </w:tcBorders>
            <w:gridSpan w:val="2"/>
            <w:shd w:val="clear" w:color="auto" w:fill="F0FFFF"/>
          </w:tcPr>
          <w:p>
            <w:pPr>
              <w:spacing w:after="0" w:line="136" w:lineRule="exact"/>
              <w:rPr>
                <w:sz w:val="20"/>
                <w:szCs w:val="20"/>
                <w:color w:val="auto"/>
              </w:rPr>
            </w:pPr>
            <w:r>
              <w:rPr>
                <w:rFonts w:ascii="Times New Roman" w:cs="Times New Roman" w:eastAsia="Times New Roman" w:hAnsi="Times New Roman"/>
                <w:sz w:val="13"/>
                <w:szCs w:val="13"/>
                <w:color w:val="auto"/>
                <w:w w:val="96"/>
              </w:rPr>
              <w:t>Upon</w:t>
            </w:r>
          </w:p>
        </w:tc>
        <w:tc>
          <w:tcPr>
            <w:tcW w:w="1780" w:type="dxa"/>
            <w:vAlign w:val="bottom"/>
            <w:tcBorders>
              <w:top w:val="single" w:sz="8" w:color="F0FFFF"/>
              <w:right w:val="single" w:sz="8" w:color="auto"/>
            </w:tcBorders>
            <w:gridSpan w:val="26"/>
            <w:shd w:val="clear" w:color="auto" w:fill="F0FFFF"/>
          </w:tcPr>
          <w:p>
            <w:pPr>
              <w:jc w:val="right"/>
              <w:ind w:right="140"/>
              <w:spacing w:after="0" w:line="136" w:lineRule="exact"/>
              <w:rPr>
                <w:sz w:val="20"/>
                <w:szCs w:val="20"/>
                <w:color w:val="auto"/>
              </w:rPr>
            </w:pPr>
            <w:r>
              <w:rPr>
                <w:rFonts w:ascii="Times New Roman" w:cs="Times New Roman" w:eastAsia="Times New Roman" w:hAnsi="Times New Roman"/>
                <w:sz w:val="13"/>
                <w:szCs w:val="13"/>
                <w:color w:val="auto"/>
                <w:w w:val="99"/>
              </w:rPr>
              <w:t>exercising, you can transfer the</w:t>
            </w:r>
          </w:p>
        </w:tc>
        <w:tc>
          <w:tcPr>
            <w:tcW w:w="0" w:type="dxa"/>
            <w:vAlign w:val="bottom"/>
          </w:tcPr>
          <w:p>
            <w:pPr>
              <w:spacing w:after="0"/>
              <w:rPr>
                <w:sz w:val="1"/>
                <w:szCs w:val="1"/>
                <w:color w:val="auto"/>
              </w:rPr>
            </w:pPr>
          </w:p>
        </w:tc>
      </w:tr>
      <w:tr>
        <w:trPr>
          <w:trHeight w:val="142"/>
        </w:trPr>
        <w:tc>
          <w:tcPr>
            <w:tcW w:w="1000" w:type="dxa"/>
            <w:vAlign w:val="bottom"/>
            <w:tcBorders>
              <w:left w:val="single" w:sz="8" w:color="auto"/>
              <w:right w:val="single" w:sz="8" w:color="auto"/>
            </w:tcBorders>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320" w:type="dxa"/>
            <w:vAlign w:val="bottom"/>
            <w:tcBorders>
              <w:right w:val="single" w:sz="8" w:color="F0FFFF"/>
            </w:tcBorders>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800" w:type="dxa"/>
            <w:vAlign w:val="bottom"/>
            <w:tcBorders>
              <w:right w:val="single" w:sz="8" w:color="auto"/>
            </w:tcBorders>
            <w:shd w:val="clear" w:color="auto" w:fill="F0FFFF"/>
          </w:tcPr>
          <w:p>
            <w:pPr>
              <w:spacing w:after="0"/>
              <w:rPr>
                <w:sz w:val="12"/>
                <w:szCs w:val="12"/>
                <w:color w:val="auto"/>
              </w:rPr>
            </w:pPr>
          </w:p>
        </w:tc>
        <w:tc>
          <w:tcPr>
            <w:tcW w:w="1600" w:type="dxa"/>
            <w:vAlign w:val="bottom"/>
            <w:tcBorders>
              <w:right w:val="single" w:sz="8" w:color="auto"/>
            </w:tcBorders>
            <w:shd w:val="clear" w:color="auto" w:fill="F0FFFF"/>
          </w:tcPr>
          <w:p>
            <w:pPr>
              <w:spacing w:after="0"/>
              <w:rPr>
                <w:sz w:val="12"/>
                <w:szCs w:val="12"/>
                <w:color w:val="auto"/>
              </w:rPr>
            </w:pPr>
          </w:p>
        </w:tc>
        <w:tc>
          <w:tcPr>
            <w:tcW w:w="160" w:type="dxa"/>
            <w:vAlign w:val="bottom"/>
            <w:tcBorders>
              <w:right w:val="single" w:sz="8" w:color="F0FFFF"/>
            </w:tcBorders>
            <w:shd w:val="clear" w:color="auto" w:fill="F0FFFF"/>
          </w:tcPr>
          <w:p>
            <w:pPr>
              <w:spacing w:after="0"/>
              <w:rPr>
                <w:sz w:val="12"/>
                <w:szCs w:val="12"/>
                <w:color w:val="auto"/>
              </w:rPr>
            </w:pPr>
          </w:p>
        </w:tc>
        <w:tc>
          <w:tcPr>
            <w:tcW w:w="2100" w:type="dxa"/>
            <w:vAlign w:val="bottom"/>
            <w:tcBorders>
              <w:left w:val="single" w:sz="8" w:color="F0FFFF"/>
              <w:right w:val="single" w:sz="8" w:color="auto"/>
            </w:tcBorders>
            <w:gridSpan w:val="28"/>
            <w:shd w:val="clear" w:color="auto" w:fill="F0FFFF"/>
          </w:tcPr>
          <w:p>
            <w:pPr>
              <w:spacing w:after="0" w:line="142" w:lineRule="exact"/>
              <w:rPr>
                <w:sz w:val="20"/>
                <w:szCs w:val="20"/>
                <w:color w:val="auto"/>
              </w:rPr>
            </w:pPr>
            <w:r>
              <w:rPr>
                <w:rFonts w:ascii="Times New Roman" w:cs="Times New Roman" w:eastAsia="Times New Roman" w:hAnsi="Times New Roman"/>
                <w:sz w:val="13"/>
                <w:szCs w:val="13"/>
                <w:color w:val="auto"/>
              </w:rPr>
              <w:t>entire Performance Lock Value to any</w:t>
            </w:r>
          </w:p>
        </w:tc>
        <w:tc>
          <w:tcPr>
            <w:tcW w:w="0" w:type="dxa"/>
            <w:vAlign w:val="bottom"/>
          </w:tcPr>
          <w:p>
            <w:pPr>
              <w:spacing w:after="0"/>
              <w:rPr>
                <w:sz w:val="1"/>
                <w:szCs w:val="1"/>
                <w:color w:val="auto"/>
              </w:rPr>
            </w:pPr>
          </w:p>
        </w:tc>
      </w:tr>
      <w:tr>
        <w:trPr>
          <w:trHeight w:val="20"/>
        </w:trPr>
        <w:tc>
          <w:tcPr>
            <w:tcW w:w="100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480" w:type="dxa"/>
            <w:vAlign w:val="bottom"/>
            <w:shd w:val="clear" w:color="auto" w:fill="F0FFFF"/>
          </w:tcPr>
          <w:p>
            <w:pPr>
              <w:spacing w:after="0" w:line="20" w:lineRule="exact"/>
              <w:rPr>
                <w:sz w:val="1"/>
                <w:szCs w:val="1"/>
                <w:color w:val="auto"/>
              </w:rPr>
            </w:pPr>
          </w:p>
        </w:tc>
        <w:tc>
          <w:tcPr>
            <w:tcW w:w="28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shd w:val="clear" w:color="auto" w:fill="F0FFFF"/>
          </w:tcPr>
          <w:p>
            <w:pPr>
              <w:spacing w:after="0" w:line="20" w:lineRule="exact"/>
              <w:rPr>
                <w:sz w:val="1"/>
                <w:szCs w:val="1"/>
                <w:color w:val="auto"/>
              </w:rPr>
            </w:pPr>
          </w:p>
        </w:tc>
        <w:tc>
          <w:tcPr>
            <w:tcW w:w="800" w:type="dxa"/>
            <w:vAlign w:val="bottom"/>
            <w:tcBorders>
              <w:right w:val="single" w:sz="8" w:color="auto"/>
            </w:tcBorders>
            <w:shd w:val="clear" w:color="auto" w:fill="F0FFFF"/>
          </w:tcPr>
          <w:p>
            <w:pPr>
              <w:spacing w:after="0" w:line="20" w:lineRule="exact"/>
              <w:rPr>
                <w:sz w:val="1"/>
                <w:szCs w:val="1"/>
                <w:color w:val="auto"/>
              </w:rPr>
            </w:pPr>
          </w:p>
        </w:tc>
        <w:tc>
          <w:tcPr>
            <w:tcW w:w="1600" w:type="dxa"/>
            <w:vAlign w:val="bottom"/>
            <w:tcBorders>
              <w:right w:val="single" w:sz="8" w:color="auto"/>
            </w:tcBorders>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320" w:type="dxa"/>
            <w:vAlign w:val="bottom"/>
            <w:tcBorders>
              <w:left w:val="single" w:sz="8" w:color="F0FFFF"/>
              <w:right w:val="single" w:sz="8" w:color="F0FFFF"/>
            </w:tcBorders>
            <w:gridSpan w:val="2"/>
            <w:shd w:val="clear" w:color="auto" w:fill="F0FF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380" w:type="dxa"/>
            <w:vAlign w:val="bottom"/>
            <w:tcBorders>
              <w:right w:val="single" w:sz="8" w:color="auto"/>
            </w:tcBorders>
            <w:gridSpan w:val="4"/>
            <w:shd w:val="clear" w:color="auto" w:fill="000000"/>
          </w:tcPr>
          <w:p>
            <w:pPr>
              <w:spacing w:after="0" w:line="20" w:lineRule="exact"/>
              <w:rPr>
                <w:sz w:val="1"/>
                <w:szCs w:val="1"/>
                <w:color w:val="auto"/>
              </w:rPr>
            </w:pPr>
          </w:p>
        </w:tc>
        <w:tc>
          <w:tcPr>
            <w:tcW w:w="260" w:type="dxa"/>
            <w:vAlign w:val="bottom"/>
            <w:tcBorders>
              <w:left w:val="single" w:sz="8" w:color="auto"/>
            </w:tcBorders>
            <w:gridSpan w:val="5"/>
            <w:shd w:val="clear" w:color="auto" w:fill="000000"/>
          </w:tcPr>
          <w:p>
            <w:pPr>
              <w:spacing w:after="0" w:line="20" w:lineRule="exact"/>
              <w:rPr>
                <w:sz w:val="1"/>
                <w:szCs w:val="1"/>
                <w:color w:val="auto"/>
              </w:rPr>
            </w:pPr>
          </w:p>
        </w:tc>
        <w:tc>
          <w:tcPr>
            <w:tcW w:w="100" w:type="dxa"/>
            <w:vAlign w:val="bottom"/>
            <w:gridSpan w:val="4"/>
            <w:shd w:val="clear" w:color="auto" w:fill="000000"/>
          </w:tcPr>
          <w:p>
            <w:pPr>
              <w:spacing w:after="0" w:line="20" w:lineRule="exact"/>
              <w:rPr>
                <w:sz w:val="1"/>
                <w:szCs w:val="1"/>
                <w:color w:val="auto"/>
              </w:rPr>
            </w:pPr>
          </w:p>
        </w:tc>
        <w:tc>
          <w:tcPr>
            <w:tcW w:w="500" w:type="dxa"/>
            <w:vAlign w:val="bottom"/>
            <w:tcBorders>
              <w:right w:val="single" w:sz="8" w:color="F0FFFF"/>
            </w:tcBorders>
            <w:gridSpan w:val="5"/>
            <w:shd w:val="clear" w:color="auto" w:fill="000000"/>
          </w:tcPr>
          <w:p>
            <w:pPr>
              <w:spacing w:after="0" w:line="20" w:lineRule="exact"/>
              <w:rPr>
                <w:sz w:val="1"/>
                <w:szCs w:val="1"/>
                <w:color w:val="auto"/>
              </w:rPr>
            </w:pPr>
          </w:p>
        </w:tc>
        <w:tc>
          <w:tcPr>
            <w:tcW w:w="360" w:type="dxa"/>
            <w:vAlign w:val="bottom"/>
            <w:tcBorders>
              <w:right w:val="single" w:sz="8" w:color="auto"/>
            </w:tcBorders>
            <w:gridSpan w:val="5"/>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000" w:type="dxa"/>
            <w:vAlign w:val="bottom"/>
            <w:tcBorders>
              <w:left w:val="single" w:sz="8" w:color="auto"/>
              <w:right w:val="single" w:sz="8" w:color="auto"/>
            </w:tcBorders>
            <w:shd w:val="clear" w:color="auto" w:fill="F0FFFF"/>
          </w:tcPr>
          <w:p>
            <w:pPr>
              <w:spacing w:after="0"/>
              <w:rPr>
                <w:sz w:val="10"/>
                <w:szCs w:val="10"/>
                <w:color w:val="auto"/>
              </w:rPr>
            </w:pPr>
          </w:p>
        </w:tc>
        <w:tc>
          <w:tcPr>
            <w:tcW w:w="480" w:type="dxa"/>
            <w:vAlign w:val="bottom"/>
            <w:shd w:val="clear" w:color="auto" w:fill="F0FFFF"/>
          </w:tcPr>
          <w:p>
            <w:pPr>
              <w:spacing w:after="0"/>
              <w:rPr>
                <w:sz w:val="10"/>
                <w:szCs w:val="10"/>
                <w:color w:val="auto"/>
              </w:rPr>
            </w:pPr>
          </w:p>
        </w:tc>
        <w:tc>
          <w:tcPr>
            <w:tcW w:w="28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320" w:type="dxa"/>
            <w:vAlign w:val="bottom"/>
            <w:tcBorders>
              <w:right w:val="single" w:sz="8" w:color="F0FFFF"/>
            </w:tcBorders>
            <w:shd w:val="clear" w:color="auto" w:fill="F0FFFF"/>
          </w:tcPr>
          <w:p>
            <w:pPr>
              <w:spacing w:after="0"/>
              <w:rPr>
                <w:sz w:val="10"/>
                <w:szCs w:val="10"/>
                <w:color w:val="auto"/>
              </w:rPr>
            </w:pPr>
          </w:p>
        </w:tc>
        <w:tc>
          <w:tcPr>
            <w:tcW w:w="280" w:type="dxa"/>
            <w:vAlign w:val="bottom"/>
            <w:shd w:val="clear" w:color="auto" w:fill="F0FFFF"/>
          </w:tcPr>
          <w:p>
            <w:pPr>
              <w:spacing w:after="0"/>
              <w:rPr>
                <w:sz w:val="10"/>
                <w:szCs w:val="10"/>
                <w:color w:val="auto"/>
              </w:rPr>
            </w:pPr>
          </w:p>
        </w:tc>
        <w:tc>
          <w:tcPr>
            <w:tcW w:w="800" w:type="dxa"/>
            <w:vAlign w:val="bottom"/>
            <w:tcBorders>
              <w:right w:val="single" w:sz="8" w:color="auto"/>
            </w:tcBorders>
            <w:shd w:val="clear" w:color="auto" w:fill="F0FFFF"/>
          </w:tcPr>
          <w:p>
            <w:pPr>
              <w:spacing w:after="0"/>
              <w:rPr>
                <w:sz w:val="10"/>
                <w:szCs w:val="10"/>
                <w:color w:val="auto"/>
              </w:rPr>
            </w:pPr>
          </w:p>
        </w:tc>
        <w:tc>
          <w:tcPr>
            <w:tcW w:w="1600" w:type="dxa"/>
            <w:vAlign w:val="bottom"/>
            <w:tcBorders>
              <w:right w:val="single" w:sz="8" w:color="auto"/>
            </w:tcBorders>
            <w:shd w:val="clear" w:color="auto" w:fill="F0FFFF"/>
          </w:tcPr>
          <w:p>
            <w:pPr>
              <w:spacing w:after="0"/>
              <w:rPr>
                <w:sz w:val="10"/>
                <w:szCs w:val="10"/>
                <w:color w:val="auto"/>
              </w:rPr>
            </w:pPr>
          </w:p>
        </w:tc>
        <w:tc>
          <w:tcPr>
            <w:tcW w:w="160" w:type="dxa"/>
            <w:vAlign w:val="bottom"/>
            <w:tcBorders>
              <w:right w:val="single" w:sz="8" w:color="F0FFFF"/>
            </w:tcBorders>
            <w:shd w:val="clear" w:color="auto" w:fill="F0FFFF"/>
          </w:tcPr>
          <w:p>
            <w:pPr>
              <w:spacing w:after="0"/>
              <w:rPr>
                <w:sz w:val="10"/>
                <w:szCs w:val="10"/>
                <w:color w:val="auto"/>
              </w:rPr>
            </w:pPr>
          </w:p>
        </w:tc>
        <w:tc>
          <w:tcPr>
            <w:tcW w:w="2100" w:type="dxa"/>
            <w:vAlign w:val="bottom"/>
            <w:tcBorders>
              <w:left w:val="single" w:sz="8" w:color="F0FFFF"/>
              <w:right w:val="single" w:sz="8" w:color="auto"/>
            </w:tcBorders>
            <w:gridSpan w:val="28"/>
            <w:shd w:val="clear" w:color="auto" w:fill="F0FFFF"/>
          </w:tcPr>
          <w:p>
            <w:pPr>
              <w:spacing w:after="0" w:line="119" w:lineRule="exact"/>
              <w:rPr>
                <w:sz w:val="20"/>
                <w:szCs w:val="20"/>
                <w:color w:val="auto"/>
              </w:rPr>
            </w:pPr>
            <w:r>
              <w:rPr>
                <w:rFonts w:ascii="Times New Roman" w:cs="Times New Roman" w:eastAsia="Times New Roman" w:hAnsi="Times New Roman"/>
                <w:sz w:val="13"/>
                <w:szCs w:val="13"/>
                <w:color w:val="auto"/>
              </w:rPr>
              <w:t>available Shield Option or to the Fixed</w:t>
            </w:r>
          </w:p>
        </w:tc>
        <w:tc>
          <w:tcPr>
            <w:tcW w:w="0" w:type="dxa"/>
            <w:vAlign w:val="bottom"/>
          </w:tcPr>
          <w:p>
            <w:pPr>
              <w:spacing w:after="0"/>
              <w:rPr>
                <w:sz w:val="1"/>
                <w:szCs w:val="1"/>
                <w:color w:val="auto"/>
              </w:rPr>
            </w:pPr>
          </w:p>
        </w:tc>
      </w:tr>
      <w:tr>
        <w:trPr>
          <w:trHeight w:val="20"/>
        </w:trPr>
        <w:tc>
          <w:tcPr>
            <w:tcW w:w="100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480" w:type="dxa"/>
            <w:vAlign w:val="bottom"/>
            <w:shd w:val="clear" w:color="auto" w:fill="F0FFFF"/>
          </w:tcPr>
          <w:p>
            <w:pPr>
              <w:spacing w:after="0" w:line="20" w:lineRule="exact"/>
              <w:rPr>
                <w:sz w:val="1"/>
                <w:szCs w:val="1"/>
                <w:color w:val="auto"/>
              </w:rPr>
            </w:pPr>
          </w:p>
        </w:tc>
        <w:tc>
          <w:tcPr>
            <w:tcW w:w="28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shd w:val="clear" w:color="auto" w:fill="F0FFFF"/>
          </w:tcPr>
          <w:p>
            <w:pPr>
              <w:spacing w:after="0" w:line="20" w:lineRule="exact"/>
              <w:rPr>
                <w:sz w:val="1"/>
                <w:szCs w:val="1"/>
                <w:color w:val="auto"/>
              </w:rPr>
            </w:pPr>
          </w:p>
        </w:tc>
        <w:tc>
          <w:tcPr>
            <w:tcW w:w="800" w:type="dxa"/>
            <w:vAlign w:val="bottom"/>
            <w:tcBorders>
              <w:right w:val="single" w:sz="8" w:color="auto"/>
            </w:tcBorders>
            <w:shd w:val="clear" w:color="auto" w:fill="F0FFFF"/>
          </w:tcPr>
          <w:p>
            <w:pPr>
              <w:spacing w:after="0" w:line="20" w:lineRule="exact"/>
              <w:rPr>
                <w:sz w:val="1"/>
                <w:szCs w:val="1"/>
                <w:color w:val="auto"/>
              </w:rPr>
            </w:pPr>
          </w:p>
        </w:tc>
        <w:tc>
          <w:tcPr>
            <w:tcW w:w="1600" w:type="dxa"/>
            <w:vAlign w:val="bottom"/>
            <w:tcBorders>
              <w:right w:val="single" w:sz="8" w:color="auto"/>
            </w:tcBorders>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500" w:type="dxa"/>
            <w:vAlign w:val="bottom"/>
            <w:tcBorders>
              <w:left w:val="single" w:sz="8" w:color="F0FFFF"/>
            </w:tcBorders>
            <w:gridSpan w:val="5"/>
            <w:vMerge w:val="restart"/>
            <w:shd w:val="clear" w:color="auto" w:fill="F0FFFF"/>
          </w:tcPr>
          <w:p>
            <w:pPr>
              <w:spacing w:after="0"/>
              <w:rPr>
                <w:sz w:val="20"/>
                <w:szCs w:val="20"/>
                <w:color w:val="auto"/>
              </w:rPr>
            </w:pPr>
            <w:r>
              <w:rPr>
                <w:rFonts w:ascii="Times New Roman" w:cs="Times New Roman" w:eastAsia="Times New Roman" w:hAnsi="Times New Roman"/>
                <w:sz w:val="13"/>
                <w:szCs w:val="13"/>
                <w:color w:val="auto"/>
              </w:rPr>
              <w:t>Account</w:t>
            </w:r>
          </w:p>
        </w:tc>
        <w:tc>
          <w:tcPr>
            <w:tcW w:w="380" w:type="dxa"/>
            <w:vAlign w:val="bottom"/>
            <w:tcBorders>
              <w:right w:val="single" w:sz="8" w:color="auto"/>
            </w:tcBorders>
            <w:gridSpan w:val="4"/>
            <w:shd w:val="clear" w:color="auto" w:fill="000000"/>
          </w:tcPr>
          <w:p>
            <w:pPr>
              <w:spacing w:after="0" w:line="20" w:lineRule="exact"/>
              <w:rPr>
                <w:sz w:val="1"/>
                <w:szCs w:val="1"/>
                <w:color w:val="auto"/>
              </w:rPr>
            </w:pPr>
          </w:p>
        </w:tc>
        <w:tc>
          <w:tcPr>
            <w:tcW w:w="260" w:type="dxa"/>
            <w:vAlign w:val="bottom"/>
            <w:tcBorders>
              <w:left w:val="single" w:sz="8" w:color="auto"/>
            </w:tcBorders>
            <w:gridSpan w:val="5"/>
            <w:shd w:val="clear" w:color="auto" w:fill="000000"/>
          </w:tcPr>
          <w:p>
            <w:pPr>
              <w:spacing w:after="0" w:line="20" w:lineRule="exact"/>
              <w:rPr>
                <w:sz w:val="1"/>
                <w:szCs w:val="1"/>
                <w:color w:val="auto"/>
              </w:rPr>
            </w:pPr>
          </w:p>
        </w:tc>
        <w:tc>
          <w:tcPr>
            <w:tcW w:w="100" w:type="dxa"/>
            <w:vAlign w:val="bottom"/>
            <w:gridSpan w:val="4"/>
            <w:shd w:val="clear" w:color="auto" w:fill="000000"/>
          </w:tcPr>
          <w:p>
            <w:pPr>
              <w:spacing w:after="0" w:line="20" w:lineRule="exact"/>
              <w:rPr>
                <w:sz w:val="1"/>
                <w:szCs w:val="1"/>
                <w:color w:val="auto"/>
              </w:rPr>
            </w:pPr>
          </w:p>
        </w:tc>
        <w:tc>
          <w:tcPr>
            <w:tcW w:w="500" w:type="dxa"/>
            <w:vAlign w:val="bottom"/>
            <w:tcBorders>
              <w:right w:val="single" w:sz="8" w:color="F0FFFF"/>
            </w:tcBorders>
            <w:gridSpan w:val="5"/>
            <w:shd w:val="clear" w:color="auto" w:fill="F0FFFF"/>
          </w:tcPr>
          <w:p>
            <w:pPr>
              <w:spacing w:after="0" w:line="20" w:lineRule="exact"/>
              <w:rPr>
                <w:sz w:val="1"/>
                <w:szCs w:val="1"/>
                <w:color w:val="auto"/>
              </w:rPr>
            </w:pPr>
          </w:p>
        </w:tc>
        <w:tc>
          <w:tcPr>
            <w:tcW w:w="360" w:type="dxa"/>
            <w:vAlign w:val="bottom"/>
            <w:tcBorders>
              <w:right w:val="single" w:sz="8" w:color="auto"/>
            </w:tcBorders>
            <w:gridSpan w:val="5"/>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00" w:type="dxa"/>
            <w:vAlign w:val="bottom"/>
            <w:tcBorders>
              <w:left w:val="single" w:sz="8" w:color="auto"/>
              <w:right w:val="single" w:sz="8" w:color="auto"/>
            </w:tcBorders>
            <w:shd w:val="clear" w:color="auto" w:fill="F0FFFF"/>
          </w:tcPr>
          <w:p>
            <w:pPr>
              <w:spacing w:after="0"/>
              <w:rPr>
                <w:sz w:val="11"/>
                <w:szCs w:val="11"/>
                <w:color w:val="auto"/>
              </w:rPr>
            </w:pPr>
          </w:p>
        </w:tc>
        <w:tc>
          <w:tcPr>
            <w:tcW w:w="480" w:type="dxa"/>
            <w:vAlign w:val="bottom"/>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320" w:type="dxa"/>
            <w:vAlign w:val="bottom"/>
            <w:tcBorders>
              <w:right w:val="single" w:sz="8" w:color="F0FFFF"/>
            </w:tcBorders>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800" w:type="dxa"/>
            <w:vAlign w:val="bottom"/>
            <w:tcBorders>
              <w:right w:val="single" w:sz="8" w:color="auto"/>
            </w:tcBorders>
            <w:shd w:val="clear" w:color="auto" w:fill="F0FFFF"/>
          </w:tcPr>
          <w:p>
            <w:pPr>
              <w:spacing w:after="0"/>
              <w:rPr>
                <w:sz w:val="11"/>
                <w:szCs w:val="11"/>
                <w:color w:val="auto"/>
              </w:rPr>
            </w:pPr>
          </w:p>
        </w:tc>
        <w:tc>
          <w:tcPr>
            <w:tcW w:w="1600" w:type="dxa"/>
            <w:vAlign w:val="bottom"/>
            <w:tcBorders>
              <w:right w:val="single" w:sz="8" w:color="auto"/>
            </w:tcBorders>
            <w:shd w:val="clear" w:color="auto" w:fill="F0FFFF"/>
          </w:tcPr>
          <w:p>
            <w:pPr>
              <w:spacing w:after="0"/>
              <w:rPr>
                <w:sz w:val="11"/>
                <w:szCs w:val="11"/>
                <w:color w:val="auto"/>
              </w:rPr>
            </w:pPr>
          </w:p>
        </w:tc>
        <w:tc>
          <w:tcPr>
            <w:tcW w:w="160" w:type="dxa"/>
            <w:vAlign w:val="bottom"/>
            <w:tcBorders>
              <w:right w:val="single" w:sz="8" w:color="F0FFFF"/>
            </w:tcBorders>
            <w:shd w:val="clear" w:color="auto" w:fill="F0FFFF"/>
          </w:tcPr>
          <w:p>
            <w:pPr>
              <w:spacing w:after="0"/>
              <w:rPr>
                <w:sz w:val="11"/>
                <w:szCs w:val="11"/>
                <w:color w:val="auto"/>
              </w:rPr>
            </w:pPr>
          </w:p>
        </w:tc>
        <w:tc>
          <w:tcPr>
            <w:tcW w:w="500" w:type="dxa"/>
            <w:vAlign w:val="bottom"/>
            <w:tcBorders>
              <w:left w:val="single" w:sz="8" w:color="F0FFFF"/>
            </w:tcBorders>
            <w:gridSpan w:val="5"/>
            <w:vMerge w:val="continue"/>
            <w:shd w:val="clear" w:color="auto" w:fill="F0FFFF"/>
          </w:tcPr>
          <w:p>
            <w:pPr>
              <w:spacing w:after="0"/>
              <w:rPr>
                <w:sz w:val="11"/>
                <w:szCs w:val="11"/>
                <w:color w:val="auto"/>
              </w:rPr>
            </w:pPr>
          </w:p>
        </w:tc>
        <w:tc>
          <w:tcPr>
            <w:tcW w:w="740" w:type="dxa"/>
            <w:vAlign w:val="bottom"/>
            <w:gridSpan w:val="13"/>
            <w:shd w:val="clear" w:color="auto" w:fill="F0FFFF"/>
          </w:tcPr>
          <w:p>
            <w:pPr>
              <w:spacing w:after="0" w:line="129" w:lineRule="exact"/>
              <w:rPr>
                <w:sz w:val="20"/>
                <w:szCs w:val="20"/>
                <w:color w:val="auto"/>
              </w:rPr>
            </w:pPr>
            <w:r>
              <w:rPr>
                <w:rFonts w:ascii="Times New Roman" w:cs="Times New Roman" w:eastAsia="Times New Roman" w:hAnsi="Times New Roman"/>
                <w:sz w:val="13"/>
                <w:szCs w:val="13"/>
                <w:color w:val="auto"/>
                <w:w w:val="86"/>
              </w:rPr>
              <w:t>on any Contract</w:t>
            </w:r>
          </w:p>
        </w:tc>
        <w:tc>
          <w:tcPr>
            <w:tcW w:w="860" w:type="dxa"/>
            <w:vAlign w:val="bottom"/>
            <w:tcBorders>
              <w:right w:val="single" w:sz="8" w:color="auto"/>
            </w:tcBorders>
            <w:gridSpan w:val="10"/>
            <w:shd w:val="clear" w:color="auto" w:fill="F0FFFF"/>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Anniversary</w:t>
            </w:r>
          </w:p>
        </w:tc>
        <w:tc>
          <w:tcPr>
            <w:tcW w:w="0" w:type="dxa"/>
            <w:vAlign w:val="bottom"/>
          </w:tcPr>
          <w:p>
            <w:pPr>
              <w:spacing w:after="0"/>
              <w:rPr>
                <w:sz w:val="1"/>
                <w:szCs w:val="1"/>
                <w:color w:val="auto"/>
              </w:rPr>
            </w:pPr>
          </w:p>
        </w:tc>
      </w:tr>
      <w:tr>
        <w:trPr>
          <w:trHeight w:val="20"/>
        </w:trPr>
        <w:tc>
          <w:tcPr>
            <w:tcW w:w="100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480" w:type="dxa"/>
            <w:vAlign w:val="bottom"/>
            <w:shd w:val="clear" w:color="auto" w:fill="F0FFFF"/>
          </w:tcPr>
          <w:p>
            <w:pPr>
              <w:spacing w:after="0" w:line="20" w:lineRule="exact"/>
              <w:rPr>
                <w:sz w:val="1"/>
                <w:szCs w:val="1"/>
                <w:color w:val="auto"/>
              </w:rPr>
            </w:pPr>
          </w:p>
        </w:tc>
        <w:tc>
          <w:tcPr>
            <w:tcW w:w="28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280" w:type="dxa"/>
            <w:vAlign w:val="bottom"/>
            <w:shd w:val="clear" w:color="auto" w:fill="F0FFFF"/>
          </w:tcPr>
          <w:p>
            <w:pPr>
              <w:spacing w:after="0" w:line="20" w:lineRule="exact"/>
              <w:rPr>
                <w:sz w:val="1"/>
                <w:szCs w:val="1"/>
                <w:color w:val="auto"/>
              </w:rPr>
            </w:pPr>
          </w:p>
        </w:tc>
        <w:tc>
          <w:tcPr>
            <w:tcW w:w="800" w:type="dxa"/>
            <w:vAlign w:val="bottom"/>
            <w:tcBorders>
              <w:right w:val="single" w:sz="8" w:color="auto"/>
            </w:tcBorders>
            <w:shd w:val="clear" w:color="auto" w:fill="F0FFFF"/>
          </w:tcPr>
          <w:p>
            <w:pPr>
              <w:spacing w:after="0" w:line="20" w:lineRule="exact"/>
              <w:rPr>
                <w:sz w:val="1"/>
                <w:szCs w:val="1"/>
                <w:color w:val="auto"/>
              </w:rPr>
            </w:pPr>
          </w:p>
        </w:tc>
        <w:tc>
          <w:tcPr>
            <w:tcW w:w="1600" w:type="dxa"/>
            <w:vAlign w:val="bottom"/>
            <w:tcBorders>
              <w:right w:val="single" w:sz="8" w:color="auto"/>
            </w:tcBorders>
            <w:shd w:val="clear" w:color="auto" w:fill="F0FFFF"/>
          </w:tcPr>
          <w:p>
            <w:pPr>
              <w:spacing w:after="0" w:line="20" w:lineRule="exact"/>
              <w:rPr>
                <w:sz w:val="1"/>
                <w:szCs w:val="1"/>
                <w:color w:val="auto"/>
              </w:rPr>
            </w:pPr>
          </w:p>
        </w:tc>
        <w:tc>
          <w:tcPr>
            <w:tcW w:w="160" w:type="dxa"/>
            <w:vAlign w:val="bottom"/>
            <w:tcBorders>
              <w:right w:val="single" w:sz="8" w:color="F0FFFF"/>
            </w:tcBorders>
            <w:shd w:val="clear" w:color="auto" w:fill="F0FFFF"/>
          </w:tcPr>
          <w:p>
            <w:pPr>
              <w:spacing w:after="0" w:line="20" w:lineRule="exact"/>
              <w:rPr>
                <w:sz w:val="1"/>
                <w:szCs w:val="1"/>
                <w:color w:val="auto"/>
              </w:rPr>
            </w:pPr>
          </w:p>
        </w:tc>
        <w:tc>
          <w:tcPr>
            <w:tcW w:w="440" w:type="dxa"/>
            <w:vAlign w:val="bottom"/>
            <w:tcBorders>
              <w:left w:val="single" w:sz="8" w:color="auto"/>
            </w:tcBorders>
            <w:gridSpan w:val="3"/>
            <w:shd w:val="clear" w:color="auto" w:fill="000000"/>
          </w:tcPr>
          <w:p>
            <w:pPr>
              <w:spacing w:after="0" w:line="20" w:lineRule="exact"/>
              <w:rPr>
                <w:sz w:val="1"/>
                <w:szCs w:val="1"/>
                <w:color w:val="auto"/>
              </w:rPr>
            </w:pPr>
          </w:p>
        </w:tc>
        <w:tc>
          <w:tcPr>
            <w:tcW w:w="440" w:type="dxa"/>
            <w:vAlign w:val="bottom"/>
            <w:tcBorders>
              <w:right w:val="single" w:sz="8" w:color="auto"/>
            </w:tcBorders>
            <w:gridSpan w:val="6"/>
            <w:shd w:val="clear" w:color="auto" w:fill="F0FFFF"/>
          </w:tcPr>
          <w:p>
            <w:pPr>
              <w:spacing w:after="0" w:line="20" w:lineRule="exact"/>
              <w:rPr>
                <w:sz w:val="1"/>
                <w:szCs w:val="1"/>
                <w:color w:val="auto"/>
              </w:rPr>
            </w:pPr>
          </w:p>
        </w:tc>
        <w:tc>
          <w:tcPr>
            <w:tcW w:w="260" w:type="dxa"/>
            <w:vAlign w:val="bottom"/>
            <w:tcBorders>
              <w:left w:val="single" w:sz="8" w:color="auto"/>
            </w:tcBorders>
            <w:gridSpan w:val="5"/>
            <w:shd w:val="clear" w:color="auto" w:fill="000000"/>
          </w:tcPr>
          <w:p>
            <w:pPr>
              <w:spacing w:after="0" w:line="20" w:lineRule="exact"/>
              <w:rPr>
                <w:sz w:val="1"/>
                <w:szCs w:val="1"/>
                <w:color w:val="auto"/>
              </w:rPr>
            </w:pPr>
          </w:p>
        </w:tc>
        <w:tc>
          <w:tcPr>
            <w:tcW w:w="960" w:type="dxa"/>
            <w:vAlign w:val="bottom"/>
            <w:tcBorders>
              <w:right w:val="single" w:sz="8" w:color="auto"/>
            </w:tcBorders>
            <w:gridSpan w:val="14"/>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00" w:type="dxa"/>
            <w:vAlign w:val="bottom"/>
            <w:tcBorders>
              <w:left w:val="single" w:sz="8" w:color="auto"/>
              <w:right w:val="single" w:sz="8" w:color="auto"/>
            </w:tcBorders>
            <w:shd w:val="clear" w:color="auto" w:fill="F0FFFF"/>
          </w:tcPr>
          <w:p>
            <w:pPr>
              <w:spacing w:after="0"/>
              <w:rPr>
                <w:sz w:val="11"/>
                <w:szCs w:val="11"/>
                <w:color w:val="auto"/>
              </w:rPr>
            </w:pPr>
          </w:p>
        </w:tc>
        <w:tc>
          <w:tcPr>
            <w:tcW w:w="480" w:type="dxa"/>
            <w:vAlign w:val="bottom"/>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320" w:type="dxa"/>
            <w:vAlign w:val="bottom"/>
            <w:tcBorders>
              <w:right w:val="single" w:sz="8" w:color="F0FFFF"/>
            </w:tcBorders>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800" w:type="dxa"/>
            <w:vAlign w:val="bottom"/>
            <w:tcBorders>
              <w:right w:val="single" w:sz="8" w:color="auto"/>
            </w:tcBorders>
            <w:shd w:val="clear" w:color="auto" w:fill="F0FFFF"/>
          </w:tcPr>
          <w:p>
            <w:pPr>
              <w:spacing w:after="0"/>
              <w:rPr>
                <w:sz w:val="11"/>
                <w:szCs w:val="11"/>
                <w:color w:val="auto"/>
              </w:rPr>
            </w:pPr>
          </w:p>
        </w:tc>
        <w:tc>
          <w:tcPr>
            <w:tcW w:w="1600" w:type="dxa"/>
            <w:vAlign w:val="bottom"/>
            <w:tcBorders>
              <w:right w:val="single" w:sz="8" w:color="auto"/>
            </w:tcBorders>
            <w:shd w:val="clear" w:color="auto" w:fill="F0FFFF"/>
          </w:tcPr>
          <w:p>
            <w:pPr>
              <w:spacing w:after="0"/>
              <w:rPr>
                <w:sz w:val="11"/>
                <w:szCs w:val="11"/>
                <w:color w:val="auto"/>
              </w:rPr>
            </w:pPr>
          </w:p>
        </w:tc>
        <w:tc>
          <w:tcPr>
            <w:tcW w:w="160" w:type="dxa"/>
            <w:vAlign w:val="bottom"/>
            <w:tcBorders>
              <w:right w:val="single" w:sz="8" w:color="F0FFFF"/>
            </w:tcBorders>
            <w:shd w:val="clear" w:color="auto" w:fill="F0FFFF"/>
          </w:tcPr>
          <w:p>
            <w:pPr>
              <w:spacing w:after="0"/>
              <w:rPr>
                <w:sz w:val="11"/>
                <w:szCs w:val="11"/>
                <w:color w:val="auto"/>
              </w:rPr>
            </w:pPr>
          </w:p>
        </w:tc>
        <w:tc>
          <w:tcPr>
            <w:tcW w:w="440" w:type="dxa"/>
            <w:vAlign w:val="bottom"/>
            <w:tcBorders>
              <w:left w:val="single" w:sz="8" w:color="F0FFFF"/>
            </w:tcBorders>
            <w:gridSpan w:val="3"/>
            <w:shd w:val="clear" w:color="auto" w:fill="F0FFFF"/>
          </w:tcPr>
          <w:p>
            <w:pPr>
              <w:spacing w:after="0" w:line="129" w:lineRule="exact"/>
              <w:rPr>
                <w:sz w:val="20"/>
                <w:szCs w:val="20"/>
                <w:color w:val="auto"/>
              </w:rPr>
            </w:pPr>
            <w:r>
              <w:rPr>
                <w:rFonts w:ascii="Times New Roman" w:cs="Times New Roman" w:eastAsia="Times New Roman" w:hAnsi="Times New Roman"/>
                <w:sz w:val="13"/>
                <w:szCs w:val="13"/>
                <w:color w:val="auto"/>
                <w:w w:val="84"/>
              </w:rPr>
              <w:t>occurring</w:t>
            </w:r>
          </w:p>
        </w:tc>
        <w:tc>
          <w:tcPr>
            <w:tcW w:w="1660" w:type="dxa"/>
            <w:vAlign w:val="bottom"/>
            <w:tcBorders>
              <w:right w:val="single" w:sz="8" w:color="auto"/>
            </w:tcBorders>
            <w:gridSpan w:val="25"/>
            <w:shd w:val="clear" w:color="auto" w:fill="F0FFFF"/>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prior to the Term End Date.</w:t>
            </w:r>
          </w:p>
        </w:tc>
        <w:tc>
          <w:tcPr>
            <w:tcW w:w="0" w:type="dxa"/>
            <w:vAlign w:val="bottom"/>
          </w:tcPr>
          <w:p>
            <w:pPr>
              <w:spacing w:after="0"/>
              <w:rPr>
                <w:sz w:val="1"/>
                <w:szCs w:val="1"/>
                <w:color w:val="auto"/>
              </w:rPr>
            </w:pPr>
          </w:p>
        </w:tc>
      </w:tr>
      <w:tr>
        <w:trPr>
          <w:trHeight w:val="387"/>
        </w:trPr>
        <w:tc>
          <w:tcPr>
            <w:tcW w:w="1000" w:type="dxa"/>
            <w:vAlign w:val="bottom"/>
            <w:tcBorders>
              <w:top w:val="single" w:sz="8" w:color="F0FFFF"/>
              <w:left w:val="single" w:sz="8" w:color="auto"/>
              <w:bottom w:val="single" w:sz="8" w:color="auto"/>
              <w:right w:val="single" w:sz="8" w:color="auto"/>
            </w:tcBorders>
            <w:shd w:val="clear" w:color="auto" w:fill="F0FFFF"/>
          </w:tcPr>
          <w:p>
            <w:pPr>
              <w:spacing w:after="0"/>
              <w:rPr>
                <w:sz w:val="24"/>
                <w:szCs w:val="24"/>
                <w:color w:val="auto"/>
              </w:rPr>
            </w:pPr>
          </w:p>
        </w:tc>
        <w:tc>
          <w:tcPr>
            <w:tcW w:w="480" w:type="dxa"/>
            <w:vAlign w:val="bottom"/>
            <w:tcBorders>
              <w:top w:val="single" w:sz="8" w:color="F0FFFF"/>
              <w:bottom w:val="single" w:sz="8" w:color="auto"/>
            </w:tcBorders>
            <w:shd w:val="clear" w:color="auto" w:fill="F0FFFF"/>
          </w:tcPr>
          <w:p>
            <w:pPr>
              <w:spacing w:after="0"/>
              <w:rPr>
                <w:sz w:val="24"/>
                <w:szCs w:val="24"/>
                <w:color w:val="auto"/>
              </w:rPr>
            </w:pPr>
          </w:p>
        </w:tc>
        <w:tc>
          <w:tcPr>
            <w:tcW w:w="280" w:type="dxa"/>
            <w:vAlign w:val="bottom"/>
            <w:tcBorders>
              <w:top w:val="single" w:sz="8" w:color="F0FFFF"/>
              <w:bottom w:val="single" w:sz="8" w:color="auto"/>
            </w:tcBorders>
            <w:shd w:val="clear" w:color="auto" w:fill="F0FFFF"/>
          </w:tcPr>
          <w:p>
            <w:pPr>
              <w:spacing w:after="0"/>
              <w:rPr>
                <w:sz w:val="24"/>
                <w:szCs w:val="24"/>
                <w:color w:val="auto"/>
              </w:rPr>
            </w:pPr>
          </w:p>
        </w:tc>
        <w:tc>
          <w:tcPr>
            <w:tcW w:w="120" w:type="dxa"/>
            <w:vAlign w:val="bottom"/>
            <w:tcBorders>
              <w:top w:val="single" w:sz="8" w:color="F0FFFF"/>
              <w:bottom w:val="single" w:sz="8" w:color="auto"/>
            </w:tcBorders>
            <w:shd w:val="clear" w:color="auto" w:fill="F0FFFF"/>
          </w:tcPr>
          <w:p>
            <w:pPr>
              <w:spacing w:after="0"/>
              <w:rPr>
                <w:sz w:val="24"/>
                <w:szCs w:val="24"/>
                <w:color w:val="auto"/>
              </w:rPr>
            </w:pPr>
          </w:p>
        </w:tc>
        <w:tc>
          <w:tcPr>
            <w:tcW w:w="320" w:type="dxa"/>
            <w:vAlign w:val="bottom"/>
            <w:tcBorders>
              <w:top w:val="single" w:sz="8" w:color="F0FFFF"/>
              <w:bottom w:val="single" w:sz="8" w:color="auto"/>
              <w:right w:val="single" w:sz="8" w:color="F0FFFF"/>
            </w:tcBorders>
            <w:shd w:val="clear" w:color="auto" w:fill="F0FFFF"/>
          </w:tcPr>
          <w:p>
            <w:pPr>
              <w:spacing w:after="0"/>
              <w:rPr>
                <w:sz w:val="24"/>
                <w:szCs w:val="24"/>
                <w:color w:val="auto"/>
              </w:rPr>
            </w:pPr>
          </w:p>
        </w:tc>
        <w:tc>
          <w:tcPr>
            <w:tcW w:w="280" w:type="dxa"/>
            <w:vAlign w:val="bottom"/>
            <w:tcBorders>
              <w:top w:val="single" w:sz="8" w:color="F0FFFF"/>
              <w:bottom w:val="single" w:sz="8" w:color="auto"/>
            </w:tcBorders>
            <w:shd w:val="clear" w:color="auto" w:fill="F0FFFF"/>
          </w:tcPr>
          <w:p>
            <w:pPr>
              <w:spacing w:after="0"/>
              <w:rPr>
                <w:sz w:val="24"/>
                <w:szCs w:val="24"/>
                <w:color w:val="auto"/>
              </w:rPr>
            </w:pPr>
          </w:p>
        </w:tc>
        <w:tc>
          <w:tcPr>
            <w:tcW w:w="800" w:type="dxa"/>
            <w:vAlign w:val="bottom"/>
            <w:tcBorders>
              <w:top w:val="single" w:sz="8" w:color="F0FFFF"/>
              <w:bottom w:val="single" w:sz="8" w:color="auto"/>
              <w:right w:val="single" w:sz="8" w:color="auto"/>
            </w:tcBorders>
            <w:shd w:val="clear" w:color="auto" w:fill="F0FFFF"/>
          </w:tcPr>
          <w:p>
            <w:pPr>
              <w:spacing w:after="0"/>
              <w:rPr>
                <w:sz w:val="24"/>
                <w:szCs w:val="24"/>
                <w:color w:val="auto"/>
              </w:rPr>
            </w:pPr>
          </w:p>
        </w:tc>
        <w:tc>
          <w:tcPr>
            <w:tcW w:w="1600" w:type="dxa"/>
            <w:vAlign w:val="bottom"/>
            <w:tcBorders>
              <w:top w:val="single" w:sz="8" w:color="F0FFFF"/>
              <w:bottom w:val="single" w:sz="8" w:color="auto"/>
              <w:right w:val="single" w:sz="8" w:color="auto"/>
            </w:tcBorders>
            <w:shd w:val="clear" w:color="auto" w:fill="F0FFFF"/>
          </w:tcPr>
          <w:p>
            <w:pPr>
              <w:spacing w:after="0"/>
              <w:rPr>
                <w:sz w:val="24"/>
                <w:szCs w:val="24"/>
                <w:color w:val="auto"/>
              </w:rPr>
            </w:pPr>
          </w:p>
        </w:tc>
        <w:tc>
          <w:tcPr>
            <w:tcW w:w="160" w:type="dxa"/>
            <w:vAlign w:val="bottom"/>
            <w:tcBorders>
              <w:top w:val="single" w:sz="8" w:color="F0FFFF"/>
              <w:bottom w:val="single" w:sz="8" w:color="auto"/>
              <w:right w:val="single" w:sz="8" w:color="F0FFFF"/>
            </w:tcBorders>
            <w:shd w:val="clear" w:color="auto" w:fill="F0FFFF"/>
          </w:tcPr>
          <w:p>
            <w:pPr>
              <w:spacing w:after="0"/>
              <w:rPr>
                <w:sz w:val="24"/>
                <w:szCs w:val="24"/>
                <w:color w:val="auto"/>
              </w:rPr>
            </w:pPr>
          </w:p>
        </w:tc>
        <w:tc>
          <w:tcPr>
            <w:tcW w:w="120" w:type="dxa"/>
            <w:vAlign w:val="bottom"/>
            <w:tcBorders>
              <w:top w:val="single" w:sz="8" w:color="F0FFFF"/>
              <w:left w:val="single" w:sz="8" w:color="F0FFFF"/>
              <w:bottom w:val="single" w:sz="8" w:color="auto"/>
            </w:tcBorders>
            <w:shd w:val="clear" w:color="auto" w:fill="F0FFFF"/>
          </w:tcPr>
          <w:p>
            <w:pPr>
              <w:spacing w:after="0"/>
              <w:rPr>
                <w:sz w:val="24"/>
                <w:szCs w:val="24"/>
                <w:color w:val="auto"/>
              </w:rPr>
            </w:pPr>
          </w:p>
        </w:tc>
        <w:tc>
          <w:tcPr>
            <w:tcW w:w="200" w:type="dxa"/>
            <w:vAlign w:val="bottom"/>
            <w:tcBorders>
              <w:top w:val="single" w:sz="8" w:color="F0FFFF"/>
              <w:bottom w:val="single" w:sz="8" w:color="auto"/>
              <w:right w:val="single" w:sz="8" w:color="F0FFFF"/>
            </w:tcBorders>
            <w:shd w:val="clear" w:color="auto" w:fill="F0FFFF"/>
          </w:tcPr>
          <w:p>
            <w:pPr>
              <w:spacing w:after="0"/>
              <w:rPr>
                <w:sz w:val="24"/>
                <w:szCs w:val="24"/>
                <w:color w:val="auto"/>
              </w:rPr>
            </w:pPr>
          </w:p>
        </w:tc>
        <w:tc>
          <w:tcPr>
            <w:tcW w:w="120" w:type="dxa"/>
            <w:vAlign w:val="bottom"/>
            <w:tcBorders>
              <w:top w:val="single" w:sz="8" w:color="F0FFFF"/>
              <w:bottom w:val="single" w:sz="8" w:color="auto"/>
            </w:tcBorders>
            <w:shd w:val="clear" w:color="auto" w:fill="F0FFFF"/>
          </w:tcPr>
          <w:p>
            <w:pPr>
              <w:spacing w:after="0"/>
              <w:rPr>
                <w:sz w:val="24"/>
                <w:szCs w:val="24"/>
                <w:color w:val="auto"/>
              </w:rPr>
            </w:pPr>
          </w:p>
        </w:tc>
        <w:tc>
          <w:tcPr>
            <w:tcW w:w="40" w:type="dxa"/>
            <w:vAlign w:val="bottom"/>
            <w:tcBorders>
              <w:top w:val="single" w:sz="8" w:color="F0FFFF"/>
              <w:bottom w:val="single" w:sz="8" w:color="auto"/>
            </w:tcBorders>
            <w:shd w:val="clear" w:color="auto" w:fill="F0FFFF"/>
          </w:tcPr>
          <w:p>
            <w:pPr>
              <w:spacing w:after="0"/>
              <w:rPr>
                <w:sz w:val="24"/>
                <w:szCs w:val="24"/>
                <w:color w:val="auto"/>
              </w:rPr>
            </w:pPr>
          </w:p>
        </w:tc>
        <w:tc>
          <w:tcPr>
            <w:tcW w:w="20" w:type="dxa"/>
            <w:vAlign w:val="bottom"/>
            <w:tcBorders>
              <w:top w:val="single" w:sz="8" w:color="F0FFFF"/>
              <w:bottom w:val="single" w:sz="8" w:color="auto"/>
            </w:tcBorders>
            <w:shd w:val="clear" w:color="auto" w:fill="F0FFFF"/>
          </w:tcPr>
          <w:p>
            <w:pPr>
              <w:spacing w:after="0"/>
              <w:rPr>
                <w:sz w:val="24"/>
                <w:szCs w:val="24"/>
                <w:color w:val="auto"/>
              </w:rPr>
            </w:pPr>
          </w:p>
        </w:tc>
        <w:tc>
          <w:tcPr>
            <w:tcW w:w="80" w:type="dxa"/>
            <w:vAlign w:val="bottom"/>
            <w:tcBorders>
              <w:top w:val="single" w:sz="8" w:color="F0FFFF"/>
              <w:bottom w:val="single" w:sz="8" w:color="auto"/>
            </w:tcBorders>
            <w:shd w:val="clear" w:color="auto" w:fill="F0FFFF"/>
          </w:tcPr>
          <w:p>
            <w:pPr>
              <w:spacing w:after="0"/>
              <w:rPr>
                <w:sz w:val="24"/>
                <w:szCs w:val="24"/>
                <w:color w:val="auto"/>
              </w:rPr>
            </w:pPr>
          </w:p>
        </w:tc>
        <w:tc>
          <w:tcPr>
            <w:tcW w:w="140" w:type="dxa"/>
            <w:vAlign w:val="bottom"/>
            <w:tcBorders>
              <w:top w:val="single" w:sz="8" w:color="F0FFFF"/>
              <w:bottom w:val="single" w:sz="8" w:color="auto"/>
              <w:right w:val="single" w:sz="8" w:color="F0FFFF"/>
            </w:tcBorders>
            <w:shd w:val="clear" w:color="auto" w:fill="F0FFFF"/>
          </w:tcPr>
          <w:p>
            <w:pPr>
              <w:spacing w:after="0"/>
              <w:rPr>
                <w:sz w:val="24"/>
                <w:szCs w:val="24"/>
                <w:color w:val="auto"/>
              </w:rPr>
            </w:pPr>
          </w:p>
        </w:tc>
        <w:tc>
          <w:tcPr>
            <w:tcW w:w="80" w:type="dxa"/>
            <w:vAlign w:val="bottom"/>
            <w:tcBorders>
              <w:top w:val="single" w:sz="8" w:color="F0FFFF"/>
              <w:bottom w:val="single" w:sz="8" w:color="auto"/>
            </w:tcBorders>
            <w:shd w:val="clear" w:color="auto" w:fill="F0FFFF"/>
          </w:tcPr>
          <w:p>
            <w:pPr>
              <w:spacing w:after="0"/>
              <w:rPr>
                <w:sz w:val="24"/>
                <w:szCs w:val="24"/>
                <w:color w:val="auto"/>
              </w:rPr>
            </w:pPr>
          </w:p>
        </w:tc>
        <w:tc>
          <w:tcPr>
            <w:tcW w:w="80" w:type="dxa"/>
            <w:vAlign w:val="bottom"/>
            <w:tcBorders>
              <w:top w:val="single" w:sz="8" w:color="F0FFFF"/>
              <w:bottom w:val="single" w:sz="8" w:color="auto"/>
              <w:right w:val="single" w:sz="8" w:color="F0FFFF"/>
            </w:tcBorders>
            <w:shd w:val="clear" w:color="auto" w:fill="F0FFFF"/>
          </w:tcPr>
          <w:p>
            <w:pPr>
              <w:spacing w:after="0"/>
              <w:rPr>
                <w:sz w:val="24"/>
                <w:szCs w:val="24"/>
                <w:color w:val="auto"/>
              </w:rPr>
            </w:pPr>
          </w:p>
        </w:tc>
        <w:tc>
          <w:tcPr>
            <w:tcW w:w="80" w:type="dxa"/>
            <w:vAlign w:val="bottom"/>
            <w:tcBorders>
              <w:top w:val="single" w:sz="8" w:color="F0FFFF"/>
              <w:left w:val="single" w:sz="8" w:color="F0FFFF"/>
              <w:bottom w:val="single" w:sz="8" w:color="auto"/>
            </w:tcBorders>
            <w:shd w:val="clear" w:color="auto" w:fill="F0FFFF"/>
          </w:tcPr>
          <w:p>
            <w:pPr>
              <w:spacing w:after="0"/>
              <w:rPr>
                <w:sz w:val="24"/>
                <w:szCs w:val="24"/>
                <w:color w:val="auto"/>
              </w:rPr>
            </w:pPr>
          </w:p>
        </w:tc>
        <w:tc>
          <w:tcPr>
            <w:tcW w:w="40" w:type="dxa"/>
            <w:vAlign w:val="bottom"/>
            <w:tcBorders>
              <w:top w:val="single" w:sz="8" w:color="F0FFFF"/>
              <w:bottom w:val="single" w:sz="8" w:color="auto"/>
            </w:tcBorders>
            <w:shd w:val="clear" w:color="auto" w:fill="F0FFFF"/>
          </w:tcPr>
          <w:p>
            <w:pPr>
              <w:spacing w:after="0"/>
              <w:rPr>
                <w:sz w:val="24"/>
                <w:szCs w:val="24"/>
                <w:color w:val="auto"/>
              </w:rPr>
            </w:pPr>
          </w:p>
        </w:tc>
        <w:tc>
          <w:tcPr>
            <w:tcW w:w="20" w:type="dxa"/>
            <w:vAlign w:val="bottom"/>
            <w:tcBorders>
              <w:top w:val="single" w:sz="8" w:color="F0FFFF"/>
              <w:bottom w:val="single" w:sz="8" w:color="auto"/>
            </w:tcBorders>
            <w:shd w:val="clear" w:color="auto" w:fill="F0FFFF"/>
          </w:tcPr>
          <w:p>
            <w:pPr>
              <w:spacing w:after="0"/>
              <w:rPr>
                <w:sz w:val="24"/>
                <w:szCs w:val="24"/>
                <w:color w:val="auto"/>
              </w:rPr>
            </w:pPr>
          </w:p>
        </w:tc>
        <w:tc>
          <w:tcPr>
            <w:tcW w:w="100" w:type="dxa"/>
            <w:vAlign w:val="bottom"/>
            <w:tcBorders>
              <w:top w:val="single" w:sz="8" w:color="F0FFFF"/>
              <w:bottom w:val="single" w:sz="8" w:color="auto"/>
              <w:right w:val="single" w:sz="8" w:color="F0FFFF"/>
            </w:tcBorders>
            <w:shd w:val="clear" w:color="auto" w:fill="F0FFFF"/>
          </w:tcPr>
          <w:p>
            <w:pPr>
              <w:spacing w:after="0"/>
              <w:rPr>
                <w:sz w:val="24"/>
                <w:szCs w:val="24"/>
                <w:color w:val="auto"/>
              </w:rPr>
            </w:pPr>
          </w:p>
        </w:tc>
        <w:tc>
          <w:tcPr>
            <w:tcW w:w="20" w:type="dxa"/>
            <w:vAlign w:val="bottom"/>
            <w:tcBorders>
              <w:top w:val="single" w:sz="8" w:color="auto"/>
              <w:bottom w:val="single" w:sz="8" w:color="auto"/>
            </w:tcBorders>
            <w:shd w:val="clear" w:color="auto" w:fill="F0FFFF"/>
          </w:tcPr>
          <w:p>
            <w:pPr>
              <w:spacing w:after="0"/>
              <w:rPr>
                <w:sz w:val="24"/>
                <w:szCs w:val="24"/>
                <w:color w:val="auto"/>
              </w:rPr>
            </w:pPr>
          </w:p>
        </w:tc>
        <w:tc>
          <w:tcPr>
            <w:tcW w:w="20" w:type="dxa"/>
            <w:vAlign w:val="bottom"/>
            <w:tcBorders>
              <w:top w:val="single" w:sz="8" w:color="auto"/>
              <w:bottom w:val="single" w:sz="8" w:color="auto"/>
            </w:tcBorders>
            <w:shd w:val="clear" w:color="auto" w:fill="F0FFFF"/>
          </w:tcPr>
          <w:p>
            <w:pPr>
              <w:spacing w:after="0"/>
              <w:rPr>
                <w:sz w:val="24"/>
                <w:szCs w:val="24"/>
                <w:color w:val="auto"/>
              </w:rPr>
            </w:pPr>
          </w:p>
        </w:tc>
        <w:tc>
          <w:tcPr>
            <w:tcW w:w="20" w:type="dxa"/>
            <w:vAlign w:val="bottom"/>
            <w:tcBorders>
              <w:top w:val="single" w:sz="8" w:color="auto"/>
              <w:bottom w:val="single" w:sz="8" w:color="auto"/>
            </w:tcBorders>
            <w:shd w:val="clear" w:color="auto" w:fill="F0FFFF"/>
          </w:tcPr>
          <w:p>
            <w:pPr>
              <w:spacing w:after="0"/>
              <w:rPr>
                <w:sz w:val="24"/>
                <w:szCs w:val="24"/>
                <w:color w:val="auto"/>
              </w:rPr>
            </w:pPr>
          </w:p>
        </w:tc>
        <w:tc>
          <w:tcPr>
            <w:tcW w:w="20" w:type="dxa"/>
            <w:vAlign w:val="bottom"/>
            <w:tcBorders>
              <w:top w:val="single" w:sz="8" w:color="auto"/>
              <w:bottom w:val="single" w:sz="8" w:color="auto"/>
            </w:tcBorders>
            <w:shd w:val="clear" w:color="auto" w:fill="F0FFFF"/>
          </w:tcPr>
          <w:p>
            <w:pPr>
              <w:spacing w:after="0"/>
              <w:rPr>
                <w:sz w:val="24"/>
                <w:szCs w:val="24"/>
                <w:color w:val="auto"/>
              </w:rPr>
            </w:pPr>
          </w:p>
        </w:tc>
        <w:tc>
          <w:tcPr>
            <w:tcW w:w="40" w:type="dxa"/>
            <w:vAlign w:val="bottom"/>
            <w:tcBorders>
              <w:top w:val="single" w:sz="8" w:color="auto"/>
              <w:bottom w:val="single" w:sz="8" w:color="auto"/>
            </w:tcBorders>
            <w:shd w:val="clear" w:color="auto" w:fill="F0FFFF"/>
          </w:tcPr>
          <w:p>
            <w:pPr>
              <w:spacing w:after="0"/>
              <w:rPr>
                <w:sz w:val="24"/>
                <w:szCs w:val="24"/>
                <w:color w:val="auto"/>
              </w:rPr>
            </w:pPr>
          </w:p>
        </w:tc>
        <w:tc>
          <w:tcPr>
            <w:tcW w:w="80" w:type="dxa"/>
            <w:vAlign w:val="bottom"/>
            <w:tcBorders>
              <w:top w:val="single" w:sz="8" w:color="auto"/>
              <w:bottom w:val="single" w:sz="8" w:color="auto"/>
              <w:right w:val="single" w:sz="8" w:color="F0FFFF"/>
            </w:tcBorders>
            <w:shd w:val="clear" w:color="auto" w:fill="F0FFFF"/>
          </w:tcPr>
          <w:p>
            <w:pPr>
              <w:spacing w:after="0"/>
              <w:rPr>
                <w:sz w:val="24"/>
                <w:szCs w:val="24"/>
                <w:color w:val="auto"/>
              </w:rPr>
            </w:pPr>
          </w:p>
        </w:tc>
        <w:tc>
          <w:tcPr>
            <w:tcW w:w="20" w:type="dxa"/>
            <w:vAlign w:val="bottom"/>
            <w:tcBorders>
              <w:top w:val="single" w:sz="8" w:color="auto"/>
              <w:bottom w:val="single" w:sz="8" w:color="auto"/>
            </w:tcBorders>
            <w:shd w:val="clear" w:color="auto" w:fill="F0FFFF"/>
          </w:tcPr>
          <w:p>
            <w:pPr>
              <w:spacing w:after="0"/>
              <w:rPr>
                <w:sz w:val="24"/>
                <w:szCs w:val="24"/>
                <w:color w:val="auto"/>
              </w:rPr>
            </w:pPr>
          </w:p>
        </w:tc>
        <w:tc>
          <w:tcPr>
            <w:tcW w:w="100" w:type="dxa"/>
            <w:vAlign w:val="bottom"/>
            <w:tcBorders>
              <w:top w:val="single" w:sz="8" w:color="auto"/>
              <w:bottom w:val="single" w:sz="8" w:color="auto"/>
              <w:right w:val="single" w:sz="8" w:color="F0FFFF"/>
            </w:tcBorders>
            <w:shd w:val="clear" w:color="auto" w:fill="F0FFFF"/>
          </w:tcPr>
          <w:p>
            <w:pPr>
              <w:spacing w:after="0"/>
              <w:rPr>
                <w:sz w:val="24"/>
                <w:szCs w:val="24"/>
                <w:color w:val="auto"/>
              </w:rPr>
            </w:pPr>
          </w:p>
        </w:tc>
        <w:tc>
          <w:tcPr>
            <w:tcW w:w="100" w:type="dxa"/>
            <w:vAlign w:val="bottom"/>
            <w:tcBorders>
              <w:top w:val="single" w:sz="8" w:color="auto"/>
              <w:bottom w:val="single" w:sz="8" w:color="auto"/>
              <w:right w:val="single" w:sz="8" w:color="F0FFFF"/>
            </w:tcBorders>
            <w:shd w:val="clear" w:color="auto" w:fill="F0FFFF"/>
          </w:tcPr>
          <w:p>
            <w:pPr>
              <w:spacing w:after="0"/>
              <w:rPr>
                <w:sz w:val="24"/>
                <w:szCs w:val="24"/>
                <w:color w:val="auto"/>
              </w:rPr>
            </w:pPr>
          </w:p>
        </w:tc>
        <w:tc>
          <w:tcPr>
            <w:tcW w:w="200" w:type="dxa"/>
            <w:vAlign w:val="bottom"/>
            <w:tcBorders>
              <w:top w:val="single" w:sz="8" w:color="auto"/>
              <w:bottom w:val="single" w:sz="8" w:color="auto"/>
              <w:right w:val="single" w:sz="8" w:color="F0FFFF"/>
            </w:tcBorders>
            <w:shd w:val="clear" w:color="auto" w:fill="F0FFFF"/>
          </w:tcPr>
          <w:p>
            <w:pPr>
              <w:spacing w:after="0"/>
              <w:rPr>
                <w:sz w:val="24"/>
                <w:szCs w:val="24"/>
                <w:color w:val="auto"/>
              </w:rPr>
            </w:pPr>
          </w:p>
        </w:tc>
        <w:tc>
          <w:tcPr>
            <w:tcW w:w="60" w:type="dxa"/>
            <w:vAlign w:val="bottom"/>
            <w:tcBorders>
              <w:top w:val="single" w:sz="8" w:color="auto"/>
              <w:bottom w:val="single" w:sz="8" w:color="auto"/>
            </w:tcBorders>
            <w:shd w:val="clear" w:color="auto" w:fill="F0FFFF"/>
          </w:tcPr>
          <w:p>
            <w:pPr>
              <w:spacing w:after="0"/>
              <w:rPr>
                <w:sz w:val="24"/>
                <w:szCs w:val="24"/>
                <w:color w:val="auto"/>
              </w:rPr>
            </w:pPr>
          </w:p>
        </w:tc>
        <w:tc>
          <w:tcPr>
            <w:tcW w:w="20" w:type="dxa"/>
            <w:vAlign w:val="bottom"/>
            <w:tcBorders>
              <w:top w:val="single" w:sz="8" w:color="auto"/>
              <w:bottom w:val="single" w:sz="8" w:color="auto"/>
            </w:tcBorders>
            <w:shd w:val="clear" w:color="auto" w:fill="F0FFFF"/>
          </w:tcPr>
          <w:p>
            <w:pPr>
              <w:spacing w:after="0"/>
              <w:rPr>
                <w:sz w:val="24"/>
                <w:szCs w:val="24"/>
                <w:color w:val="auto"/>
              </w:rPr>
            </w:pPr>
          </w:p>
        </w:tc>
        <w:tc>
          <w:tcPr>
            <w:tcW w:w="40" w:type="dxa"/>
            <w:vAlign w:val="bottom"/>
            <w:tcBorders>
              <w:top w:val="single" w:sz="8" w:color="auto"/>
              <w:bottom w:val="single" w:sz="8" w:color="auto"/>
            </w:tcBorders>
            <w:shd w:val="clear" w:color="auto" w:fill="F0FFFF"/>
          </w:tcPr>
          <w:p>
            <w:pPr>
              <w:spacing w:after="0"/>
              <w:rPr>
                <w:sz w:val="24"/>
                <w:szCs w:val="24"/>
                <w:color w:val="auto"/>
              </w:rPr>
            </w:pPr>
          </w:p>
        </w:tc>
        <w:tc>
          <w:tcPr>
            <w:tcW w:w="20" w:type="dxa"/>
            <w:vAlign w:val="bottom"/>
            <w:tcBorders>
              <w:top w:val="single" w:sz="8" w:color="auto"/>
              <w:bottom w:val="single" w:sz="8" w:color="auto"/>
            </w:tcBorders>
            <w:shd w:val="clear" w:color="auto" w:fill="F0FFFF"/>
          </w:tcPr>
          <w:p>
            <w:pPr>
              <w:spacing w:after="0"/>
              <w:rPr>
                <w:sz w:val="24"/>
                <w:szCs w:val="24"/>
                <w:color w:val="auto"/>
              </w:rPr>
            </w:pPr>
          </w:p>
        </w:tc>
        <w:tc>
          <w:tcPr>
            <w:tcW w:w="220" w:type="dxa"/>
            <w:vAlign w:val="bottom"/>
            <w:tcBorders>
              <w:top w:val="single" w:sz="8" w:color="auto"/>
              <w:bottom w:val="single" w:sz="8" w:color="auto"/>
              <w:right w:val="single" w:sz="8" w:color="auto"/>
            </w:tcBorders>
            <w:shd w:val="clear" w:color="auto" w:fill="F0FF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1">
                      <a:extLst>
                        <a:ext uri="{28A0092B-C50C-407E-A947-70E740481C1C}"/>
                      </a:extLst>
                    </a:blip>
                    <a:srcRect/>
                    <a:stretch>
                      <a:fillRect/>
                    </a:stretch>
                  </pic:blipFill>
                  <pic:spPr bwMode="auto">
                    <a:xfrm>
                      <a:off x="0" y="0"/>
                      <a:ext cx="7193915" cy="381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-3926840</wp:posOffset>
            </wp:positionV>
            <wp:extent cx="4523105" cy="2330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2">
                      <a:extLst>
                        <a:ext uri="{28A0092B-C50C-407E-A947-70E740481C1C}"/>
                      </a:extLst>
                    </a:blip>
                    <a:srcRect/>
                    <a:stretch>
                      <a:fillRect/>
                    </a:stretch>
                  </pic:blipFill>
                  <pic:spPr bwMode="auto">
                    <a:xfrm>
                      <a:off x="0" y="0"/>
                      <a:ext cx="4523105" cy="233045"/>
                    </a:xfrm>
                    <a:prstGeom prst="rect">
                      <a:avLst/>
                    </a:prstGeom>
                    <a:noFill/>
                  </pic:spPr>
                </pic:pic>
              </a:graphicData>
            </a:graphic>
          </wp:anchor>
        </w:drawing>
        <w:drawing>
          <wp:anchor simplePos="0" relativeHeight="251657728" behindDoc="1" locked="0" layoutInCell="0" allowOverlap="1">
            <wp:simplePos x="0" y="0"/>
            <wp:positionH relativeFrom="column">
              <wp:posOffset>3166745</wp:posOffset>
            </wp:positionH>
            <wp:positionV relativeFrom="paragraph">
              <wp:posOffset>-1753870</wp:posOffset>
            </wp:positionV>
            <wp:extent cx="25400" cy="635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3">
                      <a:extLst>
                        <a:ext uri="{28A0092B-C50C-407E-A947-70E740481C1C}"/>
                      </a:extLst>
                    </a:blip>
                    <a:srcRect/>
                    <a:stretch>
                      <a:fillRect/>
                    </a:stretch>
                  </pic:blipFill>
                  <pic:spPr bwMode="auto">
                    <a:xfrm>
                      <a:off x="0" y="0"/>
                      <a:ext cx="2540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9799"/>
          </w:cols>
          <w:pgMar w:left="660" w:top="1156" w:right="1440" w:bottom="1440" w:gutter="0" w:footer="0" w:header="0"/>
        </w:sectPr>
      </w:pPr>
    </w:p>
    <w:bookmarkStart w:id="147" w:name="page148"/>
    <w:bookmarkEnd w:id="147"/>
    <w:p>
      <w:pPr>
        <w:ind w:left="276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4">
                      <a:extLst>
                        <a:ext uri="{28A0092B-C50C-407E-A947-70E740481C1C}"/>
                      </a:extLst>
                    </a:blip>
                    <a:srcRect/>
                    <a:stretch>
                      <a:fillRect/>
                    </a:stretch>
                  </pic:blipFill>
                  <pic:spPr bwMode="auto">
                    <a:xfrm>
                      <a:off x="0" y="0"/>
                      <a:ext cx="7193915" cy="38100"/>
                    </a:xfrm>
                    <a:prstGeom prst="rect">
                      <a:avLst/>
                    </a:prstGeom>
                    <a:noFill/>
                  </pic:spPr>
                </pic:pic>
              </a:graphicData>
            </a:graphic>
          </wp:anchor>
        </w:drawing>
        <w:t>BUYING THE CONTRACT</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Purchasing the </w:t>
      </w:r>
      <w:r>
        <w:rPr>
          <w:rFonts w:ascii="Times New Roman" w:cs="Times New Roman" w:eastAsia="Times New Roman" w:hAnsi="Times New Roman"/>
          <w:sz w:val="13"/>
          <w:szCs w:val="13"/>
          <w:b w:val="1"/>
          <w:bCs w:val="1"/>
          <w:u w:val="single" w:color="auto"/>
          <w:color w:val="auto"/>
        </w:rPr>
        <w:t>Contract</w:t>
      </w:r>
    </w:p>
    <w:p>
      <w:pPr>
        <w:spacing w:after="0" w:line="91" w:lineRule="exact"/>
        <w:rPr>
          <w:sz w:val="20"/>
          <w:szCs w:val="20"/>
          <w:color w:val="auto"/>
        </w:rPr>
      </w:pPr>
    </w:p>
    <w:p>
      <w:pPr>
        <w:jc w:val="both"/>
        <w:ind w:right="2659" w:firstLine="264"/>
        <w:spacing w:after="0" w:line="258" w:lineRule="auto"/>
        <w:rPr>
          <w:sz w:val="20"/>
          <w:szCs w:val="20"/>
          <w:color w:val="auto"/>
        </w:rPr>
      </w:pPr>
      <w:r>
        <w:rPr>
          <w:rFonts w:ascii="Times New Roman" w:cs="Times New Roman" w:eastAsia="Times New Roman" w:hAnsi="Times New Roman"/>
          <w:sz w:val="13"/>
          <w:szCs w:val="13"/>
          <w:color w:val="auto"/>
        </w:rPr>
        <w:t xml:space="preserve">The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may not be available for purchase through your broker dealer (“selling firm”) during certain periods. There are a number of reasons why the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periodically may not be available, including that the insurance company wants to limit the volume of sales of the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You may wish to speak to your financial professional about how this may affect your purchase. For example, you may be required to submit your purchase application in </w:t>
      </w:r>
      <w:r>
        <w:rPr>
          <w:rFonts w:ascii="Times New Roman" w:cs="Times New Roman" w:eastAsia="Times New Roman" w:hAnsi="Times New Roman"/>
          <w:sz w:val="13"/>
          <w:szCs w:val="13"/>
          <w:u w:val="single" w:color="auto"/>
          <w:color w:val="auto"/>
        </w:rPr>
        <w:t>Good Order</w:t>
      </w:r>
      <w:r>
        <w:rPr>
          <w:rFonts w:ascii="Times New Roman" w:cs="Times New Roman" w:eastAsia="Times New Roman" w:hAnsi="Times New Roman"/>
          <w:sz w:val="13"/>
          <w:szCs w:val="13"/>
          <w:color w:val="auto"/>
        </w:rPr>
        <w:t xml:space="preserve"> prior to or on a stipulated date in order to purchase a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and a delay in such process could result in your not being able to purchase a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Your selling firm may offer the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with a lower maximum issue age for the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compared to what other selling firms may offer. Your selling firm may limit the </w:t>
      </w:r>
      <w:r>
        <w:rPr>
          <w:rFonts w:ascii="Times New Roman" w:cs="Times New Roman" w:eastAsia="Times New Roman" w:hAnsi="Times New Roman"/>
          <w:sz w:val="13"/>
          <w:szCs w:val="13"/>
          <w:u w:val="single" w:color="auto"/>
          <w:color w:val="auto"/>
        </w:rPr>
        <w:t>Shield Options</w:t>
      </w:r>
      <w:r>
        <w:rPr>
          <w:rFonts w:ascii="Times New Roman" w:cs="Times New Roman" w:eastAsia="Times New Roman" w:hAnsi="Times New Roman"/>
          <w:sz w:val="13"/>
          <w:szCs w:val="13"/>
          <w:color w:val="auto"/>
        </w:rPr>
        <w:t xml:space="preserve"> available through that firm when your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is issued or at the </w:t>
      </w:r>
      <w:r>
        <w:rPr>
          <w:rFonts w:ascii="Times New Roman" w:cs="Times New Roman" w:eastAsia="Times New Roman" w:hAnsi="Times New Roman"/>
          <w:sz w:val="13"/>
          <w:szCs w:val="13"/>
          <w:u w:val="single" w:color="auto"/>
          <w:color w:val="auto"/>
        </w:rPr>
        <w:t>Term End Date</w:t>
      </w:r>
      <w:r>
        <w:rPr>
          <w:rFonts w:ascii="Times New Roman" w:cs="Times New Roman" w:eastAsia="Times New Roman" w:hAnsi="Times New Roman"/>
          <w:sz w:val="13"/>
          <w:szCs w:val="13"/>
          <w:color w:val="auto"/>
        </w:rPr>
        <w:t xml:space="preserve">. However, at the end of your initial </w:t>
      </w:r>
      <w:r>
        <w:rPr>
          <w:rFonts w:ascii="Times New Roman" w:cs="Times New Roman" w:eastAsia="Times New Roman" w:hAnsi="Times New Roman"/>
          <w:sz w:val="13"/>
          <w:szCs w:val="13"/>
          <w:u w:val="single" w:color="auto"/>
          <w:color w:val="auto"/>
        </w:rPr>
        <w:t>Shield Option(s)</w:t>
      </w:r>
      <w:r>
        <w:rPr>
          <w:rFonts w:ascii="Times New Roman" w:cs="Times New Roman" w:eastAsia="Times New Roman" w:hAnsi="Times New Roman"/>
          <w:sz w:val="13"/>
          <w:szCs w:val="13"/>
          <w:color w:val="auto"/>
        </w:rPr>
        <w:t xml:space="preserve">, you may transfer into any </w:t>
      </w:r>
      <w:r>
        <w:rPr>
          <w:rFonts w:ascii="Times New Roman" w:cs="Times New Roman" w:eastAsia="Times New Roman" w:hAnsi="Times New Roman"/>
          <w:sz w:val="13"/>
          <w:szCs w:val="13"/>
          <w:u w:val="single" w:color="auto"/>
          <w:color w:val="auto"/>
        </w:rPr>
        <w:t>Shield Option(s)</w:t>
      </w:r>
      <w:r>
        <w:rPr>
          <w:rFonts w:ascii="Times New Roman" w:cs="Times New Roman" w:eastAsia="Times New Roman" w:hAnsi="Times New Roman"/>
          <w:sz w:val="13"/>
          <w:szCs w:val="13"/>
          <w:color w:val="auto"/>
        </w:rPr>
        <w:t xml:space="preserve"> available under the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subject to any transfer restrictions (see “TRANSFERS” section in the prospectus). Please be aware that your financial professional may not be able to provide you information or answer questions you may have with regard to those </w:t>
      </w:r>
      <w:r>
        <w:rPr>
          <w:rFonts w:ascii="Times New Roman" w:cs="Times New Roman" w:eastAsia="Times New Roman" w:hAnsi="Times New Roman"/>
          <w:sz w:val="13"/>
          <w:szCs w:val="13"/>
          <w:u w:val="single" w:color="auto"/>
          <w:color w:val="auto"/>
        </w:rPr>
        <w:t>Shield Options</w:t>
      </w:r>
      <w:r>
        <w:rPr>
          <w:rFonts w:ascii="Times New Roman" w:cs="Times New Roman" w:eastAsia="Times New Roman" w:hAnsi="Times New Roman"/>
          <w:sz w:val="13"/>
          <w:szCs w:val="13"/>
          <w:color w:val="auto"/>
        </w:rPr>
        <w:t xml:space="preserve"> that your selling firm does not make available. Therefore, you may contact us directly. See “REQUESTS AND ELECTIONS” section in the prospectus for specific contact information.</w:t>
      </w:r>
    </w:p>
    <w:p>
      <w:pPr>
        <w:spacing w:after="0" w:line="216" w:lineRule="exact"/>
        <w:rPr>
          <w:sz w:val="20"/>
          <w:szCs w:val="20"/>
          <w:color w:val="auto"/>
        </w:rPr>
      </w:pPr>
    </w:p>
    <w:p>
      <w:pPr>
        <w:jc w:val="both"/>
        <w:ind w:right="2659" w:firstLine="264"/>
        <w:spacing w:after="0" w:line="270" w:lineRule="auto"/>
        <w:rPr>
          <w:sz w:val="20"/>
          <w:szCs w:val="20"/>
          <w:color w:val="auto"/>
        </w:rPr>
      </w:pPr>
      <w:r>
        <w:rPr>
          <w:rFonts w:ascii="Times New Roman" w:cs="Times New Roman" w:eastAsia="Times New Roman" w:hAnsi="Times New Roman"/>
          <w:sz w:val="13"/>
          <w:szCs w:val="13"/>
          <w:color w:val="auto"/>
        </w:rPr>
        <w:t xml:space="preserve">We offer other individual single premium deferred index-linked annuity contracts. However, not every contract we issue is available through every selling firm. In addition, these other contracts may have different </w:t>
      </w:r>
      <w:r>
        <w:rPr>
          <w:rFonts w:ascii="Times New Roman" w:cs="Times New Roman" w:eastAsia="Times New Roman" w:hAnsi="Times New Roman"/>
          <w:sz w:val="13"/>
          <w:szCs w:val="13"/>
          <w:u w:val="single" w:color="auto"/>
          <w:color w:val="auto"/>
        </w:rPr>
        <w:t>Shield Options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Shield Rates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Cap Rates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Step Rates</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Edge Rates</w:t>
      </w:r>
      <w:r>
        <w:rPr>
          <w:rFonts w:ascii="Times New Roman" w:cs="Times New Roman" w:eastAsia="Times New Roman" w:hAnsi="Times New Roman"/>
          <w:sz w:val="13"/>
          <w:szCs w:val="13"/>
          <w:color w:val="auto"/>
        </w:rPr>
        <w:t>. You may contact us to learn more about the availability of any of our other index-linked annuity contracts.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Purchase Payment</w:t>
      </w:r>
    </w:p>
    <w:p>
      <w:pPr>
        <w:spacing w:after="0" w:line="101" w:lineRule="exact"/>
        <w:rPr>
          <w:sz w:val="20"/>
          <w:szCs w:val="20"/>
          <w:color w:val="auto"/>
        </w:rPr>
      </w:pPr>
    </w:p>
    <w:p>
      <w:pPr>
        <w:jc w:val="both"/>
        <w:ind w:right="2659" w:firstLine="264"/>
        <w:spacing w:after="0" w:line="290" w:lineRule="auto"/>
        <w:rPr>
          <w:sz w:val="20"/>
          <w:szCs w:val="20"/>
          <w:color w:val="auto"/>
        </w:rPr>
      </w:pPr>
      <w:r>
        <w:rPr>
          <w:rFonts w:ascii="Times New Roman" w:cs="Times New Roman" w:eastAsia="Times New Roman" w:hAnsi="Times New Roman"/>
          <w:sz w:val="13"/>
          <w:szCs w:val="13"/>
          <w:color w:val="auto"/>
        </w:rPr>
        <w:t xml:space="preserve">A </w:t>
      </w:r>
      <w:r>
        <w:rPr>
          <w:rFonts w:ascii="Times New Roman" w:cs="Times New Roman" w:eastAsia="Times New Roman" w:hAnsi="Times New Roman"/>
          <w:sz w:val="13"/>
          <w:szCs w:val="13"/>
          <w:u w:val="single" w:color="auto"/>
          <w:color w:val="auto"/>
        </w:rPr>
        <w:t>Purchase Payment</w:t>
      </w:r>
      <w:r>
        <w:rPr>
          <w:rFonts w:ascii="Times New Roman" w:cs="Times New Roman" w:eastAsia="Times New Roman" w:hAnsi="Times New Roman"/>
          <w:sz w:val="13"/>
          <w:szCs w:val="13"/>
          <w:color w:val="auto"/>
        </w:rPr>
        <w:t xml:space="preserve"> is the total amount of money you give us to invest in the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u w:val="single" w:color="auto"/>
          <w:color w:val="auto"/>
        </w:rPr>
        <w:t>Purchase Payment</w:t>
      </w:r>
      <w:r>
        <w:rPr>
          <w:rFonts w:ascii="Times New Roman" w:cs="Times New Roman" w:eastAsia="Times New Roman" w:hAnsi="Times New Roman"/>
          <w:sz w:val="13"/>
          <w:szCs w:val="13"/>
          <w:color w:val="auto"/>
        </w:rPr>
        <w:t xml:space="preserve"> is due on the date the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is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864870</wp:posOffset>
            </wp:positionH>
            <wp:positionV relativeFrom="paragraph">
              <wp:posOffset>-139065</wp:posOffset>
            </wp:positionV>
            <wp:extent cx="25400" cy="635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5">
                      <a:extLst>
                        <a:ext uri="{28A0092B-C50C-407E-A947-70E740481C1C}"/>
                      </a:extLst>
                    </a:blip>
                    <a:srcRect/>
                    <a:stretch>
                      <a:fillRect/>
                    </a:stretch>
                  </pic:blipFill>
                  <pic:spPr bwMode="auto">
                    <a:xfrm>
                      <a:off x="0" y="0"/>
                      <a:ext cx="25400" cy="6350"/>
                    </a:xfrm>
                    <a:prstGeom prst="rect">
                      <a:avLst/>
                    </a:prstGeom>
                    <a:noFill/>
                  </pic:spPr>
                </pic:pic>
              </a:graphicData>
            </a:graphic>
          </wp:anchor>
        </w:drawing>
      </w:r>
    </w:p>
    <w:p>
      <w:pPr>
        <w:spacing w:after="0" w:line="16" w:lineRule="exact"/>
        <w:rPr>
          <w:sz w:val="20"/>
          <w:szCs w:val="20"/>
          <w:color w:val="auto"/>
        </w:rPr>
      </w:pPr>
    </w:p>
    <w:p>
      <w:pPr>
        <w:ind w:left="420" w:hanging="159"/>
        <w:spacing w:after="0"/>
        <w:tabs>
          <w:tab w:leader="none" w:pos="420"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minimum </w:t>
      </w:r>
      <w:r>
        <w:rPr>
          <w:rFonts w:ascii="Times New Roman" w:cs="Times New Roman" w:eastAsia="Times New Roman" w:hAnsi="Times New Roman"/>
          <w:sz w:val="13"/>
          <w:szCs w:val="13"/>
          <w:u w:val="single" w:color="auto"/>
          <w:color w:val="auto"/>
        </w:rPr>
        <w:t>Purchase Payment</w:t>
      </w:r>
      <w:r>
        <w:rPr>
          <w:rFonts w:ascii="Times New Roman" w:cs="Times New Roman" w:eastAsia="Times New Roman" w:hAnsi="Times New Roman"/>
          <w:sz w:val="13"/>
          <w:szCs w:val="13"/>
          <w:color w:val="auto"/>
        </w:rPr>
        <w:t xml:space="preserve"> we will accept is $25,000.</w:t>
      </w:r>
    </w:p>
    <w:p>
      <w:pPr>
        <w:spacing w:after="0" w:line="88" w:lineRule="exact"/>
        <w:rPr>
          <w:rFonts w:ascii="Times New Roman" w:cs="Times New Roman" w:eastAsia="Times New Roman" w:hAnsi="Times New Roman"/>
          <w:sz w:val="13"/>
          <w:szCs w:val="13"/>
          <w:color w:val="auto"/>
        </w:rPr>
      </w:pPr>
    </w:p>
    <w:p>
      <w:pPr>
        <w:ind w:left="420" w:hanging="159"/>
        <w:spacing w:after="0"/>
        <w:tabs>
          <w:tab w:leader="none" w:pos="420"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you want to make a </w:t>
      </w:r>
      <w:r>
        <w:rPr>
          <w:rFonts w:ascii="Times New Roman" w:cs="Times New Roman" w:eastAsia="Times New Roman" w:hAnsi="Times New Roman"/>
          <w:sz w:val="13"/>
          <w:szCs w:val="13"/>
          <w:u w:val="single" w:color="auto"/>
          <w:color w:val="auto"/>
        </w:rPr>
        <w:t>Purchase Payment</w:t>
      </w:r>
      <w:r>
        <w:rPr>
          <w:rFonts w:ascii="Times New Roman" w:cs="Times New Roman" w:eastAsia="Times New Roman" w:hAnsi="Times New Roman"/>
          <w:sz w:val="13"/>
          <w:szCs w:val="13"/>
          <w:color w:val="auto"/>
        </w:rPr>
        <w:t xml:space="preserve"> of less than $25,000 or $1,000,000 or more, you will need our prior approval.</w:t>
      </w:r>
    </w:p>
    <w:p>
      <w:pPr>
        <w:spacing w:after="0" w:line="88" w:lineRule="exact"/>
        <w:rPr>
          <w:rFonts w:ascii="Times New Roman" w:cs="Times New Roman" w:eastAsia="Times New Roman" w:hAnsi="Times New Roman"/>
          <w:sz w:val="13"/>
          <w:szCs w:val="13"/>
          <w:color w:val="auto"/>
        </w:rPr>
      </w:pPr>
    </w:p>
    <w:p>
      <w:pPr>
        <w:jc w:val="both"/>
        <w:ind w:left="420" w:right="2719" w:hanging="159"/>
        <w:spacing w:after="0" w:line="272" w:lineRule="auto"/>
        <w:tabs>
          <w:tab w:leader="none" w:pos="420"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We reserve the right to refuse a </w:t>
      </w:r>
      <w:r>
        <w:rPr>
          <w:rFonts w:ascii="Times New Roman" w:cs="Times New Roman" w:eastAsia="Times New Roman" w:hAnsi="Times New Roman"/>
          <w:sz w:val="13"/>
          <w:szCs w:val="13"/>
          <w:u w:val="single" w:color="auto"/>
          <w:color w:val="auto"/>
        </w:rPr>
        <w:t>Purchase Payment</w:t>
      </w:r>
      <w:r>
        <w:rPr>
          <w:rFonts w:ascii="Times New Roman" w:cs="Times New Roman" w:eastAsia="Times New Roman" w:hAnsi="Times New Roman"/>
          <w:sz w:val="13"/>
          <w:szCs w:val="13"/>
          <w:color w:val="auto"/>
        </w:rPr>
        <w:t xml:space="preserve"> made via a personal check in excess of $100,000. A </w:t>
      </w:r>
      <w:r>
        <w:rPr>
          <w:rFonts w:ascii="Times New Roman" w:cs="Times New Roman" w:eastAsia="Times New Roman" w:hAnsi="Times New Roman"/>
          <w:sz w:val="13"/>
          <w:szCs w:val="13"/>
          <w:u w:val="single" w:color="auto"/>
          <w:color w:val="auto"/>
        </w:rPr>
        <w:t>Purchase Payment</w:t>
      </w:r>
      <w:r>
        <w:rPr>
          <w:rFonts w:ascii="Times New Roman" w:cs="Times New Roman" w:eastAsia="Times New Roman" w:hAnsi="Times New Roman"/>
          <w:sz w:val="13"/>
          <w:szCs w:val="13"/>
          <w:color w:val="auto"/>
        </w:rPr>
        <w:t xml:space="preserve"> over $100,000 may be accepted in other forms, including, but not limited to, EFT/wire transfers, certified checks, corporate checks, and checks written on financial institutions.</w:t>
      </w:r>
    </w:p>
    <w:p>
      <w:pPr>
        <w:spacing w:after="0" w:line="47" w:lineRule="exact"/>
        <w:rPr>
          <w:rFonts w:ascii="Times New Roman" w:cs="Times New Roman" w:eastAsia="Times New Roman" w:hAnsi="Times New Roman"/>
          <w:sz w:val="13"/>
          <w:szCs w:val="13"/>
          <w:color w:val="auto"/>
        </w:rPr>
      </w:pPr>
    </w:p>
    <w:p>
      <w:pPr>
        <w:ind w:left="420" w:hanging="159"/>
        <w:spacing w:after="0"/>
        <w:tabs>
          <w:tab w:leader="none" w:pos="420"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We will not accept a </w:t>
      </w:r>
      <w:r>
        <w:rPr>
          <w:rFonts w:ascii="Times New Roman" w:cs="Times New Roman" w:eastAsia="Times New Roman" w:hAnsi="Times New Roman"/>
          <w:sz w:val="13"/>
          <w:szCs w:val="13"/>
          <w:u w:val="single" w:color="auto"/>
          <w:color w:val="auto"/>
        </w:rPr>
        <w:t>Purchase Payment</w:t>
      </w:r>
      <w:r>
        <w:rPr>
          <w:rFonts w:ascii="Times New Roman" w:cs="Times New Roman" w:eastAsia="Times New Roman" w:hAnsi="Times New Roman"/>
          <w:sz w:val="13"/>
          <w:szCs w:val="13"/>
          <w:color w:val="auto"/>
        </w:rPr>
        <w:t xml:space="preserve"> made with cash, money orders, or travelers checks.</w:t>
      </w:r>
    </w:p>
    <w:p>
      <w:pPr>
        <w:spacing w:after="0" w:line="88" w:lineRule="exact"/>
        <w:rPr>
          <w:rFonts w:ascii="Times New Roman" w:cs="Times New Roman" w:eastAsia="Times New Roman" w:hAnsi="Times New Roman"/>
          <w:sz w:val="13"/>
          <w:szCs w:val="13"/>
          <w:color w:val="auto"/>
        </w:rPr>
      </w:pPr>
    </w:p>
    <w:p>
      <w:pPr>
        <w:jc w:val="both"/>
        <w:ind w:left="420" w:right="2739" w:hanging="159"/>
        <w:spacing w:after="0" w:line="272" w:lineRule="auto"/>
        <w:tabs>
          <w:tab w:leader="none" w:pos="420"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Corporations and other legal entities we approve, may purchase the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however, we will not accept a </w:t>
      </w:r>
      <w:r>
        <w:rPr>
          <w:rFonts w:ascii="Times New Roman" w:cs="Times New Roman" w:eastAsia="Times New Roman" w:hAnsi="Times New Roman"/>
          <w:sz w:val="13"/>
          <w:szCs w:val="13"/>
          <w:u w:val="single" w:color="auto"/>
          <w:color w:val="auto"/>
        </w:rPr>
        <w:t>Purchase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Payment</w:t>
      </w:r>
      <w:r>
        <w:rPr>
          <w:rFonts w:ascii="Times New Roman" w:cs="Times New Roman" w:eastAsia="Times New Roman" w:hAnsi="Times New Roman"/>
          <w:sz w:val="13"/>
          <w:szCs w:val="13"/>
          <w:color w:val="auto"/>
        </w:rPr>
        <w:t xml:space="preserve"> made by a corporation or other legal entity (other than a trust that holds the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as agent for a natural person) to fund any type of qualified or non-qualified retirement plan.</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We reserve the right to reject any application.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Allocation of the </w:t>
      </w:r>
      <w:r>
        <w:rPr>
          <w:rFonts w:ascii="Times New Roman" w:cs="Times New Roman" w:eastAsia="Times New Roman" w:hAnsi="Times New Roman"/>
          <w:sz w:val="13"/>
          <w:szCs w:val="13"/>
          <w:b w:val="1"/>
          <w:bCs w:val="1"/>
          <w:u w:val="single" w:color="auto"/>
          <w:color w:val="auto"/>
        </w:rPr>
        <w:t>Purchase Payment</w:t>
      </w:r>
    </w:p>
    <w:p>
      <w:pPr>
        <w:spacing w:after="0" w:line="91" w:lineRule="exact"/>
        <w:rPr>
          <w:sz w:val="20"/>
          <w:szCs w:val="20"/>
          <w:color w:val="auto"/>
        </w:rPr>
      </w:pPr>
    </w:p>
    <w:p>
      <w:pPr>
        <w:jc w:val="both"/>
        <w:ind w:right="2659" w:firstLine="264"/>
        <w:spacing w:after="0" w:line="263" w:lineRule="auto"/>
        <w:rPr>
          <w:sz w:val="20"/>
          <w:szCs w:val="20"/>
          <w:color w:val="auto"/>
        </w:rPr>
      </w:pPr>
      <w:r>
        <w:rPr>
          <w:rFonts w:ascii="Times New Roman" w:cs="Times New Roman" w:eastAsia="Times New Roman" w:hAnsi="Times New Roman"/>
          <w:sz w:val="13"/>
          <w:szCs w:val="13"/>
          <w:color w:val="auto"/>
        </w:rPr>
        <w:t xml:space="preserve">You may allocate your </w:t>
      </w:r>
      <w:r>
        <w:rPr>
          <w:rFonts w:ascii="Times New Roman" w:cs="Times New Roman" w:eastAsia="Times New Roman" w:hAnsi="Times New Roman"/>
          <w:sz w:val="13"/>
          <w:szCs w:val="13"/>
          <w:u w:val="single" w:color="auto"/>
          <w:color w:val="auto"/>
        </w:rPr>
        <w:t>Purchase Payment</w:t>
      </w:r>
      <w:r>
        <w:rPr>
          <w:rFonts w:ascii="Times New Roman" w:cs="Times New Roman" w:eastAsia="Times New Roman" w:hAnsi="Times New Roman"/>
          <w:sz w:val="13"/>
          <w:szCs w:val="13"/>
          <w:color w:val="auto"/>
        </w:rPr>
        <w:t xml:space="preserve"> to one or more of the available </w:t>
      </w:r>
      <w:r>
        <w:rPr>
          <w:rFonts w:ascii="Times New Roman" w:cs="Times New Roman" w:eastAsia="Times New Roman" w:hAnsi="Times New Roman"/>
          <w:sz w:val="13"/>
          <w:szCs w:val="13"/>
          <w:u w:val="single" w:color="auto"/>
          <w:color w:val="auto"/>
        </w:rPr>
        <w:t>Shield Options</w:t>
      </w:r>
      <w:r>
        <w:rPr>
          <w:rFonts w:ascii="Times New Roman" w:cs="Times New Roman" w:eastAsia="Times New Roman" w:hAnsi="Times New Roman"/>
          <w:sz w:val="13"/>
          <w:szCs w:val="13"/>
          <w:color w:val="auto"/>
        </w:rPr>
        <w:t xml:space="preserve"> or into the </w:t>
      </w:r>
      <w:r>
        <w:rPr>
          <w:rFonts w:ascii="Times New Roman" w:cs="Times New Roman" w:eastAsia="Times New Roman" w:hAnsi="Times New Roman"/>
          <w:sz w:val="13"/>
          <w:szCs w:val="13"/>
          <w:u w:val="single" w:color="auto"/>
          <w:color w:val="auto"/>
        </w:rPr>
        <w:t>Fixed Account</w:t>
      </w:r>
      <w:r>
        <w:rPr>
          <w:rFonts w:ascii="Times New Roman" w:cs="Times New Roman" w:eastAsia="Times New Roman" w:hAnsi="Times New Roman"/>
          <w:sz w:val="13"/>
          <w:szCs w:val="13"/>
          <w:color w:val="auto"/>
        </w:rPr>
        <w:t xml:space="preserve">. On your </w:t>
      </w:r>
      <w:r>
        <w:rPr>
          <w:rFonts w:ascii="Times New Roman" w:cs="Times New Roman" w:eastAsia="Times New Roman" w:hAnsi="Times New Roman"/>
          <w:sz w:val="13"/>
          <w:szCs w:val="13"/>
          <w:u w:val="single" w:color="auto"/>
          <w:color w:val="auto"/>
        </w:rPr>
        <w:t>Issue Date</w:t>
      </w:r>
      <w:r>
        <w:rPr>
          <w:rFonts w:ascii="Times New Roman" w:cs="Times New Roman" w:eastAsia="Times New Roman" w:hAnsi="Times New Roman"/>
          <w:sz w:val="13"/>
          <w:szCs w:val="13"/>
          <w:color w:val="auto"/>
        </w:rPr>
        <w:t xml:space="preserve">, your </w:t>
      </w:r>
      <w:r>
        <w:rPr>
          <w:rFonts w:ascii="Times New Roman" w:cs="Times New Roman" w:eastAsia="Times New Roman" w:hAnsi="Times New Roman"/>
          <w:sz w:val="13"/>
          <w:szCs w:val="13"/>
          <w:u w:val="single" w:color="auto"/>
          <w:color w:val="auto"/>
        </w:rPr>
        <w:t>Purchase Payment</w:t>
      </w:r>
      <w:r>
        <w:rPr>
          <w:rFonts w:ascii="Times New Roman" w:cs="Times New Roman" w:eastAsia="Times New Roman" w:hAnsi="Times New Roman"/>
          <w:sz w:val="13"/>
          <w:szCs w:val="13"/>
          <w:color w:val="auto"/>
        </w:rPr>
        <w:t xml:space="preserve"> is allocated to the </w:t>
      </w:r>
      <w:r>
        <w:rPr>
          <w:rFonts w:ascii="Times New Roman" w:cs="Times New Roman" w:eastAsia="Times New Roman" w:hAnsi="Times New Roman"/>
          <w:sz w:val="13"/>
          <w:szCs w:val="13"/>
          <w:u w:val="single" w:color="auto"/>
          <w:color w:val="auto"/>
        </w:rPr>
        <w:t>Shield Option(s)</w:t>
      </w:r>
      <w:r>
        <w:rPr>
          <w:rFonts w:ascii="Times New Roman" w:cs="Times New Roman" w:eastAsia="Times New Roman" w:hAnsi="Times New Roman"/>
          <w:sz w:val="13"/>
          <w:szCs w:val="13"/>
          <w:color w:val="auto"/>
        </w:rPr>
        <w:t xml:space="preserve"> and/or the </w:t>
      </w:r>
      <w:r>
        <w:rPr>
          <w:rFonts w:ascii="Times New Roman" w:cs="Times New Roman" w:eastAsia="Times New Roman" w:hAnsi="Times New Roman"/>
          <w:sz w:val="13"/>
          <w:szCs w:val="13"/>
          <w:u w:val="single" w:color="auto"/>
          <w:color w:val="auto"/>
        </w:rPr>
        <w:t>Fixed Account</w:t>
      </w:r>
      <w:r>
        <w:rPr>
          <w:rFonts w:ascii="Times New Roman" w:cs="Times New Roman" w:eastAsia="Times New Roman" w:hAnsi="Times New Roman"/>
          <w:sz w:val="13"/>
          <w:szCs w:val="13"/>
          <w:color w:val="auto"/>
        </w:rPr>
        <w:t xml:space="preserve">, as you specified on the application, unless we receive </w:t>
      </w:r>
      <w:r>
        <w:rPr>
          <w:rFonts w:ascii="Times New Roman" w:cs="Times New Roman" w:eastAsia="Times New Roman" w:hAnsi="Times New Roman"/>
          <w:sz w:val="13"/>
          <w:szCs w:val="13"/>
          <w:u w:val="single" w:color="auto"/>
          <w:color w:val="auto"/>
        </w:rPr>
        <w:t>Notice</w:t>
      </w:r>
      <w:r>
        <w:rPr>
          <w:rFonts w:ascii="Times New Roman" w:cs="Times New Roman" w:eastAsia="Times New Roman" w:hAnsi="Times New Roman"/>
          <w:sz w:val="13"/>
          <w:szCs w:val="13"/>
          <w:color w:val="auto"/>
        </w:rPr>
        <w:t xml:space="preserve"> of any changes from you before we have issued your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All allocations must be in whole percentages that total 100% or in whole dollars. Once your </w:t>
      </w:r>
      <w:r>
        <w:rPr>
          <w:rFonts w:ascii="Times New Roman" w:cs="Times New Roman" w:eastAsia="Times New Roman" w:hAnsi="Times New Roman"/>
          <w:sz w:val="13"/>
          <w:szCs w:val="13"/>
          <w:u w:val="single" w:color="auto"/>
          <w:color w:val="auto"/>
        </w:rPr>
        <w:t>Purchase Payment</w:t>
      </w:r>
      <w:r>
        <w:rPr>
          <w:rFonts w:ascii="Times New Roman" w:cs="Times New Roman" w:eastAsia="Times New Roman" w:hAnsi="Times New Roman"/>
          <w:sz w:val="13"/>
          <w:szCs w:val="13"/>
          <w:color w:val="auto"/>
        </w:rPr>
        <w:t xml:space="preserve"> is allocated to the </w:t>
      </w:r>
      <w:r>
        <w:rPr>
          <w:rFonts w:ascii="Times New Roman" w:cs="Times New Roman" w:eastAsia="Times New Roman" w:hAnsi="Times New Roman"/>
          <w:sz w:val="13"/>
          <w:szCs w:val="13"/>
          <w:u w:val="single" w:color="auto"/>
          <w:color w:val="auto"/>
        </w:rPr>
        <w:t>Shield Options</w:t>
      </w:r>
      <w:r>
        <w:rPr>
          <w:rFonts w:ascii="Times New Roman" w:cs="Times New Roman" w:eastAsia="Times New Roman" w:hAnsi="Times New Roman"/>
          <w:sz w:val="13"/>
          <w:szCs w:val="13"/>
          <w:color w:val="auto"/>
        </w:rPr>
        <w:t xml:space="preserve"> and/or the </w:t>
      </w:r>
      <w:r>
        <w:rPr>
          <w:rFonts w:ascii="Times New Roman" w:cs="Times New Roman" w:eastAsia="Times New Roman" w:hAnsi="Times New Roman"/>
          <w:sz w:val="13"/>
          <w:szCs w:val="13"/>
          <w:u w:val="single" w:color="auto"/>
          <w:color w:val="auto"/>
        </w:rPr>
        <w:t>Fixed Account</w:t>
      </w:r>
      <w:r>
        <w:rPr>
          <w:rFonts w:ascii="Times New Roman" w:cs="Times New Roman" w:eastAsia="Times New Roman" w:hAnsi="Times New Roman"/>
          <w:sz w:val="13"/>
          <w:szCs w:val="13"/>
          <w:color w:val="auto"/>
        </w:rPr>
        <w:t xml:space="preserve">, they become part of your </w:t>
      </w:r>
      <w:r>
        <w:rPr>
          <w:rFonts w:ascii="Times New Roman" w:cs="Times New Roman" w:eastAsia="Times New Roman" w:hAnsi="Times New Roman"/>
          <w:sz w:val="13"/>
          <w:szCs w:val="13"/>
          <w:u w:val="single" w:color="auto"/>
          <w:color w:val="auto"/>
        </w:rPr>
        <w:t>Account Value</w:t>
      </w:r>
      <w:r>
        <w:rPr>
          <w:rFonts w:ascii="Times New Roman" w:cs="Times New Roman" w:eastAsia="Times New Roman" w:hAnsi="Times New Roman"/>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9799"/>
          </w:cols>
          <w:pgMar w:left="660" w:top="1166" w:right="1440" w:bottom="1440" w:gutter="0" w:footer="0" w:header="0"/>
        </w:sectPr>
      </w:pPr>
    </w:p>
    <w:bookmarkStart w:id="148" w:name="page149"/>
    <w:bookmarkEnd w:id="148"/>
    <w:p>
      <w:pPr>
        <w:ind w:left="120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6">
                      <a:extLst>
                        <a:ext uri="{28A0092B-C50C-407E-A947-70E740481C1C}"/>
                      </a:extLst>
                    </a:blip>
                    <a:srcRect/>
                    <a:stretch>
                      <a:fillRect/>
                    </a:stretch>
                  </pic:blipFill>
                  <pic:spPr bwMode="auto">
                    <a:xfrm>
                      <a:off x="0" y="0"/>
                      <a:ext cx="7193915" cy="38100"/>
                    </a:xfrm>
                    <a:prstGeom prst="rect">
                      <a:avLst/>
                    </a:prstGeom>
                    <a:noFill/>
                  </pic:spPr>
                </pic:pic>
              </a:graphicData>
            </a:graphic>
          </wp:anchor>
        </w:drawing>
        <w:t>MAKING WITHDRAWALS: ACCESSING THE MONEY IN YOUR CONTRACT</w:t>
      </w:r>
    </w:p>
    <w:p>
      <w:pPr>
        <w:spacing w:after="0" w:line="91" w:lineRule="exact"/>
        <w:rPr>
          <w:sz w:val="20"/>
          <w:szCs w:val="20"/>
          <w:color w:val="auto"/>
        </w:rPr>
      </w:pPr>
    </w:p>
    <w:p>
      <w:pPr>
        <w:jc w:val="both"/>
        <w:ind w:right="2659" w:firstLine="264"/>
        <w:spacing w:after="0" w:line="257" w:lineRule="auto"/>
        <w:rPr>
          <w:sz w:val="20"/>
          <w:szCs w:val="20"/>
          <w:color w:val="auto"/>
        </w:rPr>
      </w:pPr>
      <w:r>
        <w:rPr>
          <w:rFonts w:ascii="Times New Roman" w:cs="Times New Roman" w:eastAsia="Times New Roman" w:hAnsi="Times New Roman"/>
          <w:sz w:val="13"/>
          <w:szCs w:val="13"/>
          <w:color w:val="auto"/>
        </w:rPr>
        <w:t xml:space="preserve">Prior to the </w:t>
      </w:r>
      <w:r>
        <w:rPr>
          <w:rFonts w:ascii="Times New Roman" w:cs="Times New Roman" w:eastAsia="Times New Roman" w:hAnsi="Times New Roman"/>
          <w:sz w:val="13"/>
          <w:szCs w:val="13"/>
          <w:u w:val="single" w:color="auto"/>
          <w:color w:val="auto"/>
        </w:rPr>
        <w:t>Annuity Date</w:t>
      </w:r>
      <w:r>
        <w:rPr>
          <w:rFonts w:ascii="Times New Roman" w:cs="Times New Roman" w:eastAsia="Times New Roman" w:hAnsi="Times New Roman"/>
          <w:sz w:val="13"/>
          <w:szCs w:val="13"/>
          <w:color w:val="auto"/>
        </w:rPr>
        <w:t xml:space="preserve">, you may, upon </w:t>
      </w:r>
      <w:r>
        <w:rPr>
          <w:rFonts w:ascii="Times New Roman" w:cs="Times New Roman" w:eastAsia="Times New Roman" w:hAnsi="Times New Roman"/>
          <w:sz w:val="13"/>
          <w:szCs w:val="13"/>
          <w:u w:val="single" w:color="auto"/>
          <w:color w:val="auto"/>
        </w:rPr>
        <w:t>Notice</w:t>
      </w:r>
      <w:r>
        <w:rPr>
          <w:rFonts w:ascii="Times New Roman" w:cs="Times New Roman" w:eastAsia="Times New Roman" w:hAnsi="Times New Roman"/>
          <w:sz w:val="13"/>
          <w:szCs w:val="13"/>
          <w:color w:val="auto"/>
        </w:rPr>
        <w:t xml:space="preserve"> to us, request a full or a partial withdrawal and we will withdraw that amount from your </w:t>
      </w:r>
      <w:r>
        <w:rPr>
          <w:rFonts w:ascii="Times New Roman" w:cs="Times New Roman" w:eastAsia="Times New Roman" w:hAnsi="Times New Roman"/>
          <w:sz w:val="13"/>
          <w:szCs w:val="13"/>
          <w:u w:val="single" w:color="auto"/>
          <w:color w:val="auto"/>
        </w:rPr>
        <w:t>Account Value</w:t>
      </w:r>
      <w:r>
        <w:rPr>
          <w:rFonts w:ascii="Times New Roman" w:cs="Times New Roman" w:eastAsia="Times New Roman" w:hAnsi="Times New Roman"/>
          <w:sz w:val="13"/>
          <w:szCs w:val="13"/>
          <w:color w:val="auto"/>
        </w:rPr>
        <w:t xml:space="preserve"> (the “Withdrawal Amount”). A withdrawal (including RMDs, systematic withdrawals, and any applicable </w:t>
      </w:r>
      <w:r>
        <w:rPr>
          <w:rFonts w:ascii="Times New Roman" w:cs="Times New Roman" w:eastAsia="Times New Roman" w:hAnsi="Times New Roman"/>
          <w:sz w:val="13"/>
          <w:szCs w:val="13"/>
          <w:u w:val="single" w:color="auto"/>
          <w:color w:val="auto"/>
        </w:rPr>
        <w:t>Withdrawal Charge</w:t>
      </w:r>
      <w:r>
        <w:rPr>
          <w:rFonts w:ascii="Times New Roman" w:cs="Times New Roman" w:eastAsia="Times New Roman" w:hAnsi="Times New Roman"/>
          <w:sz w:val="13"/>
          <w:szCs w:val="13"/>
          <w:color w:val="auto"/>
        </w:rPr>
        <w:t xml:space="preserve">) will result in a reduction to the </w:t>
      </w:r>
      <w:r>
        <w:rPr>
          <w:rFonts w:ascii="Times New Roman" w:cs="Times New Roman" w:eastAsia="Times New Roman" w:hAnsi="Times New Roman"/>
          <w:sz w:val="13"/>
          <w:szCs w:val="13"/>
          <w:u w:val="single" w:color="auto"/>
          <w:color w:val="auto"/>
        </w:rPr>
        <w:t>Investment Amount</w:t>
      </w:r>
      <w:r>
        <w:rPr>
          <w:rFonts w:ascii="Times New Roman" w:cs="Times New Roman" w:eastAsia="Times New Roman" w:hAnsi="Times New Roman"/>
          <w:sz w:val="13"/>
          <w:szCs w:val="13"/>
          <w:color w:val="auto"/>
        </w:rPr>
        <w:t xml:space="preserve"> in each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u w:val="single" w:color="auto"/>
          <w:color w:val="auto"/>
        </w:rPr>
        <w:t>Fixed Account</w:t>
      </w:r>
      <w:r>
        <w:rPr>
          <w:rFonts w:ascii="Times New Roman" w:cs="Times New Roman" w:eastAsia="Times New Roman" w:hAnsi="Times New Roman"/>
          <w:sz w:val="13"/>
          <w:szCs w:val="13"/>
          <w:color w:val="auto"/>
        </w:rPr>
        <w:t xml:space="preserve">, and the </w:t>
      </w:r>
      <w:r>
        <w:rPr>
          <w:rFonts w:ascii="Times New Roman" w:cs="Times New Roman" w:eastAsia="Times New Roman" w:hAnsi="Times New Roman"/>
          <w:sz w:val="13"/>
          <w:szCs w:val="13"/>
          <w:u w:val="single" w:color="auto"/>
          <w:color w:val="auto"/>
        </w:rPr>
        <w:t>Holding</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Account</w:t>
      </w:r>
      <w:r>
        <w:rPr>
          <w:rFonts w:ascii="Times New Roman" w:cs="Times New Roman" w:eastAsia="Times New Roman" w:hAnsi="Times New Roman"/>
          <w:sz w:val="13"/>
          <w:szCs w:val="13"/>
          <w:color w:val="auto"/>
        </w:rPr>
        <w:t xml:space="preserve"> in the ratio that each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u w:val="single" w:color="auto"/>
          <w:color w:val="auto"/>
        </w:rPr>
        <w:t>Fixed Account</w:t>
      </w:r>
      <w:r>
        <w:rPr>
          <w:rFonts w:ascii="Times New Roman" w:cs="Times New Roman" w:eastAsia="Times New Roman" w:hAnsi="Times New Roman"/>
          <w:sz w:val="13"/>
          <w:szCs w:val="13"/>
          <w:color w:val="auto"/>
        </w:rPr>
        <w:t xml:space="preserve">, and the </w:t>
      </w:r>
      <w:r>
        <w:rPr>
          <w:rFonts w:ascii="Times New Roman" w:cs="Times New Roman" w:eastAsia="Times New Roman" w:hAnsi="Times New Roman"/>
          <w:sz w:val="13"/>
          <w:szCs w:val="13"/>
          <w:u w:val="single" w:color="auto"/>
          <w:color w:val="auto"/>
        </w:rPr>
        <w:t>Holding Account</w:t>
      </w:r>
      <w:r>
        <w:rPr>
          <w:rFonts w:ascii="Times New Roman" w:cs="Times New Roman" w:eastAsia="Times New Roman" w:hAnsi="Times New Roman"/>
          <w:sz w:val="13"/>
          <w:szCs w:val="13"/>
          <w:color w:val="auto"/>
        </w:rPr>
        <w:t xml:space="preserve"> bears to the total </w:t>
      </w:r>
      <w:r>
        <w:rPr>
          <w:rFonts w:ascii="Times New Roman" w:cs="Times New Roman" w:eastAsia="Times New Roman" w:hAnsi="Times New Roman"/>
          <w:sz w:val="13"/>
          <w:szCs w:val="13"/>
          <w:u w:val="single" w:color="auto"/>
          <w:color w:val="auto"/>
        </w:rPr>
        <w:t>Account Value</w:t>
      </w:r>
      <w:r>
        <w:rPr>
          <w:rFonts w:ascii="Times New Roman" w:cs="Times New Roman" w:eastAsia="Times New Roman" w:hAnsi="Times New Roman"/>
          <w:sz w:val="13"/>
          <w:szCs w:val="13"/>
          <w:color w:val="auto"/>
        </w:rPr>
        <w:t xml:space="preserve">, unless you instruct us otherwise. If a </w:t>
      </w:r>
      <w:r>
        <w:rPr>
          <w:rFonts w:ascii="Times New Roman" w:cs="Times New Roman" w:eastAsia="Times New Roman" w:hAnsi="Times New Roman"/>
          <w:sz w:val="13"/>
          <w:szCs w:val="13"/>
          <w:u w:val="single" w:color="auto"/>
          <w:color w:val="auto"/>
        </w:rPr>
        <w:t>Withdrawal Charge</w:t>
      </w:r>
      <w:r>
        <w:rPr>
          <w:rFonts w:ascii="Times New Roman" w:cs="Times New Roman" w:eastAsia="Times New Roman" w:hAnsi="Times New Roman"/>
          <w:sz w:val="13"/>
          <w:szCs w:val="13"/>
          <w:color w:val="auto"/>
        </w:rPr>
        <w:t xml:space="preserve"> is applicable, it is applied to the Withdrawal Amount that is in excess of the applicable </w:t>
      </w:r>
      <w:r>
        <w:rPr>
          <w:rFonts w:ascii="Times New Roman" w:cs="Times New Roman" w:eastAsia="Times New Roman" w:hAnsi="Times New Roman"/>
          <w:sz w:val="13"/>
          <w:szCs w:val="13"/>
          <w:u w:val="single" w:color="auto"/>
          <w:color w:val="auto"/>
        </w:rPr>
        <w:t>Free Withdrawal Amount</w:t>
      </w:r>
      <w:r>
        <w:rPr>
          <w:rFonts w:ascii="Times New Roman" w:cs="Times New Roman" w:eastAsia="Times New Roman" w:hAnsi="Times New Roman"/>
          <w:sz w:val="13"/>
          <w:szCs w:val="13"/>
          <w:color w:val="auto"/>
        </w:rPr>
        <w:t xml:space="preserve">. See </w:t>
      </w:r>
      <w:r>
        <w:rPr>
          <w:rFonts w:ascii="Times New Roman" w:cs="Times New Roman" w:eastAsia="Times New Roman" w:hAnsi="Times New Roman"/>
          <w:sz w:val="13"/>
          <w:szCs w:val="13"/>
          <w:u w:val="single" w:color="auto"/>
          <w:color w:val="auto"/>
        </w:rPr>
        <w:t>“Withdrawal Charge”</w:t>
      </w:r>
      <w:r>
        <w:rPr>
          <w:rFonts w:ascii="Times New Roman" w:cs="Times New Roman" w:eastAsia="Times New Roman" w:hAnsi="Times New Roman"/>
          <w:sz w:val="13"/>
          <w:szCs w:val="13"/>
          <w:color w:val="auto"/>
        </w:rPr>
        <w:t xml:space="preserve"> and “When No </w:t>
      </w:r>
      <w:r>
        <w:rPr>
          <w:rFonts w:ascii="Times New Roman" w:cs="Times New Roman" w:eastAsia="Times New Roman" w:hAnsi="Times New Roman"/>
          <w:sz w:val="13"/>
          <w:szCs w:val="13"/>
          <w:u w:val="single" w:color="auto"/>
          <w:color w:val="auto"/>
        </w:rPr>
        <w:t>Withdrawal Charge</w:t>
      </w:r>
      <w:r>
        <w:rPr>
          <w:rFonts w:ascii="Times New Roman" w:cs="Times New Roman" w:eastAsia="Times New Roman" w:hAnsi="Times New Roman"/>
          <w:sz w:val="13"/>
          <w:szCs w:val="13"/>
          <w:color w:val="auto"/>
        </w:rPr>
        <w:t xml:space="preserve"> Applies” under “CHARGES, FEES, AND ADJUSTMENTS” section in the prospectus. For a partial withdrawal, the amount payable to you will be a net amount equal to the requested Withdrawal Amount reduced by any applicable </w:t>
      </w:r>
      <w:r>
        <w:rPr>
          <w:rFonts w:ascii="Times New Roman" w:cs="Times New Roman" w:eastAsia="Times New Roman" w:hAnsi="Times New Roman"/>
          <w:sz w:val="13"/>
          <w:szCs w:val="13"/>
          <w:u w:val="single" w:color="auto"/>
          <w:color w:val="auto"/>
        </w:rPr>
        <w:t>Withdrawal Charge</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Premium Tax</w:t>
      </w:r>
      <w:r>
        <w:rPr>
          <w:rFonts w:ascii="Times New Roman" w:cs="Times New Roman" w:eastAsia="Times New Roman" w:hAnsi="Times New Roman"/>
          <w:sz w:val="13"/>
          <w:szCs w:val="13"/>
          <w:color w:val="auto"/>
        </w:rPr>
        <w:t xml:space="preserve"> and other taxes. Alternatively, you can choose to have the </w:t>
      </w:r>
      <w:r>
        <w:rPr>
          <w:rFonts w:ascii="Times New Roman" w:cs="Times New Roman" w:eastAsia="Times New Roman" w:hAnsi="Times New Roman"/>
          <w:sz w:val="13"/>
          <w:szCs w:val="13"/>
          <w:u w:val="single" w:color="auto"/>
          <w:color w:val="auto"/>
        </w:rPr>
        <w:t>Withdrawal Charge</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Premium Tax</w:t>
      </w:r>
      <w:r>
        <w:rPr>
          <w:rFonts w:ascii="Times New Roman" w:cs="Times New Roman" w:eastAsia="Times New Roman" w:hAnsi="Times New Roman"/>
          <w:sz w:val="13"/>
          <w:szCs w:val="13"/>
          <w:color w:val="auto"/>
        </w:rPr>
        <w:t xml:space="preserve"> and other taxes deducted from the remaining </w:t>
      </w:r>
      <w:r>
        <w:rPr>
          <w:rFonts w:ascii="Times New Roman" w:cs="Times New Roman" w:eastAsia="Times New Roman" w:hAnsi="Times New Roman"/>
          <w:sz w:val="13"/>
          <w:szCs w:val="13"/>
          <w:u w:val="single" w:color="auto"/>
          <w:color w:val="auto"/>
        </w:rPr>
        <w:t>Account Value</w:t>
      </w:r>
      <w:r>
        <w:rPr>
          <w:rFonts w:ascii="Times New Roman" w:cs="Times New Roman" w:eastAsia="Times New Roman" w:hAnsi="Times New Roman"/>
          <w:sz w:val="13"/>
          <w:szCs w:val="13"/>
          <w:color w:val="auto"/>
        </w:rPr>
        <w:t xml:space="preserve">, in which case you would receive the full dollar amount you requested. However, this may result in a higher </w:t>
      </w:r>
      <w:r>
        <w:rPr>
          <w:rFonts w:ascii="Times New Roman" w:cs="Times New Roman" w:eastAsia="Times New Roman" w:hAnsi="Times New Roman"/>
          <w:sz w:val="13"/>
          <w:szCs w:val="13"/>
          <w:u w:val="single" w:color="auto"/>
          <w:color w:val="auto"/>
        </w:rPr>
        <w:t>Withdrawal Charge</w:t>
      </w:r>
      <w:r>
        <w:rPr>
          <w:rFonts w:ascii="Times New Roman" w:cs="Times New Roman" w:eastAsia="Times New Roman" w:hAnsi="Times New Roman"/>
          <w:sz w:val="13"/>
          <w:szCs w:val="13"/>
          <w:color w:val="auto"/>
        </w:rPr>
        <w:t xml:space="preserve"> because the charge increases the amount taken from your </w:t>
      </w:r>
      <w:r>
        <w:rPr>
          <w:rFonts w:ascii="Times New Roman" w:cs="Times New Roman" w:eastAsia="Times New Roman" w:hAnsi="Times New Roman"/>
          <w:sz w:val="13"/>
          <w:szCs w:val="13"/>
          <w:u w:val="single" w:color="auto"/>
          <w:color w:val="auto"/>
        </w:rPr>
        <w:t>Account Value</w:t>
      </w:r>
      <w:r>
        <w:rPr>
          <w:rFonts w:ascii="Times New Roman" w:cs="Times New Roman" w:eastAsia="Times New Roman" w:hAnsi="Times New Roman"/>
          <w:sz w:val="13"/>
          <w:szCs w:val="13"/>
          <w:color w:val="auto"/>
        </w:rPr>
        <w:t xml:space="preserve"> to cover the withdrawal and, since it is a percentage of the total amount withdrawn, the </w:t>
      </w:r>
      <w:r>
        <w:rPr>
          <w:rFonts w:ascii="Times New Roman" w:cs="Times New Roman" w:eastAsia="Times New Roman" w:hAnsi="Times New Roman"/>
          <w:sz w:val="13"/>
          <w:szCs w:val="13"/>
          <w:u w:val="single" w:color="auto"/>
          <w:color w:val="auto"/>
        </w:rPr>
        <w:t>Withdrawal Charge</w:t>
      </w:r>
      <w:r>
        <w:rPr>
          <w:rFonts w:ascii="Times New Roman" w:cs="Times New Roman" w:eastAsia="Times New Roman" w:hAnsi="Times New Roman"/>
          <w:sz w:val="13"/>
          <w:szCs w:val="13"/>
          <w:color w:val="auto"/>
        </w:rPr>
        <w:t xml:space="preserve"> will also be higher. A withdrawal (including RMDs, systematic withdrawals, and any applicable </w:t>
      </w:r>
      <w:r>
        <w:rPr>
          <w:rFonts w:ascii="Times New Roman" w:cs="Times New Roman" w:eastAsia="Times New Roman" w:hAnsi="Times New Roman"/>
          <w:sz w:val="13"/>
          <w:szCs w:val="13"/>
          <w:u w:val="single" w:color="auto"/>
          <w:color w:val="auto"/>
        </w:rPr>
        <w:t>Withdrawal Charge</w:t>
      </w:r>
      <w:r>
        <w:rPr>
          <w:rFonts w:ascii="Times New Roman" w:cs="Times New Roman" w:eastAsia="Times New Roman" w:hAnsi="Times New Roman"/>
          <w:sz w:val="13"/>
          <w:szCs w:val="13"/>
          <w:color w:val="auto"/>
        </w:rPr>
        <w:t xml:space="preserve">) will also result in a proportionate reduction to the death benefit under the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If you have the Return of Premium death benefit, your </w:t>
      </w:r>
      <w:r>
        <w:rPr>
          <w:rFonts w:ascii="Times New Roman" w:cs="Times New Roman" w:eastAsia="Times New Roman" w:hAnsi="Times New Roman"/>
          <w:sz w:val="13"/>
          <w:szCs w:val="13"/>
          <w:u w:val="single" w:color="auto"/>
          <w:color w:val="auto"/>
        </w:rPr>
        <w:t>Purchase Payment</w:t>
      </w:r>
      <w:r>
        <w:rPr>
          <w:rFonts w:ascii="Times New Roman" w:cs="Times New Roman" w:eastAsia="Times New Roman" w:hAnsi="Times New Roman"/>
          <w:sz w:val="13"/>
          <w:szCs w:val="13"/>
          <w:color w:val="auto"/>
        </w:rPr>
        <w:t xml:space="preserve"> is reduced proportionally by the percentage reduction in </w:t>
      </w:r>
      <w:r>
        <w:rPr>
          <w:rFonts w:ascii="Times New Roman" w:cs="Times New Roman" w:eastAsia="Times New Roman" w:hAnsi="Times New Roman"/>
          <w:sz w:val="13"/>
          <w:szCs w:val="13"/>
          <w:u w:val="single" w:color="auto"/>
          <w:color w:val="auto"/>
        </w:rPr>
        <w:t>Account Value</w:t>
      </w:r>
      <w:r>
        <w:rPr>
          <w:rFonts w:ascii="Times New Roman" w:cs="Times New Roman" w:eastAsia="Times New Roman" w:hAnsi="Times New Roman"/>
          <w:sz w:val="13"/>
          <w:szCs w:val="13"/>
          <w:color w:val="auto"/>
        </w:rPr>
        <w:t xml:space="preserve"> of the </w:t>
      </w:r>
      <w:r>
        <w:rPr>
          <w:rFonts w:ascii="Times New Roman" w:cs="Times New Roman" w:eastAsia="Times New Roman" w:hAnsi="Times New Roman"/>
          <w:sz w:val="13"/>
          <w:szCs w:val="13"/>
          <w:u w:val="single" w:color="auto"/>
          <w:color w:val="auto"/>
        </w:rPr>
        <w:t>Shield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Option(s)</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u w:val="single" w:color="auto"/>
          <w:color w:val="auto"/>
        </w:rPr>
        <w:t>Fixed Account</w:t>
      </w:r>
      <w:r>
        <w:rPr>
          <w:rFonts w:ascii="Times New Roman" w:cs="Times New Roman" w:eastAsia="Times New Roman" w:hAnsi="Times New Roman"/>
          <w:sz w:val="13"/>
          <w:szCs w:val="13"/>
          <w:color w:val="auto"/>
        </w:rPr>
        <w:t xml:space="preserve">, and the </w:t>
      </w:r>
      <w:r>
        <w:rPr>
          <w:rFonts w:ascii="Times New Roman" w:cs="Times New Roman" w:eastAsia="Times New Roman" w:hAnsi="Times New Roman"/>
          <w:sz w:val="13"/>
          <w:szCs w:val="13"/>
          <w:u w:val="single" w:color="auto"/>
          <w:color w:val="auto"/>
        </w:rPr>
        <w:t>Holding Account</w:t>
      </w:r>
      <w:r>
        <w:rPr>
          <w:rFonts w:ascii="Times New Roman" w:cs="Times New Roman" w:eastAsia="Times New Roman" w:hAnsi="Times New Roman"/>
          <w:sz w:val="13"/>
          <w:szCs w:val="13"/>
          <w:color w:val="auto"/>
        </w:rPr>
        <w:t xml:space="preserve"> for each partial withdrawal.</w:t>
      </w:r>
    </w:p>
    <w:p>
      <w:pPr>
        <w:spacing w:after="0" w:line="59" w:lineRule="exact"/>
        <w:rPr>
          <w:sz w:val="20"/>
          <w:szCs w:val="20"/>
          <w:color w:val="auto"/>
        </w:rPr>
      </w:pPr>
    </w:p>
    <w:p>
      <w:pPr>
        <w:jc w:val="both"/>
        <w:ind w:right="2659" w:firstLine="264"/>
        <w:spacing w:after="0" w:line="266" w:lineRule="auto"/>
        <w:rPr>
          <w:sz w:val="20"/>
          <w:szCs w:val="20"/>
          <w:color w:val="auto"/>
        </w:rPr>
      </w:pPr>
      <w:r>
        <w:rPr>
          <w:rFonts w:ascii="Times New Roman" w:cs="Times New Roman" w:eastAsia="Times New Roman" w:hAnsi="Times New Roman"/>
          <w:sz w:val="13"/>
          <w:szCs w:val="13"/>
          <w:color w:val="auto"/>
        </w:rPr>
        <w:t xml:space="preserve">The total Withdrawal Amount from the </w:t>
      </w:r>
      <w:r>
        <w:rPr>
          <w:rFonts w:ascii="Times New Roman" w:cs="Times New Roman" w:eastAsia="Times New Roman" w:hAnsi="Times New Roman"/>
          <w:sz w:val="13"/>
          <w:szCs w:val="13"/>
          <w:u w:val="single" w:color="auto"/>
          <w:color w:val="auto"/>
        </w:rPr>
        <w:t>Account Value</w:t>
      </w:r>
      <w:r>
        <w:rPr>
          <w:rFonts w:ascii="Times New Roman" w:cs="Times New Roman" w:eastAsia="Times New Roman" w:hAnsi="Times New Roman"/>
          <w:sz w:val="13"/>
          <w:szCs w:val="13"/>
          <w:color w:val="auto"/>
        </w:rPr>
        <w:t xml:space="preserve"> must not be less than $500, which is the minimum partial withdrawal amount. If the withdrawal would result in the </w:t>
      </w:r>
      <w:r>
        <w:rPr>
          <w:rFonts w:ascii="Times New Roman" w:cs="Times New Roman" w:eastAsia="Times New Roman" w:hAnsi="Times New Roman"/>
          <w:sz w:val="13"/>
          <w:szCs w:val="13"/>
          <w:u w:val="single" w:color="auto"/>
          <w:color w:val="auto"/>
        </w:rPr>
        <w:t>Account Value</w:t>
      </w:r>
      <w:r>
        <w:rPr>
          <w:rFonts w:ascii="Times New Roman" w:cs="Times New Roman" w:eastAsia="Times New Roman" w:hAnsi="Times New Roman"/>
          <w:sz w:val="13"/>
          <w:szCs w:val="13"/>
          <w:color w:val="auto"/>
        </w:rPr>
        <w:t xml:space="preserve"> being less than the Minimum Account Value ($2,000), we will treat the withdrawal request as a request for a full withdrawal. We will not terminate any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if at the time the termination would otherwise occur the guaranteed amount under any death benefit is greater than the </w:t>
      </w:r>
      <w:r>
        <w:rPr>
          <w:rFonts w:ascii="Times New Roman" w:cs="Times New Roman" w:eastAsia="Times New Roman" w:hAnsi="Times New Roman"/>
          <w:sz w:val="13"/>
          <w:szCs w:val="13"/>
          <w:u w:val="single" w:color="auto"/>
          <w:color w:val="auto"/>
        </w:rPr>
        <w:t>Account Value</w:t>
      </w:r>
      <w:r>
        <w:rPr>
          <w:rFonts w:ascii="Times New Roman" w:cs="Times New Roman" w:eastAsia="Times New Roman" w:hAnsi="Times New Roman"/>
          <w:sz w:val="13"/>
          <w:szCs w:val="13"/>
          <w:color w:val="auto"/>
        </w:rPr>
        <w:t xml:space="preserve"> .</w:t>
      </w:r>
    </w:p>
    <w:p>
      <w:pPr>
        <w:spacing w:after="0" w:line="52" w:lineRule="exact"/>
        <w:rPr>
          <w:sz w:val="20"/>
          <w:szCs w:val="20"/>
          <w:color w:val="auto"/>
        </w:rPr>
      </w:pPr>
    </w:p>
    <w:p>
      <w:pPr>
        <w:jc w:val="both"/>
        <w:ind w:right="2659" w:firstLine="264"/>
        <w:spacing w:after="0" w:line="272" w:lineRule="auto"/>
        <w:rPr>
          <w:sz w:val="20"/>
          <w:szCs w:val="20"/>
          <w:color w:val="auto"/>
        </w:rPr>
      </w:pPr>
      <w:r>
        <w:rPr>
          <w:rFonts w:ascii="Times New Roman" w:cs="Times New Roman" w:eastAsia="Times New Roman" w:hAnsi="Times New Roman"/>
          <w:sz w:val="13"/>
          <w:szCs w:val="13"/>
          <w:color w:val="auto"/>
        </w:rPr>
        <w:t xml:space="preserve">If you request a full or partial withdrawal (unless you instruct us otherwise for a partial withdrawal), the Withdrawal Amount after adjustments for any </w:t>
      </w:r>
      <w:r>
        <w:rPr>
          <w:rFonts w:ascii="Times New Roman" w:cs="Times New Roman" w:eastAsia="Times New Roman" w:hAnsi="Times New Roman"/>
          <w:sz w:val="13"/>
          <w:szCs w:val="13"/>
          <w:u w:val="single" w:color="auto"/>
          <w:color w:val="auto"/>
        </w:rPr>
        <w:t>Withdrawal Charge</w:t>
      </w:r>
      <w:r>
        <w:rPr>
          <w:rFonts w:ascii="Times New Roman" w:cs="Times New Roman" w:eastAsia="Times New Roman" w:hAnsi="Times New Roman"/>
          <w:sz w:val="13"/>
          <w:szCs w:val="13"/>
          <w:color w:val="auto"/>
        </w:rPr>
        <w:t xml:space="preserve"> will result in our paying you a net amount. The net amount payable to you is equal to the amount withdrawn (reduced by any </w:t>
      </w:r>
      <w:r>
        <w:rPr>
          <w:rFonts w:ascii="Times New Roman" w:cs="Times New Roman" w:eastAsia="Times New Roman" w:hAnsi="Times New Roman"/>
          <w:sz w:val="13"/>
          <w:szCs w:val="13"/>
          <w:u w:val="single" w:color="auto"/>
          <w:color w:val="auto"/>
        </w:rPr>
        <w:t>Withdrawal Charge</w:t>
      </w:r>
      <w:r>
        <w:rPr>
          <w:rFonts w:ascii="Times New Roman" w:cs="Times New Roman" w:eastAsia="Times New Roman" w:hAnsi="Times New Roman"/>
          <w:sz w:val="13"/>
          <w:szCs w:val="13"/>
          <w:color w:val="auto"/>
        </w:rPr>
        <w:t xml:space="preserve">) from the </w:t>
      </w:r>
      <w:r>
        <w:rPr>
          <w:rFonts w:ascii="Times New Roman" w:cs="Times New Roman" w:eastAsia="Times New Roman" w:hAnsi="Times New Roman"/>
          <w:sz w:val="13"/>
          <w:szCs w:val="13"/>
          <w:u w:val="single" w:color="auto"/>
          <w:color w:val="auto"/>
        </w:rPr>
        <w:t>Account Value</w:t>
      </w:r>
      <w:r>
        <w:rPr>
          <w:rFonts w:ascii="Times New Roman" w:cs="Times New Roman" w:eastAsia="Times New Roman" w:hAnsi="Times New Roman"/>
          <w:sz w:val="13"/>
          <w:szCs w:val="13"/>
          <w:color w:val="auto"/>
        </w:rPr>
        <w:t xml:space="preserve">, less </w:t>
      </w:r>
      <w:r>
        <w:rPr>
          <w:rFonts w:ascii="Times New Roman" w:cs="Times New Roman" w:eastAsia="Times New Roman" w:hAnsi="Times New Roman"/>
          <w:sz w:val="13"/>
          <w:szCs w:val="13"/>
          <w:u w:val="single" w:color="auto"/>
          <w:color w:val="auto"/>
        </w:rPr>
        <w:t>Premium Tax</w:t>
      </w:r>
      <w:r>
        <w:rPr>
          <w:rFonts w:ascii="Times New Roman" w:cs="Times New Roman" w:eastAsia="Times New Roman" w:hAnsi="Times New Roman"/>
          <w:sz w:val="13"/>
          <w:szCs w:val="13"/>
          <w:color w:val="auto"/>
        </w:rPr>
        <w:t xml:space="preserve"> and other taxes, if any.</w:t>
      </w:r>
    </w:p>
    <w:p>
      <w:pPr>
        <w:spacing w:after="0" w:line="47" w:lineRule="exact"/>
        <w:rPr>
          <w:sz w:val="20"/>
          <w:szCs w:val="20"/>
          <w:color w:val="auto"/>
        </w:rPr>
      </w:pPr>
    </w:p>
    <w:p>
      <w:pPr>
        <w:jc w:val="both"/>
        <w:ind w:right="2659" w:firstLine="264"/>
        <w:spacing w:after="0" w:line="272" w:lineRule="auto"/>
        <w:rPr>
          <w:sz w:val="20"/>
          <w:szCs w:val="20"/>
          <w:color w:val="auto"/>
        </w:rPr>
      </w:pPr>
      <w:r>
        <w:rPr>
          <w:rFonts w:ascii="Times New Roman" w:cs="Times New Roman" w:eastAsia="Times New Roman" w:hAnsi="Times New Roman"/>
          <w:sz w:val="13"/>
          <w:szCs w:val="13"/>
          <w:color w:val="auto"/>
        </w:rPr>
        <w:t xml:space="preserve">Withdrawals (including RMDs, systematic withdrawals, and any applicable </w:t>
      </w:r>
      <w:r>
        <w:rPr>
          <w:rFonts w:ascii="Times New Roman" w:cs="Times New Roman" w:eastAsia="Times New Roman" w:hAnsi="Times New Roman"/>
          <w:sz w:val="13"/>
          <w:szCs w:val="13"/>
          <w:u w:val="single" w:color="auto"/>
          <w:color w:val="auto"/>
        </w:rPr>
        <w:t>Withdrawal Charge</w:t>
      </w:r>
      <w:r>
        <w:rPr>
          <w:rFonts w:ascii="Times New Roman" w:cs="Times New Roman" w:eastAsia="Times New Roman" w:hAnsi="Times New Roman"/>
          <w:sz w:val="13"/>
          <w:szCs w:val="13"/>
          <w:color w:val="auto"/>
        </w:rPr>
        <w:t xml:space="preserve">) from the </w:t>
      </w:r>
      <w:r>
        <w:rPr>
          <w:rFonts w:ascii="Times New Roman" w:cs="Times New Roman" w:eastAsia="Times New Roman" w:hAnsi="Times New Roman"/>
          <w:sz w:val="13"/>
          <w:szCs w:val="13"/>
          <w:u w:val="single" w:color="auto"/>
          <w:color w:val="auto"/>
        </w:rPr>
        <w:t>Fixed Account</w:t>
      </w:r>
      <w:r>
        <w:rPr>
          <w:rFonts w:ascii="Times New Roman" w:cs="Times New Roman" w:eastAsia="Times New Roman" w:hAnsi="Times New Roman"/>
          <w:sz w:val="13"/>
          <w:szCs w:val="13"/>
          <w:color w:val="auto"/>
        </w:rPr>
        <w:t xml:space="preserve"> (if available) will reduce the </w:t>
      </w:r>
      <w:r>
        <w:rPr>
          <w:rFonts w:ascii="Times New Roman" w:cs="Times New Roman" w:eastAsia="Times New Roman" w:hAnsi="Times New Roman"/>
          <w:sz w:val="13"/>
          <w:szCs w:val="13"/>
          <w:u w:val="single" w:color="auto"/>
          <w:color w:val="auto"/>
        </w:rPr>
        <w:t>Fixed Account Value</w:t>
      </w:r>
      <w:r>
        <w:rPr>
          <w:rFonts w:ascii="Times New Roman" w:cs="Times New Roman" w:eastAsia="Times New Roman" w:hAnsi="Times New Roman"/>
          <w:sz w:val="13"/>
          <w:szCs w:val="13"/>
          <w:color w:val="auto"/>
        </w:rPr>
        <w:t xml:space="preserve"> dollar for dollar by the portion of the Withdrawal Amount deducted from the </w:t>
      </w:r>
      <w:r>
        <w:rPr>
          <w:rFonts w:ascii="Times New Roman" w:cs="Times New Roman" w:eastAsia="Times New Roman" w:hAnsi="Times New Roman"/>
          <w:sz w:val="13"/>
          <w:szCs w:val="13"/>
          <w:u w:val="single" w:color="auto"/>
          <w:color w:val="auto"/>
        </w:rPr>
        <w:t>Fixed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Account</w:t>
      </w:r>
      <w:r>
        <w:rPr>
          <w:rFonts w:ascii="Times New Roman" w:cs="Times New Roman" w:eastAsia="Times New Roman" w:hAnsi="Times New Roman"/>
          <w:sz w:val="13"/>
          <w:szCs w:val="13"/>
          <w:color w:val="auto"/>
        </w:rPr>
        <w:t xml:space="preserve">. Withdrawals from the </w:t>
      </w:r>
      <w:r>
        <w:rPr>
          <w:rFonts w:ascii="Times New Roman" w:cs="Times New Roman" w:eastAsia="Times New Roman" w:hAnsi="Times New Roman"/>
          <w:sz w:val="13"/>
          <w:szCs w:val="13"/>
          <w:u w:val="single" w:color="auto"/>
          <w:color w:val="auto"/>
        </w:rPr>
        <w:t>Shield Options</w:t>
      </w:r>
      <w:r>
        <w:rPr>
          <w:rFonts w:ascii="Times New Roman" w:cs="Times New Roman" w:eastAsia="Times New Roman" w:hAnsi="Times New Roman"/>
          <w:sz w:val="13"/>
          <w:szCs w:val="13"/>
          <w:color w:val="auto"/>
        </w:rPr>
        <w:t xml:space="preserve"> on the </w:t>
      </w:r>
      <w:r>
        <w:rPr>
          <w:rFonts w:ascii="Times New Roman" w:cs="Times New Roman" w:eastAsia="Times New Roman" w:hAnsi="Times New Roman"/>
          <w:sz w:val="13"/>
          <w:szCs w:val="13"/>
          <w:u w:val="single" w:color="auto"/>
          <w:color w:val="auto"/>
        </w:rPr>
        <w:t>Term End Date</w:t>
      </w:r>
      <w:r>
        <w:rPr>
          <w:rFonts w:ascii="Times New Roman" w:cs="Times New Roman" w:eastAsia="Times New Roman" w:hAnsi="Times New Roman"/>
          <w:sz w:val="13"/>
          <w:szCs w:val="13"/>
          <w:color w:val="auto"/>
        </w:rPr>
        <w:t xml:space="preserve"> will reduce the </w:t>
      </w:r>
      <w:r>
        <w:rPr>
          <w:rFonts w:ascii="Times New Roman" w:cs="Times New Roman" w:eastAsia="Times New Roman" w:hAnsi="Times New Roman"/>
          <w:sz w:val="13"/>
          <w:szCs w:val="13"/>
          <w:u w:val="single" w:color="auto"/>
          <w:color w:val="auto"/>
        </w:rPr>
        <w:t>Investment Amount</w:t>
      </w:r>
      <w:r>
        <w:rPr>
          <w:rFonts w:ascii="Times New Roman" w:cs="Times New Roman" w:eastAsia="Times New Roman" w:hAnsi="Times New Roman"/>
          <w:sz w:val="13"/>
          <w:szCs w:val="13"/>
          <w:color w:val="auto"/>
        </w:rPr>
        <w:t xml:space="preserve"> dollar for dollar by the portion of the Withdrawal Amount deducted from the </w:t>
      </w:r>
      <w:r>
        <w:rPr>
          <w:rFonts w:ascii="Times New Roman" w:cs="Times New Roman" w:eastAsia="Times New Roman" w:hAnsi="Times New Roman"/>
          <w:sz w:val="13"/>
          <w:szCs w:val="13"/>
          <w:u w:val="single" w:color="auto"/>
          <w:color w:val="auto"/>
        </w:rPr>
        <w:t>Shield Options</w:t>
      </w:r>
      <w:r>
        <w:rPr>
          <w:rFonts w:ascii="Times New Roman" w:cs="Times New Roman" w:eastAsia="Times New Roman" w:hAnsi="Times New Roman"/>
          <w:sz w:val="13"/>
          <w:szCs w:val="13"/>
          <w:color w:val="auto"/>
        </w:rPr>
        <w:t xml:space="preserve"> after the application of the </w:t>
      </w:r>
      <w:r>
        <w:rPr>
          <w:rFonts w:ascii="Times New Roman" w:cs="Times New Roman" w:eastAsia="Times New Roman" w:hAnsi="Times New Roman"/>
          <w:sz w:val="13"/>
          <w:szCs w:val="13"/>
          <w:u w:val="single" w:color="auto"/>
          <w:color w:val="auto"/>
        </w:rPr>
        <w:t>Performance Rate</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3683000</wp:posOffset>
            </wp:positionH>
            <wp:positionV relativeFrom="paragraph">
              <wp:posOffset>-132080</wp:posOffset>
            </wp:positionV>
            <wp:extent cx="38100" cy="635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7">
                      <a:extLst>
                        <a:ext uri="{28A0092B-C50C-407E-A947-70E740481C1C}"/>
                      </a:extLst>
                    </a:blip>
                    <a:srcRect/>
                    <a:stretch>
                      <a:fillRect/>
                    </a:stretch>
                  </pic:blipFill>
                  <pic:spPr bwMode="auto">
                    <a:xfrm>
                      <a:off x="0" y="0"/>
                      <a:ext cx="38100" cy="6350"/>
                    </a:xfrm>
                    <a:prstGeom prst="rect">
                      <a:avLst/>
                    </a:prstGeom>
                    <a:noFill/>
                  </pic:spPr>
                </pic:pic>
              </a:graphicData>
            </a:graphic>
          </wp:anchor>
        </w:drawing>
      </w:r>
    </w:p>
    <w:p>
      <w:pPr>
        <w:spacing w:after="0" w:line="25" w:lineRule="exact"/>
        <w:rPr>
          <w:sz w:val="20"/>
          <w:szCs w:val="20"/>
          <w:color w:val="auto"/>
        </w:rPr>
      </w:pPr>
    </w:p>
    <w:p>
      <w:pPr>
        <w:jc w:val="both"/>
        <w:ind w:right="2659" w:firstLine="264"/>
        <w:spacing w:after="0" w:line="260" w:lineRule="auto"/>
        <w:rPr>
          <w:sz w:val="20"/>
          <w:szCs w:val="20"/>
          <w:color w:val="auto"/>
        </w:rPr>
      </w:pPr>
      <w:r>
        <w:rPr>
          <w:rFonts w:ascii="Times New Roman" w:cs="Times New Roman" w:eastAsia="Times New Roman" w:hAnsi="Times New Roman"/>
          <w:sz w:val="13"/>
          <w:szCs w:val="13"/>
          <w:b w:val="1"/>
          <w:bCs w:val="1"/>
          <w:color w:val="auto"/>
        </w:rPr>
        <w:t xml:space="preserve">If the withdrawal is taken during a </w:t>
      </w:r>
      <w:r>
        <w:rPr>
          <w:rFonts w:ascii="Times New Roman" w:cs="Times New Roman" w:eastAsia="Times New Roman" w:hAnsi="Times New Roman"/>
          <w:sz w:val="13"/>
          <w:szCs w:val="13"/>
          <w:b w:val="1"/>
          <w:bCs w:val="1"/>
          <w:u w:val="single" w:color="auto"/>
          <w:color w:val="auto"/>
        </w:rPr>
        <w:t>Term</w:t>
      </w:r>
      <w:r>
        <w:rPr>
          <w:rFonts w:ascii="Times New Roman" w:cs="Times New Roman" w:eastAsia="Times New Roman" w:hAnsi="Times New Roman"/>
          <w:sz w:val="13"/>
          <w:szCs w:val="13"/>
          <w:b w:val="1"/>
          <w:bCs w:val="1"/>
          <w:color w:val="auto"/>
        </w:rPr>
        <w:t xml:space="preserve">, the Withdrawal Amount </w:t>
      </w:r>
      <w:r>
        <w:rPr>
          <w:rFonts w:ascii="Times New Roman" w:cs="Times New Roman" w:eastAsia="Times New Roman" w:hAnsi="Times New Roman"/>
          <w:sz w:val="13"/>
          <w:szCs w:val="13"/>
          <w:color w:val="auto"/>
        </w:rPr>
        <w:t>(including RMDs, systematic withdrawals, and any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applicable </w:t>
      </w:r>
      <w:r>
        <w:rPr>
          <w:rFonts w:ascii="Times New Roman" w:cs="Times New Roman" w:eastAsia="Times New Roman" w:hAnsi="Times New Roman"/>
          <w:sz w:val="13"/>
          <w:szCs w:val="13"/>
          <w:u w:val="single" w:color="auto"/>
          <w:color w:val="auto"/>
        </w:rPr>
        <w:t>Withdrawal Charge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will reduce the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u w:val="single" w:color="auto"/>
          <w:color w:val="auto"/>
        </w:rPr>
        <w:t>Investment Amount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for each</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u w:val="single" w:color="auto"/>
          <w:color w:val="auto"/>
        </w:rPr>
        <w:t>Shield Option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by the percentage reduction in the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u w:val="single" w:color="auto"/>
          <w:color w:val="auto"/>
        </w:rPr>
        <w:t>Interim Value</w:t>
      </w:r>
      <w:r>
        <w:rPr>
          <w:rFonts w:ascii="Times New Roman" w:cs="Times New Roman" w:eastAsia="Times New Roman" w:hAnsi="Times New Roman"/>
          <w:sz w:val="13"/>
          <w:szCs w:val="13"/>
          <w:b w:val="1"/>
          <w:bCs w:val="1"/>
          <w:color w:val="auto"/>
        </w:rPr>
        <w:t xml:space="preserve"> of such </w:t>
      </w:r>
      <w:r>
        <w:rPr>
          <w:rFonts w:ascii="Times New Roman" w:cs="Times New Roman" w:eastAsia="Times New Roman" w:hAnsi="Times New Roman"/>
          <w:sz w:val="13"/>
          <w:szCs w:val="13"/>
          <w:b w:val="1"/>
          <w:bCs w:val="1"/>
          <w:u w:val="single" w:color="auto"/>
          <w:color w:val="auto"/>
        </w:rPr>
        <w:t>Shield Option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b w:val="1"/>
          <w:bCs w:val="1"/>
          <w:i w:val="1"/>
          <w:iCs w:val="1"/>
          <w:color w:val="auto"/>
        </w:rPr>
        <w:t>(i.e.</w:t>
      </w:r>
      <w:r>
        <w:rPr>
          <w:rFonts w:ascii="Times New Roman" w:cs="Times New Roman" w:eastAsia="Times New Roman" w:hAnsi="Times New Roman"/>
          <w:sz w:val="13"/>
          <w:szCs w:val="13"/>
          <w:b w:val="1"/>
          <w:bCs w:val="1"/>
          <w:color w:val="auto"/>
        </w:rPr>
        <w:t xml:space="preserve"> a proportional reduction</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 or, if you have exercised the </w:t>
      </w:r>
      <w:r>
        <w:rPr>
          <w:rFonts w:ascii="Times New Roman" w:cs="Times New Roman" w:eastAsia="Times New Roman" w:hAnsi="Times New Roman"/>
          <w:sz w:val="13"/>
          <w:szCs w:val="13"/>
          <w:b w:val="1"/>
          <w:bCs w:val="1"/>
          <w:u w:val="single" w:color="auto"/>
          <w:color w:val="auto"/>
        </w:rPr>
        <w:t>Performance Lock</w:t>
      </w:r>
      <w:r>
        <w:rPr>
          <w:rFonts w:ascii="Times New Roman" w:cs="Times New Roman" w:eastAsia="Times New Roman" w:hAnsi="Times New Roman"/>
          <w:sz w:val="13"/>
          <w:szCs w:val="13"/>
          <w:b w:val="1"/>
          <w:bCs w:val="1"/>
          <w:color w:val="auto"/>
        </w:rPr>
        <w:t xml:space="preserve">, it will reduce the </w:t>
      </w:r>
      <w:r>
        <w:rPr>
          <w:rFonts w:ascii="Times New Roman" w:cs="Times New Roman" w:eastAsia="Times New Roman" w:hAnsi="Times New Roman"/>
          <w:sz w:val="13"/>
          <w:szCs w:val="13"/>
          <w:b w:val="1"/>
          <w:bCs w:val="1"/>
          <w:u w:val="single" w:color="auto"/>
          <w:color w:val="auto"/>
        </w:rPr>
        <w:t>Performance Lock Value</w:t>
      </w:r>
      <w:r>
        <w:rPr>
          <w:rFonts w:ascii="Times New Roman" w:cs="Times New Roman" w:eastAsia="Times New Roman" w:hAnsi="Times New Roman"/>
          <w:sz w:val="13"/>
          <w:szCs w:val="13"/>
          <w:b w:val="1"/>
          <w:bCs w:val="1"/>
          <w:color w:val="auto"/>
        </w:rPr>
        <w:t xml:space="preserve"> of the </w:t>
      </w:r>
      <w:r>
        <w:rPr>
          <w:rFonts w:ascii="Times New Roman" w:cs="Times New Roman" w:eastAsia="Times New Roman" w:hAnsi="Times New Roman"/>
          <w:sz w:val="13"/>
          <w:szCs w:val="13"/>
          <w:b w:val="1"/>
          <w:bCs w:val="1"/>
          <w:u w:val="single" w:color="auto"/>
          <w:color w:val="auto"/>
        </w:rPr>
        <w:t>Shield Option</w:t>
      </w:r>
      <w:r>
        <w:rPr>
          <w:rFonts w:ascii="Times New Roman" w:cs="Times New Roman" w:eastAsia="Times New Roman" w:hAnsi="Times New Roman"/>
          <w:sz w:val="13"/>
          <w:szCs w:val="13"/>
          <w:b w:val="1"/>
          <w:bCs w:val="1"/>
          <w:color w:val="auto"/>
        </w:rPr>
        <w:t xml:space="preserve"> by the dollar amount of the withdrawal. Accordingly, when the </w:t>
      </w:r>
      <w:r>
        <w:rPr>
          <w:rFonts w:ascii="Times New Roman" w:cs="Times New Roman" w:eastAsia="Times New Roman" w:hAnsi="Times New Roman"/>
          <w:sz w:val="13"/>
          <w:szCs w:val="13"/>
          <w:b w:val="1"/>
          <w:bCs w:val="1"/>
          <w:u w:val="single" w:color="auto"/>
          <w:color w:val="auto"/>
        </w:rPr>
        <w:t>Interim Value</w:t>
      </w:r>
      <w:r>
        <w:rPr>
          <w:rFonts w:ascii="Times New Roman" w:cs="Times New Roman" w:eastAsia="Times New Roman" w:hAnsi="Times New Roman"/>
          <w:sz w:val="13"/>
          <w:szCs w:val="13"/>
          <w:b w:val="1"/>
          <w:bCs w:val="1"/>
          <w:color w:val="auto"/>
        </w:rPr>
        <w:t xml:space="preserve"> is </w:t>
      </w:r>
      <w:r>
        <w:rPr>
          <w:rFonts w:ascii="Times New Roman" w:cs="Times New Roman" w:eastAsia="Times New Roman" w:hAnsi="Times New Roman"/>
          <w:sz w:val="13"/>
          <w:szCs w:val="13"/>
          <w:b w:val="1"/>
          <w:bCs w:val="1"/>
          <w:i w:val="1"/>
          <w:iCs w:val="1"/>
          <w:color w:val="auto"/>
        </w:rPr>
        <w:t>less</w:t>
      </w:r>
      <w:r>
        <w:rPr>
          <w:rFonts w:ascii="Times New Roman" w:cs="Times New Roman" w:eastAsia="Times New Roman" w:hAnsi="Times New Roman"/>
          <w:sz w:val="13"/>
          <w:szCs w:val="13"/>
          <w:b w:val="1"/>
          <w:bCs w:val="1"/>
          <w:color w:val="auto"/>
        </w:rPr>
        <w:t xml:space="preserve"> than the </w:t>
      </w:r>
      <w:r>
        <w:rPr>
          <w:rFonts w:ascii="Times New Roman" w:cs="Times New Roman" w:eastAsia="Times New Roman" w:hAnsi="Times New Roman"/>
          <w:sz w:val="13"/>
          <w:szCs w:val="13"/>
          <w:b w:val="1"/>
          <w:bCs w:val="1"/>
          <w:u w:val="single" w:color="auto"/>
          <w:color w:val="auto"/>
        </w:rPr>
        <w:t>Investment Amount</w:t>
      </w:r>
      <w:r>
        <w:rPr>
          <w:rFonts w:ascii="Times New Roman" w:cs="Times New Roman" w:eastAsia="Times New Roman" w:hAnsi="Times New Roman"/>
          <w:sz w:val="13"/>
          <w:szCs w:val="13"/>
          <w:b w:val="1"/>
          <w:bCs w:val="1"/>
          <w:color w:val="auto"/>
        </w:rPr>
        <w:t xml:space="preserve">, the reduction to the </w:t>
      </w:r>
      <w:r>
        <w:rPr>
          <w:rFonts w:ascii="Times New Roman" w:cs="Times New Roman" w:eastAsia="Times New Roman" w:hAnsi="Times New Roman"/>
          <w:sz w:val="13"/>
          <w:szCs w:val="13"/>
          <w:b w:val="1"/>
          <w:bCs w:val="1"/>
          <w:u w:val="single" w:color="auto"/>
          <w:color w:val="auto"/>
        </w:rPr>
        <w:t>Shield Option</w:t>
      </w:r>
      <w:r>
        <w:rPr>
          <w:rFonts w:ascii="Times New Roman" w:cs="Times New Roman" w:eastAsia="Times New Roman" w:hAnsi="Times New Roman"/>
          <w:sz w:val="13"/>
          <w:szCs w:val="13"/>
          <w:b w:val="1"/>
          <w:bCs w:val="1"/>
          <w:color w:val="auto"/>
        </w:rPr>
        <w:t xml:space="preserve"> is on a more than dollar for dollar basis. On the other hand, when the </w:t>
      </w:r>
      <w:r>
        <w:rPr>
          <w:rFonts w:ascii="Times New Roman" w:cs="Times New Roman" w:eastAsia="Times New Roman" w:hAnsi="Times New Roman"/>
          <w:sz w:val="13"/>
          <w:szCs w:val="13"/>
          <w:b w:val="1"/>
          <w:bCs w:val="1"/>
          <w:u w:val="single" w:color="auto"/>
          <w:color w:val="auto"/>
        </w:rPr>
        <w:t>Interim Value</w:t>
      </w:r>
      <w:r>
        <w:rPr>
          <w:rFonts w:ascii="Times New Roman" w:cs="Times New Roman" w:eastAsia="Times New Roman" w:hAnsi="Times New Roman"/>
          <w:sz w:val="13"/>
          <w:szCs w:val="13"/>
          <w:b w:val="1"/>
          <w:bCs w:val="1"/>
          <w:color w:val="auto"/>
        </w:rPr>
        <w:t xml:space="preserve"> is </w:t>
      </w:r>
      <w:r>
        <w:rPr>
          <w:rFonts w:ascii="Times New Roman" w:cs="Times New Roman" w:eastAsia="Times New Roman" w:hAnsi="Times New Roman"/>
          <w:sz w:val="13"/>
          <w:szCs w:val="13"/>
          <w:b w:val="1"/>
          <w:bCs w:val="1"/>
          <w:i w:val="1"/>
          <w:iCs w:val="1"/>
          <w:color w:val="auto"/>
        </w:rPr>
        <w:t>greater</w:t>
      </w:r>
      <w:r>
        <w:rPr>
          <w:rFonts w:ascii="Times New Roman" w:cs="Times New Roman" w:eastAsia="Times New Roman" w:hAnsi="Times New Roman"/>
          <w:sz w:val="13"/>
          <w:szCs w:val="13"/>
          <w:b w:val="1"/>
          <w:bCs w:val="1"/>
          <w:color w:val="auto"/>
        </w:rPr>
        <w:t xml:space="preserve"> than the </w:t>
      </w:r>
      <w:r>
        <w:rPr>
          <w:rFonts w:ascii="Times New Roman" w:cs="Times New Roman" w:eastAsia="Times New Roman" w:hAnsi="Times New Roman"/>
          <w:sz w:val="13"/>
          <w:szCs w:val="13"/>
          <w:b w:val="1"/>
          <w:bCs w:val="1"/>
          <w:u w:val="single" w:color="auto"/>
          <w:color w:val="auto"/>
        </w:rPr>
        <w:t>Investment Amount</w:t>
      </w:r>
      <w:r>
        <w:rPr>
          <w:rFonts w:ascii="Times New Roman" w:cs="Times New Roman" w:eastAsia="Times New Roman" w:hAnsi="Times New Roman"/>
          <w:sz w:val="13"/>
          <w:szCs w:val="13"/>
          <w:b w:val="1"/>
          <w:bCs w:val="1"/>
          <w:color w:val="auto"/>
        </w:rPr>
        <w:t xml:space="preserve">, the reduction to the </w:t>
      </w:r>
      <w:r>
        <w:rPr>
          <w:rFonts w:ascii="Times New Roman" w:cs="Times New Roman" w:eastAsia="Times New Roman" w:hAnsi="Times New Roman"/>
          <w:sz w:val="13"/>
          <w:szCs w:val="13"/>
          <w:b w:val="1"/>
          <w:bCs w:val="1"/>
          <w:u w:val="single" w:color="auto"/>
          <w:color w:val="auto"/>
        </w:rPr>
        <w:t>Shield Option</w:t>
      </w:r>
      <w:r>
        <w:rPr>
          <w:rFonts w:ascii="Times New Roman" w:cs="Times New Roman" w:eastAsia="Times New Roman" w:hAnsi="Times New Roman"/>
          <w:sz w:val="13"/>
          <w:szCs w:val="13"/>
          <w:b w:val="1"/>
          <w:bCs w:val="1"/>
          <w:color w:val="auto"/>
        </w:rPr>
        <w:t xml:space="preserve"> is on a less than dollar for dollar basis. </w:t>
      </w:r>
      <w:r>
        <w:rPr>
          <w:rFonts w:ascii="Times New Roman" w:cs="Times New Roman" w:eastAsia="Times New Roman" w:hAnsi="Times New Roman"/>
          <w:sz w:val="13"/>
          <w:szCs w:val="13"/>
          <w:color w:val="auto"/>
        </w:rPr>
        <w:t>See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“Interim Value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Calculation” under “CHARGES, FEES, AND ADJUSTMENTS” section in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prospectus for more information.</w:t>
      </w:r>
    </w:p>
    <w:p>
      <w:pPr>
        <w:spacing w:after="0" w:line="56" w:lineRule="exact"/>
        <w:rPr>
          <w:sz w:val="20"/>
          <w:szCs w:val="20"/>
          <w:color w:val="auto"/>
        </w:rPr>
      </w:pPr>
    </w:p>
    <w:p>
      <w:pPr>
        <w:jc w:val="both"/>
        <w:ind w:right="2659" w:firstLine="264"/>
        <w:spacing w:after="0" w:line="261" w:lineRule="auto"/>
        <w:rPr>
          <w:sz w:val="20"/>
          <w:szCs w:val="20"/>
          <w:color w:val="auto"/>
        </w:rPr>
      </w:pPr>
      <w:r>
        <w:rPr>
          <w:rFonts w:ascii="Times New Roman" w:cs="Times New Roman" w:eastAsia="Times New Roman" w:hAnsi="Times New Roman"/>
          <w:sz w:val="13"/>
          <w:szCs w:val="13"/>
          <w:color w:val="auto"/>
        </w:rPr>
        <w:t xml:space="preserve">For example, assume the </w:t>
      </w:r>
      <w:r>
        <w:rPr>
          <w:rFonts w:ascii="Times New Roman" w:cs="Times New Roman" w:eastAsia="Times New Roman" w:hAnsi="Times New Roman"/>
          <w:sz w:val="13"/>
          <w:szCs w:val="13"/>
          <w:u w:val="single" w:color="auto"/>
          <w:color w:val="auto"/>
        </w:rPr>
        <w:t>Performance Lock</w:t>
      </w:r>
      <w:r>
        <w:rPr>
          <w:rFonts w:ascii="Times New Roman" w:cs="Times New Roman" w:eastAsia="Times New Roman" w:hAnsi="Times New Roman"/>
          <w:sz w:val="13"/>
          <w:szCs w:val="13"/>
          <w:color w:val="auto"/>
        </w:rPr>
        <w:t xml:space="preserve"> has not been exercised and </w:t>
      </w:r>
      <w:r>
        <w:rPr>
          <w:rFonts w:ascii="Times New Roman" w:cs="Times New Roman" w:eastAsia="Times New Roman" w:hAnsi="Times New Roman"/>
          <w:sz w:val="13"/>
          <w:szCs w:val="13"/>
          <w:u w:val="single" w:color="auto"/>
          <w:color w:val="auto"/>
        </w:rPr>
        <w:t>Owner</w:t>
      </w:r>
      <w:r>
        <w:rPr>
          <w:rFonts w:ascii="Times New Roman" w:cs="Times New Roman" w:eastAsia="Times New Roman" w:hAnsi="Times New Roman"/>
          <w:sz w:val="13"/>
          <w:szCs w:val="13"/>
          <w:color w:val="auto"/>
        </w:rPr>
        <w:t xml:space="preserve"> 1 makes a $100,000 </w:t>
      </w:r>
      <w:r>
        <w:rPr>
          <w:rFonts w:ascii="Times New Roman" w:cs="Times New Roman" w:eastAsia="Times New Roman" w:hAnsi="Times New Roman"/>
          <w:sz w:val="13"/>
          <w:szCs w:val="13"/>
          <w:u w:val="single" w:color="auto"/>
          <w:color w:val="auto"/>
        </w:rPr>
        <w:t>Purchase Payment</w:t>
      </w:r>
      <w:r>
        <w:rPr>
          <w:rFonts w:ascii="Times New Roman" w:cs="Times New Roman" w:eastAsia="Times New Roman" w:hAnsi="Times New Roman"/>
          <w:sz w:val="13"/>
          <w:szCs w:val="13"/>
          <w:color w:val="auto"/>
        </w:rPr>
        <w:t xml:space="preserve"> at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issue and allocates the </w:t>
      </w:r>
      <w:r>
        <w:rPr>
          <w:rFonts w:ascii="Times New Roman" w:cs="Times New Roman" w:eastAsia="Times New Roman" w:hAnsi="Times New Roman"/>
          <w:sz w:val="13"/>
          <w:szCs w:val="13"/>
          <w:u w:val="single" w:color="auto"/>
          <w:color w:val="auto"/>
        </w:rPr>
        <w:t>Purchase Payment</w:t>
      </w:r>
      <w:r>
        <w:rPr>
          <w:rFonts w:ascii="Times New Roman" w:cs="Times New Roman" w:eastAsia="Times New Roman" w:hAnsi="Times New Roman"/>
          <w:sz w:val="13"/>
          <w:szCs w:val="13"/>
          <w:color w:val="auto"/>
        </w:rPr>
        <w:t xml:space="preserve"> equally to two </w:t>
      </w:r>
      <w:r>
        <w:rPr>
          <w:rFonts w:ascii="Times New Roman" w:cs="Times New Roman" w:eastAsia="Times New Roman" w:hAnsi="Times New Roman"/>
          <w:sz w:val="13"/>
          <w:szCs w:val="13"/>
          <w:u w:val="single" w:color="auto"/>
          <w:color w:val="auto"/>
        </w:rPr>
        <w:t>Shield Options</w:t>
      </w:r>
      <w:r>
        <w:rPr>
          <w:rFonts w:ascii="Times New Roman" w:cs="Times New Roman" w:eastAsia="Times New Roman" w:hAnsi="Times New Roman"/>
          <w:sz w:val="13"/>
          <w:szCs w:val="13"/>
          <w:color w:val="auto"/>
        </w:rPr>
        <w:t xml:space="preserve"> so that each starts with $50,000. This amount is the initial </w:t>
      </w:r>
      <w:r>
        <w:rPr>
          <w:rFonts w:ascii="Times New Roman" w:cs="Times New Roman" w:eastAsia="Times New Roman" w:hAnsi="Times New Roman"/>
          <w:sz w:val="13"/>
          <w:szCs w:val="13"/>
          <w:u w:val="single" w:color="auto"/>
          <w:color w:val="auto"/>
        </w:rPr>
        <w:t>Investment Amount</w:t>
      </w:r>
      <w:r>
        <w:rPr>
          <w:rFonts w:ascii="Times New Roman" w:cs="Times New Roman" w:eastAsia="Times New Roman" w:hAnsi="Times New Roman"/>
          <w:sz w:val="13"/>
          <w:szCs w:val="13"/>
          <w:color w:val="auto"/>
        </w:rPr>
        <w:t xml:space="preserve">. Assume in 6 months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A has an </w:t>
      </w:r>
      <w:r>
        <w:rPr>
          <w:rFonts w:ascii="Times New Roman" w:cs="Times New Roman" w:eastAsia="Times New Roman" w:hAnsi="Times New Roman"/>
          <w:sz w:val="13"/>
          <w:szCs w:val="13"/>
          <w:u w:val="single" w:color="auto"/>
          <w:color w:val="auto"/>
        </w:rPr>
        <w:t>Interim Value</w:t>
      </w:r>
      <w:r>
        <w:rPr>
          <w:rFonts w:ascii="Times New Roman" w:cs="Times New Roman" w:eastAsia="Times New Roman" w:hAnsi="Times New Roman"/>
          <w:sz w:val="13"/>
          <w:szCs w:val="13"/>
          <w:color w:val="auto"/>
        </w:rPr>
        <w:t xml:space="preserve"> of $65,000 and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B has an </w:t>
      </w:r>
      <w:r>
        <w:rPr>
          <w:rFonts w:ascii="Times New Roman" w:cs="Times New Roman" w:eastAsia="Times New Roman" w:hAnsi="Times New Roman"/>
          <w:sz w:val="13"/>
          <w:szCs w:val="13"/>
          <w:u w:val="single" w:color="auto"/>
          <w:color w:val="auto"/>
        </w:rPr>
        <w:t>Interim</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Value</w:t>
      </w:r>
      <w:r>
        <w:rPr>
          <w:rFonts w:ascii="Times New Roman" w:cs="Times New Roman" w:eastAsia="Times New Roman" w:hAnsi="Times New Roman"/>
          <w:sz w:val="13"/>
          <w:szCs w:val="13"/>
          <w:color w:val="auto"/>
        </w:rPr>
        <w:t xml:space="preserve"> of $45,000. Assume at this time </w:t>
      </w:r>
      <w:r>
        <w:rPr>
          <w:rFonts w:ascii="Times New Roman" w:cs="Times New Roman" w:eastAsia="Times New Roman" w:hAnsi="Times New Roman"/>
          <w:sz w:val="13"/>
          <w:szCs w:val="13"/>
          <w:u w:val="single" w:color="auto"/>
          <w:color w:val="auto"/>
        </w:rPr>
        <w:t>Owner</w:t>
      </w:r>
      <w:r>
        <w:rPr>
          <w:rFonts w:ascii="Times New Roman" w:cs="Times New Roman" w:eastAsia="Times New Roman" w:hAnsi="Times New Roman"/>
          <w:sz w:val="13"/>
          <w:szCs w:val="13"/>
          <w:color w:val="auto"/>
        </w:rPr>
        <w:t xml:space="preserve"> 1 decides to make a withdrawal of $20,000. If the entire withdrawal is taken from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A, the reduction in the </w:t>
      </w:r>
      <w:r>
        <w:rPr>
          <w:rFonts w:ascii="Times New Roman" w:cs="Times New Roman" w:eastAsia="Times New Roman" w:hAnsi="Times New Roman"/>
          <w:sz w:val="13"/>
          <w:szCs w:val="13"/>
          <w:u w:val="single" w:color="auto"/>
          <w:color w:val="auto"/>
        </w:rPr>
        <w:t>Interim Value</w:t>
      </w:r>
      <w:r>
        <w:rPr>
          <w:rFonts w:ascii="Times New Roman" w:cs="Times New Roman" w:eastAsia="Times New Roman" w:hAnsi="Times New Roman"/>
          <w:sz w:val="13"/>
          <w:szCs w:val="13"/>
          <w:color w:val="auto"/>
        </w:rPr>
        <w:t xml:space="preserve"> is 30.77% ($20,000 ÷ $65,000). The </w:t>
      </w:r>
      <w:r>
        <w:rPr>
          <w:rFonts w:ascii="Times New Roman" w:cs="Times New Roman" w:eastAsia="Times New Roman" w:hAnsi="Times New Roman"/>
          <w:sz w:val="13"/>
          <w:szCs w:val="13"/>
          <w:u w:val="single" w:color="auto"/>
          <w:color w:val="auto"/>
        </w:rPr>
        <w:t>Investment Amount</w:t>
      </w:r>
      <w:r>
        <w:rPr>
          <w:rFonts w:ascii="Times New Roman" w:cs="Times New Roman" w:eastAsia="Times New Roman" w:hAnsi="Times New Roman"/>
          <w:sz w:val="13"/>
          <w:szCs w:val="13"/>
          <w:color w:val="auto"/>
        </w:rPr>
        <w:t xml:space="preserve"> for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A would then be reduced to $34,615.38 ($50,000 x (1-30.77%)). The total </w:t>
      </w:r>
      <w:r>
        <w:rPr>
          <w:rFonts w:ascii="Times New Roman" w:cs="Times New Roman" w:eastAsia="Times New Roman" w:hAnsi="Times New Roman"/>
          <w:sz w:val="13"/>
          <w:szCs w:val="13"/>
          <w:u w:val="single" w:color="auto"/>
          <w:color w:val="auto"/>
        </w:rPr>
        <w:t>Investment Amount</w:t>
      </w:r>
      <w:r>
        <w:rPr>
          <w:rFonts w:ascii="Times New Roman" w:cs="Times New Roman" w:eastAsia="Times New Roman" w:hAnsi="Times New Roman"/>
          <w:sz w:val="13"/>
          <w:szCs w:val="13"/>
          <w:color w:val="auto"/>
        </w:rPr>
        <w:t xml:space="preserve"> is then $84,615.38 ($34,615.38 + $50,000). If the entire withdrawal is taken from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B, the reduction in the </w:t>
      </w:r>
      <w:r>
        <w:rPr>
          <w:rFonts w:ascii="Times New Roman" w:cs="Times New Roman" w:eastAsia="Times New Roman" w:hAnsi="Times New Roman"/>
          <w:sz w:val="13"/>
          <w:szCs w:val="13"/>
          <w:u w:val="single" w:color="auto"/>
          <w:color w:val="auto"/>
        </w:rPr>
        <w:t>Interim Value</w:t>
      </w:r>
      <w:r>
        <w:rPr>
          <w:rFonts w:ascii="Times New Roman" w:cs="Times New Roman" w:eastAsia="Times New Roman" w:hAnsi="Times New Roman"/>
          <w:sz w:val="13"/>
          <w:szCs w:val="13"/>
          <w:color w:val="auto"/>
        </w:rPr>
        <w:t xml:space="preserve"> is 44.44% ($20,000 ÷ $45,000). The </w:t>
      </w:r>
      <w:r>
        <w:rPr>
          <w:rFonts w:ascii="Times New Roman" w:cs="Times New Roman" w:eastAsia="Times New Roman" w:hAnsi="Times New Roman"/>
          <w:sz w:val="13"/>
          <w:szCs w:val="13"/>
          <w:u w:val="single" w:color="auto"/>
          <w:color w:val="auto"/>
        </w:rPr>
        <w:t>Investment Amount</w:t>
      </w:r>
      <w:r>
        <w:rPr>
          <w:rFonts w:ascii="Times New Roman" w:cs="Times New Roman" w:eastAsia="Times New Roman" w:hAnsi="Times New Roman"/>
          <w:sz w:val="13"/>
          <w:szCs w:val="13"/>
          <w:color w:val="auto"/>
        </w:rPr>
        <w:t xml:space="preserve"> for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B would be reduced to $27,777.78 ($50,000 x (1-44.44%)). The total </w:t>
      </w:r>
      <w:r>
        <w:rPr>
          <w:rFonts w:ascii="Times New Roman" w:cs="Times New Roman" w:eastAsia="Times New Roman" w:hAnsi="Times New Roman"/>
          <w:sz w:val="13"/>
          <w:szCs w:val="13"/>
          <w:u w:val="single" w:color="auto"/>
          <w:color w:val="auto"/>
        </w:rPr>
        <w:t>Investment Amount</w:t>
      </w:r>
      <w:r>
        <w:rPr>
          <w:rFonts w:ascii="Times New Roman" w:cs="Times New Roman" w:eastAsia="Times New Roman" w:hAnsi="Times New Roman"/>
          <w:sz w:val="13"/>
          <w:szCs w:val="13"/>
          <w:color w:val="auto"/>
        </w:rPr>
        <w:t xml:space="preserve"> is then $77,777.78 ($50,000 + $27,777.78).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1790065</wp:posOffset>
            </wp:positionH>
            <wp:positionV relativeFrom="paragraph">
              <wp:posOffset>-429260</wp:posOffset>
            </wp:positionV>
            <wp:extent cx="31750" cy="635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8">
                      <a:extLst>
                        <a:ext uri="{28A0092B-C50C-407E-A947-70E740481C1C}"/>
                      </a:extLst>
                    </a:blip>
                    <a:srcRect/>
                    <a:stretch>
                      <a:fillRect/>
                    </a:stretch>
                  </pic:blipFill>
                  <pic:spPr bwMode="auto">
                    <a:xfrm>
                      <a:off x="0" y="0"/>
                      <a:ext cx="31750" cy="6350"/>
                    </a:xfrm>
                    <a:prstGeom prst="rect">
                      <a:avLst/>
                    </a:prstGeom>
                    <a:noFill/>
                  </pic:spPr>
                </pic:pic>
              </a:graphicData>
            </a:graphic>
          </wp:anchor>
        </w:drawing>
      </w:r>
    </w:p>
    <w:p>
      <w:pPr>
        <w:spacing w:after="0" w:line="35" w:lineRule="exact"/>
        <w:rPr>
          <w:sz w:val="20"/>
          <w:szCs w:val="20"/>
          <w:color w:val="auto"/>
        </w:rPr>
      </w:pPr>
    </w:p>
    <w:p>
      <w:pPr>
        <w:jc w:val="both"/>
        <w:ind w:right="2659" w:firstLine="264"/>
        <w:spacing w:after="0" w:line="268" w:lineRule="auto"/>
        <w:rPr>
          <w:sz w:val="20"/>
          <w:szCs w:val="20"/>
          <w:color w:val="auto"/>
        </w:rPr>
      </w:pPr>
      <w:r>
        <w:rPr>
          <w:rFonts w:ascii="Times New Roman" w:cs="Times New Roman" w:eastAsia="Times New Roman" w:hAnsi="Times New Roman"/>
          <w:sz w:val="13"/>
          <w:szCs w:val="13"/>
          <w:color w:val="auto"/>
        </w:rPr>
        <w:t xml:space="preserve">Using the same example above and assuming </w:t>
      </w:r>
      <w:r>
        <w:rPr>
          <w:rFonts w:ascii="Times New Roman" w:cs="Times New Roman" w:eastAsia="Times New Roman" w:hAnsi="Times New Roman"/>
          <w:sz w:val="13"/>
          <w:szCs w:val="13"/>
          <w:u w:val="single" w:color="auto"/>
          <w:color w:val="auto"/>
        </w:rPr>
        <w:t>Owner</w:t>
      </w:r>
      <w:r>
        <w:rPr>
          <w:rFonts w:ascii="Times New Roman" w:cs="Times New Roman" w:eastAsia="Times New Roman" w:hAnsi="Times New Roman"/>
          <w:sz w:val="13"/>
          <w:szCs w:val="13"/>
          <w:color w:val="auto"/>
        </w:rPr>
        <w:t xml:space="preserve"> 1 exercised the </w:t>
      </w:r>
      <w:r>
        <w:rPr>
          <w:rFonts w:ascii="Times New Roman" w:cs="Times New Roman" w:eastAsia="Times New Roman" w:hAnsi="Times New Roman"/>
          <w:sz w:val="13"/>
          <w:szCs w:val="13"/>
          <w:u w:val="single" w:color="auto"/>
          <w:color w:val="auto"/>
        </w:rPr>
        <w:t>Performance Lock</w:t>
      </w:r>
      <w:r>
        <w:rPr>
          <w:rFonts w:ascii="Times New Roman" w:cs="Times New Roman" w:eastAsia="Times New Roman" w:hAnsi="Times New Roman"/>
          <w:sz w:val="13"/>
          <w:szCs w:val="13"/>
          <w:color w:val="auto"/>
        </w:rPr>
        <w:t xml:space="preserve"> on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A and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B resulting in a </w:t>
      </w:r>
      <w:r>
        <w:rPr>
          <w:rFonts w:ascii="Times New Roman" w:cs="Times New Roman" w:eastAsia="Times New Roman" w:hAnsi="Times New Roman"/>
          <w:sz w:val="13"/>
          <w:szCs w:val="13"/>
          <w:u w:val="single" w:color="auto"/>
          <w:color w:val="auto"/>
        </w:rPr>
        <w:t>Performance Lock Value</w:t>
      </w:r>
      <w:r>
        <w:rPr>
          <w:rFonts w:ascii="Times New Roman" w:cs="Times New Roman" w:eastAsia="Times New Roman" w:hAnsi="Times New Roman"/>
          <w:sz w:val="13"/>
          <w:szCs w:val="13"/>
          <w:color w:val="auto"/>
        </w:rPr>
        <w:t xml:space="preserve"> of $65,000 for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A and $45,000 for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B. Assume that after exercising the </w:t>
      </w:r>
      <w:r>
        <w:rPr>
          <w:rFonts w:ascii="Times New Roman" w:cs="Times New Roman" w:eastAsia="Times New Roman" w:hAnsi="Times New Roman"/>
          <w:sz w:val="13"/>
          <w:szCs w:val="13"/>
          <w:u w:val="single" w:color="auto"/>
          <w:color w:val="auto"/>
        </w:rPr>
        <w:t>Performance Lock</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Owner</w:t>
      </w:r>
      <w:r>
        <w:rPr>
          <w:rFonts w:ascii="Times New Roman" w:cs="Times New Roman" w:eastAsia="Times New Roman" w:hAnsi="Times New Roman"/>
          <w:sz w:val="13"/>
          <w:szCs w:val="13"/>
          <w:color w:val="auto"/>
        </w:rPr>
        <w:t xml:space="preserve"> 1 makes a withdrawal of $20,000. If the entire withdrawal is taken from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A, the </w:t>
      </w:r>
      <w:r>
        <w:rPr>
          <w:rFonts w:ascii="Times New Roman" w:cs="Times New Roman" w:eastAsia="Times New Roman" w:hAnsi="Times New Roman"/>
          <w:sz w:val="13"/>
          <w:szCs w:val="13"/>
          <w:u w:val="single" w:color="auto"/>
          <w:color w:val="auto"/>
        </w:rPr>
        <w:t>Performance Lock Value</w:t>
      </w:r>
      <w:r>
        <w:rPr>
          <w:rFonts w:ascii="Times New Roman" w:cs="Times New Roman" w:eastAsia="Times New Roman" w:hAnsi="Times New Roman"/>
          <w:sz w:val="13"/>
          <w:szCs w:val="13"/>
          <w:color w:val="auto"/>
        </w:rPr>
        <w:t xml:space="preserve"> of that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would be after the withdrawal is then $90,000 ($45,000 + $45,000). If the entire withdrawal is taken from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B, the </w:t>
      </w:r>
      <w:r>
        <w:rPr>
          <w:rFonts w:ascii="Times New Roman" w:cs="Times New Roman" w:eastAsia="Times New Roman" w:hAnsi="Times New Roman"/>
          <w:sz w:val="13"/>
          <w:szCs w:val="13"/>
          <w:u w:val="single" w:color="auto"/>
          <w:color w:val="auto"/>
        </w:rPr>
        <w:t>Performance Lock Value</w:t>
      </w:r>
      <w:r>
        <w:rPr>
          <w:rFonts w:ascii="Times New Roman" w:cs="Times New Roman" w:eastAsia="Times New Roman" w:hAnsi="Times New Roman"/>
          <w:sz w:val="13"/>
          <w:szCs w:val="13"/>
          <w:color w:val="auto"/>
        </w:rPr>
        <w:t xml:space="preserve"> of that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would be reduced to $25,000 ($45,000 - $20,000). The </w:t>
      </w:r>
      <w:r>
        <w:rPr>
          <w:rFonts w:ascii="Times New Roman" w:cs="Times New Roman" w:eastAsia="Times New Roman" w:hAnsi="Times New Roman"/>
          <w:sz w:val="13"/>
          <w:szCs w:val="13"/>
          <w:u w:val="single" w:color="auto"/>
          <w:color w:val="auto"/>
        </w:rPr>
        <w:t>Account Value</w:t>
      </w:r>
      <w:r>
        <w:rPr>
          <w:rFonts w:ascii="Times New Roman" w:cs="Times New Roman" w:eastAsia="Times New Roman" w:hAnsi="Times New Roman"/>
          <w:sz w:val="13"/>
          <w:szCs w:val="13"/>
          <w:color w:val="auto"/>
        </w:rPr>
        <w:t xml:space="preserve"> after the withdrawal is then $90,000 ($65,000 + $25,000).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-236855</wp:posOffset>
            </wp:positionV>
            <wp:extent cx="38100" cy="635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9">
                      <a:extLst>
                        <a:ext uri="{28A0092B-C50C-407E-A947-70E740481C1C}"/>
                      </a:extLst>
                    </a:blip>
                    <a:srcRect/>
                    <a:stretch>
                      <a:fillRect/>
                    </a:stretch>
                  </pic:blipFill>
                  <pic:spPr bwMode="auto">
                    <a:xfrm>
                      <a:off x="0" y="0"/>
                      <a:ext cx="38100" cy="6350"/>
                    </a:xfrm>
                    <a:prstGeom prst="rect">
                      <a:avLst/>
                    </a:prstGeom>
                    <a:noFill/>
                  </pic:spPr>
                </pic:pic>
              </a:graphicData>
            </a:graphic>
          </wp:anchor>
        </w:drawing>
        <w:drawing>
          <wp:anchor simplePos="0" relativeHeight="251657728" behindDoc="1" locked="0" layoutInCell="0" allowOverlap="1">
            <wp:simplePos x="0" y="0"/>
            <wp:positionH relativeFrom="column">
              <wp:posOffset>2406015</wp:posOffset>
            </wp:positionH>
            <wp:positionV relativeFrom="paragraph">
              <wp:posOffset>-129540</wp:posOffset>
            </wp:positionV>
            <wp:extent cx="25400" cy="635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0">
                      <a:extLst>
                        <a:ext uri="{28A0092B-C50C-407E-A947-70E740481C1C}"/>
                      </a:extLst>
                    </a:blip>
                    <a:srcRect/>
                    <a:stretch>
                      <a:fillRect/>
                    </a:stretch>
                  </pic:blipFill>
                  <pic:spPr bwMode="auto">
                    <a:xfrm>
                      <a:off x="0" y="0"/>
                      <a:ext cx="25400" cy="6350"/>
                    </a:xfrm>
                    <a:prstGeom prst="rect">
                      <a:avLst/>
                    </a:prstGeom>
                    <a:noFill/>
                  </pic:spPr>
                </pic:pic>
              </a:graphicData>
            </a:graphic>
          </wp:anchor>
        </w:drawing>
      </w:r>
    </w:p>
    <w:p>
      <w:pPr>
        <w:spacing w:after="0" w:line="30" w:lineRule="exact"/>
        <w:rPr>
          <w:sz w:val="20"/>
          <w:szCs w:val="20"/>
          <w:color w:val="auto"/>
        </w:rPr>
      </w:pPr>
    </w:p>
    <w:p>
      <w:pPr>
        <w:jc w:val="both"/>
        <w:ind w:right="2659" w:firstLine="264"/>
        <w:spacing w:after="0" w:line="266" w:lineRule="auto"/>
        <w:rPr>
          <w:sz w:val="20"/>
          <w:szCs w:val="20"/>
          <w:color w:val="auto"/>
        </w:rPr>
      </w:pPr>
      <w:r>
        <w:rPr>
          <w:rFonts w:ascii="Times New Roman" w:cs="Times New Roman" w:eastAsia="Times New Roman" w:hAnsi="Times New Roman"/>
          <w:sz w:val="13"/>
          <w:szCs w:val="13"/>
          <w:color w:val="auto"/>
        </w:rPr>
        <w:t xml:space="preserve">The remaining </w:t>
      </w:r>
      <w:r>
        <w:rPr>
          <w:rFonts w:ascii="Times New Roman" w:cs="Times New Roman" w:eastAsia="Times New Roman" w:hAnsi="Times New Roman"/>
          <w:sz w:val="13"/>
          <w:szCs w:val="13"/>
          <w:u w:val="single" w:color="auto"/>
          <w:color w:val="auto"/>
        </w:rPr>
        <w:t>Investment Amount</w:t>
      </w:r>
      <w:r>
        <w:rPr>
          <w:rFonts w:ascii="Times New Roman" w:cs="Times New Roman" w:eastAsia="Times New Roman" w:hAnsi="Times New Roman"/>
          <w:sz w:val="13"/>
          <w:szCs w:val="13"/>
          <w:color w:val="auto"/>
        </w:rPr>
        <w:t xml:space="preserve"> after a withdrawal will be used as the new </w:t>
      </w:r>
      <w:r>
        <w:rPr>
          <w:rFonts w:ascii="Times New Roman" w:cs="Times New Roman" w:eastAsia="Times New Roman" w:hAnsi="Times New Roman"/>
          <w:sz w:val="13"/>
          <w:szCs w:val="13"/>
          <w:u w:val="single" w:color="auto"/>
          <w:color w:val="auto"/>
        </w:rPr>
        <w:t>Investment Amount</w:t>
      </w:r>
      <w:r>
        <w:rPr>
          <w:rFonts w:ascii="Times New Roman" w:cs="Times New Roman" w:eastAsia="Times New Roman" w:hAnsi="Times New Roman"/>
          <w:sz w:val="13"/>
          <w:szCs w:val="13"/>
          <w:color w:val="auto"/>
        </w:rPr>
        <w:t xml:space="preserve"> for the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color w:val="auto"/>
        </w:rPr>
        <w:t xml:space="preserve"> until the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End Date</w:t>
      </w:r>
      <w:r>
        <w:rPr>
          <w:rFonts w:ascii="Times New Roman" w:cs="Times New Roman" w:eastAsia="Times New Roman" w:hAnsi="Times New Roman"/>
          <w:sz w:val="13"/>
          <w:szCs w:val="13"/>
          <w:color w:val="auto"/>
        </w:rPr>
        <w:t xml:space="preserve"> or the next </w:t>
      </w:r>
      <w:r>
        <w:rPr>
          <w:rFonts w:ascii="Times New Roman" w:cs="Times New Roman" w:eastAsia="Times New Roman" w:hAnsi="Times New Roman"/>
          <w:sz w:val="13"/>
          <w:szCs w:val="13"/>
          <w:u w:val="single" w:color="auto"/>
          <w:color w:val="auto"/>
        </w:rPr>
        <w:t>Interim Value</w:t>
      </w:r>
      <w:r>
        <w:rPr>
          <w:rFonts w:ascii="Times New Roman" w:cs="Times New Roman" w:eastAsia="Times New Roman" w:hAnsi="Times New Roman"/>
          <w:sz w:val="13"/>
          <w:szCs w:val="13"/>
          <w:color w:val="auto"/>
        </w:rPr>
        <w:t xml:space="preserve"> calculation for that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A partial withdrawal from a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does not affect the </w:t>
      </w:r>
      <w:r>
        <w:rPr>
          <w:rFonts w:ascii="Times New Roman" w:cs="Times New Roman" w:eastAsia="Times New Roman" w:hAnsi="Times New Roman"/>
          <w:sz w:val="13"/>
          <w:szCs w:val="13"/>
          <w:u w:val="single" w:color="auto"/>
          <w:color w:val="auto"/>
        </w:rPr>
        <w:t>Cap Rate, Step Rate,</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Edge Rate,</w:t>
      </w:r>
      <w:r>
        <w:rPr>
          <w:rFonts w:ascii="Times New Roman" w:cs="Times New Roman" w:eastAsia="Times New Roman" w:hAnsi="Times New Roman"/>
          <w:sz w:val="13"/>
          <w:szCs w:val="13"/>
          <w:color w:val="auto"/>
        </w:rPr>
        <w:t xml:space="preserve"> as applicable, and the </w:t>
      </w:r>
      <w:r>
        <w:rPr>
          <w:rFonts w:ascii="Times New Roman" w:cs="Times New Roman" w:eastAsia="Times New Roman" w:hAnsi="Times New Roman"/>
          <w:sz w:val="13"/>
          <w:szCs w:val="13"/>
          <w:u w:val="single" w:color="auto"/>
          <w:color w:val="auto"/>
        </w:rPr>
        <w:t>Shield Rate</w:t>
      </w:r>
      <w:r>
        <w:rPr>
          <w:rFonts w:ascii="Times New Roman" w:cs="Times New Roman" w:eastAsia="Times New Roman" w:hAnsi="Times New Roman"/>
          <w:sz w:val="13"/>
          <w:szCs w:val="13"/>
          <w:color w:val="auto"/>
        </w:rPr>
        <w:t xml:space="preserve"> that will apply to the remaining </w:t>
      </w:r>
      <w:r>
        <w:rPr>
          <w:rFonts w:ascii="Times New Roman" w:cs="Times New Roman" w:eastAsia="Times New Roman" w:hAnsi="Times New Roman"/>
          <w:sz w:val="13"/>
          <w:szCs w:val="13"/>
          <w:u w:val="single" w:color="auto"/>
          <w:color w:val="auto"/>
        </w:rPr>
        <w:t>Investment Amounts</w:t>
      </w:r>
      <w:r>
        <w:rPr>
          <w:rFonts w:ascii="Times New Roman" w:cs="Times New Roman" w:eastAsia="Times New Roman" w:hAnsi="Times New Roman"/>
          <w:sz w:val="13"/>
          <w:szCs w:val="13"/>
          <w:color w:val="auto"/>
        </w:rPr>
        <w:t xml:space="preserve"> that are held in the </w:t>
      </w:r>
      <w:r>
        <w:rPr>
          <w:rFonts w:ascii="Times New Roman" w:cs="Times New Roman" w:eastAsia="Times New Roman" w:hAnsi="Times New Roman"/>
          <w:sz w:val="13"/>
          <w:szCs w:val="13"/>
          <w:u w:val="single" w:color="auto"/>
          <w:color w:val="auto"/>
        </w:rPr>
        <w:t>Shield Option</w:t>
      </w:r>
      <w:r>
        <w:rPr>
          <w:rFonts w:ascii="Times New Roman" w:cs="Times New Roman" w:eastAsia="Times New Roman" w:hAnsi="Times New Roman"/>
          <w:sz w:val="13"/>
          <w:szCs w:val="13"/>
          <w:color w:val="auto"/>
        </w:rPr>
        <w:t xml:space="preserve"> through the </w:t>
      </w:r>
      <w:r>
        <w:rPr>
          <w:rFonts w:ascii="Times New Roman" w:cs="Times New Roman" w:eastAsia="Times New Roman" w:hAnsi="Times New Roman"/>
          <w:sz w:val="13"/>
          <w:szCs w:val="13"/>
          <w:u w:val="single" w:color="auto"/>
          <w:color w:val="auto"/>
        </w:rPr>
        <w:t>Term End Date</w:t>
      </w:r>
      <w:r>
        <w:rPr>
          <w:rFonts w:ascii="Times New Roman" w:cs="Times New Roman" w:eastAsia="Times New Roman" w:hAnsi="Times New Roman"/>
          <w:sz w:val="13"/>
          <w:szCs w:val="13"/>
          <w:color w:val="auto"/>
        </w:rPr>
        <w:t>.</w:t>
      </w:r>
    </w:p>
    <w:p>
      <w:pPr>
        <w:spacing w:after="0" w:line="52" w:lineRule="exact"/>
        <w:rPr>
          <w:sz w:val="20"/>
          <w:szCs w:val="20"/>
          <w:color w:val="auto"/>
        </w:rPr>
      </w:pPr>
    </w:p>
    <w:p>
      <w:pPr>
        <w:jc w:val="both"/>
        <w:ind w:right="2659" w:firstLine="264"/>
        <w:spacing w:after="0" w:line="290" w:lineRule="auto"/>
        <w:rPr>
          <w:sz w:val="20"/>
          <w:szCs w:val="20"/>
          <w:color w:val="auto"/>
        </w:rPr>
      </w:pPr>
      <w:r>
        <w:rPr>
          <w:rFonts w:ascii="Times New Roman" w:cs="Times New Roman" w:eastAsia="Times New Roman" w:hAnsi="Times New Roman"/>
          <w:sz w:val="13"/>
          <w:szCs w:val="13"/>
          <w:color w:val="auto"/>
        </w:rPr>
        <w:t xml:space="preserve">After receipt of a </w:t>
      </w:r>
      <w:r>
        <w:rPr>
          <w:rFonts w:ascii="Times New Roman" w:cs="Times New Roman" w:eastAsia="Times New Roman" w:hAnsi="Times New Roman"/>
          <w:sz w:val="13"/>
          <w:szCs w:val="13"/>
          <w:u w:val="single" w:color="auto"/>
          <w:color w:val="auto"/>
        </w:rPr>
        <w:t>Notice</w:t>
      </w:r>
      <w:r>
        <w:rPr>
          <w:rFonts w:ascii="Times New Roman" w:cs="Times New Roman" w:eastAsia="Times New Roman" w:hAnsi="Times New Roman"/>
          <w:sz w:val="13"/>
          <w:szCs w:val="13"/>
          <w:color w:val="auto"/>
        </w:rPr>
        <w:t xml:space="preserve"> of withdrawal from you, we reserve the right to defer payment for a withdrawal for the period permitted by applicable law but not more than six (6) months.</w:t>
      </w:r>
    </w:p>
    <w:p>
      <w:pPr>
        <w:spacing w:after="0" w:line="11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3"/>
          <w:szCs w:val="13"/>
          <w:color w:val="auto"/>
        </w:rPr>
        <w:t>16</w:t>
      </w:r>
    </w:p>
    <w:p>
      <w:pPr>
        <w:sectPr>
          <w:pgSz w:w="11900" w:h="16838" w:orient="portrait"/>
          <w:cols w:equalWidth="0" w:num="1">
            <w:col w:w="9799"/>
          </w:cols>
          <w:pgMar w:left="660" w:top="1166" w:right="1440" w:bottom="1440" w:gutter="0" w:footer="0" w:header="0"/>
        </w:sectPr>
      </w:pPr>
    </w:p>
    <w:bookmarkStart w:id="149" w:name="page150"/>
    <w:bookmarkEnd w:id="149"/>
    <w:p>
      <w:pPr>
        <w:jc w:val="center"/>
        <w:ind w:right="265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1">
                      <a:extLst>
                        <a:ext uri="{28A0092B-C50C-407E-A947-70E740481C1C}"/>
                      </a:extLst>
                    </a:blip>
                    <a:srcRect/>
                    <a:stretch>
                      <a:fillRect/>
                    </a:stretch>
                  </pic:blipFill>
                  <pic:spPr bwMode="auto">
                    <a:xfrm>
                      <a:off x="0" y="0"/>
                      <a:ext cx="7193915" cy="38100"/>
                    </a:xfrm>
                    <a:prstGeom prst="rect">
                      <a:avLst/>
                    </a:prstGeom>
                    <a:noFill/>
                  </pic:spPr>
                </pic:pic>
              </a:graphicData>
            </a:graphic>
          </wp:anchor>
        </w:drawing>
        <w:t>ADDITIONAL INFORMATION ABOUT FEES</w:t>
      </w:r>
    </w:p>
    <w:p>
      <w:pPr>
        <w:spacing w:after="0" w:line="138" w:lineRule="exact"/>
        <w:rPr>
          <w:sz w:val="20"/>
          <w:szCs w:val="20"/>
          <w:color w:val="auto"/>
        </w:rPr>
      </w:pPr>
    </w:p>
    <w:p>
      <w:pPr>
        <w:ind w:right="2739"/>
        <w:spacing w:after="0" w:line="297" w:lineRule="auto"/>
        <w:rPr>
          <w:sz w:val="20"/>
          <w:szCs w:val="20"/>
          <w:color w:val="auto"/>
        </w:rPr>
      </w:pPr>
      <w:r>
        <w:rPr>
          <w:rFonts w:ascii="Times New Roman" w:cs="Times New Roman" w:eastAsia="Times New Roman" w:hAnsi="Times New Roman"/>
          <w:sz w:val="13"/>
          <w:szCs w:val="13"/>
          <w:b w:val="1"/>
          <w:bCs w:val="1"/>
          <w:color w:val="auto"/>
        </w:rPr>
        <w:t>The following tables describe the fees expenses, and adjustments that you will pay when buying, owning, and Surrendering or making withdrawals from an Allocation Option or from the Contract. Please refer to your Contract specifications page for information about the specific fees you will pay each year.</w:t>
      </w:r>
    </w:p>
    <w:p>
      <w:pPr>
        <w:spacing w:after="0" w:line="1" w:lineRule="exact"/>
        <w:rPr>
          <w:sz w:val="20"/>
          <w:szCs w:val="20"/>
          <w:color w:val="auto"/>
        </w:rPr>
      </w:pPr>
    </w:p>
    <w:p>
      <w:pPr>
        <w:jc w:val="both"/>
        <w:ind w:right="2879"/>
        <w:spacing w:after="0" w:line="298" w:lineRule="auto"/>
        <w:rPr>
          <w:sz w:val="20"/>
          <w:szCs w:val="20"/>
          <w:color w:val="auto"/>
        </w:rPr>
      </w:pPr>
      <w:r>
        <w:rPr>
          <w:rFonts w:ascii="Times New Roman" w:cs="Times New Roman" w:eastAsia="Times New Roman" w:hAnsi="Times New Roman"/>
          <w:sz w:val="13"/>
          <w:szCs w:val="13"/>
          <w:b w:val="1"/>
          <w:bCs w:val="1"/>
          <w:color w:val="auto"/>
        </w:rPr>
        <w:t xml:space="preserve">The first table describes the fees, and expenses that you will pay at the time that you buy the Contract, Surrender or make withdrawals from an Allocation Option or from the Contract, or transfer </w:t>
      </w:r>
      <w:r>
        <w:rPr>
          <w:rFonts w:ascii="Times New Roman" w:cs="Times New Roman" w:eastAsia="Times New Roman" w:hAnsi="Times New Roman"/>
          <w:sz w:val="13"/>
          <w:szCs w:val="13"/>
          <w:b w:val="1"/>
          <w:bCs w:val="1"/>
          <w:u w:val="single" w:color="auto"/>
          <w:color w:val="auto"/>
        </w:rPr>
        <w:t>Account Value</w:t>
      </w:r>
      <w:r>
        <w:rPr>
          <w:rFonts w:ascii="Times New Roman" w:cs="Times New Roman" w:eastAsia="Times New Roman" w:hAnsi="Times New Roman"/>
          <w:sz w:val="13"/>
          <w:szCs w:val="13"/>
          <w:b w:val="1"/>
          <w:bCs w:val="1"/>
          <w:color w:val="auto"/>
        </w:rPr>
        <w:t xml:space="preserve"> between Allocation Options. State premium taxes may also be deducted.</w:t>
      </w:r>
      <w:r>
        <w:rPr>
          <w:rFonts w:ascii="Times New Roman" w:cs="Times New Roman" w:eastAsia="Times New Roman" w:hAnsi="Times New Roman"/>
          <w:sz w:val="13"/>
          <w:szCs w:val="13"/>
          <w:color w:val="auto"/>
        </w:rPr>
        <w:t xml:space="preserve"> </w:t>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Transaction Expenses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Withdrawal Charge</w:t>
            </w:r>
            <w:r>
              <w:rPr>
                <w:rFonts w:ascii="Times New Roman" w:cs="Times New Roman" w:eastAsia="Times New Roman" w:hAnsi="Times New Roman"/>
                <w:sz w:val="17"/>
                <w:szCs w:val="17"/>
                <w:color w:val="auto"/>
                <w:vertAlign w:val="superscript"/>
              </w:rPr>
              <w:t>(1)</w:t>
            </w:r>
          </w:p>
        </w:tc>
        <w:tc>
          <w:tcPr>
            <w:tcW w:w="1420" w:type="dxa"/>
            <w:vAlign w:val="bottom"/>
          </w:tcPr>
          <w:p>
            <w:pPr>
              <w:spacing w:after="0"/>
              <w:rPr>
                <w:sz w:val="17"/>
                <w:szCs w:val="17"/>
                <w:color w:val="auto"/>
              </w:rPr>
            </w:pPr>
          </w:p>
        </w:tc>
      </w:tr>
      <w:tr>
        <w:trPr>
          <w:trHeight w:val="172"/>
        </w:trPr>
        <w:tc>
          <w:tcPr>
            <w:tcW w:w="5720" w:type="dxa"/>
            <w:vAlign w:val="bottom"/>
          </w:tcPr>
          <w:p>
            <w:pPr>
              <w:spacing w:after="0"/>
              <w:rPr>
                <w:sz w:val="20"/>
                <w:szCs w:val="20"/>
                <w:color w:val="auto"/>
              </w:rPr>
            </w:pPr>
            <w:r>
              <w:rPr>
                <w:rFonts w:ascii="Times New Roman" w:cs="Times New Roman" w:eastAsia="Times New Roman" w:hAnsi="Times New Roman"/>
                <w:sz w:val="13"/>
                <w:szCs w:val="13"/>
                <w:color w:val="auto"/>
              </w:rPr>
              <w:t>(as a percentage of the amount withdrawn in excess of the Free Withdrawal Amount)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37465</wp:posOffset>
            </wp:positionV>
            <wp:extent cx="4573270" cy="4445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2">
                      <a:extLst>
                        <a:ext uri="{28A0092B-C50C-407E-A947-70E740481C1C}"/>
                      </a:extLst>
                    </a:blip>
                    <a:srcRect/>
                    <a:stretch>
                      <a:fillRect/>
                    </a:stretch>
                  </pic:blipFill>
                  <pic:spPr bwMode="auto">
                    <a:xfrm>
                      <a:off x="0" y="0"/>
                      <a:ext cx="4573270" cy="44450"/>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auto"/>
        </w:rPr>
        <w:t>(1)</w:t>
      </w:r>
    </w:p>
    <w:p>
      <w:pPr>
        <w:jc w:val="both"/>
        <w:ind w:left="240" w:right="2719"/>
        <w:spacing w:after="0" w:line="230" w:lineRule="auto"/>
        <w:rPr>
          <w:sz w:val="20"/>
          <w:szCs w:val="20"/>
          <w:color w:val="auto"/>
        </w:rPr>
      </w:pPr>
      <w:r>
        <w:rPr>
          <w:rFonts w:ascii="Times New Roman" w:cs="Times New Roman" w:eastAsia="Times New Roman" w:hAnsi="Times New Roman"/>
          <w:sz w:val="12"/>
          <w:szCs w:val="12"/>
          <w:color w:val="auto"/>
        </w:rPr>
        <w:t>The Withdrawal Charge is not assessed during the Annuity Period and in certain other instances. See “When No Withdrawal Charge Applies” under “CHARGES, FEES, AND ADJUSTMENTS” section in the prospectus for a list of withdrawal charge waivers. Withdrawal Charges are calculated at the time of each withdrawal in accordance with the following schedule (See “Withdrawal Charge” under “CHARGES, FEES,</w:t>
      </w:r>
    </w:p>
    <w:p>
      <w:pPr>
        <w:ind w:left="240"/>
        <w:spacing w:after="0"/>
        <w:rPr>
          <w:sz w:val="20"/>
          <w:szCs w:val="20"/>
          <w:color w:val="auto"/>
        </w:rPr>
      </w:pPr>
      <w:r>
        <w:rPr>
          <w:rFonts w:ascii="Times New Roman" w:cs="Times New Roman" w:eastAsia="Times New Roman" w:hAnsi="Times New Roman"/>
          <w:sz w:val="12"/>
          <w:szCs w:val="12"/>
          <w:color w:val="auto"/>
        </w:rPr>
        <w:t>AND ADJUSTMENTS” section in the prospectus for more information).</w:t>
      </w:r>
    </w:p>
    <w:p>
      <w:pPr>
        <w:spacing w:after="0" w:line="98" w:lineRule="exact"/>
        <w:rPr>
          <w:sz w:val="20"/>
          <w:szCs w:val="20"/>
          <w:color w:val="auto"/>
        </w:rPr>
      </w:pPr>
    </w:p>
    <w:tbl>
      <w:tblPr>
        <w:tblLayout w:type="fixed"/>
        <w:tblInd w:w="1520" w:type="dxa"/>
        <w:tblCellMar>
          <w:top w:w="0" w:type="dxa"/>
          <w:left w:w="0" w:type="dxa"/>
          <w:bottom w:w="0" w:type="dxa"/>
          <w:right w:w="0" w:type="dxa"/>
        </w:tblCellMar>
      </w:tblPr>
      <w:tr>
        <w:trPr>
          <w:trHeight w:val="154"/>
        </w:trPr>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Number of Complete</w:t>
            </w:r>
          </w:p>
        </w:tc>
        <w:tc>
          <w:tcPr>
            <w:tcW w:w="1100" w:type="dxa"/>
            <w:vAlign w:val="bottom"/>
          </w:tcPr>
          <w:p>
            <w:pPr>
              <w:spacing w:after="0"/>
              <w:rPr>
                <w:sz w:val="13"/>
                <w:szCs w:val="13"/>
                <w:color w:val="auto"/>
              </w:rPr>
            </w:pPr>
          </w:p>
        </w:tc>
        <w:tc>
          <w:tcPr>
            <w:tcW w:w="1680" w:type="dxa"/>
            <w:vAlign w:val="bottom"/>
            <w:gridSpan w:val="2"/>
          </w:tcPr>
          <w:p>
            <w:pPr>
              <w:jc w:val="center"/>
              <w:ind w:right="780"/>
              <w:spacing w:after="0"/>
              <w:rPr>
                <w:sz w:val="20"/>
                <w:szCs w:val="20"/>
                <w:color w:val="auto"/>
              </w:rPr>
            </w:pPr>
            <w:r>
              <w:rPr>
                <w:rFonts w:ascii="Times New Roman" w:cs="Times New Roman" w:eastAsia="Times New Roman" w:hAnsi="Times New Roman"/>
                <w:sz w:val="12"/>
                <w:szCs w:val="12"/>
                <w:color w:val="auto"/>
                <w:w w:val="95"/>
              </w:rPr>
              <w:t>Withdrawal</w:t>
            </w:r>
          </w:p>
        </w:tc>
      </w:tr>
      <w:tr>
        <w:trPr>
          <w:trHeight w:val="152"/>
        </w:trPr>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Contract Years since Issue Date</w:t>
            </w:r>
          </w:p>
        </w:tc>
        <w:tc>
          <w:tcPr>
            <w:tcW w:w="110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Charge percentage</w:t>
            </w:r>
          </w:p>
        </w:tc>
        <w:tc>
          <w:tcPr>
            <w:tcW w:w="780" w:type="dxa"/>
            <w:vAlign w:val="bottom"/>
          </w:tcPr>
          <w:p>
            <w:pPr>
              <w:spacing w:after="0"/>
              <w:rPr>
                <w:sz w:val="13"/>
                <w:szCs w:val="13"/>
                <w:color w:val="auto"/>
              </w:rPr>
            </w:pPr>
          </w:p>
        </w:tc>
      </w:tr>
      <w:tr>
        <w:trPr>
          <w:trHeight w:val="178"/>
        </w:trPr>
        <w:tc>
          <w:tcPr>
            <w:tcW w:w="152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2000" w:type="dxa"/>
            <w:vAlign w:val="bottom"/>
            <w:tcBorders>
              <w:bottom w:val="single" w:sz="8" w:color="F0FFFF"/>
            </w:tcBorders>
            <w:gridSpan w:val="2"/>
            <w:shd w:val="clear" w:color="auto" w:fill="F0FFFF"/>
          </w:tcPr>
          <w:p>
            <w:pPr>
              <w:jc w:val="center"/>
              <w:ind w:left="1040"/>
              <w:spacing w:after="0"/>
              <w:rPr>
                <w:sz w:val="20"/>
                <w:szCs w:val="20"/>
                <w:color w:val="auto"/>
              </w:rPr>
            </w:pPr>
            <w:r>
              <w:rPr>
                <w:rFonts w:ascii="Times New Roman" w:cs="Times New Roman" w:eastAsia="Times New Roman" w:hAnsi="Times New Roman"/>
                <w:sz w:val="12"/>
                <w:szCs w:val="12"/>
                <w:color w:val="auto"/>
                <w:w w:val="87"/>
              </w:rPr>
              <w:t>7%</w:t>
            </w:r>
          </w:p>
        </w:tc>
        <w:tc>
          <w:tcPr>
            <w:tcW w:w="780" w:type="dxa"/>
            <w:vAlign w:val="bottom"/>
            <w:tcBorders>
              <w:bottom w:val="single" w:sz="8" w:color="F0FFFF"/>
            </w:tcBorders>
            <w:shd w:val="clear" w:color="auto" w:fill="F0FFFF"/>
          </w:tcPr>
          <w:p>
            <w:pPr>
              <w:spacing w:after="0"/>
              <w:rPr>
                <w:sz w:val="15"/>
                <w:szCs w:val="15"/>
                <w:color w:val="auto"/>
              </w:rPr>
            </w:pPr>
          </w:p>
        </w:tc>
      </w:tr>
      <w:tr>
        <w:trPr>
          <w:trHeight w:val="185"/>
        </w:trPr>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2000" w:type="dxa"/>
            <w:vAlign w:val="bottom"/>
            <w:gridSpan w:val="2"/>
          </w:tcPr>
          <w:p>
            <w:pPr>
              <w:jc w:val="center"/>
              <w:ind w:left="1040"/>
              <w:spacing w:after="0"/>
              <w:rPr>
                <w:sz w:val="20"/>
                <w:szCs w:val="20"/>
                <w:color w:val="auto"/>
              </w:rPr>
            </w:pPr>
            <w:r>
              <w:rPr>
                <w:rFonts w:ascii="Times New Roman" w:cs="Times New Roman" w:eastAsia="Times New Roman" w:hAnsi="Times New Roman"/>
                <w:sz w:val="12"/>
                <w:szCs w:val="12"/>
                <w:color w:val="auto"/>
                <w:w w:val="87"/>
              </w:rPr>
              <w:t>7%</w:t>
            </w:r>
          </w:p>
        </w:tc>
        <w:tc>
          <w:tcPr>
            <w:tcW w:w="780" w:type="dxa"/>
            <w:vAlign w:val="bottom"/>
          </w:tcPr>
          <w:p>
            <w:pPr>
              <w:spacing w:after="0"/>
              <w:rPr>
                <w:sz w:val="16"/>
                <w:szCs w:val="16"/>
                <w:color w:val="auto"/>
              </w:rPr>
            </w:pPr>
          </w:p>
        </w:tc>
      </w:tr>
      <w:tr>
        <w:trPr>
          <w:trHeight w:val="43"/>
        </w:trPr>
        <w:tc>
          <w:tcPr>
            <w:tcW w:w="1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08"/>
        </w:trPr>
        <w:tc>
          <w:tcPr>
            <w:tcW w:w="152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2"/>
                <w:szCs w:val="12"/>
                <w:color w:val="auto"/>
                <w:w w:val="99"/>
              </w:rPr>
              <w:t>2</w:t>
            </w:r>
          </w:p>
        </w:tc>
        <w:tc>
          <w:tcPr>
            <w:tcW w:w="2000" w:type="dxa"/>
            <w:vAlign w:val="bottom"/>
            <w:tcBorders>
              <w:bottom w:val="single" w:sz="8" w:color="F0FFFF"/>
            </w:tcBorders>
            <w:gridSpan w:val="2"/>
            <w:shd w:val="clear" w:color="auto" w:fill="F0FFFF"/>
          </w:tcPr>
          <w:p>
            <w:pPr>
              <w:jc w:val="center"/>
              <w:ind w:left="1040"/>
              <w:spacing w:after="0"/>
              <w:rPr>
                <w:sz w:val="20"/>
                <w:szCs w:val="20"/>
                <w:color w:val="auto"/>
              </w:rPr>
            </w:pPr>
            <w:r>
              <w:rPr>
                <w:rFonts w:ascii="Times New Roman" w:cs="Times New Roman" w:eastAsia="Times New Roman" w:hAnsi="Times New Roman"/>
                <w:sz w:val="12"/>
                <w:szCs w:val="12"/>
                <w:color w:val="auto"/>
                <w:w w:val="87"/>
              </w:rPr>
              <w:t>6%</w:t>
            </w:r>
          </w:p>
        </w:tc>
        <w:tc>
          <w:tcPr>
            <w:tcW w:w="780" w:type="dxa"/>
            <w:vAlign w:val="bottom"/>
            <w:tcBorders>
              <w:bottom w:val="single" w:sz="8" w:color="F0FFFF"/>
            </w:tcBorders>
            <w:shd w:val="clear" w:color="auto" w:fill="F0FFFF"/>
          </w:tcPr>
          <w:p>
            <w:pPr>
              <w:spacing w:after="0"/>
              <w:rPr>
                <w:sz w:val="18"/>
                <w:szCs w:val="18"/>
                <w:color w:val="auto"/>
              </w:rPr>
            </w:pPr>
          </w:p>
        </w:tc>
      </w:tr>
      <w:tr>
        <w:trPr>
          <w:trHeight w:val="185"/>
        </w:trPr>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2000" w:type="dxa"/>
            <w:vAlign w:val="bottom"/>
            <w:gridSpan w:val="2"/>
          </w:tcPr>
          <w:p>
            <w:pPr>
              <w:jc w:val="center"/>
              <w:ind w:left="1040"/>
              <w:spacing w:after="0"/>
              <w:rPr>
                <w:sz w:val="20"/>
                <w:szCs w:val="20"/>
                <w:color w:val="auto"/>
              </w:rPr>
            </w:pPr>
            <w:r>
              <w:rPr>
                <w:rFonts w:ascii="Times New Roman" w:cs="Times New Roman" w:eastAsia="Times New Roman" w:hAnsi="Times New Roman"/>
                <w:sz w:val="12"/>
                <w:szCs w:val="12"/>
                <w:color w:val="auto"/>
                <w:w w:val="87"/>
              </w:rPr>
              <w:t>5%</w:t>
            </w:r>
          </w:p>
        </w:tc>
        <w:tc>
          <w:tcPr>
            <w:tcW w:w="780" w:type="dxa"/>
            <w:vAlign w:val="bottom"/>
          </w:tcPr>
          <w:p>
            <w:pPr>
              <w:spacing w:after="0"/>
              <w:rPr>
                <w:sz w:val="16"/>
                <w:szCs w:val="16"/>
                <w:color w:val="auto"/>
              </w:rPr>
            </w:pPr>
          </w:p>
        </w:tc>
      </w:tr>
      <w:tr>
        <w:trPr>
          <w:trHeight w:val="43"/>
        </w:trPr>
        <w:tc>
          <w:tcPr>
            <w:tcW w:w="1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08"/>
        </w:trPr>
        <w:tc>
          <w:tcPr>
            <w:tcW w:w="152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2000" w:type="dxa"/>
            <w:vAlign w:val="bottom"/>
            <w:tcBorders>
              <w:bottom w:val="single" w:sz="8" w:color="F0FFFF"/>
            </w:tcBorders>
            <w:gridSpan w:val="2"/>
            <w:shd w:val="clear" w:color="auto" w:fill="F0FFFF"/>
          </w:tcPr>
          <w:p>
            <w:pPr>
              <w:jc w:val="center"/>
              <w:ind w:left="1040"/>
              <w:spacing w:after="0"/>
              <w:rPr>
                <w:sz w:val="20"/>
                <w:szCs w:val="20"/>
                <w:color w:val="auto"/>
              </w:rPr>
            </w:pPr>
            <w:r>
              <w:rPr>
                <w:rFonts w:ascii="Times New Roman" w:cs="Times New Roman" w:eastAsia="Times New Roman" w:hAnsi="Times New Roman"/>
                <w:sz w:val="12"/>
                <w:szCs w:val="12"/>
                <w:color w:val="auto"/>
                <w:w w:val="87"/>
              </w:rPr>
              <w:t>4%</w:t>
            </w:r>
          </w:p>
        </w:tc>
        <w:tc>
          <w:tcPr>
            <w:tcW w:w="780" w:type="dxa"/>
            <w:vAlign w:val="bottom"/>
            <w:tcBorders>
              <w:bottom w:val="single" w:sz="8" w:color="F0FFFF"/>
            </w:tcBorders>
            <w:shd w:val="clear" w:color="auto" w:fill="F0FFFF"/>
          </w:tcPr>
          <w:p>
            <w:pPr>
              <w:spacing w:after="0"/>
              <w:rPr>
                <w:sz w:val="18"/>
                <w:szCs w:val="18"/>
                <w:color w:val="auto"/>
              </w:rPr>
            </w:pPr>
          </w:p>
        </w:tc>
      </w:tr>
      <w:tr>
        <w:trPr>
          <w:trHeight w:val="185"/>
        </w:trPr>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w:t>
            </w:r>
          </w:p>
        </w:tc>
        <w:tc>
          <w:tcPr>
            <w:tcW w:w="2000" w:type="dxa"/>
            <w:vAlign w:val="bottom"/>
            <w:gridSpan w:val="2"/>
          </w:tcPr>
          <w:p>
            <w:pPr>
              <w:jc w:val="center"/>
              <w:ind w:left="1040"/>
              <w:spacing w:after="0"/>
              <w:rPr>
                <w:sz w:val="20"/>
                <w:szCs w:val="20"/>
                <w:color w:val="auto"/>
              </w:rPr>
            </w:pPr>
            <w:r>
              <w:rPr>
                <w:rFonts w:ascii="Times New Roman" w:cs="Times New Roman" w:eastAsia="Times New Roman" w:hAnsi="Times New Roman"/>
                <w:sz w:val="12"/>
                <w:szCs w:val="12"/>
                <w:color w:val="auto"/>
                <w:w w:val="87"/>
              </w:rPr>
              <w:t>3%</w:t>
            </w:r>
          </w:p>
        </w:tc>
        <w:tc>
          <w:tcPr>
            <w:tcW w:w="780" w:type="dxa"/>
            <w:vAlign w:val="bottom"/>
          </w:tcPr>
          <w:p>
            <w:pPr>
              <w:spacing w:after="0"/>
              <w:rPr>
                <w:sz w:val="16"/>
                <w:szCs w:val="16"/>
                <w:color w:val="auto"/>
              </w:rPr>
            </w:pPr>
          </w:p>
        </w:tc>
      </w:tr>
      <w:tr>
        <w:trPr>
          <w:trHeight w:val="43"/>
        </w:trPr>
        <w:tc>
          <w:tcPr>
            <w:tcW w:w="1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85"/>
        </w:trPr>
        <w:tc>
          <w:tcPr>
            <w:tcW w:w="1520" w:type="dxa"/>
            <w:vAlign w:val="bottom"/>
            <w:shd w:val="clear" w:color="auto" w:fill="F0FFFF"/>
          </w:tcPr>
          <w:p>
            <w:pPr>
              <w:jc w:val="center"/>
              <w:spacing w:after="0"/>
              <w:rPr>
                <w:sz w:val="20"/>
                <w:szCs w:val="20"/>
                <w:color w:val="auto"/>
              </w:rPr>
            </w:pPr>
            <w:r>
              <w:rPr>
                <w:rFonts w:ascii="Times New Roman" w:cs="Times New Roman" w:eastAsia="Times New Roman" w:hAnsi="Times New Roman"/>
                <w:sz w:val="12"/>
                <w:szCs w:val="12"/>
                <w:color w:val="auto"/>
                <w:w w:val="98"/>
              </w:rPr>
              <w:t>6 or more</w:t>
            </w:r>
          </w:p>
        </w:tc>
        <w:tc>
          <w:tcPr>
            <w:tcW w:w="2000" w:type="dxa"/>
            <w:vAlign w:val="bottom"/>
            <w:gridSpan w:val="2"/>
            <w:shd w:val="clear" w:color="auto" w:fill="F0FFFF"/>
          </w:tcPr>
          <w:p>
            <w:pPr>
              <w:jc w:val="center"/>
              <w:ind w:left="1040"/>
              <w:spacing w:after="0"/>
              <w:rPr>
                <w:sz w:val="20"/>
                <w:szCs w:val="20"/>
                <w:color w:val="auto"/>
              </w:rPr>
            </w:pPr>
            <w:r>
              <w:rPr>
                <w:rFonts w:ascii="Times New Roman" w:cs="Times New Roman" w:eastAsia="Times New Roman" w:hAnsi="Times New Roman"/>
                <w:sz w:val="12"/>
                <w:szCs w:val="12"/>
                <w:color w:val="auto"/>
                <w:w w:val="87"/>
              </w:rPr>
              <w:t>0%</w:t>
            </w:r>
          </w:p>
        </w:tc>
        <w:tc>
          <w:tcPr>
            <w:tcW w:w="780" w:type="dxa"/>
            <w:vAlign w:val="bottom"/>
            <w:shd w:val="clear" w:color="auto" w:fill="F0FFFF"/>
          </w:tcPr>
          <w:p>
            <w:pPr>
              <w:spacing w:after="0"/>
              <w:rPr>
                <w:sz w:val="16"/>
                <w:szCs w:val="16"/>
                <w:color w:val="auto"/>
              </w:rPr>
            </w:pPr>
          </w:p>
        </w:tc>
      </w:tr>
      <w:tr>
        <w:trPr>
          <w:trHeight w:val="83"/>
        </w:trPr>
        <w:tc>
          <w:tcPr>
            <w:tcW w:w="1520" w:type="dxa"/>
            <w:vAlign w:val="bottom"/>
            <w:shd w:val="clear" w:color="auto" w:fill="F0FFFF"/>
          </w:tcPr>
          <w:p>
            <w:pPr>
              <w:spacing w:after="0"/>
              <w:rPr>
                <w:sz w:val="7"/>
                <w:szCs w:val="7"/>
                <w:color w:val="auto"/>
              </w:rPr>
            </w:pPr>
          </w:p>
        </w:tc>
        <w:tc>
          <w:tcPr>
            <w:tcW w:w="1100" w:type="dxa"/>
            <w:vAlign w:val="bottom"/>
            <w:shd w:val="clear" w:color="auto" w:fill="F0FFFF"/>
          </w:tcPr>
          <w:p>
            <w:pPr>
              <w:spacing w:after="0"/>
              <w:rPr>
                <w:sz w:val="7"/>
                <w:szCs w:val="7"/>
                <w:color w:val="auto"/>
              </w:rPr>
            </w:pPr>
          </w:p>
        </w:tc>
        <w:tc>
          <w:tcPr>
            <w:tcW w:w="900" w:type="dxa"/>
            <w:vAlign w:val="bottom"/>
            <w:shd w:val="clear" w:color="auto" w:fill="F0FFFF"/>
          </w:tcPr>
          <w:p>
            <w:pPr>
              <w:spacing w:after="0"/>
              <w:rPr>
                <w:sz w:val="7"/>
                <w:szCs w:val="7"/>
                <w:color w:val="auto"/>
              </w:rPr>
            </w:pPr>
          </w:p>
        </w:tc>
        <w:tc>
          <w:tcPr>
            <w:tcW w:w="780" w:type="dxa"/>
            <w:vAlign w:val="bottom"/>
            <w:shd w:val="clear" w:color="auto" w:fill="F0FFFF"/>
          </w:tcPr>
          <w:p>
            <w:pPr>
              <w:spacing w:after="0"/>
              <w:rPr>
                <w:sz w:val="7"/>
                <w:szCs w:val="7"/>
                <w:color w:val="auto"/>
              </w:rPr>
            </w:pPr>
          </w:p>
        </w:tc>
      </w:tr>
    </w:tbl>
    <w:p>
      <w:pPr>
        <w:spacing w:after="0" w:line="114" w:lineRule="exact"/>
        <w:rPr>
          <w:sz w:val="20"/>
          <w:szCs w:val="20"/>
          <w:color w:val="auto"/>
        </w:rPr>
      </w:pPr>
    </w:p>
    <w:p>
      <w:pPr>
        <w:ind w:right="2759"/>
        <w:spacing w:after="0" w:line="309" w:lineRule="auto"/>
        <w:rPr>
          <w:sz w:val="20"/>
          <w:szCs w:val="20"/>
          <w:color w:val="auto"/>
        </w:rPr>
      </w:pPr>
      <w:r>
        <w:rPr>
          <w:rFonts w:ascii="Times New Roman" w:cs="Times New Roman" w:eastAsia="Times New Roman" w:hAnsi="Times New Roman"/>
          <w:sz w:val="13"/>
          <w:szCs w:val="13"/>
          <w:b w:val="1"/>
          <w:bCs w:val="1"/>
          <w:color w:val="auto"/>
        </w:rPr>
        <w:t>The next table describes the adjustments, in addition to any transaction expenses, that apply if all or a portion of the Account Value is removed from an Allocation Option or from the Contract before the expiration of a specified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40640</wp:posOffset>
            </wp:positionV>
            <wp:extent cx="4573270" cy="40957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3">
                      <a:extLst>
                        <a:ext uri="{28A0092B-C50C-407E-A947-70E740481C1C}"/>
                      </a:extLst>
                    </a:blip>
                    <a:srcRect/>
                    <a:stretch>
                      <a:fillRect/>
                    </a:stretch>
                  </pic:blipFill>
                  <pic:spPr bwMode="auto">
                    <a:xfrm>
                      <a:off x="0" y="0"/>
                      <a:ext cx="4573270" cy="409575"/>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Interim Value Maximum Potential Loss</w:t>
            </w:r>
            <w:r>
              <w:rPr>
                <w:rFonts w:ascii="Times New Roman" w:cs="Times New Roman" w:eastAsia="Times New Roman" w:hAnsi="Times New Roman"/>
                <w:sz w:val="17"/>
                <w:szCs w:val="17"/>
                <w:color w:val="auto"/>
                <w:vertAlign w:val="superscript"/>
              </w:rPr>
              <w:t>(1)</w:t>
            </w:r>
          </w:p>
        </w:tc>
        <w:tc>
          <w:tcPr>
            <w:tcW w:w="20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100%</w:t>
            </w:r>
            <w:r>
              <w:rPr>
                <w:rFonts w:ascii="Times New Roman" w:cs="Times New Roman" w:eastAsia="Times New Roman" w:hAnsi="Times New Roman"/>
                <w:sz w:val="17"/>
                <w:szCs w:val="17"/>
                <w:color w:val="auto"/>
                <w:vertAlign w:val="superscript"/>
              </w:rPr>
              <w:t>(2)</w:t>
            </w: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Times New Roman" w:cs="Times New Roman" w:eastAsia="Times New Roman" w:hAnsi="Times New Roman"/>
                <w:sz w:val="13"/>
                <w:szCs w:val="13"/>
                <w:color w:val="auto"/>
              </w:rPr>
              <w:t>(as a percentage of the Investment Amount in the Shield Option)</w:t>
            </w: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auto"/>
        </w:rPr>
        <w:t>(1)</w:t>
      </w:r>
    </w:p>
    <w:p>
      <w:pPr>
        <w:ind w:left="240" w:right="2739"/>
        <w:spacing w:after="0" w:line="234" w:lineRule="auto"/>
        <w:rPr>
          <w:sz w:val="20"/>
          <w:szCs w:val="20"/>
          <w:color w:val="auto"/>
        </w:rPr>
      </w:pPr>
      <w:r>
        <w:rPr>
          <w:rFonts w:ascii="Times New Roman" w:cs="Times New Roman" w:eastAsia="Times New Roman" w:hAnsi="Times New Roman"/>
          <w:sz w:val="12"/>
          <w:szCs w:val="12"/>
          <w:color w:val="auto"/>
        </w:rPr>
        <w:t>Between the Term Start Date and the Term End Date, we use the Interim Value to calculate the amount that is available for (1) annuitization; (2) death benefits; (3) withdrawals (including RMDs and systematic withdrawals); (4) Surrenders; and (5) Performance Lock.</w:t>
      </w:r>
    </w:p>
    <w:p>
      <w:pPr>
        <w:spacing w:after="0" w:line="201" w:lineRule="auto"/>
        <w:rPr>
          <w:sz w:val="20"/>
          <w:szCs w:val="20"/>
          <w:color w:val="auto"/>
        </w:rPr>
      </w:pPr>
      <w:r>
        <w:rPr>
          <w:rFonts w:ascii="Times New Roman" w:cs="Times New Roman" w:eastAsia="Times New Roman" w:hAnsi="Times New Roman"/>
          <w:sz w:val="5"/>
          <w:szCs w:val="5"/>
          <w:color w:val="auto"/>
        </w:rPr>
        <w:t>(2)</w:t>
      </w:r>
    </w:p>
    <w:p>
      <w:pPr>
        <w:ind w:left="240"/>
        <w:spacing w:after="0"/>
        <w:rPr>
          <w:sz w:val="20"/>
          <w:szCs w:val="20"/>
          <w:color w:val="auto"/>
        </w:rPr>
      </w:pPr>
      <w:r>
        <w:rPr>
          <w:rFonts w:ascii="Times New Roman" w:cs="Times New Roman" w:eastAsia="Times New Roman" w:hAnsi="Times New Roman"/>
          <w:sz w:val="12"/>
          <w:szCs w:val="12"/>
          <w:color w:val="auto"/>
        </w:rPr>
        <w:t xml:space="preserve">In extreme circumstances, you could lose up to 100% of the value of your </w:t>
      </w:r>
      <w:r>
        <w:rPr>
          <w:rFonts w:ascii="Times New Roman" w:cs="Times New Roman" w:eastAsia="Times New Roman" w:hAnsi="Times New Roman"/>
          <w:sz w:val="12"/>
          <w:szCs w:val="12"/>
          <w:u w:val="single" w:color="auto"/>
          <w:color w:val="auto"/>
        </w:rPr>
        <w:t>Shield Option</w:t>
      </w:r>
      <w:r>
        <w:rPr>
          <w:rFonts w:ascii="Times New Roman" w:cs="Times New Roman" w:eastAsia="Times New Roman" w:hAnsi="Times New Roman"/>
          <w:sz w:val="12"/>
          <w:szCs w:val="12"/>
          <w:color w:val="auto"/>
        </w:rPr>
        <w:t xml:space="preserve"> if you make a withdrawal or </w:t>
      </w:r>
      <w:r>
        <w:rPr>
          <w:rFonts w:ascii="Times New Roman" w:cs="Times New Roman" w:eastAsia="Times New Roman" w:hAnsi="Times New Roman"/>
          <w:sz w:val="12"/>
          <w:szCs w:val="12"/>
          <w:u w:val="single" w:color="auto"/>
          <w:color w:val="auto"/>
        </w:rPr>
        <w:t>Surrender</w:t>
      </w:r>
      <w:r>
        <w:rPr>
          <w:rFonts w:ascii="Times New Roman" w:cs="Times New Roman" w:eastAsia="Times New Roman" w:hAnsi="Times New Roman"/>
          <w:sz w:val="12"/>
          <w:szCs w:val="12"/>
          <w:color w:val="auto"/>
        </w:rPr>
        <w:t xml:space="preserve"> from the</w:t>
      </w:r>
    </w:p>
    <w:p>
      <w:pPr>
        <w:spacing w:after="0" w:line="1" w:lineRule="exact"/>
        <w:rPr>
          <w:sz w:val="20"/>
          <w:szCs w:val="20"/>
          <w:color w:val="auto"/>
        </w:rPr>
      </w:pPr>
    </w:p>
    <w:p>
      <w:pPr>
        <w:ind w:left="240" w:right="2739"/>
        <w:spacing w:after="0" w:line="235" w:lineRule="auto"/>
        <w:rPr>
          <w:sz w:val="20"/>
          <w:szCs w:val="20"/>
          <w:color w:val="auto"/>
        </w:rPr>
      </w:pPr>
      <w:r>
        <w:rPr>
          <w:rFonts w:ascii="Times New Roman" w:cs="Times New Roman" w:eastAsia="Times New Roman" w:hAnsi="Times New Roman"/>
          <w:sz w:val="12"/>
          <w:szCs w:val="12"/>
          <w:u w:val="single" w:color="auto"/>
          <w:color w:val="auto"/>
        </w:rPr>
        <w:t>Shield Options</w:t>
      </w:r>
      <w:r>
        <w:rPr>
          <w:rFonts w:ascii="Times New Roman" w:cs="Times New Roman" w:eastAsia="Times New Roman" w:hAnsi="Times New Roman"/>
          <w:sz w:val="12"/>
          <w:szCs w:val="12"/>
          <w:color w:val="auto"/>
        </w:rPr>
        <w:t xml:space="preserve">, or if you exercise the </w:t>
      </w:r>
      <w:r>
        <w:rPr>
          <w:rFonts w:ascii="Times New Roman" w:cs="Times New Roman" w:eastAsia="Times New Roman" w:hAnsi="Times New Roman"/>
          <w:sz w:val="12"/>
          <w:szCs w:val="12"/>
          <w:u w:val="single" w:color="auto"/>
          <w:color w:val="auto"/>
        </w:rPr>
        <w:t>Performance Lock</w:t>
      </w:r>
      <w:r>
        <w:rPr>
          <w:rFonts w:ascii="Times New Roman" w:cs="Times New Roman" w:eastAsia="Times New Roman" w:hAnsi="Times New Roman"/>
          <w:sz w:val="12"/>
          <w:szCs w:val="12"/>
          <w:color w:val="auto"/>
        </w:rPr>
        <w:t xml:space="preserve"> before the </w:t>
      </w:r>
      <w:r>
        <w:rPr>
          <w:rFonts w:ascii="Times New Roman" w:cs="Times New Roman" w:eastAsia="Times New Roman" w:hAnsi="Times New Roman"/>
          <w:sz w:val="12"/>
          <w:szCs w:val="12"/>
          <w:u w:val="single" w:color="auto"/>
          <w:color w:val="auto"/>
        </w:rPr>
        <w:t>Term End Date</w:t>
      </w:r>
      <w:r>
        <w:rPr>
          <w:rFonts w:ascii="Times New Roman" w:cs="Times New Roman" w:eastAsia="Times New Roman" w:hAnsi="Times New Roman"/>
          <w:sz w:val="12"/>
          <w:szCs w:val="12"/>
          <w:color w:val="auto"/>
        </w:rPr>
        <w:t xml:space="preserve">. The maximum potential loss would only occur if there is a full withdrawal of the </w:t>
      </w:r>
      <w:r>
        <w:rPr>
          <w:rFonts w:ascii="Times New Roman" w:cs="Times New Roman" w:eastAsia="Times New Roman" w:hAnsi="Times New Roman"/>
          <w:sz w:val="12"/>
          <w:szCs w:val="12"/>
          <w:u w:val="single" w:color="auto"/>
          <w:color w:val="auto"/>
        </w:rPr>
        <w:t>Interim Value</w:t>
      </w:r>
      <w:r>
        <w:rPr>
          <w:rFonts w:ascii="Times New Roman" w:cs="Times New Roman" w:eastAsia="Times New Roman" w:hAnsi="Times New Roman"/>
          <w:sz w:val="12"/>
          <w:szCs w:val="12"/>
          <w:color w:val="auto"/>
        </w:rPr>
        <w:t xml:space="preserve"> from the </w:t>
      </w:r>
      <w:r>
        <w:rPr>
          <w:rFonts w:ascii="Times New Roman" w:cs="Times New Roman" w:eastAsia="Times New Roman" w:hAnsi="Times New Roman"/>
          <w:sz w:val="12"/>
          <w:szCs w:val="12"/>
          <w:u w:val="single" w:color="auto"/>
          <w:color w:val="auto"/>
        </w:rPr>
        <w:t>Shield Option</w:t>
      </w:r>
      <w:r>
        <w:rPr>
          <w:rFonts w:ascii="Times New Roman" w:cs="Times New Roman" w:eastAsia="Times New Roman" w:hAnsi="Times New Roman"/>
          <w:sz w:val="12"/>
          <w:szCs w:val="12"/>
          <w:color w:val="auto"/>
        </w:rPr>
        <w:t xml:space="preserve"> or if you exercise the </w:t>
      </w:r>
      <w:r>
        <w:rPr>
          <w:rFonts w:ascii="Times New Roman" w:cs="Times New Roman" w:eastAsia="Times New Roman" w:hAnsi="Times New Roman"/>
          <w:sz w:val="12"/>
          <w:szCs w:val="12"/>
          <w:u w:val="single" w:color="auto"/>
          <w:color w:val="auto"/>
        </w:rPr>
        <w:t>Performance Lock</w:t>
      </w:r>
      <w:r>
        <w:rPr>
          <w:rFonts w:ascii="Times New Roman" w:cs="Times New Roman" w:eastAsia="Times New Roman" w:hAnsi="Times New Roman"/>
          <w:sz w:val="12"/>
          <w:szCs w:val="12"/>
          <w:color w:val="auto"/>
        </w:rPr>
        <w:t xml:space="preserve"> feature before the </w:t>
      </w:r>
      <w:r>
        <w:rPr>
          <w:rFonts w:ascii="Times New Roman" w:cs="Times New Roman" w:eastAsia="Times New Roman" w:hAnsi="Times New Roman"/>
          <w:sz w:val="12"/>
          <w:szCs w:val="12"/>
          <w:u w:val="single" w:color="auto"/>
          <w:color w:val="auto"/>
        </w:rPr>
        <w:t>Term End Date</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The next table describes the fees and expenses that you will pay each year during the time that you own the Contract.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Annual Contract Expenses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357"/>
        </w:trPr>
        <w:tc>
          <w:tcPr>
            <w:tcW w:w="4160" w:type="dxa"/>
            <w:vAlign w:val="bottom"/>
            <w:shd w:val="clear" w:color="auto" w:fill="F0FFFF"/>
          </w:tcPr>
          <w:p>
            <w:pPr>
              <w:spacing w:after="0"/>
              <w:rPr>
                <w:sz w:val="20"/>
                <w:szCs w:val="20"/>
                <w:color w:val="auto"/>
              </w:rPr>
            </w:pPr>
            <w:r>
              <w:rPr>
                <w:rFonts w:ascii="Times New Roman" w:cs="Times New Roman" w:eastAsia="Times New Roman" w:hAnsi="Times New Roman"/>
                <w:sz w:val="13"/>
                <w:szCs w:val="13"/>
                <w:b w:val="1"/>
                <w:bCs w:val="1"/>
                <w:color w:val="auto"/>
              </w:rPr>
              <w:t>Base Contract Expenses</w:t>
            </w:r>
          </w:p>
        </w:tc>
        <w:tc>
          <w:tcPr>
            <w:tcW w:w="29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0" w:type="dxa"/>
            <w:vAlign w:val="bottom"/>
          </w:tcPr>
          <w:p>
            <w:pPr>
              <w:spacing w:after="0"/>
              <w:rPr>
                <w:sz w:val="24"/>
                <w:szCs w:val="24"/>
                <w:color w:val="auto"/>
              </w:rPr>
            </w:pPr>
          </w:p>
        </w:tc>
      </w:tr>
      <w:tr>
        <w:trPr>
          <w:trHeight w:val="89"/>
        </w:trPr>
        <w:tc>
          <w:tcPr>
            <w:tcW w:w="4160" w:type="dxa"/>
            <w:vAlign w:val="bottom"/>
            <w:tcBorders>
              <w:bottom w:val="single" w:sz="8" w:color="auto"/>
            </w:tcBorders>
            <w:shd w:val="clear" w:color="auto" w:fill="F0FFFF"/>
          </w:tcPr>
          <w:p>
            <w:pPr>
              <w:spacing w:after="0"/>
              <w:rPr>
                <w:sz w:val="7"/>
                <w:szCs w:val="7"/>
                <w:color w:val="auto"/>
              </w:rPr>
            </w:pPr>
          </w:p>
        </w:tc>
        <w:tc>
          <w:tcPr>
            <w:tcW w:w="2980" w:type="dxa"/>
            <w:vAlign w:val="bottom"/>
            <w:tcBorders>
              <w:bottom w:val="single" w:sz="8" w:color="auto"/>
            </w:tcBorders>
            <w:shd w:val="clear" w:color="auto" w:fill="F0FFFF"/>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4526915</wp:posOffset>
            </wp:positionH>
            <wp:positionV relativeFrom="paragraph">
              <wp:posOffset>-31115</wp:posOffset>
            </wp:positionV>
            <wp:extent cx="31750" cy="4445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4">
                      <a:extLst>
                        <a:ext uri="{28A0092B-C50C-407E-A947-70E740481C1C}"/>
                      </a:extLst>
                    </a:blip>
                    <a:srcRect/>
                    <a:stretch>
                      <a:fillRect/>
                    </a:stretch>
                  </pic:blipFill>
                  <pic:spPr bwMode="auto">
                    <a:xfrm>
                      <a:off x="0" y="0"/>
                      <a:ext cx="31750" cy="4445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-31115</wp:posOffset>
            </wp:positionV>
            <wp:extent cx="31750" cy="4445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5">
                      <a:extLst>
                        <a:ext uri="{28A0092B-C50C-407E-A947-70E740481C1C}"/>
                      </a:extLst>
                    </a:blip>
                    <a:srcRect/>
                    <a:stretch>
                      <a:fillRect/>
                    </a:stretch>
                  </pic:blipFill>
                  <pic:spPr bwMode="auto">
                    <a:xfrm>
                      <a:off x="0" y="0"/>
                      <a:ext cx="31750" cy="444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color w:val="auto"/>
        </w:rPr>
        <w:t> </w:t>
      </w:r>
    </w:p>
    <w:p>
      <w:pPr>
        <w:spacing w:after="0" w:line="47" w:lineRule="exact"/>
        <w:rPr>
          <w:sz w:val="20"/>
          <w:szCs w:val="20"/>
          <w:color w:val="auto"/>
        </w:rPr>
      </w:pPr>
    </w:p>
    <w:p>
      <w:pPr>
        <w:ind w:right="2699"/>
        <w:spacing w:after="0" w:line="298" w:lineRule="auto"/>
        <w:rPr>
          <w:sz w:val="20"/>
          <w:szCs w:val="20"/>
          <w:color w:val="auto"/>
        </w:rPr>
      </w:pPr>
      <w:r>
        <w:rPr>
          <w:rFonts w:ascii="Times New Roman" w:cs="Times New Roman" w:eastAsia="Times New Roman" w:hAnsi="Times New Roman"/>
          <w:sz w:val="13"/>
          <w:szCs w:val="13"/>
          <w:b w:val="1"/>
          <w:bCs w:val="1"/>
          <w:color w:val="auto"/>
        </w:rPr>
        <w:t>In addition to the fees described above, we limit the amount you can earn on the Shield Options. This means your returns may be lower than the Index’s returns. In return for accepting this limit on Index gains, you will receive some protection from Index losses.</w:t>
      </w:r>
    </w:p>
    <w:p>
      <w:pPr>
        <w:spacing w:after="0" w:line="21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3"/>
          <w:szCs w:val="13"/>
          <w:color w:val="auto"/>
        </w:rPr>
        <w:t>17</w:t>
      </w:r>
    </w:p>
    <w:p>
      <w:pPr>
        <w:sectPr>
          <w:pgSz w:w="11900" w:h="16838" w:orient="portrait"/>
          <w:cols w:equalWidth="0" w:num="1">
            <w:col w:w="9799"/>
          </w:cols>
          <w:pgMar w:left="660" w:top="1166" w:right="1440" w:bottom="1440" w:gutter="0" w:footer="0" w:header="0"/>
        </w:sectPr>
      </w:pPr>
    </w:p>
    <w:bookmarkStart w:id="150" w:name="page151"/>
    <w:bookmarkEnd w:id="1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6">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3520" w:type="dxa"/>
            <w:vAlign w:val="bottom"/>
            <w:vMerge w:val="restart"/>
          </w:tcPr>
          <w:p>
            <w:pPr>
              <w:ind w:left="820"/>
              <w:spacing w:after="0"/>
              <w:rPr>
                <w:sz w:val="20"/>
                <w:szCs w:val="20"/>
                <w:color w:val="auto"/>
              </w:rPr>
            </w:pPr>
            <w:r>
              <w:rPr>
                <w:rFonts w:ascii="Times New Roman" w:cs="Times New Roman" w:eastAsia="Times New Roman" w:hAnsi="Times New Roman"/>
                <w:sz w:val="13"/>
                <w:szCs w:val="13"/>
                <w:color w:val="auto"/>
                <w:w w:val="99"/>
              </w:rPr>
              <w:t>(THIS PAGE INTENTIONALLY LEFT BLANK.)</w:t>
            </w:r>
          </w:p>
        </w:tc>
        <w:tc>
          <w:tcPr>
            <w:tcW w:w="0" w:type="dxa"/>
            <w:vAlign w:val="bottom"/>
          </w:tcPr>
          <w:p>
            <w:pPr>
              <w:spacing w:after="0"/>
              <w:rPr>
                <w:sz w:val="1"/>
                <w:szCs w:val="1"/>
                <w:color w:val="auto"/>
              </w:rPr>
            </w:pPr>
          </w:p>
        </w:tc>
      </w:tr>
      <w:tr>
        <w:trPr>
          <w:trHeight w:val="57"/>
        </w:trPr>
        <w:tc>
          <w:tcPr>
            <w:tcW w:w="860" w:type="dxa"/>
            <w:vAlign w:val="bottom"/>
          </w:tcPr>
          <w:p>
            <w:pPr>
              <w:spacing w:after="0"/>
              <w:rPr>
                <w:sz w:val="4"/>
                <w:szCs w:val="4"/>
                <w:color w:val="auto"/>
              </w:rPr>
            </w:pPr>
          </w:p>
        </w:tc>
        <w:tc>
          <w:tcPr>
            <w:tcW w:w="3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9259"/>
          </w:cols>
          <w:pgMar w:left="1200" w:top="1440" w:right="1440" w:bottom="1440" w:gutter="0" w:footer="0" w:header="0"/>
        </w:sectPr>
      </w:pPr>
    </w:p>
    <w:bookmarkStart w:id="151" w:name="page152"/>
    <w:bookmarkEnd w:id="151"/>
    <w:p>
      <w:pPr>
        <w:jc w:val="center"/>
        <w:ind w:right="265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7">
                      <a:extLst>
                        <a:ext uri="{28A0092B-C50C-407E-A947-70E740481C1C}"/>
                      </a:extLst>
                    </a:blip>
                    <a:srcRect/>
                    <a:stretch>
                      <a:fillRect/>
                    </a:stretch>
                  </pic:blipFill>
                  <pic:spPr bwMode="auto">
                    <a:xfrm>
                      <a:off x="0" y="0"/>
                      <a:ext cx="7193915" cy="38100"/>
                    </a:xfrm>
                    <a:prstGeom prst="rect">
                      <a:avLst/>
                    </a:prstGeom>
                    <a:noFill/>
                  </pic:spPr>
                </pic:pic>
              </a:graphicData>
            </a:graphic>
          </wp:anchor>
        </w:drawing>
        <w:t>APPENDIX A</w:t>
      </w:r>
    </w:p>
    <w:p>
      <w:pPr>
        <w:spacing w:after="0" w:line="89" w:lineRule="exact"/>
        <w:rPr>
          <w:sz w:val="20"/>
          <w:szCs w:val="20"/>
          <w:color w:val="auto"/>
        </w:rPr>
      </w:pPr>
    </w:p>
    <w:p>
      <w:pPr>
        <w:jc w:val="center"/>
        <w:ind w:right="2659"/>
        <w:spacing w:after="0"/>
        <w:rPr>
          <w:sz w:val="20"/>
          <w:szCs w:val="20"/>
          <w:color w:val="auto"/>
        </w:rPr>
      </w:pPr>
      <w:r>
        <w:rPr>
          <w:rFonts w:ascii="Times New Roman" w:cs="Times New Roman" w:eastAsia="Times New Roman" w:hAnsi="Times New Roman"/>
          <w:sz w:val="13"/>
          <w:szCs w:val="13"/>
          <w:b w:val="1"/>
          <w:bCs w:val="1"/>
          <w:color w:val="auto"/>
        </w:rPr>
        <w:t>INVESTMENT OPTIONS AVAILABLE UNDER THE CONTRACT</w:t>
      </w:r>
    </w:p>
    <w:p>
      <w:pPr>
        <w:spacing w:after="0" w:line="91" w:lineRule="exact"/>
        <w:rPr>
          <w:sz w:val="20"/>
          <w:szCs w:val="20"/>
          <w:color w:val="auto"/>
        </w:rPr>
      </w:pPr>
    </w:p>
    <w:p>
      <w:pPr>
        <w:jc w:val="both"/>
        <w:ind w:right="2659" w:firstLine="264"/>
        <w:spacing w:after="0" w:line="267" w:lineRule="auto"/>
        <w:rPr>
          <w:sz w:val="20"/>
          <w:szCs w:val="20"/>
          <w:color w:val="auto"/>
        </w:rPr>
      </w:pPr>
      <w:r>
        <w:rPr>
          <w:rFonts w:ascii="Times New Roman" w:cs="Times New Roman" w:eastAsia="Times New Roman" w:hAnsi="Times New Roman"/>
          <w:sz w:val="13"/>
          <w:szCs w:val="13"/>
          <w:color w:val="auto"/>
        </w:rPr>
        <w:t xml:space="preserve">The following is a list of </w:t>
      </w:r>
      <w:r>
        <w:rPr>
          <w:rFonts w:ascii="Times New Roman" w:cs="Times New Roman" w:eastAsia="Times New Roman" w:hAnsi="Times New Roman"/>
          <w:sz w:val="13"/>
          <w:szCs w:val="13"/>
          <w:u w:val="single" w:color="auto"/>
          <w:color w:val="auto"/>
        </w:rPr>
        <w:t>Shield Options</w:t>
      </w:r>
      <w:r>
        <w:rPr>
          <w:rFonts w:ascii="Times New Roman" w:cs="Times New Roman" w:eastAsia="Times New Roman" w:hAnsi="Times New Roman"/>
          <w:sz w:val="13"/>
          <w:szCs w:val="13"/>
          <w:color w:val="auto"/>
        </w:rPr>
        <w:t xml:space="preserve"> currently available under the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We may change the features of the </w:t>
      </w:r>
      <w:r>
        <w:rPr>
          <w:rFonts w:ascii="Times New Roman" w:cs="Times New Roman" w:eastAsia="Times New Roman" w:hAnsi="Times New Roman"/>
          <w:sz w:val="13"/>
          <w:szCs w:val="13"/>
          <w:u w:val="single" w:color="auto"/>
          <w:color w:val="auto"/>
        </w:rPr>
        <w:t>Shield Options</w:t>
      </w:r>
      <w:r>
        <w:rPr>
          <w:rFonts w:ascii="Times New Roman" w:cs="Times New Roman" w:eastAsia="Times New Roman" w:hAnsi="Times New Roman"/>
          <w:sz w:val="13"/>
          <w:szCs w:val="13"/>
          <w:color w:val="auto"/>
        </w:rPr>
        <w:t xml:space="preserve"> listed below (including the </w:t>
      </w:r>
      <w:r>
        <w:rPr>
          <w:rFonts w:ascii="Times New Roman" w:cs="Times New Roman" w:eastAsia="Times New Roman" w:hAnsi="Times New Roman"/>
          <w:sz w:val="13"/>
          <w:szCs w:val="13"/>
          <w:u w:val="single" w:color="auto"/>
          <w:color w:val="auto"/>
        </w:rPr>
        <w:t>Index</w:t>
      </w:r>
      <w:r>
        <w:rPr>
          <w:rFonts w:ascii="Times New Roman" w:cs="Times New Roman" w:eastAsia="Times New Roman" w:hAnsi="Times New Roman"/>
          <w:sz w:val="13"/>
          <w:szCs w:val="13"/>
          <w:color w:val="auto"/>
        </w:rPr>
        <w:t xml:space="preserve"> and the current limits on </w:t>
      </w:r>
      <w:r>
        <w:rPr>
          <w:rFonts w:ascii="Times New Roman" w:cs="Times New Roman" w:eastAsia="Times New Roman" w:hAnsi="Times New Roman"/>
          <w:sz w:val="13"/>
          <w:szCs w:val="13"/>
          <w:u w:val="single" w:color="auto"/>
          <w:color w:val="auto"/>
        </w:rPr>
        <w:t>Index</w:t>
      </w:r>
      <w:r>
        <w:rPr>
          <w:rFonts w:ascii="Times New Roman" w:cs="Times New Roman" w:eastAsia="Times New Roman" w:hAnsi="Times New Roman"/>
          <w:sz w:val="13"/>
          <w:szCs w:val="13"/>
          <w:color w:val="auto"/>
        </w:rPr>
        <w:t xml:space="preserve"> gains and losses), offer new </w:t>
      </w:r>
      <w:r>
        <w:rPr>
          <w:rFonts w:ascii="Times New Roman" w:cs="Times New Roman" w:eastAsia="Times New Roman" w:hAnsi="Times New Roman"/>
          <w:sz w:val="13"/>
          <w:szCs w:val="13"/>
          <w:u w:val="single" w:color="auto"/>
          <w:color w:val="auto"/>
        </w:rPr>
        <w:t>Shield Options</w:t>
      </w:r>
      <w:r>
        <w:rPr>
          <w:rFonts w:ascii="Times New Roman" w:cs="Times New Roman" w:eastAsia="Times New Roman" w:hAnsi="Times New Roman"/>
          <w:sz w:val="13"/>
          <w:szCs w:val="13"/>
          <w:color w:val="auto"/>
        </w:rPr>
        <w:t xml:space="preserve"> , and terminate existing </w:t>
      </w:r>
      <w:r>
        <w:rPr>
          <w:rFonts w:ascii="Times New Roman" w:cs="Times New Roman" w:eastAsia="Times New Roman" w:hAnsi="Times New Roman"/>
          <w:sz w:val="13"/>
          <w:szCs w:val="13"/>
          <w:u w:val="single" w:color="auto"/>
          <w:color w:val="auto"/>
        </w:rPr>
        <w:t>Shield Options</w:t>
      </w:r>
      <w:r>
        <w:rPr>
          <w:rFonts w:ascii="Times New Roman" w:cs="Times New Roman" w:eastAsia="Times New Roman" w:hAnsi="Times New Roman"/>
          <w:sz w:val="13"/>
          <w:szCs w:val="13"/>
          <w:color w:val="auto"/>
        </w:rPr>
        <w:t xml:space="preserve">. We will provide you with written notice before making any changes other than changes to current limits on </w:t>
      </w:r>
      <w:r>
        <w:rPr>
          <w:rFonts w:ascii="Times New Roman" w:cs="Times New Roman" w:eastAsia="Times New Roman" w:hAnsi="Times New Roman"/>
          <w:sz w:val="13"/>
          <w:szCs w:val="13"/>
          <w:u w:val="single" w:color="auto"/>
          <w:color w:val="auto"/>
        </w:rPr>
        <w:t>Index</w:t>
      </w:r>
      <w:r>
        <w:rPr>
          <w:rFonts w:ascii="Times New Roman" w:cs="Times New Roman" w:eastAsia="Times New Roman" w:hAnsi="Times New Roman"/>
          <w:sz w:val="13"/>
          <w:szCs w:val="13"/>
          <w:color w:val="auto"/>
        </w:rPr>
        <w:t xml:space="preserve"> gains. Information about current limits on </w:t>
      </w:r>
      <w:r>
        <w:rPr>
          <w:rFonts w:ascii="Times New Roman" w:cs="Times New Roman" w:eastAsia="Times New Roman" w:hAnsi="Times New Roman"/>
          <w:sz w:val="13"/>
          <w:szCs w:val="13"/>
          <w:u w:val="single" w:color="auto"/>
          <w:color w:val="auto"/>
        </w:rPr>
        <w:t>Index</w:t>
      </w:r>
      <w:r>
        <w:rPr>
          <w:rFonts w:ascii="Times New Roman" w:cs="Times New Roman" w:eastAsia="Times New Roman" w:hAnsi="Times New Roman"/>
          <w:sz w:val="13"/>
          <w:szCs w:val="13"/>
          <w:color w:val="auto"/>
        </w:rPr>
        <w:t xml:space="preserve"> gains is available at https://www.brighthousefinancial.com/products/rates/. See </w:t>
      </w:r>
      <w:r>
        <w:rPr>
          <w:rFonts w:ascii="Times New Roman" w:cs="Times New Roman" w:eastAsia="Times New Roman" w:hAnsi="Times New Roman"/>
          <w:sz w:val="13"/>
          <w:szCs w:val="13"/>
          <w:u w:val="single" w:color="auto"/>
          <w:color w:val="auto"/>
        </w:rPr>
        <w:t>“SHIELD OPTIONS,” “SHIELD RATES,”</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“RATE CREDITING TYPES”</w:t>
      </w:r>
      <w:r>
        <w:rPr>
          <w:rFonts w:ascii="Times New Roman" w:cs="Times New Roman" w:eastAsia="Times New Roman" w:hAnsi="Times New Roman"/>
          <w:sz w:val="13"/>
          <w:szCs w:val="13"/>
          <w:color w:val="auto"/>
        </w:rPr>
        <w:t xml:space="preserve"> sections in the prospectus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767080</wp:posOffset>
            </wp:positionH>
            <wp:positionV relativeFrom="paragraph">
              <wp:posOffset>-27940</wp:posOffset>
            </wp:positionV>
            <wp:extent cx="25400" cy="635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8">
                      <a:extLst>
                        <a:ext uri="{28A0092B-C50C-407E-A947-70E740481C1C}"/>
                      </a:extLst>
                    </a:blip>
                    <a:srcRect/>
                    <a:stretch>
                      <a:fillRect/>
                    </a:stretch>
                  </pic:blipFill>
                  <pic:spPr bwMode="auto">
                    <a:xfrm>
                      <a:off x="0" y="0"/>
                      <a:ext cx="25400" cy="6350"/>
                    </a:xfrm>
                    <a:prstGeom prst="rect">
                      <a:avLst/>
                    </a:prstGeom>
                    <a:noFill/>
                  </pic:spPr>
                </pic:pic>
              </a:graphicData>
            </a:graphic>
          </wp:anchor>
        </w:drawing>
      </w:r>
    </w:p>
    <w:p>
      <w:pPr>
        <w:spacing w:after="0" w:line="29" w:lineRule="exact"/>
        <w:rPr>
          <w:sz w:val="20"/>
          <w:szCs w:val="20"/>
          <w:color w:val="auto"/>
        </w:rPr>
      </w:pPr>
    </w:p>
    <w:p>
      <w:pPr>
        <w:jc w:val="both"/>
        <w:ind w:right="2659" w:firstLine="264"/>
        <w:spacing w:after="0" w:line="266" w:lineRule="auto"/>
        <w:rPr>
          <w:sz w:val="20"/>
          <w:szCs w:val="20"/>
          <w:color w:val="auto"/>
        </w:rPr>
      </w:pPr>
      <w:r>
        <w:rPr>
          <w:rFonts w:ascii="Times New Roman" w:cs="Times New Roman" w:eastAsia="Times New Roman" w:hAnsi="Times New Roman"/>
          <w:sz w:val="13"/>
          <w:szCs w:val="13"/>
          <w:b w:val="1"/>
          <w:bCs w:val="1"/>
          <w:color w:val="auto"/>
        </w:rPr>
        <w:t xml:space="preserve">Note: If amounts are removed from a </w:t>
      </w:r>
      <w:r>
        <w:rPr>
          <w:rFonts w:ascii="Times New Roman" w:cs="Times New Roman" w:eastAsia="Times New Roman" w:hAnsi="Times New Roman"/>
          <w:sz w:val="13"/>
          <w:szCs w:val="13"/>
          <w:b w:val="1"/>
          <w:bCs w:val="1"/>
          <w:u w:val="single" w:color="auto"/>
          <w:color w:val="auto"/>
        </w:rPr>
        <w:t>Shield Option</w:t>
      </w:r>
      <w:r>
        <w:rPr>
          <w:rFonts w:ascii="Times New Roman" w:cs="Times New Roman" w:eastAsia="Times New Roman" w:hAnsi="Times New Roman"/>
          <w:sz w:val="13"/>
          <w:szCs w:val="13"/>
          <w:b w:val="1"/>
          <w:bCs w:val="1"/>
          <w:color w:val="auto"/>
        </w:rPr>
        <w:t xml:space="preserve"> before the end of a </w:t>
      </w:r>
      <w:r>
        <w:rPr>
          <w:rFonts w:ascii="Times New Roman" w:cs="Times New Roman" w:eastAsia="Times New Roman" w:hAnsi="Times New Roman"/>
          <w:sz w:val="13"/>
          <w:szCs w:val="13"/>
          <w:b w:val="1"/>
          <w:bCs w:val="1"/>
          <w:u w:val="single" w:color="auto"/>
          <w:color w:val="auto"/>
        </w:rPr>
        <w:t>Term</w:t>
      </w:r>
      <w:r>
        <w:rPr>
          <w:rFonts w:ascii="Times New Roman" w:cs="Times New Roman" w:eastAsia="Times New Roman" w:hAnsi="Times New Roman"/>
          <w:sz w:val="13"/>
          <w:szCs w:val="13"/>
          <w:b w:val="1"/>
          <w:bCs w:val="1"/>
          <w:color w:val="auto"/>
        </w:rPr>
        <w:t xml:space="preserve">, we will apply an </w:t>
      </w:r>
      <w:r>
        <w:rPr>
          <w:rFonts w:ascii="Times New Roman" w:cs="Times New Roman" w:eastAsia="Times New Roman" w:hAnsi="Times New Roman"/>
          <w:sz w:val="13"/>
          <w:szCs w:val="13"/>
          <w:b w:val="1"/>
          <w:bCs w:val="1"/>
          <w:u w:val="single" w:color="auto"/>
          <w:color w:val="auto"/>
        </w:rPr>
        <w:t>Interim Value</w:t>
      </w:r>
      <w:r>
        <w:rPr>
          <w:rFonts w:ascii="Times New Roman" w:cs="Times New Roman" w:eastAsia="Times New Roman" w:hAnsi="Times New Roman"/>
          <w:sz w:val="13"/>
          <w:szCs w:val="13"/>
          <w:b w:val="1"/>
          <w:bCs w:val="1"/>
          <w:color w:val="auto"/>
        </w:rPr>
        <w:t xml:space="preserve"> calculation. This </w:t>
      </w:r>
      <w:r>
        <w:rPr>
          <w:rFonts w:ascii="Times New Roman" w:cs="Times New Roman" w:eastAsia="Times New Roman" w:hAnsi="Times New Roman"/>
          <w:sz w:val="13"/>
          <w:szCs w:val="13"/>
          <w:b w:val="1"/>
          <w:bCs w:val="1"/>
          <w:u w:val="single" w:color="auto"/>
          <w:color w:val="auto"/>
        </w:rPr>
        <w:t>Interim Value</w:t>
      </w:r>
      <w:r>
        <w:rPr>
          <w:rFonts w:ascii="Times New Roman" w:cs="Times New Roman" w:eastAsia="Times New Roman" w:hAnsi="Times New Roman"/>
          <w:sz w:val="13"/>
          <w:szCs w:val="13"/>
          <w:b w:val="1"/>
          <w:bCs w:val="1"/>
          <w:color w:val="auto"/>
        </w:rPr>
        <w:t xml:space="preserve"> calculation may result in a significant reduction in your </w:t>
      </w:r>
      <w:r>
        <w:rPr>
          <w:rFonts w:ascii="Times New Roman" w:cs="Times New Roman" w:eastAsia="Times New Roman" w:hAnsi="Times New Roman"/>
          <w:sz w:val="13"/>
          <w:szCs w:val="13"/>
          <w:b w:val="1"/>
          <w:bCs w:val="1"/>
          <w:u w:val="single" w:color="auto"/>
          <w:color w:val="auto"/>
        </w:rPr>
        <w:t>Account Value</w:t>
      </w:r>
      <w:r>
        <w:rPr>
          <w:rFonts w:ascii="Times New Roman" w:cs="Times New Roman" w:eastAsia="Times New Roman" w:hAnsi="Times New Roman"/>
          <w:sz w:val="13"/>
          <w:szCs w:val="13"/>
          <w:b w:val="1"/>
          <w:bCs w:val="1"/>
          <w:color w:val="auto"/>
        </w:rPr>
        <w:t xml:space="preserve"> that could exceed any protection from </w:t>
      </w:r>
      <w:r>
        <w:rPr>
          <w:rFonts w:ascii="Times New Roman" w:cs="Times New Roman" w:eastAsia="Times New Roman" w:hAnsi="Times New Roman"/>
          <w:sz w:val="13"/>
          <w:szCs w:val="13"/>
          <w:b w:val="1"/>
          <w:bCs w:val="1"/>
          <w:u w:val="single" w:color="auto"/>
          <w:color w:val="auto"/>
        </w:rPr>
        <w:t>Index</w:t>
      </w:r>
      <w:r>
        <w:rPr>
          <w:rFonts w:ascii="Times New Roman" w:cs="Times New Roman" w:eastAsia="Times New Roman" w:hAnsi="Times New Roman"/>
          <w:sz w:val="13"/>
          <w:szCs w:val="13"/>
          <w:b w:val="1"/>
          <w:bCs w:val="1"/>
          <w:color w:val="auto"/>
        </w:rPr>
        <w:t xml:space="preserve"> loss that would be in place if you held the option until the end of the </w:t>
      </w:r>
      <w:r>
        <w:rPr>
          <w:rFonts w:ascii="Times New Roman" w:cs="Times New Roman" w:eastAsia="Times New Roman" w:hAnsi="Times New Roman"/>
          <w:sz w:val="13"/>
          <w:szCs w:val="13"/>
          <w:b w:val="1"/>
          <w:bCs w:val="1"/>
          <w:u w:val="single" w:color="auto"/>
          <w:color w:val="auto"/>
        </w:rPr>
        <w:t>Term</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See “</w:t>
      </w:r>
      <w:r>
        <w:rPr>
          <w:rFonts w:ascii="Times New Roman" w:cs="Times New Roman" w:eastAsia="Times New Roman" w:hAnsi="Times New Roman"/>
          <w:sz w:val="13"/>
          <w:szCs w:val="13"/>
          <w:u w:val="single" w:color="auto"/>
          <w:color w:val="auto"/>
        </w:rPr>
        <w:t>Interim Value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Calculation” under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“CHARGES, FEES, AND ADJUSTMENTS” and the “WITHDRAWAL PROVISIONS” section in the prospectus for more information.</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181"/>
        </w:trPr>
        <w:tc>
          <w:tcPr>
            <w:tcW w:w="3380" w:type="dxa"/>
            <w:vAlign w:val="bottom"/>
            <w:tcBorders>
              <w:top w:val="single" w:sz="8" w:color="auto"/>
              <w:left w:val="single" w:sz="8" w:color="auto"/>
              <w:right w:val="single" w:sz="8" w:color="auto"/>
            </w:tcBorders>
          </w:tcPr>
          <w:p>
            <w:pPr>
              <w:spacing w:after="0"/>
              <w:rPr>
                <w:sz w:val="15"/>
                <w:szCs w:val="15"/>
                <w:color w:val="auto"/>
              </w:rPr>
            </w:pPr>
          </w:p>
        </w:tc>
        <w:tc>
          <w:tcPr>
            <w:tcW w:w="1020" w:type="dxa"/>
            <w:vAlign w:val="bottom"/>
            <w:tcBorders>
              <w:top w:val="single" w:sz="8" w:color="auto"/>
              <w:right w:val="single" w:sz="8" w:color="auto"/>
            </w:tcBorders>
          </w:tcPr>
          <w:p>
            <w:pPr>
              <w:spacing w:after="0"/>
              <w:rPr>
                <w:sz w:val="15"/>
                <w:szCs w:val="15"/>
                <w:color w:val="auto"/>
              </w:rPr>
            </w:pPr>
          </w:p>
        </w:tc>
        <w:tc>
          <w:tcPr>
            <w:tcW w:w="480" w:type="dxa"/>
            <w:vAlign w:val="bottom"/>
            <w:tcBorders>
              <w:top w:val="single" w:sz="8" w:color="auto"/>
              <w:right w:val="single" w:sz="8" w:color="auto"/>
            </w:tcBorders>
          </w:tcPr>
          <w:p>
            <w:pPr>
              <w:spacing w:after="0"/>
              <w:rPr>
                <w:sz w:val="15"/>
                <w:szCs w:val="15"/>
                <w:color w:val="auto"/>
              </w:rPr>
            </w:pPr>
          </w:p>
        </w:tc>
        <w:tc>
          <w:tcPr>
            <w:tcW w:w="1080" w:type="dxa"/>
            <w:vAlign w:val="bottom"/>
            <w:tcBorders>
              <w:top w:val="single" w:sz="8" w:color="auto"/>
              <w:right w:val="single" w:sz="8" w:color="auto"/>
            </w:tcBorders>
          </w:tcPr>
          <w:p>
            <w:pPr>
              <w:spacing w:after="0"/>
              <w:rPr>
                <w:sz w:val="15"/>
                <w:szCs w:val="15"/>
                <w:color w:val="auto"/>
              </w:rPr>
            </w:pPr>
          </w:p>
        </w:tc>
        <w:tc>
          <w:tcPr>
            <w:tcW w:w="118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Minimum</w:t>
            </w:r>
          </w:p>
        </w:tc>
        <w:tc>
          <w:tcPr>
            <w:tcW w:w="0" w:type="dxa"/>
            <w:vAlign w:val="bottom"/>
          </w:tcPr>
          <w:p>
            <w:pPr>
              <w:spacing w:after="0"/>
              <w:rPr>
                <w:sz w:val="1"/>
                <w:szCs w:val="1"/>
                <w:color w:val="auto"/>
              </w:rPr>
            </w:pPr>
          </w:p>
        </w:tc>
      </w:tr>
      <w:tr>
        <w:trPr>
          <w:trHeight w:val="159"/>
        </w:trPr>
        <w:tc>
          <w:tcPr>
            <w:tcW w:w="3380" w:type="dxa"/>
            <w:vAlign w:val="bottom"/>
            <w:tcBorders>
              <w:left w:val="single" w:sz="8" w:color="auto"/>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Guaranteed Rate</w:t>
            </w:r>
          </w:p>
        </w:tc>
        <w:tc>
          <w:tcPr>
            <w:tcW w:w="0" w:type="dxa"/>
            <w:vAlign w:val="bottom"/>
          </w:tcPr>
          <w:p>
            <w:pPr>
              <w:spacing w:after="0"/>
              <w:rPr>
                <w:sz w:val="1"/>
                <w:szCs w:val="1"/>
                <w:color w:val="auto"/>
              </w:rPr>
            </w:pPr>
          </w:p>
        </w:tc>
      </w:tr>
      <w:tr>
        <w:trPr>
          <w:trHeight w:val="159"/>
        </w:trPr>
        <w:tc>
          <w:tcPr>
            <w:tcW w:w="3380" w:type="dxa"/>
            <w:vAlign w:val="bottom"/>
            <w:tcBorders>
              <w:left w:val="single" w:sz="8" w:color="auto"/>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ind w:left="60"/>
              <w:spacing w:after="0"/>
              <w:rPr>
                <w:sz w:val="20"/>
                <w:szCs w:val="20"/>
                <w:color w:val="auto"/>
              </w:rPr>
            </w:pPr>
            <w:r>
              <w:rPr>
                <w:rFonts w:ascii="Arial" w:cs="Arial" w:eastAsia="Arial" w:hAnsi="Arial"/>
                <w:sz w:val="13"/>
                <w:szCs w:val="13"/>
                <w:b w:val="1"/>
                <w:bCs w:val="1"/>
                <w:color w:val="auto"/>
              </w:rPr>
              <w:t>Current Shield</w:t>
            </w:r>
          </w:p>
        </w:tc>
        <w:tc>
          <w:tcPr>
            <w:tcW w:w="1180" w:type="dxa"/>
            <w:vAlign w:val="bottom"/>
            <w:tcBorders>
              <w:right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for Rate</w:t>
            </w:r>
          </w:p>
        </w:tc>
        <w:tc>
          <w:tcPr>
            <w:tcW w:w="0" w:type="dxa"/>
            <w:vAlign w:val="bottom"/>
          </w:tcPr>
          <w:p>
            <w:pPr>
              <w:spacing w:after="0"/>
              <w:rPr>
                <w:sz w:val="1"/>
                <w:szCs w:val="1"/>
                <w:color w:val="auto"/>
              </w:rPr>
            </w:pPr>
          </w:p>
        </w:tc>
      </w:tr>
      <w:tr>
        <w:trPr>
          <w:trHeight w:val="159"/>
        </w:trPr>
        <w:tc>
          <w:tcPr>
            <w:tcW w:w="3380" w:type="dxa"/>
            <w:vAlign w:val="bottom"/>
            <w:tcBorders>
              <w:left w:val="single" w:sz="8" w:color="auto"/>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Rate (if held</w:t>
            </w:r>
          </w:p>
        </w:tc>
        <w:tc>
          <w:tcPr>
            <w:tcW w:w="1180" w:type="dxa"/>
            <w:vAlign w:val="bottom"/>
            <w:tcBorders>
              <w:right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Crediting Type</w:t>
            </w:r>
          </w:p>
        </w:tc>
        <w:tc>
          <w:tcPr>
            <w:tcW w:w="0" w:type="dxa"/>
            <w:vAlign w:val="bottom"/>
          </w:tcPr>
          <w:p>
            <w:pPr>
              <w:spacing w:after="0"/>
              <w:rPr>
                <w:sz w:val="1"/>
                <w:szCs w:val="1"/>
                <w:color w:val="auto"/>
              </w:rPr>
            </w:pPr>
          </w:p>
        </w:tc>
      </w:tr>
      <w:tr>
        <w:trPr>
          <w:trHeight w:val="159"/>
        </w:trPr>
        <w:tc>
          <w:tcPr>
            <w:tcW w:w="3380" w:type="dxa"/>
            <w:vAlign w:val="bottom"/>
            <w:tcBorders>
              <w:left w:val="single" w:sz="8" w:color="auto"/>
              <w:right w:val="single" w:sz="8" w:color="auto"/>
            </w:tcBorders>
            <w:vMerge w:val="restart"/>
          </w:tcPr>
          <w:p>
            <w:pPr>
              <w:ind w:left="1480"/>
              <w:spacing w:after="0"/>
              <w:rPr>
                <w:sz w:val="20"/>
                <w:szCs w:val="20"/>
                <w:color w:val="auto"/>
              </w:rPr>
            </w:pPr>
            <w:r>
              <w:rPr>
                <w:rFonts w:ascii="Arial" w:cs="Arial" w:eastAsia="Arial" w:hAnsi="Arial"/>
                <w:sz w:val="13"/>
                <w:szCs w:val="13"/>
                <w:b w:val="1"/>
                <w:bCs w:val="1"/>
                <w:color w:val="auto"/>
              </w:rPr>
              <w:t>Index</w:t>
            </w:r>
            <w:r>
              <w:rPr>
                <w:rFonts w:ascii="Arial" w:cs="Arial" w:eastAsia="Arial" w:hAnsi="Arial"/>
                <w:sz w:val="17"/>
                <w:szCs w:val="17"/>
                <w:b w:val="1"/>
                <w:bCs w:val="1"/>
                <w:color w:val="auto"/>
                <w:vertAlign w:val="superscript"/>
              </w:rPr>
              <w:t>1</w:t>
            </w:r>
          </w:p>
        </w:tc>
        <w:tc>
          <w:tcPr>
            <w:tcW w:w="1020" w:type="dxa"/>
            <w:vAlign w:val="bottom"/>
            <w:tcBorders>
              <w:right w:val="single" w:sz="8" w:color="auto"/>
            </w:tcBorders>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until end of</w:t>
            </w:r>
          </w:p>
        </w:tc>
        <w:tc>
          <w:tcPr>
            <w:tcW w:w="118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(for life of Shield</w:t>
            </w:r>
          </w:p>
        </w:tc>
        <w:tc>
          <w:tcPr>
            <w:tcW w:w="0" w:type="dxa"/>
            <w:vAlign w:val="bottom"/>
          </w:tcPr>
          <w:p>
            <w:pPr>
              <w:spacing w:after="0"/>
              <w:rPr>
                <w:sz w:val="1"/>
                <w:szCs w:val="1"/>
                <w:color w:val="auto"/>
              </w:rPr>
            </w:pPr>
          </w:p>
        </w:tc>
      </w:tr>
      <w:tr>
        <w:trPr>
          <w:trHeight w:val="191"/>
        </w:trPr>
        <w:tc>
          <w:tcPr>
            <w:tcW w:w="33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Type of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Term</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Term)</w:t>
            </w:r>
          </w:p>
        </w:tc>
        <w:tc>
          <w:tcPr>
            <w:tcW w:w="11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Option)</w:t>
            </w:r>
          </w:p>
        </w:tc>
        <w:tc>
          <w:tcPr>
            <w:tcW w:w="0" w:type="dxa"/>
            <w:vAlign w:val="bottom"/>
          </w:tcPr>
          <w:p>
            <w:pPr>
              <w:spacing w:after="0"/>
              <w:rPr>
                <w:sz w:val="1"/>
                <w:szCs w:val="1"/>
                <w:color w:val="auto"/>
              </w:rPr>
            </w:pPr>
          </w:p>
        </w:tc>
      </w:tr>
      <w:tr>
        <w:trPr>
          <w:trHeight w:val="198"/>
        </w:trPr>
        <w:tc>
          <w:tcPr>
            <w:tcW w:w="338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S&amp;P 500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shd w:val="clear" w:color="auto" w:fill="F0FFFF"/>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25%</w:t>
            </w:r>
          </w:p>
        </w:tc>
        <w:tc>
          <w:tcPr>
            <w:tcW w:w="380" w:type="dxa"/>
            <w:vAlign w:val="bottom"/>
            <w:tcBorders>
              <w:bottom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3.5%</w:t>
            </w:r>
          </w:p>
        </w:tc>
        <w:tc>
          <w:tcPr>
            <w:tcW w:w="800" w:type="dxa"/>
            <w:vAlign w:val="bottom"/>
            <w:tcBorders>
              <w:bottom w:val="single" w:sz="8" w:color="auto"/>
              <w:right w:val="single" w:sz="8" w:color="auto"/>
            </w:tcBorders>
            <w:shd w:val="clear" w:color="auto" w:fill="F0FFFF"/>
          </w:tcPr>
          <w:p>
            <w:pPr>
              <w:ind w:left="20"/>
              <w:spacing w:after="0"/>
              <w:rPr>
                <w:sz w:val="20"/>
                <w:szCs w:val="20"/>
                <w:color w:val="auto"/>
              </w:rPr>
            </w:pPr>
            <w:r>
              <w:rPr>
                <w:rFonts w:ascii="Arial" w:cs="Arial" w:eastAsia="Arial" w:hAnsi="Arial"/>
                <w:sz w:val="13"/>
                <w:szCs w:val="13"/>
                <w:color w:val="auto"/>
              </w:rPr>
              <w:t>Cap Rate</w:t>
            </w:r>
          </w:p>
        </w:tc>
        <w:tc>
          <w:tcPr>
            <w:tcW w:w="0" w:type="dxa"/>
            <w:vAlign w:val="bottom"/>
          </w:tcPr>
          <w:p>
            <w:pPr>
              <w:spacing w:after="0"/>
              <w:rPr>
                <w:sz w:val="1"/>
                <w:szCs w:val="1"/>
                <w:color w:val="auto"/>
              </w:rPr>
            </w:pPr>
          </w:p>
        </w:tc>
      </w:tr>
      <w:tr>
        <w:trPr>
          <w:trHeight w:val="198"/>
        </w:trPr>
        <w:tc>
          <w:tcPr>
            <w:tcW w:w="3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S&amp;P 500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15%</w:t>
            </w: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4.5%</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Cap Rate</w:t>
            </w:r>
          </w:p>
        </w:tc>
        <w:tc>
          <w:tcPr>
            <w:tcW w:w="0" w:type="dxa"/>
            <w:vAlign w:val="bottom"/>
          </w:tcPr>
          <w:p>
            <w:pPr>
              <w:spacing w:after="0"/>
              <w:rPr>
                <w:sz w:val="1"/>
                <w:szCs w:val="1"/>
                <w:color w:val="auto"/>
              </w:rPr>
            </w:pPr>
          </w:p>
        </w:tc>
      </w:tr>
      <w:tr>
        <w:trPr>
          <w:trHeight w:val="198"/>
        </w:trPr>
        <w:tc>
          <w:tcPr>
            <w:tcW w:w="338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S&amp;P 500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shd w:val="clear" w:color="auto" w:fill="F0FFFF"/>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10%</w:t>
            </w:r>
          </w:p>
        </w:tc>
        <w:tc>
          <w:tcPr>
            <w:tcW w:w="1180" w:type="dxa"/>
            <w:vAlign w:val="bottom"/>
            <w:tcBorders>
              <w:bottom w:val="single" w:sz="8" w:color="auto"/>
              <w:right w:val="single" w:sz="8" w:color="auto"/>
            </w:tcBorders>
            <w:gridSpan w:val="2"/>
            <w:shd w:val="clear" w:color="auto" w:fill="F0FFFF"/>
          </w:tcPr>
          <w:p>
            <w:pPr>
              <w:ind w:left="60"/>
              <w:spacing w:after="0"/>
              <w:rPr>
                <w:sz w:val="20"/>
                <w:szCs w:val="20"/>
                <w:color w:val="auto"/>
              </w:rPr>
            </w:pPr>
            <w:r>
              <w:rPr>
                <w:rFonts w:ascii="Arial" w:cs="Arial" w:eastAsia="Arial" w:hAnsi="Arial"/>
                <w:sz w:val="13"/>
                <w:szCs w:val="13"/>
                <w:color w:val="auto"/>
              </w:rPr>
              <w:t>5% Cap Rate</w:t>
            </w:r>
          </w:p>
        </w:tc>
        <w:tc>
          <w:tcPr>
            <w:tcW w:w="0" w:type="dxa"/>
            <w:vAlign w:val="bottom"/>
          </w:tcPr>
          <w:p>
            <w:pPr>
              <w:spacing w:after="0"/>
              <w:rPr>
                <w:sz w:val="1"/>
                <w:szCs w:val="1"/>
                <w:color w:val="auto"/>
              </w:rPr>
            </w:pPr>
          </w:p>
        </w:tc>
      </w:tr>
      <w:tr>
        <w:trPr>
          <w:trHeight w:val="198"/>
        </w:trPr>
        <w:tc>
          <w:tcPr>
            <w:tcW w:w="3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S&amp;P 500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15%</w:t>
            </w: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4.5%</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Step Rate</w:t>
            </w:r>
          </w:p>
        </w:tc>
        <w:tc>
          <w:tcPr>
            <w:tcW w:w="0" w:type="dxa"/>
            <w:vAlign w:val="bottom"/>
          </w:tcPr>
          <w:p>
            <w:pPr>
              <w:spacing w:after="0"/>
              <w:rPr>
                <w:sz w:val="1"/>
                <w:szCs w:val="1"/>
                <w:color w:val="auto"/>
              </w:rPr>
            </w:pPr>
          </w:p>
        </w:tc>
      </w:tr>
      <w:tr>
        <w:trPr>
          <w:trHeight w:val="198"/>
        </w:trPr>
        <w:tc>
          <w:tcPr>
            <w:tcW w:w="338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S&amp;P 500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shd w:val="clear" w:color="auto" w:fill="F0FFFF"/>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15%</w:t>
            </w:r>
          </w:p>
        </w:tc>
        <w:tc>
          <w:tcPr>
            <w:tcW w:w="380" w:type="dxa"/>
            <w:vAlign w:val="bottom"/>
            <w:tcBorders>
              <w:bottom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4.5%</w:t>
            </w:r>
          </w:p>
        </w:tc>
        <w:tc>
          <w:tcPr>
            <w:tcW w:w="800" w:type="dxa"/>
            <w:vAlign w:val="bottom"/>
            <w:tcBorders>
              <w:bottom w:val="single" w:sz="8" w:color="auto"/>
              <w:right w:val="single" w:sz="8" w:color="auto"/>
            </w:tcBorders>
            <w:shd w:val="clear" w:color="auto" w:fill="F0FFFF"/>
          </w:tcPr>
          <w:p>
            <w:pPr>
              <w:ind w:left="20"/>
              <w:spacing w:after="0"/>
              <w:rPr>
                <w:sz w:val="20"/>
                <w:szCs w:val="20"/>
                <w:color w:val="auto"/>
              </w:rPr>
            </w:pPr>
            <w:r>
              <w:rPr>
                <w:rFonts w:ascii="Arial" w:cs="Arial" w:eastAsia="Arial" w:hAnsi="Arial"/>
                <w:sz w:val="13"/>
                <w:szCs w:val="13"/>
                <w:color w:val="auto"/>
              </w:rPr>
              <w:t>Edge Rate</w:t>
            </w:r>
          </w:p>
        </w:tc>
        <w:tc>
          <w:tcPr>
            <w:tcW w:w="0" w:type="dxa"/>
            <w:vAlign w:val="bottom"/>
          </w:tcPr>
          <w:p>
            <w:pPr>
              <w:spacing w:after="0"/>
              <w:rPr>
                <w:sz w:val="1"/>
                <w:szCs w:val="1"/>
                <w:color w:val="auto"/>
              </w:rPr>
            </w:pPr>
          </w:p>
        </w:tc>
      </w:tr>
      <w:tr>
        <w:trPr>
          <w:trHeight w:val="198"/>
        </w:trPr>
        <w:tc>
          <w:tcPr>
            <w:tcW w:w="3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S&amp;P 500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10%</w:t>
            </w:r>
          </w:p>
        </w:tc>
        <w:tc>
          <w:tcPr>
            <w:tcW w:w="11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3"/>
                <w:szCs w:val="13"/>
                <w:color w:val="auto"/>
              </w:rPr>
              <w:t>5% Step Rate</w:t>
            </w:r>
          </w:p>
        </w:tc>
        <w:tc>
          <w:tcPr>
            <w:tcW w:w="0" w:type="dxa"/>
            <w:vAlign w:val="bottom"/>
          </w:tcPr>
          <w:p>
            <w:pPr>
              <w:spacing w:after="0"/>
              <w:rPr>
                <w:sz w:val="1"/>
                <w:szCs w:val="1"/>
                <w:color w:val="auto"/>
              </w:rPr>
            </w:pPr>
          </w:p>
        </w:tc>
      </w:tr>
      <w:tr>
        <w:trPr>
          <w:trHeight w:val="198"/>
        </w:trPr>
        <w:tc>
          <w:tcPr>
            <w:tcW w:w="338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S&amp;P 500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shd w:val="clear" w:color="auto" w:fill="F0FFFF"/>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10%</w:t>
            </w:r>
          </w:p>
        </w:tc>
        <w:tc>
          <w:tcPr>
            <w:tcW w:w="1180" w:type="dxa"/>
            <w:vAlign w:val="bottom"/>
            <w:tcBorders>
              <w:bottom w:val="single" w:sz="8" w:color="auto"/>
              <w:right w:val="single" w:sz="8" w:color="auto"/>
            </w:tcBorders>
            <w:gridSpan w:val="2"/>
            <w:shd w:val="clear" w:color="auto" w:fill="F0FFFF"/>
          </w:tcPr>
          <w:p>
            <w:pPr>
              <w:ind w:left="60"/>
              <w:spacing w:after="0"/>
              <w:rPr>
                <w:sz w:val="20"/>
                <w:szCs w:val="20"/>
                <w:color w:val="auto"/>
              </w:rPr>
            </w:pPr>
            <w:r>
              <w:rPr>
                <w:rFonts w:ascii="Arial" w:cs="Arial" w:eastAsia="Arial" w:hAnsi="Arial"/>
                <w:sz w:val="13"/>
                <w:szCs w:val="13"/>
                <w:color w:val="auto"/>
              </w:rPr>
              <w:t>5% Edge Rate</w:t>
            </w:r>
          </w:p>
        </w:tc>
        <w:tc>
          <w:tcPr>
            <w:tcW w:w="0" w:type="dxa"/>
            <w:vAlign w:val="bottom"/>
          </w:tcPr>
          <w:p>
            <w:pPr>
              <w:spacing w:after="0"/>
              <w:rPr>
                <w:sz w:val="1"/>
                <w:szCs w:val="1"/>
                <w:color w:val="auto"/>
              </w:rPr>
            </w:pPr>
          </w:p>
        </w:tc>
      </w:tr>
      <w:tr>
        <w:trPr>
          <w:trHeight w:val="198"/>
        </w:trPr>
        <w:tc>
          <w:tcPr>
            <w:tcW w:w="3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S&amp;P 500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2</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15%</w:t>
            </w:r>
          </w:p>
        </w:tc>
        <w:tc>
          <w:tcPr>
            <w:tcW w:w="11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3"/>
                <w:szCs w:val="13"/>
                <w:color w:val="auto"/>
              </w:rPr>
              <w:t>9% Step Rate</w:t>
            </w:r>
          </w:p>
        </w:tc>
        <w:tc>
          <w:tcPr>
            <w:tcW w:w="0" w:type="dxa"/>
            <w:vAlign w:val="bottom"/>
          </w:tcPr>
          <w:p>
            <w:pPr>
              <w:spacing w:after="0"/>
              <w:rPr>
                <w:sz w:val="1"/>
                <w:szCs w:val="1"/>
                <w:color w:val="auto"/>
              </w:rPr>
            </w:pPr>
          </w:p>
        </w:tc>
      </w:tr>
      <w:tr>
        <w:trPr>
          <w:trHeight w:val="198"/>
        </w:trPr>
        <w:tc>
          <w:tcPr>
            <w:tcW w:w="338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S&amp;P 500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shd w:val="clear" w:color="auto" w:fill="F0FFFF"/>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2</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15%</w:t>
            </w:r>
          </w:p>
        </w:tc>
        <w:tc>
          <w:tcPr>
            <w:tcW w:w="1180" w:type="dxa"/>
            <w:vAlign w:val="bottom"/>
            <w:tcBorders>
              <w:bottom w:val="single" w:sz="8" w:color="auto"/>
              <w:right w:val="single" w:sz="8" w:color="auto"/>
            </w:tcBorders>
            <w:gridSpan w:val="2"/>
            <w:shd w:val="clear" w:color="auto" w:fill="F0FFFF"/>
          </w:tcPr>
          <w:p>
            <w:pPr>
              <w:ind w:left="60"/>
              <w:spacing w:after="0"/>
              <w:rPr>
                <w:sz w:val="20"/>
                <w:szCs w:val="20"/>
                <w:color w:val="auto"/>
              </w:rPr>
            </w:pPr>
            <w:r>
              <w:rPr>
                <w:rFonts w:ascii="Arial" w:cs="Arial" w:eastAsia="Arial" w:hAnsi="Arial"/>
                <w:sz w:val="13"/>
                <w:szCs w:val="13"/>
                <w:color w:val="auto"/>
              </w:rPr>
              <w:t>9% Edge Rate</w:t>
            </w:r>
          </w:p>
        </w:tc>
        <w:tc>
          <w:tcPr>
            <w:tcW w:w="0" w:type="dxa"/>
            <w:vAlign w:val="bottom"/>
          </w:tcPr>
          <w:p>
            <w:pPr>
              <w:spacing w:after="0"/>
              <w:rPr>
                <w:sz w:val="1"/>
                <w:szCs w:val="1"/>
                <w:color w:val="auto"/>
              </w:rPr>
            </w:pPr>
          </w:p>
        </w:tc>
      </w:tr>
      <w:tr>
        <w:trPr>
          <w:trHeight w:val="198"/>
        </w:trPr>
        <w:tc>
          <w:tcPr>
            <w:tcW w:w="3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S&amp;P 500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2</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10%</w:t>
            </w:r>
          </w:p>
        </w:tc>
        <w:tc>
          <w:tcPr>
            <w:tcW w:w="11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3"/>
                <w:szCs w:val="13"/>
                <w:color w:val="auto"/>
              </w:rPr>
              <w:t>10% Step Rate</w:t>
            </w:r>
          </w:p>
        </w:tc>
        <w:tc>
          <w:tcPr>
            <w:tcW w:w="0" w:type="dxa"/>
            <w:vAlign w:val="bottom"/>
          </w:tcPr>
          <w:p>
            <w:pPr>
              <w:spacing w:after="0"/>
              <w:rPr>
                <w:sz w:val="1"/>
                <w:szCs w:val="1"/>
                <w:color w:val="auto"/>
              </w:rPr>
            </w:pPr>
          </w:p>
        </w:tc>
      </w:tr>
      <w:tr>
        <w:trPr>
          <w:trHeight w:val="198"/>
        </w:trPr>
        <w:tc>
          <w:tcPr>
            <w:tcW w:w="338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S&amp;P 500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shd w:val="clear" w:color="auto" w:fill="F0FFFF"/>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2</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10%</w:t>
            </w:r>
          </w:p>
        </w:tc>
        <w:tc>
          <w:tcPr>
            <w:tcW w:w="1180" w:type="dxa"/>
            <w:vAlign w:val="bottom"/>
            <w:tcBorders>
              <w:bottom w:val="single" w:sz="8" w:color="auto"/>
              <w:right w:val="single" w:sz="8" w:color="auto"/>
            </w:tcBorders>
            <w:gridSpan w:val="2"/>
            <w:shd w:val="clear" w:color="auto" w:fill="F0FFFF"/>
          </w:tcPr>
          <w:p>
            <w:pPr>
              <w:ind w:left="60"/>
              <w:spacing w:after="0"/>
              <w:rPr>
                <w:sz w:val="20"/>
                <w:szCs w:val="20"/>
                <w:color w:val="auto"/>
              </w:rPr>
            </w:pPr>
            <w:r>
              <w:rPr>
                <w:rFonts w:ascii="Arial" w:cs="Arial" w:eastAsia="Arial" w:hAnsi="Arial"/>
                <w:sz w:val="13"/>
                <w:szCs w:val="13"/>
                <w:color w:val="auto"/>
              </w:rPr>
              <w:t>10% Edge Rate</w:t>
            </w:r>
          </w:p>
        </w:tc>
        <w:tc>
          <w:tcPr>
            <w:tcW w:w="0" w:type="dxa"/>
            <w:vAlign w:val="bottom"/>
          </w:tcPr>
          <w:p>
            <w:pPr>
              <w:spacing w:after="0"/>
              <w:rPr>
                <w:sz w:val="1"/>
                <w:szCs w:val="1"/>
                <w:color w:val="auto"/>
              </w:rPr>
            </w:pPr>
          </w:p>
        </w:tc>
      </w:tr>
      <w:tr>
        <w:trPr>
          <w:trHeight w:val="198"/>
        </w:trPr>
        <w:tc>
          <w:tcPr>
            <w:tcW w:w="3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S&amp;P 500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3</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15%</w:t>
            </w:r>
          </w:p>
        </w:tc>
        <w:tc>
          <w:tcPr>
            <w:tcW w:w="11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3"/>
                <w:szCs w:val="13"/>
                <w:color w:val="auto"/>
              </w:rPr>
              <w:t>13.5% Cap Rate</w:t>
            </w:r>
          </w:p>
        </w:tc>
        <w:tc>
          <w:tcPr>
            <w:tcW w:w="0" w:type="dxa"/>
            <w:vAlign w:val="bottom"/>
          </w:tcPr>
          <w:p>
            <w:pPr>
              <w:spacing w:after="0"/>
              <w:rPr>
                <w:sz w:val="1"/>
                <w:szCs w:val="1"/>
                <w:color w:val="auto"/>
              </w:rPr>
            </w:pPr>
          </w:p>
        </w:tc>
      </w:tr>
      <w:tr>
        <w:trPr>
          <w:trHeight w:val="198"/>
        </w:trPr>
        <w:tc>
          <w:tcPr>
            <w:tcW w:w="338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S&amp;P 500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shd w:val="clear" w:color="auto" w:fill="F0FFFF"/>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3</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10%</w:t>
            </w:r>
          </w:p>
        </w:tc>
        <w:tc>
          <w:tcPr>
            <w:tcW w:w="1180" w:type="dxa"/>
            <w:vAlign w:val="bottom"/>
            <w:tcBorders>
              <w:bottom w:val="single" w:sz="8" w:color="auto"/>
              <w:right w:val="single" w:sz="8" w:color="auto"/>
            </w:tcBorders>
            <w:gridSpan w:val="2"/>
            <w:shd w:val="clear" w:color="auto" w:fill="F0FFFF"/>
          </w:tcPr>
          <w:p>
            <w:pPr>
              <w:ind w:left="60"/>
              <w:spacing w:after="0"/>
              <w:rPr>
                <w:sz w:val="20"/>
                <w:szCs w:val="20"/>
                <w:color w:val="auto"/>
              </w:rPr>
            </w:pPr>
            <w:r>
              <w:rPr>
                <w:rFonts w:ascii="Arial" w:cs="Arial" w:eastAsia="Arial" w:hAnsi="Arial"/>
                <w:sz w:val="13"/>
                <w:szCs w:val="13"/>
                <w:color w:val="auto"/>
              </w:rPr>
              <w:t>15% Cap Rate</w:t>
            </w:r>
          </w:p>
        </w:tc>
        <w:tc>
          <w:tcPr>
            <w:tcW w:w="0" w:type="dxa"/>
            <w:vAlign w:val="bottom"/>
          </w:tcPr>
          <w:p>
            <w:pPr>
              <w:spacing w:after="0"/>
              <w:rPr>
                <w:sz w:val="1"/>
                <w:szCs w:val="1"/>
                <w:color w:val="auto"/>
              </w:rPr>
            </w:pPr>
          </w:p>
        </w:tc>
      </w:tr>
      <w:tr>
        <w:trPr>
          <w:trHeight w:val="198"/>
        </w:trPr>
        <w:tc>
          <w:tcPr>
            <w:tcW w:w="3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S&amp;P 500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6</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25%</w:t>
            </w:r>
          </w:p>
        </w:tc>
        <w:tc>
          <w:tcPr>
            <w:tcW w:w="11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3"/>
                <w:szCs w:val="13"/>
                <w:color w:val="auto"/>
              </w:rPr>
              <w:t>21% Cap Rate</w:t>
            </w:r>
          </w:p>
        </w:tc>
        <w:tc>
          <w:tcPr>
            <w:tcW w:w="0" w:type="dxa"/>
            <w:vAlign w:val="bottom"/>
          </w:tcPr>
          <w:p>
            <w:pPr>
              <w:spacing w:after="0"/>
              <w:rPr>
                <w:sz w:val="1"/>
                <w:szCs w:val="1"/>
                <w:color w:val="auto"/>
              </w:rPr>
            </w:pPr>
          </w:p>
        </w:tc>
      </w:tr>
      <w:tr>
        <w:trPr>
          <w:trHeight w:val="198"/>
        </w:trPr>
        <w:tc>
          <w:tcPr>
            <w:tcW w:w="338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S&amp;P 500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shd w:val="clear" w:color="auto" w:fill="F0FFFF"/>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6</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15%</w:t>
            </w:r>
          </w:p>
        </w:tc>
        <w:tc>
          <w:tcPr>
            <w:tcW w:w="1180" w:type="dxa"/>
            <w:vAlign w:val="bottom"/>
            <w:tcBorders>
              <w:bottom w:val="single" w:sz="8" w:color="auto"/>
              <w:right w:val="single" w:sz="8" w:color="auto"/>
            </w:tcBorders>
            <w:gridSpan w:val="2"/>
            <w:shd w:val="clear" w:color="auto" w:fill="F0FFFF"/>
          </w:tcPr>
          <w:p>
            <w:pPr>
              <w:ind w:left="60"/>
              <w:spacing w:after="0"/>
              <w:rPr>
                <w:sz w:val="20"/>
                <w:szCs w:val="20"/>
                <w:color w:val="auto"/>
              </w:rPr>
            </w:pPr>
            <w:r>
              <w:rPr>
                <w:rFonts w:ascii="Arial" w:cs="Arial" w:eastAsia="Arial" w:hAnsi="Arial"/>
                <w:sz w:val="13"/>
                <w:szCs w:val="13"/>
                <w:color w:val="auto"/>
              </w:rPr>
              <w:t>27% Cap Rate</w:t>
            </w:r>
          </w:p>
        </w:tc>
        <w:tc>
          <w:tcPr>
            <w:tcW w:w="0" w:type="dxa"/>
            <w:vAlign w:val="bottom"/>
          </w:tcPr>
          <w:p>
            <w:pPr>
              <w:spacing w:after="0"/>
              <w:rPr>
                <w:sz w:val="1"/>
                <w:szCs w:val="1"/>
                <w:color w:val="auto"/>
              </w:rPr>
            </w:pPr>
          </w:p>
        </w:tc>
      </w:tr>
      <w:tr>
        <w:trPr>
          <w:trHeight w:val="198"/>
        </w:trPr>
        <w:tc>
          <w:tcPr>
            <w:tcW w:w="3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S&amp;P 500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6</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10%</w:t>
            </w:r>
          </w:p>
        </w:tc>
        <w:tc>
          <w:tcPr>
            <w:tcW w:w="11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3"/>
                <w:szCs w:val="13"/>
                <w:color w:val="auto"/>
              </w:rPr>
              <w:t>30% Cap Rate</w:t>
            </w:r>
          </w:p>
        </w:tc>
        <w:tc>
          <w:tcPr>
            <w:tcW w:w="0" w:type="dxa"/>
            <w:vAlign w:val="bottom"/>
          </w:tcPr>
          <w:p>
            <w:pPr>
              <w:spacing w:after="0"/>
              <w:rPr>
                <w:sz w:val="1"/>
                <w:szCs w:val="1"/>
                <w:color w:val="auto"/>
              </w:rPr>
            </w:pPr>
          </w:p>
        </w:tc>
      </w:tr>
      <w:tr>
        <w:trPr>
          <w:trHeight w:val="198"/>
        </w:trPr>
        <w:tc>
          <w:tcPr>
            <w:tcW w:w="338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Russell 2000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shd w:val="clear" w:color="auto" w:fill="F0FFFF"/>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25%</w:t>
            </w:r>
          </w:p>
        </w:tc>
        <w:tc>
          <w:tcPr>
            <w:tcW w:w="380" w:type="dxa"/>
            <w:vAlign w:val="bottom"/>
            <w:tcBorders>
              <w:bottom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3.5%</w:t>
            </w:r>
          </w:p>
        </w:tc>
        <w:tc>
          <w:tcPr>
            <w:tcW w:w="800" w:type="dxa"/>
            <w:vAlign w:val="bottom"/>
            <w:tcBorders>
              <w:bottom w:val="single" w:sz="8" w:color="auto"/>
              <w:right w:val="single" w:sz="8" w:color="auto"/>
            </w:tcBorders>
            <w:shd w:val="clear" w:color="auto" w:fill="F0FFFF"/>
          </w:tcPr>
          <w:p>
            <w:pPr>
              <w:ind w:left="20"/>
              <w:spacing w:after="0"/>
              <w:rPr>
                <w:sz w:val="20"/>
                <w:szCs w:val="20"/>
                <w:color w:val="auto"/>
              </w:rPr>
            </w:pPr>
            <w:r>
              <w:rPr>
                <w:rFonts w:ascii="Arial" w:cs="Arial" w:eastAsia="Arial" w:hAnsi="Arial"/>
                <w:sz w:val="13"/>
                <w:szCs w:val="13"/>
                <w:color w:val="auto"/>
              </w:rPr>
              <w:t>Cap Rate</w:t>
            </w:r>
          </w:p>
        </w:tc>
        <w:tc>
          <w:tcPr>
            <w:tcW w:w="0" w:type="dxa"/>
            <w:vAlign w:val="bottom"/>
          </w:tcPr>
          <w:p>
            <w:pPr>
              <w:spacing w:after="0"/>
              <w:rPr>
                <w:sz w:val="1"/>
                <w:szCs w:val="1"/>
                <w:color w:val="auto"/>
              </w:rPr>
            </w:pPr>
          </w:p>
        </w:tc>
      </w:tr>
      <w:tr>
        <w:trPr>
          <w:trHeight w:val="198"/>
        </w:trPr>
        <w:tc>
          <w:tcPr>
            <w:tcW w:w="3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Russell 2000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15%</w:t>
            </w: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4.5%</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Cap Rate</w:t>
            </w:r>
          </w:p>
        </w:tc>
        <w:tc>
          <w:tcPr>
            <w:tcW w:w="0" w:type="dxa"/>
            <w:vAlign w:val="bottom"/>
          </w:tcPr>
          <w:p>
            <w:pPr>
              <w:spacing w:after="0"/>
              <w:rPr>
                <w:sz w:val="1"/>
                <w:szCs w:val="1"/>
                <w:color w:val="auto"/>
              </w:rPr>
            </w:pPr>
          </w:p>
        </w:tc>
      </w:tr>
      <w:tr>
        <w:trPr>
          <w:trHeight w:val="198"/>
        </w:trPr>
        <w:tc>
          <w:tcPr>
            <w:tcW w:w="338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Russell 2000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shd w:val="clear" w:color="auto" w:fill="F0FFFF"/>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10%</w:t>
            </w:r>
          </w:p>
        </w:tc>
        <w:tc>
          <w:tcPr>
            <w:tcW w:w="1180" w:type="dxa"/>
            <w:vAlign w:val="bottom"/>
            <w:tcBorders>
              <w:bottom w:val="single" w:sz="8" w:color="auto"/>
              <w:right w:val="single" w:sz="8" w:color="auto"/>
            </w:tcBorders>
            <w:gridSpan w:val="2"/>
            <w:shd w:val="clear" w:color="auto" w:fill="F0FFFF"/>
          </w:tcPr>
          <w:p>
            <w:pPr>
              <w:ind w:left="60"/>
              <w:spacing w:after="0"/>
              <w:rPr>
                <w:sz w:val="20"/>
                <w:szCs w:val="20"/>
                <w:color w:val="auto"/>
              </w:rPr>
            </w:pPr>
            <w:r>
              <w:rPr>
                <w:rFonts w:ascii="Arial" w:cs="Arial" w:eastAsia="Arial" w:hAnsi="Arial"/>
                <w:sz w:val="13"/>
                <w:szCs w:val="13"/>
                <w:color w:val="auto"/>
              </w:rPr>
              <w:t>5% Cap Rate</w:t>
            </w:r>
          </w:p>
        </w:tc>
        <w:tc>
          <w:tcPr>
            <w:tcW w:w="0" w:type="dxa"/>
            <w:vAlign w:val="bottom"/>
          </w:tcPr>
          <w:p>
            <w:pPr>
              <w:spacing w:after="0"/>
              <w:rPr>
                <w:sz w:val="1"/>
                <w:szCs w:val="1"/>
                <w:color w:val="auto"/>
              </w:rPr>
            </w:pPr>
          </w:p>
        </w:tc>
      </w:tr>
      <w:tr>
        <w:trPr>
          <w:trHeight w:val="198"/>
        </w:trPr>
        <w:tc>
          <w:tcPr>
            <w:tcW w:w="3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Russell 2000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15%</w:t>
            </w: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4.5%</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Step Rate</w:t>
            </w:r>
          </w:p>
        </w:tc>
        <w:tc>
          <w:tcPr>
            <w:tcW w:w="0" w:type="dxa"/>
            <w:vAlign w:val="bottom"/>
          </w:tcPr>
          <w:p>
            <w:pPr>
              <w:spacing w:after="0"/>
              <w:rPr>
                <w:sz w:val="1"/>
                <w:szCs w:val="1"/>
                <w:color w:val="auto"/>
              </w:rPr>
            </w:pPr>
          </w:p>
        </w:tc>
      </w:tr>
      <w:tr>
        <w:trPr>
          <w:trHeight w:val="198"/>
        </w:trPr>
        <w:tc>
          <w:tcPr>
            <w:tcW w:w="338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Russell 2000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shd w:val="clear" w:color="auto" w:fill="F0FFFF"/>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15%</w:t>
            </w:r>
          </w:p>
        </w:tc>
        <w:tc>
          <w:tcPr>
            <w:tcW w:w="380" w:type="dxa"/>
            <w:vAlign w:val="bottom"/>
            <w:tcBorders>
              <w:bottom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4.5%</w:t>
            </w:r>
          </w:p>
        </w:tc>
        <w:tc>
          <w:tcPr>
            <w:tcW w:w="800" w:type="dxa"/>
            <w:vAlign w:val="bottom"/>
            <w:tcBorders>
              <w:bottom w:val="single" w:sz="8" w:color="auto"/>
              <w:right w:val="single" w:sz="8" w:color="auto"/>
            </w:tcBorders>
            <w:shd w:val="clear" w:color="auto" w:fill="F0FFFF"/>
          </w:tcPr>
          <w:p>
            <w:pPr>
              <w:ind w:left="20"/>
              <w:spacing w:after="0"/>
              <w:rPr>
                <w:sz w:val="20"/>
                <w:szCs w:val="20"/>
                <w:color w:val="auto"/>
              </w:rPr>
            </w:pPr>
            <w:r>
              <w:rPr>
                <w:rFonts w:ascii="Arial" w:cs="Arial" w:eastAsia="Arial" w:hAnsi="Arial"/>
                <w:sz w:val="13"/>
                <w:szCs w:val="13"/>
                <w:color w:val="auto"/>
              </w:rPr>
              <w:t>Edge Rate</w:t>
            </w:r>
          </w:p>
        </w:tc>
        <w:tc>
          <w:tcPr>
            <w:tcW w:w="0" w:type="dxa"/>
            <w:vAlign w:val="bottom"/>
          </w:tcPr>
          <w:p>
            <w:pPr>
              <w:spacing w:after="0"/>
              <w:rPr>
                <w:sz w:val="1"/>
                <w:szCs w:val="1"/>
                <w:color w:val="auto"/>
              </w:rPr>
            </w:pPr>
          </w:p>
        </w:tc>
      </w:tr>
      <w:tr>
        <w:trPr>
          <w:trHeight w:val="198"/>
        </w:trPr>
        <w:tc>
          <w:tcPr>
            <w:tcW w:w="3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Russell 2000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10%</w:t>
            </w:r>
          </w:p>
        </w:tc>
        <w:tc>
          <w:tcPr>
            <w:tcW w:w="11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3"/>
                <w:szCs w:val="13"/>
                <w:color w:val="auto"/>
              </w:rPr>
              <w:t>5% Step Rate</w:t>
            </w:r>
          </w:p>
        </w:tc>
        <w:tc>
          <w:tcPr>
            <w:tcW w:w="0" w:type="dxa"/>
            <w:vAlign w:val="bottom"/>
          </w:tcPr>
          <w:p>
            <w:pPr>
              <w:spacing w:after="0"/>
              <w:rPr>
                <w:sz w:val="1"/>
                <w:szCs w:val="1"/>
                <w:color w:val="auto"/>
              </w:rPr>
            </w:pPr>
          </w:p>
        </w:tc>
      </w:tr>
      <w:tr>
        <w:trPr>
          <w:trHeight w:val="198"/>
        </w:trPr>
        <w:tc>
          <w:tcPr>
            <w:tcW w:w="338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Russell 2000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shd w:val="clear" w:color="auto" w:fill="F0FFFF"/>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10%</w:t>
            </w:r>
          </w:p>
        </w:tc>
        <w:tc>
          <w:tcPr>
            <w:tcW w:w="1180" w:type="dxa"/>
            <w:vAlign w:val="bottom"/>
            <w:tcBorders>
              <w:bottom w:val="single" w:sz="8" w:color="auto"/>
              <w:right w:val="single" w:sz="8" w:color="auto"/>
            </w:tcBorders>
            <w:gridSpan w:val="2"/>
            <w:shd w:val="clear" w:color="auto" w:fill="F0FFFF"/>
          </w:tcPr>
          <w:p>
            <w:pPr>
              <w:ind w:left="60"/>
              <w:spacing w:after="0"/>
              <w:rPr>
                <w:sz w:val="20"/>
                <w:szCs w:val="20"/>
                <w:color w:val="auto"/>
              </w:rPr>
            </w:pPr>
            <w:r>
              <w:rPr>
                <w:rFonts w:ascii="Arial" w:cs="Arial" w:eastAsia="Arial" w:hAnsi="Arial"/>
                <w:sz w:val="13"/>
                <w:szCs w:val="13"/>
                <w:color w:val="auto"/>
              </w:rPr>
              <w:t>5% Edge Rate</w:t>
            </w:r>
          </w:p>
        </w:tc>
        <w:tc>
          <w:tcPr>
            <w:tcW w:w="0" w:type="dxa"/>
            <w:vAlign w:val="bottom"/>
          </w:tcPr>
          <w:p>
            <w:pPr>
              <w:spacing w:after="0"/>
              <w:rPr>
                <w:sz w:val="1"/>
                <w:szCs w:val="1"/>
                <w:color w:val="auto"/>
              </w:rPr>
            </w:pPr>
          </w:p>
        </w:tc>
      </w:tr>
      <w:tr>
        <w:trPr>
          <w:trHeight w:val="198"/>
        </w:trPr>
        <w:tc>
          <w:tcPr>
            <w:tcW w:w="3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Russell 2000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2</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15%</w:t>
            </w:r>
          </w:p>
        </w:tc>
        <w:tc>
          <w:tcPr>
            <w:tcW w:w="11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3"/>
                <w:szCs w:val="13"/>
                <w:color w:val="auto"/>
              </w:rPr>
              <w:t>9% Step Rate</w:t>
            </w:r>
          </w:p>
        </w:tc>
        <w:tc>
          <w:tcPr>
            <w:tcW w:w="0" w:type="dxa"/>
            <w:vAlign w:val="bottom"/>
          </w:tcPr>
          <w:p>
            <w:pPr>
              <w:spacing w:after="0"/>
              <w:rPr>
                <w:sz w:val="1"/>
                <w:szCs w:val="1"/>
                <w:color w:val="auto"/>
              </w:rPr>
            </w:pPr>
          </w:p>
        </w:tc>
      </w:tr>
      <w:tr>
        <w:trPr>
          <w:trHeight w:val="198"/>
        </w:trPr>
        <w:tc>
          <w:tcPr>
            <w:tcW w:w="338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Russell 2000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shd w:val="clear" w:color="auto" w:fill="F0FFFF"/>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2</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15%</w:t>
            </w:r>
          </w:p>
        </w:tc>
        <w:tc>
          <w:tcPr>
            <w:tcW w:w="1180" w:type="dxa"/>
            <w:vAlign w:val="bottom"/>
            <w:tcBorders>
              <w:bottom w:val="single" w:sz="8" w:color="auto"/>
              <w:right w:val="single" w:sz="8" w:color="auto"/>
            </w:tcBorders>
            <w:gridSpan w:val="2"/>
            <w:shd w:val="clear" w:color="auto" w:fill="F0FFFF"/>
          </w:tcPr>
          <w:p>
            <w:pPr>
              <w:ind w:left="60"/>
              <w:spacing w:after="0"/>
              <w:rPr>
                <w:sz w:val="20"/>
                <w:szCs w:val="20"/>
                <w:color w:val="auto"/>
              </w:rPr>
            </w:pPr>
            <w:r>
              <w:rPr>
                <w:rFonts w:ascii="Arial" w:cs="Arial" w:eastAsia="Arial" w:hAnsi="Arial"/>
                <w:sz w:val="13"/>
                <w:szCs w:val="13"/>
                <w:color w:val="auto"/>
              </w:rPr>
              <w:t>9% Edge Rate</w:t>
            </w:r>
          </w:p>
        </w:tc>
        <w:tc>
          <w:tcPr>
            <w:tcW w:w="0" w:type="dxa"/>
            <w:vAlign w:val="bottom"/>
          </w:tcPr>
          <w:p>
            <w:pPr>
              <w:spacing w:after="0"/>
              <w:rPr>
                <w:sz w:val="1"/>
                <w:szCs w:val="1"/>
                <w:color w:val="auto"/>
              </w:rPr>
            </w:pPr>
          </w:p>
        </w:tc>
      </w:tr>
      <w:tr>
        <w:trPr>
          <w:trHeight w:val="198"/>
        </w:trPr>
        <w:tc>
          <w:tcPr>
            <w:tcW w:w="3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Russell 2000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2</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10%</w:t>
            </w:r>
          </w:p>
        </w:tc>
        <w:tc>
          <w:tcPr>
            <w:tcW w:w="11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3"/>
                <w:szCs w:val="13"/>
                <w:color w:val="auto"/>
              </w:rPr>
              <w:t>10% Step Rate</w:t>
            </w:r>
          </w:p>
        </w:tc>
        <w:tc>
          <w:tcPr>
            <w:tcW w:w="0" w:type="dxa"/>
            <w:vAlign w:val="bottom"/>
          </w:tcPr>
          <w:p>
            <w:pPr>
              <w:spacing w:after="0"/>
              <w:rPr>
                <w:sz w:val="1"/>
                <w:szCs w:val="1"/>
                <w:color w:val="auto"/>
              </w:rPr>
            </w:pPr>
          </w:p>
        </w:tc>
      </w:tr>
      <w:tr>
        <w:trPr>
          <w:trHeight w:val="198"/>
        </w:trPr>
        <w:tc>
          <w:tcPr>
            <w:tcW w:w="338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Russell 2000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shd w:val="clear" w:color="auto" w:fill="F0FFFF"/>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2</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10%</w:t>
            </w:r>
          </w:p>
        </w:tc>
        <w:tc>
          <w:tcPr>
            <w:tcW w:w="1180" w:type="dxa"/>
            <w:vAlign w:val="bottom"/>
            <w:tcBorders>
              <w:bottom w:val="single" w:sz="8" w:color="auto"/>
              <w:right w:val="single" w:sz="8" w:color="auto"/>
            </w:tcBorders>
            <w:gridSpan w:val="2"/>
            <w:shd w:val="clear" w:color="auto" w:fill="F0FFFF"/>
          </w:tcPr>
          <w:p>
            <w:pPr>
              <w:ind w:left="60"/>
              <w:spacing w:after="0"/>
              <w:rPr>
                <w:sz w:val="20"/>
                <w:szCs w:val="20"/>
                <w:color w:val="auto"/>
              </w:rPr>
            </w:pPr>
            <w:r>
              <w:rPr>
                <w:rFonts w:ascii="Arial" w:cs="Arial" w:eastAsia="Arial" w:hAnsi="Arial"/>
                <w:sz w:val="13"/>
                <w:szCs w:val="13"/>
                <w:color w:val="auto"/>
              </w:rPr>
              <w:t>10% Edge Rate</w:t>
            </w:r>
          </w:p>
        </w:tc>
        <w:tc>
          <w:tcPr>
            <w:tcW w:w="0" w:type="dxa"/>
            <w:vAlign w:val="bottom"/>
          </w:tcPr>
          <w:p>
            <w:pPr>
              <w:spacing w:after="0"/>
              <w:rPr>
                <w:sz w:val="1"/>
                <w:szCs w:val="1"/>
                <w:color w:val="auto"/>
              </w:rPr>
            </w:pPr>
          </w:p>
        </w:tc>
      </w:tr>
      <w:tr>
        <w:trPr>
          <w:trHeight w:val="198"/>
        </w:trPr>
        <w:tc>
          <w:tcPr>
            <w:tcW w:w="3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Russell 2000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3</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15%</w:t>
            </w:r>
          </w:p>
        </w:tc>
        <w:tc>
          <w:tcPr>
            <w:tcW w:w="11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3"/>
                <w:szCs w:val="13"/>
                <w:color w:val="auto"/>
              </w:rPr>
              <w:t>13.5% Cap Rate</w:t>
            </w:r>
          </w:p>
        </w:tc>
        <w:tc>
          <w:tcPr>
            <w:tcW w:w="0" w:type="dxa"/>
            <w:vAlign w:val="bottom"/>
          </w:tcPr>
          <w:p>
            <w:pPr>
              <w:spacing w:after="0"/>
              <w:rPr>
                <w:sz w:val="1"/>
                <w:szCs w:val="1"/>
                <w:color w:val="auto"/>
              </w:rPr>
            </w:pPr>
          </w:p>
        </w:tc>
      </w:tr>
      <w:tr>
        <w:trPr>
          <w:trHeight w:val="198"/>
        </w:trPr>
        <w:tc>
          <w:tcPr>
            <w:tcW w:w="338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Russell 2000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shd w:val="clear" w:color="auto" w:fill="F0FFFF"/>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3</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10%</w:t>
            </w:r>
          </w:p>
        </w:tc>
        <w:tc>
          <w:tcPr>
            <w:tcW w:w="1180" w:type="dxa"/>
            <w:vAlign w:val="bottom"/>
            <w:tcBorders>
              <w:bottom w:val="single" w:sz="8" w:color="auto"/>
              <w:right w:val="single" w:sz="8" w:color="auto"/>
            </w:tcBorders>
            <w:gridSpan w:val="2"/>
            <w:shd w:val="clear" w:color="auto" w:fill="F0FFFF"/>
          </w:tcPr>
          <w:p>
            <w:pPr>
              <w:ind w:left="60"/>
              <w:spacing w:after="0"/>
              <w:rPr>
                <w:sz w:val="20"/>
                <w:szCs w:val="20"/>
                <w:color w:val="auto"/>
              </w:rPr>
            </w:pPr>
            <w:r>
              <w:rPr>
                <w:rFonts w:ascii="Arial" w:cs="Arial" w:eastAsia="Arial" w:hAnsi="Arial"/>
                <w:sz w:val="13"/>
                <w:szCs w:val="13"/>
                <w:color w:val="auto"/>
              </w:rPr>
              <w:t>15% Cap Rate</w:t>
            </w:r>
          </w:p>
        </w:tc>
        <w:tc>
          <w:tcPr>
            <w:tcW w:w="0" w:type="dxa"/>
            <w:vAlign w:val="bottom"/>
          </w:tcPr>
          <w:p>
            <w:pPr>
              <w:spacing w:after="0"/>
              <w:rPr>
                <w:sz w:val="1"/>
                <w:szCs w:val="1"/>
                <w:color w:val="auto"/>
              </w:rPr>
            </w:pPr>
          </w:p>
        </w:tc>
      </w:tr>
      <w:tr>
        <w:trPr>
          <w:trHeight w:val="183"/>
        </w:trPr>
        <w:tc>
          <w:tcPr>
            <w:tcW w:w="3380" w:type="dxa"/>
            <w:vAlign w:val="bottom"/>
            <w:tcBorders>
              <w:left w:val="single" w:sz="8" w:color="auto"/>
              <w:bottom w:val="single" w:sz="8" w:color="auto"/>
              <w:right w:val="single" w:sz="8" w:color="auto"/>
            </w:tcBorders>
          </w:tcPr>
          <w:p>
            <w:pPr>
              <w:ind w:left="40"/>
              <w:spacing w:after="0" w:line="184" w:lineRule="exact"/>
              <w:rPr>
                <w:sz w:val="20"/>
                <w:szCs w:val="20"/>
                <w:color w:val="auto"/>
              </w:rPr>
            </w:pPr>
            <w:r>
              <w:rPr>
                <w:rFonts w:ascii="Arial" w:cs="Arial" w:eastAsia="Arial" w:hAnsi="Arial"/>
                <w:sz w:val="13"/>
                <w:szCs w:val="13"/>
                <w:color w:val="auto"/>
              </w:rPr>
              <w:t>Russell 2000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6</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25%</w:t>
            </w:r>
          </w:p>
        </w:tc>
        <w:tc>
          <w:tcPr>
            <w:tcW w:w="11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3"/>
                <w:szCs w:val="13"/>
                <w:color w:val="auto"/>
              </w:rPr>
              <w:t>21% Cap Rate</w:t>
            </w:r>
          </w:p>
        </w:tc>
        <w:tc>
          <w:tcPr>
            <w:tcW w:w="0" w:type="dxa"/>
            <w:vAlign w:val="bottom"/>
          </w:tcPr>
          <w:p>
            <w:pPr>
              <w:spacing w:after="0"/>
              <w:rPr>
                <w:sz w:val="1"/>
                <w:szCs w:val="1"/>
                <w:color w:val="auto"/>
              </w:rPr>
            </w:pPr>
          </w:p>
        </w:tc>
      </w:tr>
      <w:tr>
        <w:trPr>
          <w:trHeight w:val="352"/>
        </w:trPr>
        <w:tc>
          <w:tcPr>
            <w:tcW w:w="3380" w:type="dxa"/>
            <w:vAlign w:val="bottom"/>
          </w:tcPr>
          <w:p>
            <w:pPr>
              <w:spacing w:after="0"/>
              <w:rPr>
                <w:sz w:val="24"/>
                <w:szCs w:val="24"/>
                <w:color w:val="auto"/>
              </w:rPr>
            </w:pPr>
          </w:p>
        </w:tc>
        <w:tc>
          <w:tcPr>
            <w:tcW w:w="10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A-1</w:t>
            </w: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-5013960</wp:posOffset>
            </wp:positionV>
            <wp:extent cx="4523105" cy="63627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9">
                      <a:extLst>
                        <a:ext uri="{28A0092B-C50C-407E-A947-70E740481C1C}"/>
                      </a:extLst>
                    </a:blip>
                    <a:srcRect/>
                    <a:stretch>
                      <a:fillRect/>
                    </a:stretch>
                  </pic:blipFill>
                  <pic:spPr bwMode="auto">
                    <a:xfrm>
                      <a:off x="0" y="0"/>
                      <a:ext cx="4523105" cy="636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-4239260</wp:posOffset>
            </wp:positionV>
            <wp:extent cx="4523105" cy="13843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0">
                      <a:extLst>
                        <a:ext uri="{28A0092B-C50C-407E-A947-70E740481C1C}"/>
                      </a:extLst>
                    </a:blip>
                    <a:srcRect/>
                    <a:stretch>
                      <a:fillRect/>
                    </a:stretch>
                  </pic:blipFill>
                  <pic:spPr bwMode="auto">
                    <a:xfrm>
                      <a:off x="0" y="0"/>
                      <a:ext cx="4523105" cy="1384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-3961765</wp:posOffset>
            </wp:positionV>
            <wp:extent cx="4523105" cy="13843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1">
                      <a:extLst>
                        <a:ext uri="{28A0092B-C50C-407E-A947-70E740481C1C}"/>
                      </a:extLst>
                    </a:blip>
                    <a:srcRect/>
                    <a:stretch>
                      <a:fillRect/>
                    </a:stretch>
                  </pic:blipFill>
                  <pic:spPr bwMode="auto">
                    <a:xfrm>
                      <a:off x="0" y="0"/>
                      <a:ext cx="4523105" cy="1384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-3684905</wp:posOffset>
            </wp:positionV>
            <wp:extent cx="4523105" cy="13843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2">
                      <a:extLst>
                        <a:ext uri="{28A0092B-C50C-407E-A947-70E740481C1C}"/>
                      </a:extLst>
                    </a:blip>
                    <a:srcRect/>
                    <a:stretch>
                      <a:fillRect/>
                    </a:stretch>
                  </pic:blipFill>
                  <pic:spPr bwMode="auto">
                    <a:xfrm>
                      <a:off x="0" y="0"/>
                      <a:ext cx="4523105" cy="1384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-3407410</wp:posOffset>
            </wp:positionV>
            <wp:extent cx="4523105" cy="13843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3">
                      <a:extLst>
                        <a:ext uri="{28A0092B-C50C-407E-A947-70E740481C1C}"/>
                      </a:extLst>
                    </a:blip>
                    <a:srcRect/>
                    <a:stretch>
                      <a:fillRect/>
                    </a:stretch>
                  </pic:blipFill>
                  <pic:spPr bwMode="auto">
                    <a:xfrm>
                      <a:off x="0" y="0"/>
                      <a:ext cx="4523105" cy="1384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-3130550</wp:posOffset>
            </wp:positionV>
            <wp:extent cx="4523105" cy="13843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4">
                      <a:extLst>
                        <a:ext uri="{28A0092B-C50C-407E-A947-70E740481C1C}"/>
                      </a:extLst>
                    </a:blip>
                    <a:srcRect/>
                    <a:stretch>
                      <a:fillRect/>
                    </a:stretch>
                  </pic:blipFill>
                  <pic:spPr bwMode="auto">
                    <a:xfrm>
                      <a:off x="0" y="0"/>
                      <a:ext cx="4523105" cy="1384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-2853055</wp:posOffset>
            </wp:positionV>
            <wp:extent cx="4523105" cy="13843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5">
                      <a:extLst>
                        <a:ext uri="{28A0092B-C50C-407E-A947-70E740481C1C}"/>
                      </a:extLst>
                    </a:blip>
                    <a:srcRect/>
                    <a:stretch>
                      <a:fillRect/>
                    </a:stretch>
                  </pic:blipFill>
                  <pic:spPr bwMode="auto">
                    <a:xfrm>
                      <a:off x="0" y="0"/>
                      <a:ext cx="4523105" cy="1384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-2576195</wp:posOffset>
            </wp:positionV>
            <wp:extent cx="4523105" cy="13843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6">
                      <a:extLst>
                        <a:ext uri="{28A0092B-C50C-407E-A947-70E740481C1C}"/>
                      </a:extLst>
                    </a:blip>
                    <a:srcRect/>
                    <a:stretch>
                      <a:fillRect/>
                    </a:stretch>
                  </pic:blipFill>
                  <pic:spPr bwMode="auto">
                    <a:xfrm>
                      <a:off x="0" y="0"/>
                      <a:ext cx="4523105" cy="1384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-2298700</wp:posOffset>
            </wp:positionV>
            <wp:extent cx="4523105" cy="13843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7">
                      <a:extLst>
                        <a:ext uri="{28A0092B-C50C-407E-A947-70E740481C1C}"/>
                      </a:extLst>
                    </a:blip>
                    <a:srcRect/>
                    <a:stretch>
                      <a:fillRect/>
                    </a:stretch>
                  </pic:blipFill>
                  <pic:spPr bwMode="auto">
                    <a:xfrm>
                      <a:off x="0" y="0"/>
                      <a:ext cx="4523105" cy="1384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-2021840</wp:posOffset>
            </wp:positionV>
            <wp:extent cx="4523105" cy="13843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8">
                      <a:extLst>
                        <a:ext uri="{28A0092B-C50C-407E-A947-70E740481C1C}"/>
                      </a:extLst>
                    </a:blip>
                    <a:srcRect/>
                    <a:stretch>
                      <a:fillRect/>
                    </a:stretch>
                  </pic:blipFill>
                  <pic:spPr bwMode="auto">
                    <a:xfrm>
                      <a:off x="0" y="0"/>
                      <a:ext cx="4523105" cy="1384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-1744345</wp:posOffset>
            </wp:positionV>
            <wp:extent cx="4523105" cy="13843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9">
                      <a:extLst>
                        <a:ext uri="{28A0092B-C50C-407E-A947-70E740481C1C}"/>
                      </a:extLst>
                    </a:blip>
                    <a:srcRect/>
                    <a:stretch>
                      <a:fillRect/>
                    </a:stretch>
                  </pic:blipFill>
                  <pic:spPr bwMode="auto">
                    <a:xfrm>
                      <a:off x="0" y="0"/>
                      <a:ext cx="4523105" cy="1384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-1467485</wp:posOffset>
            </wp:positionV>
            <wp:extent cx="4523105" cy="13843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0">
                      <a:extLst>
                        <a:ext uri="{28A0092B-C50C-407E-A947-70E740481C1C}"/>
                      </a:extLst>
                    </a:blip>
                    <a:srcRect/>
                    <a:stretch>
                      <a:fillRect/>
                    </a:stretch>
                  </pic:blipFill>
                  <pic:spPr bwMode="auto">
                    <a:xfrm>
                      <a:off x="0" y="0"/>
                      <a:ext cx="4523105" cy="1384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-1189990</wp:posOffset>
            </wp:positionV>
            <wp:extent cx="4523105" cy="13843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1">
                      <a:extLst>
                        <a:ext uri="{28A0092B-C50C-407E-A947-70E740481C1C}"/>
                      </a:extLst>
                    </a:blip>
                    <a:srcRect/>
                    <a:stretch>
                      <a:fillRect/>
                    </a:stretch>
                  </pic:blipFill>
                  <pic:spPr bwMode="auto">
                    <a:xfrm>
                      <a:off x="0" y="0"/>
                      <a:ext cx="4523105" cy="1384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-913130</wp:posOffset>
            </wp:positionV>
            <wp:extent cx="4523105" cy="13843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2">
                      <a:extLst>
                        <a:ext uri="{28A0092B-C50C-407E-A947-70E740481C1C}"/>
                      </a:extLst>
                    </a:blip>
                    <a:srcRect/>
                    <a:stretch>
                      <a:fillRect/>
                    </a:stretch>
                  </pic:blipFill>
                  <pic:spPr bwMode="auto">
                    <a:xfrm>
                      <a:off x="0" y="0"/>
                      <a:ext cx="4523105" cy="1384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-635635</wp:posOffset>
            </wp:positionV>
            <wp:extent cx="4523105" cy="13843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3">
                      <a:extLst>
                        <a:ext uri="{28A0092B-C50C-407E-A947-70E740481C1C}"/>
                      </a:extLst>
                    </a:blip>
                    <a:srcRect/>
                    <a:stretch>
                      <a:fillRect/>
                    </a:stretch>
                  </pic:blipFill>
                  <pic:spPr bwMode="auto">
                    <a:xfrm>
                      <a:off x="0" y="0"/>
                      <a:ext cx="4523105" cy="1384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-358775</wp:posOffset>
            </wp:positionV>
            <wp:extent cx="4523105" cy="12573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4">
                      <a:extLst>
                        <a:ext uri="{28A0092B-C50C-407E-A947-70E740481C1C}"/>
                      </a:extLst>
                    </a:blip>
                    <a:srcRect/>
                    <a:stretch>
                      <a:fillRect/>
                    </a:stretch>
                  </pic:blipFill>
                  <pic:spPr bwMode="auto">
                    <a:xfrm>
                      <a:off x="0" y="0"/>
                      <a:ext cx="4523105" cy="125730"/>
                    </a:xfrm>
                    <a:prstGeom prst="rect">
                      <a:avLst/>
                    </a:prstGeom>
                    <a:noFill/>
                  </pic:spPr>
                </pic:pic>
              </a:graphicData>
            </a:graphic>
          </wp:anchor>
        </w:drawing>
      </w:r>
    </w:p>
    <w:p>
      <w:pPr>
        <w:sectPr>
          <w:pgSz w:w="11900" w:h="16838" w:orient="portrait"/>
          <w:cols w:equalWidth="0" w:num="1">
            <w:col w:w="9799"/>
          </w:cols>
          <w:pgMar w:left="660" w:top="1166" w:right="1440" w:bottom="1440" w:gutter="0" w:footer="0" w:header="0"/>
        </w:sectPr>
      </w:pPr>
    </w:p>
    <w:bookmarkStart w:id="152" w:name="page153"/>
    <w:bookmarkEnd w:id="152"/>
    <w:tbl>
      <w:tblPr>
        <w:tblLayout w:type="fixed"/>
        <w:tblInd w:w="14" w:type="dxa"/>
        <w:tblCellMar>
          <w:top w:w="0" w:type="dxa"/>
          <w:left w:w="0" w:type="dxa"/>
          <w:bottom w:w="0" w:type="dxa"/>
          <w:right w:w="0" w:type="dxa"/>
        </w:tblCellMar>
      </w:tblPr>
      <w:tr>
        <w:trPr>
          <w:trHeight w:val="181"/>
        </w:trPr>
        <w:tc>
          <w:tcPr>
            <w:tcW w:w="3380" w:type="dxa"/>
            <w:vAlign w:val="bottom"/>
            <w:tcBorders>
              <w:top w:val="single" w:sz="8" w:color="auto"/>
              <w:left w:val="single" w:sz="8" w:color="auto"/>
              <w:right w:val="single" w:sz="8" w:color="auto"/>
            </w:tcBorders>
          </w:tcPr>
          <w:p>
            <w:pPr>
              <w:spacing w:after="0"/>
              <w:rPr>
                <w:sz w:val="15"/>
                <w:szCs w:val="15"/>
                <w:color w:val="auto"/>
              </w:rPr>
            </w:pPr>
          </w:p>
        </w:tc>
        <w:tc>
          <w:tcPr>
            <w:tcW w:w="1020" w:type="dxa"/>
            <w:vAlign w:val="bottom"/>
            <w:tcBorders>
              <w:top w:val="single" w:sz="8" w:color="auto"/>
              <w:right w:val="single" w:sz="8" w:color="auto"/>
            </w:tcBorders>
          </w:tcPr>
          <w:p>
            <w:pPr>
              <w:spacing w:after="0"/>
              <w:rPr>
                <w:sz w:val="15"/>
                <w:szCs w:val="15"/>
                <w:color w:val="auto"/>
              </w:rPr>
            </w:pPr>
          </w:p>
        </w:tc>
        <w:tc>
          <w:tcPr>
            <w:tcW w:w="480" w:type="dxa"/>
            <w:vAlign w:val="bottom"/>
            <w:tcBorders>
              <w:top w:val="single" w:sz="8" w:color="auto"/>
              <w:right w:val="single" w:sz="8" w:color="auto"/>
            </w:tcBorders>
          </w:tcPr>
          <w:p>
            <w:pPr>
              <w:spacing w:after="0"/>
              <w:rPr>
                <w:sz w:val="15"/>
                <w:szCs w:val="15"/>
                <w:color w:val="auto"/>
              </w:rPr>
            </w:pPr>
          </w:p>
        </w:tc>
        <w:tc>
          <w:tcPr>
            <w:tcW w:w="1080" w:type="dxa"/>
            <w:vAlign w:val="bottom"/>
            <w:tcBorders>
              <w:top w:val="single" w:sz="8" w:color="auto"/>
              <w:right w:val="single" w:sz="8" w:color="auto"/>
            </w:tcBorders>
          </w:tcPr>
          <w:p>
            <w:pPr>
              <w:spacing w:after="0"/>
              <w:rPr>
                <w:sz w:val="15"/>
                <w:szCs w:val="15"/>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Minimum</w:t>
            </w:r>
          </w:p>
        </w:tc>
        <w:tc>
          <w:tcPr>
            <w:tcW w:w="0" w:type="dxa"/>
            <w:vAlign w:val="bottom"/>
          </w:tcPr>
          <w:p>
            <w:pPr>
              <w:spacing w:after="0"/>
              <w:rPr>
                <w:sz w:val="1"/>
                <w:szCs w:val="1"/>
                <w:color w:val="auto"/>
              </w:rPr>
            </w:pPr>
          </w:p>
        </w:tc>
      </w:tr>
      <w:tr>
        <w:trPr>
          <w:trHeight w:val="159"/>
        </w:trPr>
        <w:tc>
          <w:tcPr>
            <w:tcW w:w="3380" w:type="dxa"/>
            <w:vAlign w:val="bottom"/>
            <w:tcBorders>
              <w:left w:val="single" w:sz="8" w:color="auto"/>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ind w:left="60"/>
              <w:spacing w:after="0"/>
              <w:rPr>
                <w:sz w:val="20"/>
                <w:szCs w:val="20"/>
                <w:color w:val="auto"/>
              </w:rPr>
            </w:pPr>
            <w:r>
              <w:rPr>
                <w:rFonts w:ascii="Arial" w:cs="Arial" w:eastAsia="Arial" w:hAnsi="Arial"/>
                <w:sz w:val="13"/>
                <w:szCs w:val="13"/>
                <w:b w:val="1"/>
                <w:bCs w:val="1"/>
                <w:color w:val="auto"/>
              </w:rPr>
              <w:t>Guaranteed Rate</w:t>
            </w:r>
          </w:p>
        </w:tc>
        <w:tc>
          <w:tcPr>
            <w:tcW w:w="0" w:type="dxa"/>
            <w:vAlign w:val="bottom"/>
          </w:tcPr>
          <w:p>
            <w:pPr>
              <w:spacing w:after="0"/>
              <w:rPr>
                <w:sz w:val="1"/>
                <w:szCs w:val="1"/>
                <w:color w:val="auto"/>
              </w:rPr>
            </w:pPr>
          </w:p>
        </w:tc>
      </w:tr>
      <w:tr>
        <w:trPr>
          <w:trHeight w:val="159"/>
        </w:trPr>
        <w:tc>
          <w:tcPr>
            <w:tcW w:w="3380" w:type="dxa"/>
            <w:vAlign w:val="bottom"/>
            <w:tcBorders>
              <w:left w:val="single" w:sz="8" w:color="auto"/>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ind w:left="60"/>
              <w:spacing w:after="0"/>
              <w:rPr>
                <w:sz w:val="20"/>
                <w:szCs w:val="20"/>
                <w:color w:val="auto"/>
              </w:rPr>
            </w:pPr>
            <w:r>
              <w:rPr>
                <w:rFonts w:ascii="Arial" w:cs="Arial" w:eastAsia="Arial" w:hAnsi="Arial"/>
                <w:sz w:val="13"/>
                <w:szCs w:val="13"/>
                <w:b w:val="1"/>
                <w:bCs w:val="1"/>
                <w:color w:val="auto"/>
              </w:rPr>
              <w:t>Current Shield</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for Rate</w:t>
            </w:r>
          </w:p>
        </w:tc>
        <w:tc>
          <w:tcPr>
            <w:tcW w:w="0" w:type="dxa"/>
            <w:vAlign w:val="bottom"/>
          </w:tcPr>
          <w:p>
            <w:pPr>
              <w:spacing w:after="0"/>
              <w:rPr>
                <w:sz w:val="1"/>
                <w:szCs w:val="1"/>
                <w:color w:val="auto"/>
              </w:rPr>
            </w:pPr>
          </w:p>
        </w:tc>
      </w:tr>
      <w:tr>
        <w:trPr>
          <w:trHeight w:val="159"/>
        </w:trPr>
        <w:tc>
          <w:tcPr>
            <w:tcW w:w="3380" w:type="dxa"/>
            <w:vAlign w:val="bottom"/>
            <w:tcBorders>
              <w:left w:val="single" w:sz="8" w:color="auto"/>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Rate (if held</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Crediting Type</w:t>
            </w:r>
          </w:p>
        </w:tc>
        <w:tc>
          <w:tcPr>
            <w:tcW w:w="0" w:type="dxa"/>
            <w:vAlign w:val="bottom"/>
          </w:tcPr>
          <w:p>
            <w:pPr>
              <w:spacing w:after="0"/>
              <w:rPr>
                <w:sz w:val="1"/>
                <w:szCs w:val="1"/>
                <w:color w:val="auto"/>
              </w:rPr>
            </w:pPr>
          </w:p>
        </w:tc>
      </w:tr>
      <w:tr>
        <w:trPr>
          <w:trHeight w:val="159"/>
        </w:trPr>
        <w:tc>
          <w:tcPr>
            <w:tcW w:w="3380" w:type="dxa"/>
            <w:vAlign w:val="bottom"/>
            <w:tcBorders>
              <w:left w:val="single" w:sz="8" w:color="auto"/>
              <w:right w:val="single" w:sz="8" w:color="auto"/>
            </w:tcBorders>
            <w:vMerge w:val="restart"/>
          </w:tcPr>
          <w:p>
            <w:pPr>
              <w:ind w:left="1480"/>
              <w:spacing w:after="0"/>
              <w:rPr>
                <w:sz w:val="20"/>
                <w:szCs w:val="20"/>
                <w:color w:val="auto"/>
              </w:rPr>
            </w:pPr>
            <w:r>
              <w:rPr>
                <w:rFonts w:ascii="Arial" w:cs="Arial" w:eastAsia="Arial" w:hAnsi="Arial"/>
                <w:sz w:val="13"/>
                <w:szCs w:val="13"/>
                <w:b w:val="1"/>
                <w:bCs w:val="1"/>
                <w:color w:val="auto"/>
              </w:rPr>
              <w:t>Index</w:t>
            </w:r>
            <w:r>
              <w:rPr>
                <w:rFonts w:ascii="Arial" w:cs="Arial" w:eastAsia="Arial" w:hAnsi="Arial"/>
                <w:sz w:val="17"/>
                <w:szCs w:val="17"/>
                <w:b w:val="1"/>
                <w:bCs w:val="1"/>
                <w:color w:val="auto"/>
                <w:vertAlign w:val="superscript"/>
              </w:rPr>
              <w:t>1</w:t>
            </w:r>
          </w:p>
        </w:tc>
        <w:tc>
          <w:tcPr>
            <w:tcW w:w="1020" w:type="dxa"/>
            <w:vAlign w:val="bottom"/>
            <w:tcBorders>
              <w:right w:val="single" w:sz="8" w:color="auto"/>
            </w:tcBorders>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until end of</w:t>
            </w:r>
          </w:p>
        </w:tc>
        <w:tc>
          <w:tcPr>
            <w:tcW w:w="118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rPr>
              <w:t>(for life of Shield</w:t>
            </w:r>
          </w:p>
        </w:tc>
        <w:tc>
          <w:tcPr>
            <w:tcW w:w="0" w:type="dxa"/>
            <w:vAlign w:val="bottom"/>
          </w:tcPr>
          <w:p>
            <w:pPr>
              <w:spacing w:after="0"/>
              <w:rPr>
                <w:sz w:val="1"/>
                <w:szCs w:val="1"/>
                <w:color w:val="auto"/>
              </w:rPr>
            </w:pPr>
          </w:p>
        </w:tc>
      </w:tr>
      <w:tr>
        <w:trPr>
          <w:trHeight w:val="191"/>
        </w:trPr>
        <w:tc>
          <w:tcPr>
            <w:tcW w:w="33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Type of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Term</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Term)</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Option)</w:t>
            </w:r>
          </w:p>
        </w:tc>
        <w:tc>
          <w:tcPr>
            <w:tcW w:w="0" w:type="dxa"/>
            <w:vAlign w:val="bottom"/>
          </w:tcPr>
          <w:p>
            <w:pPr>
              <w:spacing w:after="0"/>
              <w:rPr>
                <w:sz w:val="1"/>
                <w:szCs w:val="1"/>
                <w:color w:val="auto"/>
              </w:rPr>
            </w:pPr>
          </w:p>
        </w:tc>
      </w:tr>
      <w:tr>
        <w:trPr>
          <w:trHeight w:val="198"/>
        </w:trPr>
        <w:tc>
          <w:tcPr>
            <w:tcW w:w="338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Russell 2000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shd w:val="clear" w:color="auto" w:fill="F0FFFF"/>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6</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15%</w:t>
            </w:r>
          </w:p>
        </w:tc>
        <w:tc>
          <w:tcPr>
            <w:tcW w:w="11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27% Cap Rate</w:t>
            </w:r>
          </w:p>
        </w:tc>
        <w:tc>
          <w:tcPr>
            <w:tcW w:w="0" w:type="dxa"/>
            <w:vAlign w:val="bottom"/>
          </w:tcPr>
          <w:p>
            <w:pPr>
              <w:spacing w:after="0"/>
              <w:rPr>
                <w:sz w:val="1"/>
                <w:szCs w:val="1"/>
                <w:color w:val="auto"/>
              </w:rPr>
            </w:pPr>
          </w:p>
        </w:tc>
      </w:tr>
      <w:tr>
        <w:trPr>
          <w:trHeight w:val="198"/>
        </w:trPr>
        <w:tc>
          <w:tcPr>
            <w:tcW w:w="3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Russell 2000</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Index</w:t>
            </w:r>
          </w:p>
        </w:tc>
        <w:tc>
          <w:tcPr>
            <w:tcW w:w="1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6</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10%</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30% Cap Rate</w:t>
            </w:r>
          </w:p>
        </w:tc>
        <w:tc>
          <w:tcPr>
            <w:tcW w:w="0" w:type="dxa"/>
            <w:vAlign w:val="bottom"/>
          </w:tcPr>
          <w:p>
            <w:pPr>
              <w:spacing w:after="0"/>
              <w:rPr>
                <w:sz w:val="1"/>
                <w:szCs w:val="1"/>
                <w:color w:val="auto"/>
              </w:rPr>
            </w:pPr>
          </w:p>
        </w:tc>
      </w:tr>
      <w:tr>
        <w:trPr>
          <w:trHeight w:val="180"/>
        </w:trPr>
        <w:tc>
          <w:tcPr>
            <w:tcW w:w="338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MSCI EAFE Index</w:t>
            </w:r>
          </w:p>
        </w:tc>
        <w:tc>
          <w:tcPr>
            <w:tcW w:w="1020" w:type="dxa"/>
            <w:vAlign w:val="bottom"/>
            <w:tcBorders>
              <w:bottom w:val="single" w:sz="8" w:color="auto"/>
              <w:right w:val="single" w:sz="8" w:color="auto"/>
            </w:tcBorders>
            <w:shd w:val="clear" w:color="auto" w:fill="F0FFFF"/>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25%</w:t>
            </w:r>
          </w:p>
        </w:tc>
        <w:tc>
          <w:tcPr>
            <w:tcW w:w="11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3.5% Cap Rate</w:t>
            </w:r>
          </w:p>
        </w:tc>
        <w:tc>
          <w:tcPr>
            <w:tcW w:w="0" w:type="dxa"/>
            <w:vAlign w:val="bottom"/>
          </w:tcPr>
          <w:p>
            <w:pPr>
              <w:spacing w:after="0"/>
              <w:rPr>
                <w:sz w:val="1"/>
                <w:szCs w:val="1"/>
                <w:color w:val="auto"/>
              </w:rPr>
            </w:pPr>
          </w:p>
        </w:tc>
      </w:tr>
      <w:tr>
        <w:trPr>
          <w:trHeight w:val="188"/>
        </w:trPr>
        <w:tc>
          <w:tcPr>
            <w:tcW w:w="3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MSCI EAFE Index</w:t>
            </w:r>
          </w:p>
        </w:tc>
        <w:tc>
          <w:tcPr>
            <w:tcW w:w="1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15%</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4.5% Cap Rate</w:t>
            </w:r>
          </w:p>
        </w:tc>
        <w:tc>
          <w:tcPr>
            <w:tcW w:w="0" w:type="dxa"/>
            <w:vAlign w:val="bottom"/>
          </w:tcPr>
          <w:p>
            <w:pPr>
              <w:spacing w:after="0"/>
              <w:rPr>
                <w:sz w:val="1"/>
                <w:szCs w:val="1"/>
                <w:color w:val="auto"/>
              </w:rPr>
            </w:pPr>
          </w:p>
        </w:tc>
      </w:tr>
      <w:tr>
        <w:trPr>
          <w:trHeight w:val="188"/>
        </w:trPr>
        <w:tc>
          <w:tcPr>
            <w:tcW w:w="338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MSCI EAFE Index</w:t>
            </w:r>
          </w:p>
        </w:tc>
        <w:tc>
          <w:tcPr>
            <w:tcW w:w="1020" w:type="dxa"/>
            <w:vAlign w:val="bottom"/>
            <w:tcBorders>
              <w:bottom w:val="single" w:sz="8" w:color="auto"/>
              <w:right w:val="single" w:sz="8" w:color="auto"/>
            </w:tcBorders>
            <w:shd w:val="clear" w:color="auto" w:fill="F0FFFF"/>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10%</w:t>
            </w:r>
          </w:p>
        </w:tc>
        <w:tc>
          <w:tcPr>
            <w:tcW w:w="11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5% Cap Rate</w:t>
            </w:r>
          </w:p>
        </w:tc>
        <w:tc>
          <w:tcPr>
            <w:tcW w:w="0" w:type="dxa"/>
            <w:vAlign w:val="bottom"/>
          </w:tcPr>
          <w:p>
            <w:pPr>
              <w:spacing w:after="0"/>
              <w:rPr>
                <w:sz w:val="1"/>
                <w:szCs w:val="1"/>
                <w:color w:val="auto"/>
              </w:rPr>
            </w:pPr>
          </w:p>
        </w:tc>
      </w:tr>
      <w:tr>
        <w:trPr>
          <w:trHeight w:val="188"/>
        </w:trPr>
        <w:tc>
          <w:tcPr>
            <w:tcW w:w="3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MSCI EAFE Index</w:t>
            </w:r>
          </w:p>
        </w:tc>
        <w:tc>
          <w:tcPr>
            <w:tcW w:w="1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15%</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4.5% Step Rate</w:t>
            </w:r>
          </w:p>
        </w:tc>
        <w:tc>
          <w:tcPr>
            <w:tcW w:w="0" w:type="dxa"/>
            <w:vAlign w:val="bottom"/>
          </w:tcPr>
          <w:p>
            <w:pPr>
              <w:spacing w:after="0"/>
              <w:rPr>
                <w:sz w:val="1"/>
                <w:szCs w:val="1"/>
                <w:color w:val="auto"/>
              </w:rPr>
            </w:pPr>
          </w:p>
        </w:tc>
      </w:tr>
      <w:tr>
        <w:trPr>
          <w:trHeight w:val="188"/>
        </w:trPr>
        <w:tc>
          <w:tcPr>
            <w:tcW w:w="338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MSCI EAFE Index</w:t>
            </w:r>
          </w:p>
        </w:tc>
        <w:tc>
          <w:tcPr>
            <w:tcW w:w="1020" w:type="dxa"/>
            <w:vAlign w:val="bottom"/>
            <w:tcBorders>
              <w:bottom w:val="single" w:sz="8" w:color="auto"/>
              <w:right w:val="single" w:sz="8" w:color="auto"/>
            </w:tcBorders>
            <w:shd w:val="clear" w:color="auto" w:fill="F0FFFF"/>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15%</w:t>
            </w:r>
          </w:p>
        </w:tc>
        <w:tc>
          <w:tcPr>
            <w:tcW w:w="11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4.5% Edge Rate</w:t>
            </w:r>
          </w:p>
        </w:tc>
        <w:tc>
          <w:tcPr>
            <w:tcW w:w="0" w:type="dxa"/>
            <w:vAlign w:val="bottom"/>
          </w:tcPr>
          <w:p>
            <w:pPr>
              <w:spacing w:after="0"/>
              <w:rPr>
                <w:sz w:val="1"/>
                <w:szCs w:val="1"/>
                <w:color w:val="auto"/>
              </w:rPr>
            </w:pPr>
          </w:p>
        </w:tc>
      </w:tr>
      <w:tr>
        <w:trPr>
          <w:trHeight w:val="188"/>
        </w:trPr>
        <w:tc>
          <w:tcPr>
            <w:tcW w:w="3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MSCI EAFE Index</w:t>
            </w:r>
          </w:p>
        </w:tc>
        <w:tc>
          <w:tcPr>
            <w:tcW w:w="1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10%</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5% Step Rate</w:t>
            </w:r>
          </w:p>
        </w:tc>
        <w:tc>
          <w:tcPr>
            <w:tcW w:w="0" w:type="dxa"/>
            <w:vAlign w:val="bottom"/>
          </w:tcPr>
          <w:p>
            <w:pPr>
              <w:spacing w:after="0"/>
              <w:rPr>
                <w:sz w:val="1"/>
                <w:szCs w:val="1"/>
                <w:color w:val="auto"/>
              </w:rPr>
            </w:pPr>
          </w:p>
        </w:tc>
      </w:tr>
      <w:tr>
        <w:trPr>
          <w:trHeight w:val="188"/>
        </w:trPr>
        <w:tc>
          <w:tcPr>
            <w:tcW w:w="338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MSCI EAFE Index</w:t>
            </w:r>
          </w:p>
        </w:tc>
        <w:tc>
          <w:tcPr>
            <w:tcW w:w="1020" w:type="dxa"/>
            <w:vAlign w:val="bottom"/>
            <w:tcBorders>
              <w:bottom w:val="single" w:sz="8" w:color="auto"/>
              <w:right w:val="single" w:sz="8" w:color="auto"/>
            </w:tcBorders>
            <w:shd w:val="clear" w:color="auto" w:fill="F0FFFF"/>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10%</w:t>
            </w:r>
          </w:p>
        </w:tc>
        <w:tc>
          <w:tcPr>
            <w:tcW w:w="11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5% Edge Rate</w:t>
            </w:r>
          </w:p>
        </w:tc>
        <w:tc>
          <w:tcPr>
            <w:tcW w:w="0" w:type="dxa"/>
            <w:vAlign w:val="bottom"/>
          </w:tcPr>
          <w:p>
            <w:pPr>
              <w:spacing w:after="0"/>
              <w:rPr>
                <w:sz w:val="1"/>
                <w:szCs w:val="1"/>
                <w:color w:val="auto"/>
              </w:rPr>
            </w:pPr>
          </w:p>
        </w:tc>
      </w:tr>
      <w:tr>
        <w:trPr>
          <w:trHeight w:val="188"/>
        </w:trPr>
        <w:tc>
          <w:tcPr>
            <w:tcW w:w="3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MSCI EAFE Index</w:t>
            </w:r>
          </w:p>
        </w:tc>
        <w:tc>
          <w:tcPr>
            <w:tcW w:w="1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2</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15%</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9% Step Rate</w:t>
            </w:r>
          </w:p>
        </w:tc>
        <w:tc>
          <w:tcPr>
            <w:tcW w:w="0" w:type="dxa"/>
            <w:vAlign w:val="bottom"/>
          </w:tcPr>
          <w:p>
            <w:pPr>
              <w:spacing w:after="0"/>
              <w:rPr>
                <w:sz w:val="1"/>
                <w:szCs w:val="1"/>
                <w:color w:val="auto"/>
              </w:rPr>
            </w:pPr>
          </w:p>
        </w:tc>
      </w:tr>
      <w:tr>
        <w:trPr>
          <w:trHeight w:val="188"/>
        </w:trPr>
        <w:tc>
          <w:tcPr>
            <w:tcW w:w="338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MSCI EAFE Index</w:t>
            </w:r>
          </w:p>
        </w:tc>
        <w:tc>
          <w:tcPr>
            <w:tcW w:w="1020" w:type="dxa"/>
            <w:vAlign w:val="bottom"/>
            <w:tcBorders>
              <w:bottom w:val="single" w:sz="8" w:color="auto"/>
              <w:right w:val="single" w:sz="8" w:color="auto"/>
            </w:tcBorders>
            <w:shd w:val="clear" w:color="auto" w:fill="F0FFFF"/>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2</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15%</w:t>
            </w:r>
          </w:p>
        </w:tc>
        <w:tc>
          <w:tcPr>
            <w:tcW w:w="11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9% Edge Rate</w:t>
            </w:r>
          </w:p>
        </w:tc>
        <w:tc>
          <w:tcPr>
            <w:tcW w:w="0" w:type="dxa"/>
            <w:vAlign w:val="bottom"/>
          </w:tcPr>
          <w:p>
            <w:pPr>
              <w:spacing w:after="0"/>
              <w:rPr>
                <w:sz w:val="1"/>
                <w:szCs w:val="1"/>
                <w:color w:val="auto"/>
              </w:rPr>
            </w:pPr>
          </w:p>
        </w:tc>
      </w:tr>
      <w:tr>
        <w:trPr>
          <w:trHeight w:val="188"/>
        </w:trPr>
        <w:tc>
          <w:tcPr>
            <w:tcW w:w="3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MSCI EAFE Index</w:t>
            </w:r>
          </w:p>
        </w:tc>
        <w:tc>
          <w:tcPr>
            <w:tcW w:w="1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2</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10%</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10% Step Rate</w:t>
            </w:r>
          </w:p>
        </w:tc>
        <w:tc>
          <w:tcPr>
            <w:tcW w:w="0" w:type="dxa"/>
            <w:vAlign w:val="bottom"/>
          </w:tcPr>
          <w:p>
            <w:pPr>
              <w:spacing w:after="0"/>
              <w:rPr>
                <w:sz w:val="1"/>
                <w:szCs w:val="1"/>
                <w:color w:val="auto"/>
              </w:rPr>
            </w:pPr>
          </w:p>
        </w:tc>
      </w:tr>
      <w:tr>
        <w:trPr>
          <w:trHeight w:val="188"/>
        </w:trPr>
        <w:tc>
          <w:tcPr>
            <w:tcW w:w="338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MSCI EAFE Index</w:t>
            </w:r>
          </w:p>
        </w:tc>
        <w:tc>
          <w:tcPr>
            <w:tcW w:w="1020" w:type="dxa"/>
            <w:vAlign w:val="bottom"/>
            <w:tcBorders>
              <w:bottom w:val="single" w:sz="8" w:color="auto"/>
              <w:right w:val="single" w:sz="8" w:color="auto"/>
            </w:tcBorders>
            <w:shd w:val="clear" w:color="auto" w:fill="F0FFFF"/>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2</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10%</w:t>
            </w:r>
          </w:p>
        </w:tc>
        <w:tc>
          <w:tcPr>
            <w:tcW w:w="11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10% Edge Rate</w:t>
            </w:r>
          </w:p>
        </w:tc>
        <w:tc>
          <w:tcPr>
            <w:tcW w:w="0" w:type="dxa"/>
            <w:vAlign w:val="bottom"/>
          </w:tcPr>
          <w:p>
            <w:pPr>
              <w:spacing w:after="0"/>
              <w:rPr>
                <w:sz w:val="1"/>
                <w:szCs w:val="1"/>
                <w:color w:val="auto"/>
              </w:rPr>
            </w:pPr>
          </w:p>
        </w:tc>
      </w:tr>
      <w:tr>
        <w:trPr>
          <w:trHeight w:val="188"/>
        </w:trPr>
        <w:tc>
          <w:tcPr>
            <w:tcW w:w="3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MSCI EAFE Index</w:t>
            </w:r>
          </w:p>
        </w:tc>
        <w:tc>
          <w:tcPr>
            <w:tcW w:w="1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3</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15%</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13.5% Cap Rate</w:t>
            </w:r>
          </w:p>
        </w:tc>
        <w:tc>
          <w:tcPr>
            <w:tcW w:w="0" w:type="dxa"/>
            <w:vAlign w:val="bottom"/>
          </w:tcPr>
          <w:p>
            <w:pPr>
              <w:spacing w:after="0"/>
              <w:rPr>
                <w:sz w:val="1"/>
                <w:szCs w:val="1"/>
                <w:color w:val="auto"/>
              </w:rPr>
            </w:pPr>
          </w:p>
        </w:tc>
      </w:tr>
      <w:tr>
        <w:trPr>
          <w:trHeight w:val="188"/>
        </w:trPr>
        <w:tc>
          <w:tcPr>
            <w:tcW w:w="338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MSCI EAFE Index</w:t>
            </w:r>
          </w:p>
        </w:tc>
        <w:tc>
          <w:tcPr>
            <w:tcW w:w="1020" w:type="dxa"/>
            <w:vAlign w:val="bottom"/>
            <w:tcBorders>
              <w:bottom w:val="single" w:sz="8" w:color="auto"/>
              <w:right w:val="single" w:sz="8" w:color="auto"/>
            </w:tcBorders>
            <w:shd w:val="clear" w:color="auto" w:fill="F0FFFF"/>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3</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10%</w:t>
            </w:r>
          </w:p>
        </w:tc>
        <w:tc>
          <w:tcPr>
            <w:tcW w:w="11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15% Cap Rate</w:t>
            </w:r>
          </w:p>
        </w:tc>
        <w:tc>
          <w:tcPr>
            <w:tcW w:w="0" w:type="dxa"/>
            <w:vAlign w:val="bottom"/>
          </w:tcPr>
          <w:p>
            <w:pPr>
              <w:spacing w:after="0"/>
              <w:rPr>
                <w:sz w:val="1"/>
                <w:szCs w:val="1"/>
                <w:color w:val="auto"/>
              </w:rPr>
            </w:pPr>
          </w:p>
        </w:tc>
      </w:tr>
      <w:tr>
        <w:trPr>
          <w:trHeight w:val="188"/>
        </w:trPr>
        <w:tc>
          <w:tcPr>
            <w:tcW w:w="3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MSCI EAFE Index</w:t>
            </w:r>
          </w:p>
        </w:tc>
        <w:tc>
          <w:tcPr>
            <w:tcW w:w="1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6</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25%</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21% Cap Rate</w:t>
            </w:r>
          </w:p>
        </w:tc>
        <w:tc>
          <w:tcPr>
            <w:tcW w:w="0" w:type="dxa"/>
            <w:vAlign w:val="bottom"/>
          </w:tcPr>
          <w:p>
            <w:pPr>
              <w:spacing w:after="0"/>
              <w:rPr>
                <w:sz w:val="1"/>
                <w:szCs w:val="1"/>
                <w:color w:val="auto"/>
              </w:rPr>
            </w:pPr>
          </w:p>
        </w:tc>
      </w:tr>
      <w:tr>
        <w:trPr>
          <w:trHeight w:val="188"/>
        </w:trPr>
        <w:tc>
          <w:tcPr>
            <w:tcW w:w="338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MSCI EAFE Index</w:t>
            </w:r>
          </w:p>
        </w:tc>
        <w:tc>
          <w:tcPr>
            <w:tcW w:w="1020" w:type="dxa"/>
            <w:vAlign w:val="bottom"/>
            <w:tcBorders>
              <w:bottom w:val="single" w:sz="8" w:color="auto"/>
              <w:right w:val="single" w:sz="8" w:color="auto"/>
            </w:tcBorders>
            <w:shd w:val="clear" w:color="auto" w:fill="F0FFFF"/>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6</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15%</w:t>
            </w:r>
          </w:p>
        </w:tc>
        <w:tc>
          <w:tcPr>
            <w:tcW w:w="11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27% Cap Rate</w:t>
            </w:r>
          </w:p>
        </w:tc>
        <w:tc>
          <w:tcPr>
            <w:tcW w:w="0" w:type="dxa"/>
            <w:vAlign w:val="bottom"/>
          </w:tcPr>
          <w:p>
            <w:pPr>
              <w:spacing w:after="0"/>
              <w:rPr>
                <w:sz w:val="1"/>
                <w:szCs w:val="1"/>
                <w:color w:val="auto"/>
              </w:rPr>
            </w:pPr>
          </w:p>
        </w:tc>
      </w:tr>
      <w:tr>
        <w:trPr>
          <w:trHeight w:val="188"/>
        </w:trPr>
        <w:tc>
          <w:tcPr>
            <w:tcW w:w="3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MSCI EAFE Index</w:t>
            </w:r>
          </w:p>
        </w:tc>
        <w:tc>
          <w:tcPr>
            <w:tcW w:w="1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6</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10%</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30% Cap Rate</w:t>
            </w:r>
          </w:p>
        </w:tc>
        <w:tc>
          <w:tcPr>
            <w:tcW w:w="0" w:type="dxa"/>
            <w:vAlign w:val="bottom"/>
          </w:tcPr>
          <w:p>
            <w:pPr>
              <w:spacing w:after="0"/>
              <w:rPr>
                <w:sz w:val="1"/>
                <w:szCs w:val="1"/>
                <w:color w:val="auto"/>
              </w:rPr>
            </w:pPr>
          </w:p>
        </w:tc>
      </w:tr>
      <w:tr>
        <w:trPr>
          <w:trHeight w:val="207"/>
        </w:trPr>
        <w:tc>
          <w:tcPr>
            <w:tcW w:w="338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Nasdaq-100 Index</w:t>
            </w:r>
            <w:r>
              <w:rPr>
                <w:rFonts w:ascii="Arial" w:cs="Arial" w:eastAsia="Arial" w:hAnsi="Arial"/>
                <w:sz w:val="17"/>
                <w:szCs w:val="17"/>
                <w:color w:val="auto"/>
                <w:vertAlign w:val="superscript"/>
              </w:rPr>
              <w:t>®</w:t>
            </w:r>
          </w:p>
        </w:tc>
        <w:tc>
          <w:tcPr>
            <w:tcW w:w="1020" w:type="dxa"/>
            <w:vAlign w:val="bottom"/>
            <w:tcBorders>
              <w:bottom w:val="single" w:sz="8" w:color="auto"/>
              <w:right w:val="single" w:sz="8" w:color="auto"/>
            </w:tcBorders>
            <w:shd w:val="clear" w:color="auto" w:fill="F0FFFF"/>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25%</w:t>
            </w:r>
          </w:p>
        </w:tc>
        <w:tc>
          <w:tcPr>
            <w:tcW w:w="11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3.5% Cap Rate</w:t>
            </w:r>
          </w:p>
        </w:tc>
        <w:tc>
          <w:tcPr>
            <w:tcW w:w="0" w:type="dxa"/>
            <w:vAlign w:val="bottom"/>
          </w:tcPr>
          <w:p>
            <w:pPr>
              <w:spacing w:after="0"/>
              <w:rPr>
                <w:sz w:val="1"/>
                <w:szCs w:val="1"/>
                <w:color w:val="auto"/>
              </w:rPr>
            </w:pPr>
          </w:p>
        </w:tc>
      </w:tr>
      <w:tr>
        <w:trPr>
          <w:trHeight w:val="198"/>
        </w:trPr>
        <w:tc>
          <w:tcPr>
            <w:tcW w:w="3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Nasdaq-100 Index</w:t>
            </w:r>
            <w:r>
              <w:rPr>
                <w:rFonts w:ascii="Arial" w:cs="Arial" w:eastAsia="Arial" w:hAnsi="Arial"/>
                <w:sz w:val="17"/>
                <w:szCs w:val="17"/>
                <w:color w:val="auto"/>
                <w:vertAlign w:val="superscript"/>
              </w:rPr>
              <w:t>®</w:t>
            </w:r>
          </w:p>
        </w:tc>
        <w:tc>
          <w:tcPr>
            <w:tcW w:w="1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15%</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4.5% Cap Rate</w:t>
            </w:r>
          </w:p>
        </w:tc>
        <w:tc>
          <w:tcPr>
            <w:tcW w:w="0" w:type="dxa"/>
            <w:vAlign w:val="bottom"/>
          </w:tcPr>
          <w:p>
            <w:pPr>
              <w:spacing w:after="0"/>
              <w:rPr>
                <w:sz w:val="1"/>
                <w:szCs w:val="1"/>
                <w:color w:val="auto"/>
              </w:rPr>
            </w:pPr>
          </w:p>
        </w:tc>
      </w:tr>
      <w:tr>
        <w:trPr>
          <w:trHeight w:val="198"/>
        </w:trPr>
        <w:tc>
          <w:tcPr>
            <w:tcW w:w="338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Nasdaq-100 Index</w:t>
            </w:r>
            <w:r>
              <w:rPr>
                <w:rFonts w:ascii="Arial" w:cs="Arial" w:eastAsia="Arial" w:hAnsi="Arial"/>
                <w:sz w:val="17"/>
                <w:szCs w:val="17"/>
                <w:color w:val="auto"/>
                <w:vertAlign w:val="superscript"/>
              </w:rPr>
              <w:t>®</w:t>
            </w:r>
          </w:p>
        </w:tc>
        <w:tc>
          <w:tcPr>
            <w:tcW w:w="1020" w:type="dxa"/>
            <w:vAlign w:val="bottom"/>
            <w:tcBorders>
              <w:bottom w:val="single" w:sz="8" w:color="auto"/>
              <w:right w:val="single" w:sz="8" w:color="auto"/>
            </w:tcBorders>
            <w:shd w:val="clear" w:color="auto" w:fill="F0FFFF"/>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10%</w:t>
            </w:r>
          </w:p>
        </w:tc>
        <w:tc>
          <w:tcPr>
            <w:tcW w:w="11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5% Cap Rate</w:t>
            </w:r>
          </w:p>
        </w:tc>
        <w:tc>
          <w:tcPr>
            <w:tcW w:w="0" w:type="dxa"/>
            <w:vAlign w:val="bottom"/>
          </w:tcPr>
          <w:p>
            <w:pPr>
              <w:spacing w:after="0"/>
              <w:rPr>
                <w:sz w:val="1"/>
                <w:szCs w:val="1"/>
                <w:color w:val="auto"/>
              </w:rPr>
            </w:pPr>
          </w:p>
        </w:tc>
      </w:tr>
      <w:tr>
        <w:trPr>
          <w:trHeight w:val="198"/>
        </w:trPr>
        <w:tc>
          <w:tcPr>
            <w:tcW w:w="3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Nasdaq-100 Index</w:t>
            </w:r>
            <w:r>
              <w:rPr>
                <w:rFonts w:ascii="Arial" w:cs="Arial" w:eastAsia="Arial" w:hAnsi="Arial"/>
                <w:sz w:val="17"/>
                <w:szCs w:val="17"/>
                <w:color w:val="auto"/>
                <w:vertAlign w:val="superscript"/>
              </w:rPr>
              <w:t>®</w:t>
            </w:r>
          </w:p>
        </w:tc>
        <w:tc>
          <w:tcPr>
            <w:tcW w:w="1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15%</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4.5% Step Rate</w:t>
            </w:r>
          </w:p>
        </w:tc>
        <w:tc>
          <w:tcPr>
            <w:tcW w:w="0" w:type="dxa"/>
            <w:vAlign w:val="bottom"/>
          </w:tcPr>
          <w:p>
            <w:pPr>
              <w:spacing w:after="0"/>
              <w:rPr>
                <w:sz w:val="1"/>
                <w:szCs w:val="1"/>
                <w:color w:val="auto"/>
              </w:rPr>
            </w:pPr>
          </w:p>
        </w:tc>
      </w:tr>
      <w:tr>
        <w:trPr>
          <w:trHeight w:val="198"/>
        </w:trPr>
        <w:tc>
          <w:tcPr>
            <w:tcW w:w="338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Nasdaq-100 Index</w:t>
            </w:r>
            <w:r>
              <w:rPr>
                <w:rFonts w:ascii="Arial" w:cs="Arial" w:eastAsia="Arial" w:hAnsi="Arial"/>
                <w:sz w:val="17"/>
                <w:szCs w:val="17"/>
                <w:color w:val="auto"/>
                <w:vertAlign w:val="superscript"/>
              </w:rPr>
              <w:t>®</w:t>
            </w:r>
          </w:p>
        </w:tc>
        <w:tc>
          <w:tcPr>
            <w:tcW w:w="1020" w:type="dxa"/>
            <w:vAlign w:val="bottom"/>
            <w:tcBorders>
              <w:bottom w:val="single" w:sz="8" w:color="auto"/>
              <w:right w:val="single" w:sz="8" w:color="auto"/>
            </w:tcBorders>
            <w:shd w:val="clear" w:color="auto" w:fill="F0FFFF"/>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15%</w:t>
            </w:r>
          </w:p>
        </w:tc>
        <w:tc>
          <w:tcPr>
            <w:tcW w:w="11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4.5% Edge Rate</w:t>
            </w:r>
          </w:p>
        </w:tc>
        <w:tc>
          <w:tcPr>
            <w:tcW w:w="0" w:type="dxa"/>
            <w:vAlign w:val="bottom"/>
          </w:tcPr>
          <w:p>
            <w:pPr>
              <w:spacing w:after="0"/>
              <w:rPr>
                <w:sz w:val="1"/>
                <w:szCs w:val="1"/>
                <w:color w:val="auto"/>
              </w:rPr>
            </w:pPr>
          </w:p>
        </w:tc>
      </w:tr>
      <w:tr>
        <w:trPr>
          <w:trHeight w:val="198"/>
        </w:trPr>
        <w:tc>
          <w:tcPr>
            <w:tcW w:w="3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Nasdaq-100 Index</w:t>
            </w:r>
            <w:r>
              <w:rPr>
                <w:rFonts w:ascii="Arial" w:cs="Arial" w:eastAsia="Arial" w:hAnsi="Arial"/>
                <w:sz w:val="17"/>
                <w:szCs w:val="17"/>
                <w:color w:val="auto"/>
                <w:vertAlign w:val="superscript"/>
              </w:rPr>
              <w:t>®</w:t>
            </w:r>
          </w:p>
        </w:tc>
        <w:tc>
          <w:tcPr>
            <w:tcW w:w="1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10%</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5% Step Rate</w:t>
            </w:r>
          </w:p>
        </w:tc>
        <w:tc>
          <w:tcPr>
            <w:tcW w:w="0" w:type="dxa"/>
            <w:vAlign w:val="bottom"/>
          </w:tcPr>
          <w:p>
            <w:pPr>
              <w:spacing w:after="0"/>
              <w:rPr>
                <w:sz w:val="1"/>
                <w:szCs w:val="1"/>
                <w:color w:val="auto"/>
              </w:rPr>
            </w:pPr>
          </w:p>
        </w:tc>
      </w:tr>
      <w:tr>
        <w:trPr>
          <w:trHeight w:val="198"/>
        </w:trPr>
        <w:tc>
          <w:tcPr>
            <w:tcW w:w="338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Nasdaq-100 Index</w:t>
            </w:r>
            <w:r>
              <w:rPr>
                <w:rFonts w:ascii="Arial" w:cs="Arial" w:eastAsia="Arial" w:hAnsi="Arial"/>
                <w:sz w:val="17"/>
                <w:szCs w:val="17"/>
                <w:color w:val="auto"/>
                <w:vertAlign w:val="superscript"/>
              </w:rPr>
              <w:t>®</w:t>
            </w:r>
          </w:p>
        </w:tc>
        <w:tc>
          <w:tcPr>
            <w:tcW w:w="1020" w:type="dxa"/>
            <w:vAlign w:val="bottom"/>
            <w:tcBorders>
              <w:bottom w:val="single" w:sz="8" w:color="auto"/>
              <w:right w:val="single" w:sz="8" w:color="auto"/>
            </w:tcBorders>
            <w:shd w:val="clear" w:color="auto" w:fill="F0FFFF"/>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10%</w:t>
            </w:r>
          </w:p>
        </w:tc>
        <w:tc>
          <w:tcPr>
            <w:tcW w:w="11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5% Edge Rate</w:t>
            </w:r>
          </w:p>
        </w:tc>
        <w:tc>
          <w:tcPr>
            <w:tcW w:w="0" w:type="dxa"/>
            <w:vAlign w:val="bottom"/>
          </w:tcPr>
          <w:p>
            <w:pPr>
              <w:spacing w:after="0"/>
              <w:rPr>
                <w:sz w:val="1"/>
                <w:szCs w:val="1"/>
                <w:color w:val="auto"/>
              </w:rPr>
            </w:pPr>
          </w:p>
        </w:tc>
      </w:tr>
      <w:tr>
        <w:trPr>
          <w:trHeight w:val="198"/>
        </w:trPr>
        <w:tc>
          <w:tcPr>
            <w:tcW w:w="3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Nasdaq-100 Index</w:t>
            </w:r>
            <w:r>
              <w:rPr>
                <w:rFonts w:ascii="Arial" w:cs="Arial" w:eastAsia="Arial" w:hAnsi="Arial"/>
                <w:sz w:val="17"/>
                <w:szCs w:val="17"/>
                <w:color w:val="auto"/>
                <w:vertAlign w:val="superscript"/>
              </w:rPr>
              <w:t>®</w:t>
            </w:r>
          </w:p>
        </w:tc>
        <w:tc>
          <w:tcPr>
            <w:tcW w:w="1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2</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15%</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9% Step Rate</w:t>
            </w:r>
          </w:p>
        </w:tc>
        <w:tc>
          <w:tcPr>
            <w:tcW w:w="0" w:type="dxa"/>
            <w:vAlign w:val="bottom"/>
          </w:tcPr>
          <w:p>
            <w:pPr>
              <w:spacing w:after="0"/>
              <w:rPr>
                <w:sz w:val="1"/>
                <w:szCs w:val="1"/>
                <w:color w:val="auto"/>
              </w:rPr>
            </w:pPr>
          </w:p>
        </w:tc>
      </w:tr>
      <w:tr>
        <w:trPr>
          <w:trHeight w:val="198"/>
        </w:trPr>
        <w:tc>
          <w:tcPr>
            <w:tcW w:w="338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Nasdaq-100 Index</w:t>
            </w:r>
            <w:r>
              <w:rPr>
                <w:rFonts w:ascii="Arial" w:cs="Arial" w:eastAsia="Arial" w:hAnsi="Arial"/>
                <w:sz w:val="17"/>
                <w:szCs w:val="17"/>
                <w:color w:val="auto"/>
                <w:vertAlign w:val="superscript"/>
              </w:rPr>
              <w:t>®</w:t>
            </w:r>
          </w:p>
        </w:tc>
        <w:tc>
          <w:tcPr>
            <w:tcW w:w="1020" w:type="dxa"/>
            <w:vAlign w:val="bottom"/>
            <w:tcBorders>
              <w:bottom w:val="single" w:sz="8" w:color="auto"/>
              <w:right w:val="single" w:sz="8" w:color="auto"/>
            </w:tcBorders>
            <w:shd w:val="clear" w:color="auto" w:fill="F0FFFF"/>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2</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15%</w:t>
            </w:r>
          </w:p>
        </w:tc>
        <w:tc>
          <w:tcPr>
            <w:tcW w:w="11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9% Edge Rate</w:t>
            </w:r>
          </w:p>
        </w:tc>
        <w:tc>
          <w:tcPr>
            <w:tcW w:w="0" w:type="dxa"/>
            <w:vAlign w:val="bottom"/>
          </w:tcPr>
          <w:p>
            <w:pPr>
              <w:spacing w:after="0"/>
              <w:rPr>
                <w:sz w:val="1"/>
                <w:szCs w:val="1"/>
                <w:color w:val="auto"/>
              </w:rPr>
            </w:pPr>
          </w:p>
        </w:tc>
      </w:tr>
      <w:tr>
        <w:trPr>
          <w:trHeight w:val="198"/>
        </w:trPr>
        <w:tc>
          <w:tcPr>
            <w:tcW w:w="3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Nasdaq-100 Index</w:t>
            </w:r>
            <w:r>
              <w:rPr>
                <w:rFonts w:ascii="Arial" w:cs="Arial" w:eastAsia="Arial" w:hAnsi="Arial"/>
                <w:sz w:val="17"/>
                <w:szCs w:val="17"/>
                <w:color w:val="auto"/>
                <w:vertAlign w:val="superscript"/>
              </w:rPr>
              <w:t>®</w:t>
            </w:r>
          </w:p>
        </w:tc>
        <w:tc>
          <w:tcPr>
            <w:tcW w:w="1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2</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10%</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10% Step Rate</w:t>
            </w:r>
          </w:p>
        </w:tc>
        <w:tc>
          <w:tcPr>
            <w:tcW w:w="0" w:type="dxa"/>
            <w:vAlign w:val="bottom"/>
          </w:tcPr>
          <w:p>
            <w:pPr>
              <w:spacing w:after="0"/>
              <w:rPr>
                <w:sz w:val="1"/>
                <w:szCs w:val="1"/>
                <w:color w:val="auto"/>
              </w:rPr>
            </w:pPr>
          </w:p>
        </w:tc>
      </w:tr>
      <w:tr>
        <w:trPr>
          <w:trHeight w:val="198"/>
        </w:trPr>
        <w:tc>
          <w:tcPr>
            <w:tcW w:w="338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Nasdaq-100 Index</w:t>
            </w:r>
            <w:r>
              <w:rPr>
                <w:rFonts w:ascii="Arial" w:cs="Arial" w:eastAsia="Arial" w:hAnsi="Arial"/>
                <w:sz w:val="17"/>
                <w:szCs w:val="17"/>
                <w:color w:val="auto"/>
                <w:vertAlign w:val="superscript"/>
              </w:rPr>
              <w:t>®</w:t>
            </w:r>
          </w:p>
        </w:tc>
        <w:tc>
          <w:tcPr>
            <w:tcW w:w="1020" w:type="dxa"/>
            <w:vAlign w:val="bottom"/>
            <w:tcBorders>
              <w:bottom w:val="single" w:sz="8" w:color="auto"/>
              <w:right w:val="single" w:sz="8" w:color="auto"/>
            </w:tcBorders>
            <w:shd w:val="clear" w:color="auto" w:fill="F0FFFF"/>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2</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10%</w:t>
            </w:r>
          </w:p>
        </w:tc>
        <w:tc>
          <w:tcPr>
            <w:tcW w:w="11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10% Edge Rate</w:t>
            </w:r>
          </w:p>
        </w:tc>
        <w:tc>
          <w:tcPr>
            <w:tcW w:w="0" w:type="dxa"/>
            <w:vAlign w:val="bottom"/>
          </w:tcPr>
          <w:p>
            <w:pPr>
              <w:spacing w:after="0"/>
              <w:rPr>
                <w:sz w:val="1"/>
                <w:szCs w:val="1"/>
                <w:color w:val="auto"/>
              </w:rPr>
            </w:pPr>
          </w:p>
        </w:tc>
      </w:tr>
      <w:tr>
        <w:trPr>
          <w:trHeight w:val="198"/>
        </w:trPr>
        <w:tc>
          <w:tcPr>
            <w:tcW w:w="3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Nasdaq-100 Index</w:t>
            </w:r>
            <w:r>
              <w:rPr>
                <w:rFonts w:ascii="Arial" w:cs="Arial" w:eastAsia="Arial" w:hAnsi="Arial"/>
                <w:sz w:val="17"/>
                <w:szCs w:val="17"/>
                <w:color w:val="auto"/>
                <w:vertAlign w:val="superscript"/>
              </w:rPr>
              <w:t>®</w:t>
            </w:r>
          </w:p>
        </w:tc>
        <w:tc>
          <w:tcPr>
            <w:tcW w:w="1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3</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15%</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13.5% Cap Rate</w:t>
            </w:r>
          </w:p>
        </w:tc>
        <w:tc>
          <w:tcPr>
            <w:tcW w:w="0" w:type="dxa"/>
            <w:vAlign w:val="bottom"/>
          </w:tcPr>
          <w:p>
            <w:pPr>
              <w:spacing w:after="0"/>
              <w:rPr>
                <w:sz w:val="1"/>
                <w:szCs w:val="1"/>
                <w:color w:val="auto"/>
              </w:rPr>
            </w:pPr>
          </w:p>
        </w:tc>
      </w:tr>
      <w:tr>
        <w:trPr>
          <w:trHeight w:val="198"/>
        </w:trPr>
        <w:tc>
          <w:tcPr>
            <w:tcW w:w="338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Nasdaq-100 Index</w:t>
            </w:r>
            <w:r>
              <w:rPr>
                <w:rFonts w:ascii="Arial" w:cs="Arial" w:eastAsia="Arial" w:hAnsi="Arial"/>
                <w:sz w:val="17"/>
                <w:szCs w:val="17"/>
                <w:color w:val="auto"/>
                <w:vertAlign w:val="superscript"/>
              </w:rPr>
              <w:t>®</w:t>
            </w:r>
          </w:p>
        </w:tc>
        <w:tc>
          <w:tcPr>
            <w:tcW w:w="1020" w:type="dxa"/>
            <w:vAlign w:val="bottom"/>
            <w:tcBorders>
              <w:bottom w:val="single" w:sz="8" w:color="auto"/>
              <w:right w:val="single" w:sz="8" w:color="auto"/>
            </w:tcBorders>
            <w:shd w:val="clear" w:color="auto" w:fill="F0FFFF"/>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3</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10%</w:t>
            </w:r>
          </w:p>
        </w:tc>
        <w:tc>
          <w:tcPr>
            <w:tcW w:w="11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15% Cap Rate</w:t>
            </w:r>
          </w:p>
        </w:tc>
        <w:tc>
          <w:tcPr>
            <w:tcW w:w="0" w:type="dxa"/>
            <w:vAlign w:val="bottom"/>
          </w:tcPr>
          <w:p>
            <w:pPr>
              <w:spacing w:after="0"/>
              <w:rPr>
                <w:sz w:val="1"/>
                <w:szCs w:val="1"/>
                <w:color w:val="auto"/>
              </w:rPr>
            </w:pPr>
          </w:p>
        </w:tc>
      </w:tr>
      <w:tr>
        <w:trPr>
          <w:trHeight w:val="198"/>
        </w:trPr>
        <w:tc>
          <w:tcPr>
            <w:tcW w:w="3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Nasdaq-100 Index</w:t>
            </w:r>
            <w:r>
              <w:rPr>
                <w:rFonts w:ascii="Arial" w:cs="Arial" w:eastAsia="Arial" w:hAnsi="Arial"/>
                <w:sz w:val="17"/>
                <w:szCs w:val="17"/>
                <w:color w:val="auto"/>
                <w:vertAlign w:val="superscript"/>
              </w:rPr>
              <w:t>®</w:t>
            </w:r>
          </w:p>
        </w:tc>
        <w:tc>
          <w:tcPr>
            <w:tcW w:w="1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6</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25%</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21% Cap Rate</w:t>
            </w:r>
          </w:p>
        </w:tc>
        <w:tc>
          <w:tcPr>
            <w:tcW w:w="0" w:type="dxa"/>
            <w:vAlign w:val="bottom"/>
          </w:tcPr>
          <w:p>
            <w:pPr>
              <w:spacing w:after="0"/>
              <w:rPr>
                <w:sz w:val="1"/>
                <w:szCs w:val="1"/>
                <w:color w:val="auto"/>
              </w:rPr>
            </w:pPr>
          </w:p>
        </w:tc>
      </w:tr>
      <w:tr>
        <w:trPr>
          <w:trHeight w:val="198"/>
        </w:trPr>
        <w:tc>
          <w:tcPr>
            <w:tcW w:w="338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Nasdaq-100 Index</w:t>
            </w:r>
            <w:r>
              <w:rPr>
                <w:rFonts w:ascii="Arial" w:cs="Arial" w:eastAsia="Arial" w:hAnsi="Arial"/>
                <w:sz w:val="17"/>
                <w:szCs w:val="17"/>
                <w:color w:val="auto"/>
                <w:vertAlign w:val="superscript"/>
              </w:rPr>
              <w:t>®</w:t>
            </w:r>
          </w:p>
        </w:tc>
        <w:tc>
          <w:tcPr>
            <w:tcW w:w="1020" w:type="dxa"/>
            <w:vAlign w:val="bottom"/>
            <w:tcBorders>
              <w:bottom w:val="single" w:sz="8" w:color="auto"/>
              <w:right w:val="single" w:sz="8" w:color="auto"/>
            </w:tcBorders>
            <w:shd w:val="clear" w:color="auto" w:fill="F0FFFF"/>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6</w:t>
            </w:r>
          </w:p>
        </w:tc>
        <w:tc>
          <w:tcPr>
            <w:tcW w:w="10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15%</w:t>
            </w:r>
          </w:p>
        </w:tc>
        <w:tc>
          <w:tcPr>
            <w:tcW w:w="118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27% Cap Rate</w:t>
            </w:r>
          </w:p>
        </w:tc>
        <w:tc>
          <w:tcPr>
            <w:tcW w:w="0" w:type="dxa"/>
            <w:vAlign w:val="bottom"/>
          </w:tcPr>
          <w:p>
            <w:pPr>
              <w:spacing w:after="0"/>
              <w:rPr>
                <w:sz w:val="1"/>
                <w:szCs w:val="1"/>
                <w:color w:val="auto"/>
              </w:rPr>
            </w:pPr>
          </w:p>
        </w:tc>
      </w:tr>
      <w:tr>
        <w:trPr>
          <w:trHeight w:val="183"/>
        </w:trPr>
        <w:tc>
          <w:tcPr>
            <w:tcW w:w="3380" w:type="dxa"/>
            <w:vAlign w:val="bottom"/>
            <w:tcBorders>
              <w:left w:val="single" w:sz="8" w:color="auto"/>
              <w:bottom w:val="single" w:sz="8" w:color="auto"/>
              <w:right w:val="single" w:sz="8" w:color="auto"/>
            </w:tcBorders>
          </w:tcPr>
          <w:p>
            <w:pPr>
              <w:ind w:left="40"/>
              <w:spacing w:after="0" w:line="184" w:lineRule="exact"/>
              <w:rPr>
                <w:sz w:val="20"/>
                <w:szCs w:val="20"/>
                <w:color w:val="auto"/>
              </w:rPr>
            </w:pPr>
            <w:r>
              <w:rPr>
                <w:rFonts w:ascii="Arial" w:cs="Arial" w:eastAsia="Arial" w:hAnsi="Arial"/>
                <w:sz w:val="13"/>
                <w:szCs w:val="13"/>
                <w:color w:val="auto"/>
              </w:rPr>
              <w:t>Nasdaq-100 Index</w:t>
            </w:r>
            <w:r>
              <w:rPr>
                <w:rFonts w:ascii="Arial" w:cs="Arial" w:eastAsia="Arial" w:hAnsi="Arial"/>
                <w:sz w:val="17"/>
                <w:szCs w:val="17"/>
                <w:color w:val="auto"/>
                <w:vertAlign w:val="superscript"/>
              </w:rPr>
              <w:t>®</w:t>
            </w:r>
          </w:p>
        </w:tc>
        <w:tc>
          <w:tcPr>
            <w:tcW w:w="1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Market Index</w:t>
            </w:r>
          </w:p>
        </w:tc>
        <w:tc>
          <w:tcPr>
            <w:tcW w:w="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6</w:t>
            </w: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10%</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30% Cap Rate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5">
                      <a:extLst>
                        <a:ext uri="{28A0092B-C50C-407E-A947-70E740481C1C}"/>
                      </a:extLst>
                    </a:blip>
                    <a:srcRect/>
                    <a:stretch>
                      <a:fillRect/>
                    </a:stretch>
                  </pic:blipFill>
                  <pic:spPr bwMode="auto">
                    <a:xfrm>
                      <a:off x="0" y="0"/>
                      <a:ext cx="7193915" cy="3810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-5243830</wp:posOffset>
            </wp:positionV>
            <wp:extent cx="4523105" cy="63627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6">
                      <a:extLst>
                        <a:ext uri="{28A0092B-C50C-407E-A947-70E740481C1C}"/>
                      </a:extLst>
                    </a:blip>
                    <a:srcRect/>
                    <a:stretch>
                      <a:fillRect/>
                    </a:stretch>
                  </pic:blipFill>
                  <pic:spPr bwMode="auto">
                    <a:xfrm>
                      <a:off x="0" y="0"/>
                      <a:ext cx="4523105" cy="6362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-4469130</wp:posOffset>
            </wp:positionV>
            <wp:extent cx="4523105" cy="13843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7">
                      <a:extLst>
                        <a:ext uri="{28A0092B-C50C-407E-A947-70E740481C1C}"/>
                      </a:extLst>
                    </a:blip>
                    <a:srcRect/>
                    <a:stretch>
                      <a:fillRect/>
                    </a:stretch>
                  </pic:blipFill>
                  <pic:spPr bwMode="auto">
                    <a:xfrm>
                      <a:off x="0" y="0"/>
                      <a:ext cx="4523105" cy="13843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-4197985</wp:posOffset>
            </wp:positionV>
            <wp:extent cx="4523105" cy="13208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8">
                      <a:extLst>
                        <a:ext uri="{28A0092B-C50C-407E-A947-70E740481C1C}"/>
                      </a:extLst>
                    </a:blip>
                    <a:srcRect/>
                    <a:stretch>
                      <a:fillRect/>
                    </a:stretch>
                  </pic:blipFill>
                  <pic:spPr bwMode="auto">
                    <a:xfrm>
                      <a:off x="0" y="0"/>
                      <a:ext cx="4523105" cy="1320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-3933190</wp:posOffset>
            </wp:positionV>
            <wp:extent cx="4523105" cy="13208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9">
                      <a:extLst>
                        <a:ext uri="{28A0092B-C50C-407E-A947-70E740481C1C}"/>
                      </a:extLst>
                    </a:blip>
                    <a:srcRect/>
                    <a:stretch>
                      <a:fillRect/>
                    </a:stretch>
                  </pic:blipFill>
                  <pic:spPr bwMode="auto">
                    <a:xfrm>
                      <a:off x="0" y="0"/>
                      <a:ext cx="4523105" cy="1320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-3669030</wp:posOffset>
            </wp:positionV>
            <wp:extent cx="4523105" cy="13208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0">
                      <a:extLst>
                        <a:ext uri="{28A0092B-C50C-407E-A947-70E740481C1C}"/>
                      </a:extLst>
                    </a:blip>
                    <a:srcRect/>
                    <a:stretch>
                      <a:fillRect/>
                    </a:stretch>
                  </pic:blipFill>
                  <pic:spPr bwMode="auto">
                    <a:xfrm>
                      <a:off x="0" y="0"/>
                      <a:ext cx="4523105" cy="1320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-3404235</wp:posOffset>
            </wp:positionV>
            <wp:extent cx="4523105" cy="13208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1">
                      <a:extLst>
                        <a:ext uri="{28A0092B-C50C-407E-A947-70E740481C1C}"/>
                      </a:extLst>
                    </a:blip>
                    <a:srcRect/>
                    <a:stretch>
                      <a:fillRect/>
                    </a:stretch>
                  </pic:blipFill>
                  <pic:spPr bwMode="auto">
                    <a:xfrm>
                      <a:off x="0" y="0"/>
                      <a:ext cx="4523105" cy="1320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-3139440</wp:posOffset>
            </wp:positionV>
            <wp:extent cx="4523105" cy="13208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2">
                      <a:extLst>
                        <a:ext uri="{28A0092B-C50C-407E-A947-70E740481C1C}"/>
                      </a:extLst>
                    </a:blip>
                    <a:srcRect/>
                    <a:stretch>
                      <a:fillRect/>
                    </a:stretch>
                  </pic:blipFill>
                  <pic:spPr bwMode="auto">
                    <a:xfrm>
                      <a:off x="0" y="0"/>
                      <a:ext cx="4523105" cy="1320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-2875280</wp:posOffset>
            </wp:positionV>
            <wp:extent cx="4523105" cy="13208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3">
                      <a:extLst>
                        <a:ext uri="{28A0092B-C50C-407E-A947-70E740481C1C}"/>
                      </a:extLst>
                    </a:blip>
                    <a:srcRect/>
                    <a:stretch>
                      <a:fillRect/>
                    </a:stretch>
                  </pic:blipFill>
                  <pic:spPr bwMode="auto">
                    <a:xfrm>
                      <a:off x="0" y="0"/>
                      <a:ext cx="4523105" cy="1320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-2610485</wp:posOffset>
            </wp:positionV>
            <wp:extent cx="4523105" cy="13208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4">
                      <a:extLst>
                        <a:ext uri="{28A0092B-C50C-407E-A947-70E740481C1C}"/>
                      </a:extLst>
                    </a:blip>
                    <a:srcRect/>
                    <a:stretch>
                      <a:fillRect/>
                    </a:stretch>
                  </pic:blipFill>
                  <pic:spPr bwMode="auto">
                    <a:xfrm>
                      <a:off x="0" y="0"/>
                      <a:ext cx="4523105" cy="1320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-2345690</wp:posOffset>
            </wp:positionV>
            <wp:extent cx="4523105" cy="13208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5">
                      <a:extLst>
                        <a:ext uri="{28A0092B-C50C-407E-A947-70E740481C1C}"/>
                      </a:extLst>
                    </a:blip>
                    <a:srcRect/>
                    <a:stretch>
                      <a:fillRect/>
                    </a:stretch>
                  </pic:blipFill>
                  <pic:spPr bwMode="auto">
                    <a:xfrm>
                      <a:off x="0" y="0"/>
                      <a:ext cx="4523105" cy="1320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-2075180</wp:posOffset>
            </wp:positionV>
            <wp:extent cx="4523105" cy="13843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6">
                      <a:extLst>
                        <a:ext uri="{28A0092B-C50C-407E-A947-70E740481C1C}"/>
                      </a:extLst>
                    </a:blip>
                    <a:srcRect/>
                    <a:stretch>
                      <a:fillRect/>
                    </a:stretch>
                  </pic:blipFill>
                  <pic:spPr bwMode="auto">
                    <a:xfrm>
                      <a:off x="0" y="0"/>
                      <a:ext cx="4523105" cy="13843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-1797685</wp:posOffset>
            </wp:positionV>
            <wp:extent cx="4523105" cy="13843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7">
                      <a:extLst>
                        <a:ext uri="{28A0092B-C50C-407E-A947-70E740481C1C}"/>
                      </a:extLst>
                    </a:blip>
                    <a:srcRect/>
                    <a:stretch>
                      <a:fillRect/>
                    </a:stretch>
                  </pic:blipFill>
                  <pic:spPr bwMode="auto">
                    <a:xfrm>
                      <a:off x="0" y="0"/>
                      <a:ext cx="4523105" cy="13843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-1520825</wp:posOffset>
            </wp:positionV>
            <wp:extent cx="4523105" cy="13843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8">
                      <a:extLst>
                        <a:ext uri="{28A0092B-C50C-407E-A947-70E740481C1C}"/>
                      </a:extLst>
                    </a:blip>
                    <a:srcRect/>
                    <a:stretch>
                      <a:fillRect/>
                    </a:stretch>
                  </pic:blipFill>
                  <pic:spPr bwMode="auto">
                    <a:xfrm>
                      <a:off x="0" y="0"/>
                      <a:ext cx="4523105" cy="13843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-1243330</wp:posOffset>
            </wp:positionV>
            <wp:extent cx="4523105" cy="13843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9">
                      <a:extLst>
                        <a:ext uri="{28A0092B-C50C-407E-A947-70E740481C1C}"/>
                      </a:extLst>
                    </a:blip>
                    <a:srcRect/>
                    <a:stretch>
                      <a:fillRect/>
                    </a:stretch>
                  </pic:blipFill>
                  <pic:spPr bwMode="auto">
                    <a:xfrm>
                      <a:off x="0" y="0"/>
                      <a:ext cx="4523105" cy="13843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-966470</wp:posOffset>
            </wp:positionV>
            <wp:extent cx="4523105" cy="13843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0">
                      <a:extLst>
                        <a:ext uri="{28A0092B-C50C-407E-A947-70E740481C1C}"/>
                      </a:extLst>
                    </a:blip>
                    <a:srcRect/>
                    <a:stretch>
                      <a:fillRect/>
                    </a:stretch>
                  </pic:blipFill>
                  <pic:spPr bwMode="auto">
                    <a:xfrm>
                      <a:off x="0" y="0"/>
                      <a:ext cx="4523105" cy="13843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-688975</wp:posOffset>
            </wp:positionV>
            <wp:extent cx="4523105" cy="13843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1">
                      <a:extLst>
                        <a:ext uri="{28A0092B-C50C-407E-A947-70E740481C1C}"/>
                      </a:extLst>
                    </a:blip>
                    <a:srcRect/>
                    <a:stretch>
                      <a:fillRect/>
                    </a:stretch>
                  </pic:blipFill>
                  <pic:spPr bwMode="auto">
                    <a:xfrm>
                      <a:off x="0" y="0"/>
                      <a:ext cx="4523105" cy="13843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-412115</wp:posOffset>
            </wp:positionV>
            <wp:extent cx="4523105" cy="13843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2">
                      <a:extLst>
                        <a:ext uri="{28A0092B-C50C-407E-A947-70E740481C1C}"/>
                      </a:extLst>
                    </a:blip>
                    <a:srcRect/>
                    <a:stretch>
                      <a:fillRect/>
                    </a:stretch>
                  </pic:blipFill>
                  <pic:spPr bwMode="auto">
                    <a:xfrm>
                      <a:off x="0" y="0"/>
                      <a:ext cx="4523105" cy="13843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-134620</wp:posOffset>
            </wp:positionV>
            <wp:extent cx="4523105" cy="12573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3">
                      <a:extLst>
                        <a:ext uri="{28A0092B-C50C-407E-A947-70E740481C1C}"/>
                      </a:extLst>
                    </a:blip>
                    <a:srcRect/>
                    <a:stretch>
                      <a:fillRect/>
                    </a:stretch>
                  </pic:blipFill>
                  <pic:spPr bwMode="auto">
                    <a:xfrm>
                      <a:off x="0" y="0"/>
                      <a:ext cx="4523105" cy="125730"/>
                    </a:xfrm>
                    <a:prstGeom prst="rect">
                      <a:avLst/>
                    </a:prstGeom>
                    <a:noFill/>
                  </pic:spPr>
                </pic:pic>
              </a:graphicData>
            </a:graphic>
          </wp:anchor>
        </w:drawing>
      </w:r>
    </w:p>
    <w:p>
      <w:pPr>
        <w:spacing w:after="0" w:line="42" w:lineRule="exact"/>
        <w:rPr>
          <w:sz w:val="20"/>
          <w:szCs w:val="20"/>
          <w:color w:val="auto"/>
        </w:rPr>
      </w:pPr>
    </w:p>
    <w:p>
      <w:pPr>
        <w:jc w:val="both"/>
        <w:ind w:left="4" w:right="2659" w:hanging="4"/>
        <w:spacing w:after="0" w:line="250" w:lineRule="auto"/>
        <w:tabs>
          <w:tab w:leader="none" w:pos="95" w:val="left"/>
        </w:tabs>
        <w:numPr>
          <w:ilvl w:val="0"/>
          <w:numId w:val="10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 xml:space="preserve">Each </w:t>
      </w:r>
      <w:r>
        <w:rPr>
          <w:rFonts w:ascii="Times New Roman" w:cs="Times New Roman" w:eastAsia="Times New Roman" w:hAnsi="Times New Roman"/>
          <w:sz w:val="13"/>
          <w:szCs w:val="13"/>
          <w:u w:val="single" w:color="auto"/>
          <w:color w:val="auto"/>
        </w:rPr>
        <w:t>Index</w:t>
      </w:r>
      <w:r>
        <w:rPr>
          <w:rFonts w:ascii="Times New Roman" w:cs="Times New Roman" w:eastAsia="Times New Roman" w:hAnsi="Times New Roman"/>
          <w:sz w:val="13"/>
          <w:szCs w:val="13"/>
          <w:color w:val="auto"/>
        </w:rPr>
        <w:t xml:space="preserve"> is a “price return index,” not a “total return index,” and therefore does not reflect dividends declared by any of the companies in the </w:t>
      </w:r>
      <w:r>
        <w:rPr>
          <w:rFonts w:ascii="Times New Roman" w:cs="Times New Roman" w:eastAsia="Times New Roman" w:hAnsi="Times New Roman"/>
          <w:sz w:val="13"/>
          <w:szCs w:val="13"/>
          <w:u w:val="single" w:color="auto"/>
          <w:color w:val="auto"/>
        </w:rPr>
        <w:t>Index</w:t>
      </w:r>
      <w:r>
        <w:rPr>
          <w:rFonts w:ascii="Times New Roman" w:cs="Times New Roman" w:eastAsia="Times New Roman" w:hAnsi="Times New Roman"/>
          <w:sz w:val="13"/>
          <w:szCs w:val="13"/>
          <w:color w:val="auto"/>
        </w:rPr>
        <w:t xml:space="preserve">. This will reduce the </w:t>
      </w:r>
      <w:r>
        <w:rPr>
          <w:rFonts w:ascii="Times New Roman" w:cs="Times New Roman" w:eastAsia="Times New Roman" w:hAnsi="Times New Roman"/>
          <w:sz w:val="13"/>
          <w:szCs w:val="13"/>
          <w:u w:val="single" w:color="auto"/>
          <w:color w:val="auto"/>
        </w:rPr>
        <w:t>Index Performance</w:t>
      </w:r>
      <w:r>
        <w:rPr>
          <w:rFonts w:ascii="Times New Roman" w:cs="Times New Roman" w:eastAsia="Times New Roman" w:hAnsi="Times New Roman"/>
          <w:sz w:val="13"/>
          <w:szCs w:val="13"/>
          <w:color w:val="auto"/>
        </w:rPr>
        <w:t xml:space="preserve"> and will cause the </w:t>
      </w:r>
      <w:r>
        <w:rPr>
          <w:rFonts w:ascii="Times New Roman" w:cs="Times New Roman" w:eastAsia="Times New Roman" w:hAnsi="Times New Roman"/>
          <w:sz w:val="13"/>
          <w:szCs w:val="13"/>
          <w:u w:val="single" w:color="auto"/>
          <w:color w:val="auto"/>
        </w:rPr>
        <w:t>Index</w:t>
      </w:r>
      <w:r>
        <w:rPr>
          <w:rFonts w:ascii="Times New Roman" w:cs="Times New Roman" w:eastAsia="Times New Roman" w:hAnsi="Times New Roman"/>
          <w:sz w:val="13"/>
          <w:szCs w:val="13"/>
          <w:color w:val="auto"/>
        </w:rPr>
        <w:t xml:space="preserve"> to underperform a direct investment in the securities composing the </w:t>
      </w:r>
      <w:r>
        <w:rPr>
          <w:rFonts w:ascii="Times New Roman" w:cs="Times New Roman" w:eastAsia="Times New Roman" w:hAnsi="Times New Roman"/>
          <w:sz w:val="13"/>
          <w:szCs w:val="13"/>
          <w:u w:val="single" w:color="auto"/>
          <w:color w:val="auto"/>
        </w:rPr>
        <w:t>Index</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3047365</wp:posOffset>
            </wp:positionH>
            <wp:positionV relativeFrom="paragraph">
              <wp:posOffset>-123190</wp:posOffset>
            </wp:positionV>
            <wp:extent cx="31750" cy="635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4">
                      <a:extLst>
                        <a:ext uri="{28A0092B-C50C-407E-A947-70E740481C1C}"/>
                      </a:extLst>
                    </a:blip>
                    <a:srcRect/>
                    <a:stretch>
                      <a:fillRect/>
                    </a:stretch>
                  </pic:blipFill>
                  <pic:spPr bwMode="auto">
                    <a:xfrm>
                      <a:off x="0" y="0"/>
                      <a:ext cx="31750" cy="6350"/>
                    </a:xfrm>
                    <a:prstGeom prst="rect">
                      <a:avLst/>
                    </a:prstGeom>
                    <a:noFill/>
                  </pic:spPr>
                </pic:pic>
              </a:graphicData>
            </a:graphic>
          </wp:anchor>
        </w:drawing>
      </w:r>
    </w:p>
    <w:p>
      <w:pPr>
        <w:spacing w:after="0" w:line="38" w:lineRule="exact"/>
        <w:rPr>
          <w:sz w:val="20"/>
          <w:szCs w:val="20"/>
          <w:color w:val="auto"/>
        </w:rPr>
      </w:pPr>
    </w:p>
    <w:p>
      <w:pPr>
        <w:jc w:val="both"/>
        <w:ind w:left="4" w:right="2659"/>
        <w:spacing w:after="0" w:line="274" w:lineRule="auto"/>
        <w:rPr>
          <w:sz w:val="20"/>
          <w:szCs w:val="20"/>
          <w:color w:val="auto"/>
        </w:rPr>
      </w:pPr>
      <w:r>
        <w:rPr>
          <w:rFonts w:ascii="Times New Roman" w:cs="Times New Roman" w:eastAsia="Times New Roman" w:hAnsi="Times New Roman"/>
          <w:sz w:val="13"/>
          <w:szCs w:val="13"/>
          <w:b w:val="1"/>
          <w:bCs w:val="1"/>
          <w:color w:val="auto"/>
        </w:rPr>
        <w:t xml:space="preserve">We do not guarantee that there will always be a </w:t>
      </w:r>
      <w:r>
        <w:rPr>
          <w:rFonts w:ascii="Times New Roman" w:cs="Times New Roman" w:eastAsia="Times New Roman" w:hAnsi="Times New Roman"/>
          <w:sz w:val="13"/>
          <w:szCs w:val="13"/>
          <w:b w:val="1"/>
          <w:bCs w:val="1"/>
          <w:u w:val="single" w:color="auto"/>
          <w:color w:val="auto"/>
        </w:rPr>
        <w:t>Shield Option</w:t>
      </w:r>
      <w:r>
        <w:rPr>
          <w:rFonts w:ascii="Times New Roman" w:cs="Times New Roman" w:eastAsia="Times New Roman" w:hAnsi="Times New Roman"/>
          <w:sz w:val="13"/>
          <w:szCs w:val="13"/>
          <w:b w:val="1"/>
          <w:bCs w:val="1"/>
          <w:color w:val="auto"/>
        </w:rPr>
        <w:t xml:space="preserve"> under the </w:t>
      </w:r>
      <w:r>
        <w:rPr>
          <w:rFonts w:ascii="Times New Roman" w:cs="Times New Roman" w:eastAsia="Times New Roman" w:hAnsi="Times New Roman"/>
          <w:sz w:val="13"/>
          <w:szCs w:val="13"/>
          <w:b w:val="1"/>
          <w:bCs w:val="1"/>
          <w:u w:val="single" w:color="auto"/>
          <w:color w:val="auto"/>
        </w:rPr>
        <w:t>Contract</w:t>
      </w:r>
      <w:r>
        <w:rPr>
          <w:rFonts w:ascii="Times New Roman" w:cs="Times New Roman" w:eastAsia="Times New Roman" w:hAnsi="Times New Roman"/>
          <w:sz w:val="13"/>
          <w:szCs w:val="13"/>
          <w:b w:val="1"/>
          <w:bCs w:val="1"/>
          <w:color w:val="auto"/>
        </w:rPr>
        <w:t xml:space="preserve"> that provides this minimum amount of downside protection; however, there will always be at least one </w:t>
      </w:r>
      <w:r>
        <w:rPr>
          <w:rFonts w:ascii="Times New Roman" w:cs="Times New Roman" w:eastAsia="Times New Roman" w:hAnsi="Times New Roman"/>
          <w:sz w:val="13"/>
          <w:szCs w:val="13"/>
          <w:b w:val="1"/>
          <w:bCs w:val="1"/>
          <w:u w:val="single" w:color="auto"/>
          <w:color w:val="auto"/>
        </w:rPr>
        <w:t>Shield Option</w:t>
      </w:r>
      <w:r>
        <w:rPr>
          <w:rFonts w:ascii="Times New Roman" w:cs="Times New Roman" w:eastAsia="Times New Roman" w:hAnsi="Times New Roman"/>
          <w:sz w:val="13"/>
          <w:szCs w:val="13"/>
          <w:b w:val="1"/>
          <w:bCs w:val="1"/>
          <w:color w:val="auto"/>
        </w:rPr>
        <w:t xml:space="preserve"> available that offers downside protection, although it may not be substantially similar to one of the currently available </w:t>
      </w:r>
      <w:r>
        <w:rPr>
          <w:rFonts w:ascii="Times New Roman" w:cs="Times New Roman" w:eastAsia="Times New Roman" w:hAnsi="Times New Roman"/>
          <w:sz w:val="13"/>
          <w:szCs w:val="13"/>
          <w:b w:val="1"/>
          <w:bCs w:val="1"/>
          <w:u w:val="single" w:color="auto"/>
          <w:color w:val="auto"/>
        </w:rPr>
        <w:t>Shield Options</w:t>
      </w:r>
      <w:r>
        <w:rPr>
          <w:rFonts w:ascii="Times New Roman" w:cs="Times New Roman" w:eastAsia="Times New Roman" w:hAnsi="Times New Roman"/>
          <w:sz w:val="13"/>
          <w:szCs w:val="13"/>
          <w:b w:val="1"/>
          <w:bCs w:val="1"/>
          <w:color w:val="auto"/>
        </w:rPr>
        <w:t>.</w:t>
      </w:r>
    </w:p>
    <w:p>
      <w:pPr>
        <w:spacing w:after="0" w:line="165" w:lineRule="exact"/>
        <w:rPr>
          <w:sz w:val="20"/>
          <w:szCs w:val="20"/>
          <w:color w:val="auto"/>
        </w:rPr>
      </w:pPr>
    </w:p>
    <w:p>
      <w:pPr>
        <w:ind w:left="3464"/>
        <w:spacing w:after="0"/>
        <w:rPr>
          <w:sz w:val="20"/>
          <w:szCs w:val="20"/>
          <w:color w:val="auto"/>
        </w:rPr>
      </w:pPr>
      <w:r>
        <w:rPr>
          <w:rFonts w:ascii="Times New Roman" w:cs="Times New Roman" w:eastAsia="Times New Roman" w:hAnsi="Times New Roman"/>
          <w:sz w:val="13"/>
          <w:szCs w:val="13"/>
          <w:color w:val="auto"/>
        </w:rPr>
        <w:t>A-2</w:t>
      </w:r>
    </w:p>
    <w:p>
      <w:pPr>
        <w:sectPr>
          <w:pgSz w:w="11900" w:h="16838" w:orient="portrait"/>
          <w:cols w:equalWidth="0" w:num="1">
            <w:col w:w="9803"/>
          </w:cols>
          <w:pgMar w:left="656" w:top="1156" w:right="1440" w:bottom="1440" w:gutter="0" w:footer="0" w:header="0"/>
        </w:sectPr>
      </w:pPr>
    </w:p>
    <w:bookmarkStart w:id="153" w:name="page154"/>
    <w:bookmarkEnd w:id="153"/>
    <w:p>
      <w:pPr>
        <w:jc w:val="both"/>
        <w:ind w:left="4" w:right="2659"/>
        <w:spacing w:after="0" w:line="261"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5">
                      <a:extLst>
                        <a:ext uri="{28A0092B-C50C-407E-A947-70E740481C1C}"/>
                      </a:extLst>
                    </a:blip>
                    <a:srcRect/>
                    <a:stretch>
                      <a:fillRect/>
                    </a:stretch>
                  </pic:blipFill>
                  <pic:spPr bwMode="auto">
                    <a:xfrm>
                      <a:off x="0" y="0"/>
                      <a:ext cx="7193915" cy="38100"/>
                    </a:xfrm>
                    <a:prstGeom prst="rect">
                      <a:avLst/>
                    </a:prstGeom>
                    <a:noFill/>
                  </pic:spPr>
                </pic:pic>
              </a:graphicData>
            </a:graphic>
          </wp:anchor>
        </w:drawing>
        <w:t xml:space="preserve">The Minimum Guaranteed </w:t>
      </w:r>
      <w:r>
        <w:rPr>
          <w:rFonts w:ascii="Times New Roman" w:cs="Times New Roman" w:eastAsia="Times New Roman" w:hAnsi="Times New Roman"/>
          <w:sz w:val="13"/>
          <w:szCs w:val="13"/>
          <w:b w:val="1"/>
          <w:bCs w:val="1"/>
          <w:u w:val="single" w:color="auto"/>
          <w:color w:val="auto"/>
        </w:rPr>
        <w:t>Cap Rate</w:t>
      </w:r>
      <w:r>
        <w:rPr>
          <w:rFonts w:ascii="Times New Roman" w:cs="Times New Roman" w:eastAsia="Times New Roman" w:hAnsi="Times New Roman"/>
          <w:sz w:val="13"/>
          <w:szCs w:val="13"/>
          <w:b w:val="1"/>
          <w:bCs w:val="1"/>
          <w:color w:val="auto"/>
        </w:rPr>
        <w:t xml:space="preserve"> for your </w:t>
      </w:r>
      <w:r>
        <w:rPr>
          <w:rFonts w:ascii="Times New Roman" w:cs="Times New Roman" w:eastAsia="Times New Roman" w:hAnsi="Times New Roman"/>
          <w:sz w:val="13"/>
          <w:szCs w:val="13"/>
          <w:b w:val="1"/>
          <w:bCs w:val="1"/>
          <w:u w:val="single" w:color="auto"/>
          <w:color w:val="auto"/>
        </w:rPr>
        <w:t>Contract</w:t>
      </w:r>
      <w:r>
        <w:rPr>
          <w:rFonts w:ascii="Times New Roman" w:cs="Times New Roman" w:eastAsia="Times New Roman" w:hAnsi="Times New Roman"/>
          <w:sz w:val="13"/>
          <w:szCs w:val="13"/>
          <w:b w:val="1"/>
          <w:bCs w:val="1"/>
          <w:color w:val="auto"/>
        </w:rPr>
        <w:t xml:space="preserve"> is the amount shown on your </w:t>
      </w:r>
      <w:r>
        <w:rPr>
          <w:rFonts w:ascii="Times New Roman" w:cs="Times New Roman" w:eastAsia="Times New Roman" w:hAnsi="Times New Roman"/>
          <w:sz w:val="13"/>
          <w:szCs w:val="13"/>
          <w:b w:val="1"/>
          <w:bCs w:val="1"/>
          <w:u w:val="single" w:color="auto"/>
          <w:color w:val="auto"/>
        </w:rPr>
        <w:t>Contract Schedule</w:t>
      </w:r>
      <w:r>
        <w:rPr>
          <w:rFonts w:ascii="Times New Roman" w:cs="Times New Roman" w:eastAsia="Times New Roman" w:hAnsi="Times New Roman"/>
          <w:sz w:val="13"/>
          <w:szCs w:val="13"/>
          <w:b w:val="1"/>
          <w:bCs w:val="1"/>
          <w:color w:val="auto"/>
        </w:rPr>
        <w:t xml:space="preserve"> and may vary by </w:t>
      </w:r>
      <w:r>
        <w:rPr>
          <w:rFonts w:ascii="Times New Roman" w:cs="Times New Roman" w:eastAsia="Times New Roman" w:hAnsi="Times New Roman"/>
          <w:sz w:val="13"/>
          <w:szCs w:val="13"/>
          <w:b w:val="1"/>
          <w:bCs w:val="1"/>
          <w:u w:val="single" w:color="auto"/>
          <w:color w:val="auto"/>
        </w:rPr>
        <w:t>Shield Rate</w:t>
      </w:r>
      <w:r>
        <w:rPr>
          <w:rFonts w:ascii="Times New Roman" w:cs="Times New Roman" w:eastAsia="Times New Roman" w:hAnsi="Times New Roman"/>
          <w:sz w:val="13"/>
          <w:szCs w:val="13"/>
          <w:b w:val="1"/>
          <w:bCs w:val="1"/>
          <w:color w:val="auto"/>
        </w:rPr>
        <w:t xml:space="preserve">, but will not be less than 3.5% for </w:t>
      </w:r>
      <w:r>
        <w:rPr>
          <w:rFonts w:ascii="Times New Roman" w:cs="Times New Roman" w:eastAsia="Times New Roman" w:hAnsi="Times New Roman"/>
          <w:sz w:val="13"/>
          <w:szCs w:val="13"/>
          <w:b w:val="1"/>
          <w:bCs w:val="1"/>
          <w:u w:val="single" w:color="auto"/>
          <w:color w:val="auto"/>
        </w:rPr>
        <w:t>Shield Options</w:t>
      </w:r>
      <w:r>
        <w:rPr>
          <w:rFonts w:ascii="Times New Roman" w:cs="Times New Roman" w:eastAsia="Times New Roman" w:hAnsi="Times New Roman"/>
          <w:sz w:val="13"/>
          <w:szCs w:val="13"/>
          <w:b w:val="1"/>
          <w:bCs w:val="1"/>
          <w:color w:val="auto"/>
        </w:rPr>
        <w:t xml:space="preserve"> with a 1-Year </w:t>
      </w:r>
      <w:r>
        <w:rPr>
          <w:rFonts w:ascii="Times New Roman" w:cs="Times New Roman" w:eastAsia="Times New Roman" w:hAnsi="Times New Roman"/>
          <w:sz w:val="13"/>
          <w:szCs w:val="13"/>
          <w:b w:val="1"/>
          <w:bCs w:val="1"/>
          <w:u w:val="single" w:color="auto"/>
          <w:color w:val="auto"/>
        </w:rPr>
        <w:t>Term</w:t>
      </w:r>
      <w:r>
        <w:rPr>
          <w:rFonts w:ascii="Times New Roman" w:cs="Times New Roman" w:eastAsia="Times New Roman" w:hAnsi="Times New Roman"/>
          <w:sz w:val="13"/>
          <w:szCs w:val="13"/>
          <w:b w:val="1"/>
          <w:bCs w:val="1"/>
          <w:color w:val="auto"/>
        </w:rPr>
        <w:t xml:space="preserve">, 13.5% for </w:t>
      </w:r>
      <w:r>
        <w:rPr>
          <w:rFonts w:ascii="Times New Roman" w:cs="Times New Roman" w:eastAsia="Times New Roman" w:hAnsi="Times New Roman"/>
          <w:sz w:val="13"/>
          <w:szCs w:val="13"/>
          <w:b w:val="1"/>
          <w:bCs w:val="1"/>
          <w:u w:val="single" w:color="auto"/>
          <w:color w:val="auto"/>
        </w:rPr>
        <w:t>Shield Options</w:t>
      </w:r>
      <w:r>
        <w:rPr>
          <w:rFonts w:ascii="Times New Roman" w:cs="Times New Roman" w:eastAsia="Times New Roman" w:hAnsi="Times New Roman"/>
          <w:sz w:val="13"/>
          <w:szCs w:val="13"/>
          <w:b w:val="1"/>
          <w:bCs w:val="1"/>
          <w:color w:val="auto"/>
        </w:rPr>
        <w:t xml:space="preserve"> with a 3-Year </w:t>
      </w:r>
      <w:r>
        <w:rPr>
          <w:rFonts w:ascii="Times New Roman" w:cs="Times New Roman" w:eastAsia="Times New Roman" w:hAnsi="Times New Roman"/>
          <w:sz w:val="13"/>
          <w:szCs w:val="13"/>
          <w:b w:val="1"/>
          <w:bCs w:val="1"/>
          <w:u w:val="single" w:color="auto"/>
          <w:color w:val="auto"/>
        </w:rPr>
        <w:t>Term</w:t>
      </w:r>
      <w:r>
        <w:rPr>
          <w:rFonts w:ascii="Times New Roman" w:cs="Times New Roman" w:eastAsia="Times New Roman" w:hAnsi="Times New Roman"/>
          <w:sz w:val="13"/>
          <w:szCs w:val="13"/>
          <w:b w:val="1"/>
          <w:bCs w:val="1"/>
          <w:color w:val="auto"/>
        </w:rPr>
        <w:t xml:space="preserve"> and 21% for </w:t>
      </w:r>
      <w:r>
        <w:rPr>
          <w:rFonts w:ascii="Times New Roman" w:cs="Times New Roman" w:eastAsia="Times New Roman" w:hAnsi="Times New Roman"/>
          <w:sz w:val="13"/>
          <w:szCs w:val="13"/>
          <w:b w:val="1"/>
          <w:bCs w:val="1"/>
          <w:u w:val="single" w:color="auto"/>
          <w:color w:val="auto"/>
        </w:rPr>
        <w:t>Shield Options</w:t>
      </w:r>
      <w:r>
        <w:rPr>
          <w:rFonts w:ascii="Times New Roman" w:cs="Times New Roman" w:eastAsia="Times New Roman" w:hAnsi="Times New Roman"/>
          <w:sz w:val="13"/>
          <w:szCs w:val="13"/>
          <w:b w:val="1"/>
          <w:bCs w:val="1"/>
          <w:color w:val="auto"/>
        </w:rPr>
        <w:t xml:space="preserve"> with a 6-Year </w:t>
      </w:r>
      <w:r>
        <w:rPr>
          <w:rFonts w:ascii="Times New Roman" w:cs="Times New Roman" w:eastAsia="Times New Roman" w:hAnsi="Times New Roman"/>
          <w:sz w:val="13"/>
          <w:szCs w:val="13"/>
          <w:b w:val="1"/>
          <w:bCs w:val="1"/>
          <w:u w:val="single" w:color="auto"/>
          <w:color w:val="auto"/>
        </w:rPr>
        <w:t>Term</w:t>
      </w:r>
      <w:r>
        <w:rPr>
          <w:rFonts w:ascii="Times New Roman" w:cs="Times New Roman" w:eastAsia="Times New Roman" w:hAnsi="Times New Roman"/>
          <w:sz w:val="13"/>
          <w:szCs w:val="13"/>
          <w:b w:val="1"/>
          <w:bCs w:val="1"/>
          <w:color w:val="auto"/>
        </w:rPr>
        <w:t xml:space="preserve">. The Minimum Guaranteed </w:t>
      </w:r>
      <w:r>
        <w:rPr>
          <w:rFonts w:ascii="Times New Roman" w:cs="Times New Roman" w:eastAsia="Times New Roman" w:hAnsi="Times New Roman"/>
          <w:sz w:val="13"/>
          <w:szCs w:val="13"/>
          <w:b w:val="1"/>
          <w:bCs w:val="1"/>
          <w:u w:val="single" w:color="auto"/>
          <w:color w:val="auto"/>
        </w:rPr>
        <w:t>Step Rate</w:t>
      </w:r>
      <w:r>
        <w:rPr>
          <w:rFonts w:ascii="Times New Roman" w:cs="Times New Roman" w:eastAsia="Times New Roman" w:hAnsi="Times New Roman"/>
          <w:sz w:val="13"/>
          <w:szCs w:val="13"/>
          <w:b w:val="1"/>
          <w:bCs w:val="1"/>
          <w:color w:val="auto"/>
        </w:rPr>
        <w:t xml:space="preserve"> for your </w:t>
      </w:r>
      <w:r>
        <w:rPr>
          <w:rFonts w:ascii="Times New Roman" w:cs="Times New Roman" w:eastAsia="Times New Roman" w:hAnsi="Times New Roman"/>
          <w:sz w:val="13"/>
          <w:szCs w:val="13"/>
          <w:b w:val="1"/>
          <w:bCs w:val="1"/>
          <w:u w:val="single" w:color="auto"/>
          <w:color w:val="auto"/>
        </w:rPr>
        <w:t>Contract</w:t>
      </w:r>
      <w:r>
        <w:rPr>
          <w:rFonts w:ascii="Times New Roman" w:cs="Times New Roman" w:eastAsia="Times New Roman" w:hAnsi="Times New Roman"/>
          <w:sz w:val="13"/>
          <w:szCs w:val="13"/>
          <w:b w:val="1"/>
          <w:bCs w:val="1"/>
          <w:color w:val="auto"/>
        </w:rPr>
        <w:t xml:space="preserve"> is the amount shown on your </w:t>
      </w:r>
      <w:r>
        <w:rPr>
          <w:rFonts w:ascii="Times New Roman" w:cs="Times New Roman" w:eastAsia="Times New Roman" w:hAnsi="Times New Roman"/>
          <w:sz w:val="13"/>
          <w:szCs w:val="13"/>
          <w:b w:val="1"/>
          <w:bCs w:val="1"/>
          <w:u w:val="single" w:color="auto"/>
          <w:color w:val="auto"/>
        </w:rPr>
        <w:t>Contract Schedule</w:t>
      </w:r>
      <w:r>
        <w:rPr>
          <w:rFonts w:ascii="Times New Roman" w:cs="Times New Roman" w:eastAsia="Times New Roman" w:hAnsi="Times New Roman"/>
          <w:sz w:val="13"/>
          <w:szCs w:val="13"/>
          <w:b w:val="1"/>
          <w:bCs w:val="1"/>
          <w:color w:val="auto"/>
        </w:rPr>
        <w:t xml:space="preserve"> and may vary by </w:t>
      </w:r>
      <w:r>
        <w:rPr>
          <w:rFonts w:ascii="Times New Roman" w:cs="Times New Roman" w:eastAsia="Times New Roman" w:hAnsi="Times New Roman"/>
          <w:sz w:val="13"/>
          <w:szCs w:val="13"/>
          <w:b w:val="1"/>
          <w:bCs w:val="1"/>
          <w:u w:val="single" w:color="auto"/>
          <w:color w:val="auto"/>
        </w:rPr>
        <w:t>Shield Rate</w:t>
      </w:r>
      <w:r>
        <w:rPr>
          <w:rFonts w:ascii="Times New Roman" w:cs="Times New Roman" w:eastAsia="Times New Roman" w:hAnsi="Times New Roman"/>
          <w:sz w:val="13"/>
          <w:szCs w:val="13"/>
          <w:b w:val="1"/>
          <w:bCs w:val="1"/>
          <w:color w:val="auto"/>
        </w:rPr>
        <w:t xml:space="preserve"> , but will not be less than 4.5% for </w:t>
      </w:r>
      <w:r>
        <w:rPr>
          <w:rFonts w:ascii="Times New Roman" w:cs="Times New Roman" w:eastAsia="Times New Roman" w:hAnsi="Times New Roman"/>
          <w:sz w:val="13"/>
          <w:szCs w:val="13"/>
          <w:b w:val="1"/>
          <w:bCs w:val="1"/>
          <w:u w:val="single" w:color="auto"/>
          <w:color w:val="auto"/>
        </w:rPr>
        <w:t>Shield Options</w:t>
      </w:r>
      <w:r>
        <w:rPr>
          <w:rFonts w:ascii="Times New Roman" w:cs="Times New Roman" w:eastAsia="Times New Roman" w:hAnsi="Times New Roman"/>
          <w:sz w:val="13"/>
          <w:szCs w:val="13"/>
          <w:b w:val="1"/>
          <w:bCs w:val="1"/>
          <w:color w:val="auto"/>
        </w:rPr>
        <w:t xml:space="preserve"> with a 1-Year </w:t>
      </w:r>
      <w:r>
        <w:rPr>
          <w:rFonts w:ascii="Times New Roman" w:cs="Times New Roman" w:eastAsia="Times New Roman" w:hAnsi="Times New Roman"/>
          <w:sz w:val="13"/>
          <w:szCs w:val="13"/>
          <w:b w:val="1"/>
          <w:bCs w:val="1"/>
          <w:u w:val="single" w:color="auto"/>
          <w:color w:val="auto"/>
        </w:rPr>
        <w:t>Term</w:t>
      </w:r>
      <w:r>
        <w:rPr>
          <w:rFonts w:ascii="Times New Roman" w:cs="Times New Roman" w:eastAsia="Times New Roman" w:hAnsi="Times New Roman"/>
          <w:sz w:val="13"/>
          <w:szCs w:val="13"/>
          <w:b w:val="1"/>
          <w:bCs w:val="1"/>
          <w:color w:val="auto"/>
        </w:rPr>
        <w:t xml:space="preserve"> and 9% for </w:t>
      </w:r>
      <w:r>
        <w:rPr>
          <w:rFonts w:ascii="Times New Roman" w:cs="Times New Roman" w:eastAsia="Times New Roman" w:hAnsi="Times New Roman"/>
          <w:sz w:val="13"/>
          <w:szCs w:val="13"/>
          <w:b w:val="1"/>
          <w:bCs w:val="1"/>
          <w:u w:val="single" w:color="auto"/>
          <w:color w:val="auto"/>
        </w:rPr>
        <w:t>Shield Options</w:t>
      </w:r>
      <w:r>
        <w:rPr>
          <w:rFonts w:ascii="Times New Roman" w:cs="Times New Roman" w:eastAsia="Times New Roman" w:hAnsi="Times New Roman"/>
          <w:sz w:val="13"/>
          <w:szCs w:val="13"/>
          <w:b w:val="1"/>
          <w:bCs w:val="1"/>
          <w:color w:val="auto"/>
        </w:rPr>
        <w:t xml:space="preserve"> with a 2-Year </w:t>
      </w:r>
      <w:r>
        <w:rPr>
          <w:rFonts w:ascii="Times New Roman" w:cs="Times New Roman" w:eastAsia="Times New Roman" w:hAnsi="Times New Roman"/>
          <w:sz w:val="13"/>
          <w:szCs w:val="13"/>
          <w:b w:val="1"/>
          <w:bCs w:val="1"/>
          <w:u w:val="single" w:color="auto"/>
          <w:color w:val="auto"/>
        </w:rPr>
        <w:t>Term</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The Minimum Guaranteed </w:t>
      </w:r>
      <w:r>
        <w:rPr>
          <w:rFonts w:ascii="Times New Roman" w:cs="Times New Roman" w:eastAsia="Times New Roman" w:hAnsi="Times New Roman"/>
          <w:sz w:val="13"/>
          <w:szCs w:val="13"/>
          <w:b w:val="1"/>
          <w:bCs w:val="1"/>
          <w:u w:val="single" w:color="auto"/>
          <w:color w:val="auto"/>
        </w:rPr>
        <w:t>Edge Rate</w:t>
      </w:r>
      <w:r>
        <w:rPr>
          <w:rFonts w:ascii="Times New Roman" w:cs="Times New Roman" w:eastAsia="Times New Roman" w:hAnsi="Times New Roman"/>
          <w:sz w:val="13"/>
          <w:szCs w:val="13"/>
          <w:b w:val="1"/>
          <w:bCs w:val="1"/>
          <w:color w:val="auto"/>
        </w:rPr>
        <w:t xml:space="preserve"> for your </w:t>
      </w:r>
      <w:r>
        <w:rPr>
          <w:rFonts w:ascii="Times New Roman" w:cs="Times New Roman" w:eastAsia="Times New Roman" w:hAnsi="Times New Roman"/>
          <w:sz w:val="13"/>
          <w:szCs w:val="13"/>
          <w:b w:val="1"/>
          <w:bCs w:val="1"/>
          <w:u w:val="single" w:color="auto"/>
          <w:color w:val="auto"/>
        </w:rPr>
        <w:t>Contract</w:t>
      </w:r>
      <w:r>
        <w:rPr>
          <w:rFonts w:ascii="Times New Roman" w:cs="Times New Roman" w:eastAsia="Times New Roman" w:hAnsi="Times New Roman"/>
          <w:sz w:val="13"/>
          <w:szCs w:val="13"/>
          <w:b w:val="1"/>
          <w:bCs w:val="1"/>
          <w:color w:val="auto"/>
        </w:rPr>
        <w:t xml:space="preserve"> is the amount shown on your </w:t>
      </w:r>
      <w:r>
        <w:rPr>
          <w:rFonts w:ascii="Times New Roman" w:cs="Times New Roman" w:eastAsia="Times New Roman" w:hAnsi="Times New Roman"/>
          <w:sz w:val="13"/>
          <w:szCs w:val="13"/>
          <w:b w:val="1"/>
          <w:bCs w:val="1"/>
          <w:u w:val="single" w:color="auto"/>
          <w:color w:val="auto"/>
        </w:rPr>
        <w:t>Contract Schedule</w:t>
      </w:r>
      <w:r>
        <w:rPr>
          <w:rFonts w:ascii="Times New Roman" w:cs="Times New Roman" w:eastAsia="Times New Roman" w:hAnsi="Times New Roman"/>
          <w:sz w:val="13"/>
          <w:szCs w:val="13"/>
          <w:b w:val="1"/>
          <w:bCs w:val="1"/>
          <w:color w:val="auto"/>
        </w:rPr>
        <w:t xml:space="preserve"> and may vary by </w:t>
      </w:r>
      <w:r>
        <w:rPr>
          <w:rFonts w:ascii="Times New Roman" w:cs="Times New Roman" w:eastAsia="Times New Roman" w:hAnsi="Times New Roman"/>
          <w:sz w:val="13"/>
          <w:szCs w:val="13"/>
          <w:b w:val="1"/>
          <w:bCs w:val="1"/>
          <w:u w:val="single" w:color="auto"/>
          <w:color w:val="auto"/>
        </w:rPr>
        <w:t>Shield Rate</w:t>
      </w:r>
      <w:r>
        <w:rPr>
          <w:rFonts w:ascii="Times New Roman" w:cs="Times New Roman" w:eastAsia="Times New Roman" w:hAnsi="Times New Roman"/>
          <w:sz w:val="13"/>
          <w:szCs w:val="13"/>
          <w:b w:val="1"/>
          <w:bCs w:val="1"/>
          <w:color w:val="auto"/>
        </w:rPr>
        <w:t xml:space="preserve"> , but will not be less than 4.5% for </w:t>
      </w:r>
      <w:r>
        <w:rPr>
          <w:rFonts w:ascii="Times New Roman" w:cs="Times New Roman" w:eastAsia="Times New Roman" w:hAnsi="Times New Roman"/>
          <w:sz w:val="13"/>
          <w:szCs w:val="13"/>
          <w:b w:val="1"/>
          <w:bCs w:val="1"/>
          <w:u w:val="single" w:color="auto"/>
          <w:color w:val="auto"/>
        </w:rPr>
        <w:t>Shield Options</w:t>
      </w:r>
      <w:r>
        <w:rPr>
          <w:rFonts w:ascii="Times New Roman" w:cs="Times New Roman" w:eastAsia="Times New Roman" w:hAnsi="Times New Roman"/>
          <w:sz w:val="13"/>
          <w:szCs w:val="13"/>
          <w:b w:val="1"/>
          <w:bCs w:val="1"/>
          <w:color w:val="auto"/>
        </w:rPr>
        <w:t xml:space="preserve"> with a 1-Year </w:t>
      </w:r>
      <w:r>
        <w:rPr>
          <w:rFonts w:ascii="Times New Roman" w:cs="Times New Roman" w:eastAsia="Times New Roman" w:hAnsi="Times New Roman"/>
          <w:sz w:val="13"/>
          <w:szCs w:val="13"/>
          <w:b w:val="1"/>
          <w:bCs w:val="1"/>
          <w:u w:val="single" w:color="auto"/>
          <w:color w:val="auto"/>
        </w:rPr>
        <w:t>Term</w:t>
      </w:r>
      <w:r>
        <w:rPr>
          <w:rFonts w:ascii="Times New Roman" w:cs="Times New Roman" w:eastAsia="Times New Roman" w:hAnsi="Times New Roman"/>
          <w:sz w:val="13"/>
          <w:szCs w:val="13"/>
          <w:b w:val="1"/>
          <w:bCs w:val="1"/>
          <w:color w:val="auto"/>
        </w:rPr>
        <w:t xml:space="preserve"> and 9% for </w:t>
      </w:r>
      <w:r>
        <w:rPr>
          <w:rFonts w:ascii="Times New Roman" w:cs="Times New Roman" w:eastAsia="Times New Roman" w:hAnsi="Times New Roman"/>
          <w:sz w:val="13"/>
          <w:szCs w:val="13"/>
          <w:b w:val="1"/>
          <w:bCs w:val="1"/>
          <w:u w:val="single" w:color="auto"/>
          <w:color w:val="auto"/>
        </w:rPr>
        <w:t>Shield Options</w:t>
      </w:r>
      <w:r>
        <w:rPr>
          <w:rFonts w:ascii="Times New Roman" w:cs="Times New Roman" w:eastAsia="Times New Roman" w:hAnsi="Times New Roman"/>
          <w:sz w:val="13"/>
          <w:szCs w:val="13"/>
          <w:b w:val="1"/>
          <w:bCs w:val="1"/>
          <w:color w:val="auto"/>
        </w:rPr>
        <w:t xml:space="preserve"> with a 2-Year </w:t>
      </w:r>
      <w:r>
        <w:rPr>
          <w:rFonts w:ascii="Times New Roman" w:cs="Times New Roman" w:eastAsia="Times New Roman" w:hAnsi="Times New Roman"/>
          <w:sz w:val="13"/>
          <w:szCs w:val="13"/>
          <w:b w:val="1"/>
          <w:bCs w:val="1"/>
          <w:u w:val="single" w:color="auto"/>
          <w:color w:val="auto"/>
        </w:rPr>
        <w:t>Term</w:t>
      </w:r>
      <w:r>
        <w:rPr>
          <w:rFonts w:ascii="Times New Roman" w:cs="Times New Roman" w:eastAsia="Times New Roman" w:hAnsi="Times New Roman"/>
          <w:sz w:val="13"/>
          <w:szCs w:val="13"/>
          <w:color w:val="auto"/>
        </w:rPr>
        <w:t>.</w:t>
      </w:r>
    </w:p>
    <w:p>
      <w:pPr>
        <w:spacing w:after="0" w:line="54" w:lineRule="exact"/>
        <w:rPr>
          <w:sz w:val="20"/>
          <w:szCs w:val="20"/>
          <w:color w:val="auto"/>
        </w:rPr>
      </w:pPr>
    </w:p>
    <w:p>
      <w:pPr>
        <w:jc w:val="both"/>
        <w:ind w:left="4" w:right="2659"/>
        <w:spacing w:after="0" w:line="272" w:lineRule="auto"/>
        <w:rPr>
          <w:sz w:val="20"/>
          <w:szCs w:val="20"/>
          <w:color w:val="auto"/>
        </w:rPr>
      </w:pPr>
      <w:r>
        <w:rPr>
          <w:rFonts w:ascii="Times New Roman" w:cs="Times New Roman" w:eastAsia="Times New Roman" w:hAnsi="Times New Roman"/>
          <w:sz w:val="13"/>
          <w:szCs w:val="13"/>
          <w:color w:val="auto"/>
        </w:rPr>
        <w:t xml:space="preserve">The following is a list of </w:t>
      </w:r>
      <w:r>
        <w:rPr>
          <w:rFonts w:ascii="Times New Roman" w:cs="Times New Roman" w:eastAsia="Times New Roman" w:hAnsi="Times New Roman"/>
          <w:sz w:val="13"/>
          <w:szCs w:val="13"/>
          <w:u w:val="single" w:color="auto"/>
          <w:color w:val="auto"/>
        </w:rPr>
        <w:t>Fixed Options</w:t>
      </w:r>
      <w:r>
        <w:rPr>
          <w:rFonts w:ascii="Times New Roman" w:cs="Times New Roman" w:eastAsia="Times New Roman" w:hAnsi="Times New Roman"/>
          <w:sz w:val="13"/>
          <w:szCs w:val="13"/>
          <w:color w:val="auto"/>
        </w:rPr>
        <w:t xml:space="preserve"> currently available under the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We may change the features of the </w:t>
      </w:r>
      <w:r>
        <w:rPr>
          <w:rFonts w:ascii="Times New Roman" w:cs="Times New Roman" w:eastAsia="Times New Roman" w:hAnsi="Times New Roman"/>
          <w:sz w:val="13"/>
          <w:szCs w:val="13"/>
          <w:u w:val="single" w:color="auto"/>
          <w:color w:val="auto"/>
        </w:rPr>
        <w:t>Fixed Options</w:t>
      </w:r>
      <w:r>
        <w:rPr>
          <w:rFonts w:ascii="Times New Roman" w:cs="Times New Roman" w:eastAsia="Times New Roman" w:hAnsi="Times New Roman"/>
          <w:sz w:val="13"/>
          <w:szCs w:val="13"/>
          <w:color w:val="auto"/>
        </w:rPr>
        <w:t xml:space="preserve"> listed below, offer new </w:t>
      </w:r>
      <w:r>
        <w:rPr>
          <w:rFonts w:ascii="Times New Roman" w:cs="Times New Roman" w:eastAsia="Times New Roman" w:hAnsi="Times New Roman"/>
          <w:sz w:val="13"/>
          <w:szCs w:val="13"/>
          <w:u w:val="single" w:color="auto"/>
          <w:color w:val="auto"/>
        </w:rPr>
        <w:t>Fixed Options</w:t>
      </w:r>
      <w:r>
        <w:rPr>
          <w:rFonts w:ascii="Times New Roman" w:cs="Times New Roman" w:eastAsia="Times New Roman" w:hAnsi="Times New Roman"/>
          <w:sz w:val="13"/>
          <w:szCs w:val="13"/>
          <w:color w:val="auto"/>
        </w:rPr>
        <w:t xml:space="preserve">, and terminate existing </w:t>
      </w:r>
      <w:r>
        <w:rPr>
          <w:rFonts w:ascii="Times New Roman" w:cs="Times New Roman" w:eastAsia="Times New Roman" w:hAnsi="Times New Roman"/>
          <w:sz w:val="13"/>
          <w:szCs w:val="13"/>
          <w:u w:val="single" w:color="auto"/>
          <w:color w:val="auto"/>
        </w:rPr>
        <w:t>Fixed Options</w:t>
      </w:r>
      <w:r>
        <w:rPr>
          <w:rFonts w:ascii="Times New Roman" w:cs="Times New Roman" w:eastAsia="Times New Roman" w:hAnsi="Times New Roman"/>
          <w:sz w:val="13"/>
          <w:szCs w:val="13"/>
          <w:color w:val="auto"/>
        </w:rPr>
        <w:t xml:space="preserve">. We will provide you with written notice before doing so. See “THE </w:t>
      </w:r>
      <w:r>
        <w:rPr>
          <w:rFonts w:ascii="Times New Roman" w:cs="Times New Roman" w:eastAsia="Times New Roman" w:hAnsi="Times New Roman"/>
          <w:sz w:val="13"/>
          <w:szCs w:val="13"/>
          <w:u w:val="single" w:color="auto"/>
          <w:color w:val="auto"/>
        </w:rPr>
        <w:t>FIXED ACCOUNT</w:t>
      </w:r>
      <w:r>
        <w:rPr>
          <w:rFonts w:ascii="Times New Roman" w:cs="Times New Roman" w:eastAsia="Times New Roman" w:hAnsi="Times New Roman"/>
          <w:sz w:val="13"/>
          <w:szCs w:val="13"/>
          <w:color w:val="auto"/>
        </w:rPr>
        <w:t xml:space="preserve">” section in the prospectus and Appendix E in the prospectus for information regarding the </w:t>
      </w:r>
      <w:r>
        <w:rPr>
          <w:rFonts w:ascii="Times New Roman" w:cs="Times New Roman" w:eastAsia="Times New Roman" w:hAnsi="Times New Roman"/>
          <w:sz w:val="13"/>
          <w:szCs w:val="13"/>
          <w:u w:val="single" w:color="auto"/>
          <w:color w:val="auto"/>
        </w:rPr>
        <w:t>Fixed Account</w:t>
      </w:r>
      <w:r>
        <w:rPr>
          <w:rFonts w:ascii="Times New Roman" w:cs="Times New Roman" w:eastAsia="Times New Roman" w:hAnsi="Times New Roman"/>
          <w:sz w:val="13"/>
          <w:szCs w:val="13"/>
          <w:color w:val="auto"/>
        </w:rPr>
        <w:t>.</w:t>
      </w:r>
    </w:p>
    <w:p>
      <w:pPr>
        <w:spacing w:after="0" w:line="75" w:lineRule="exact"/>
        <w:rPr>
          <w:sz w:val="20"/>
          <w:szCs w:val="20"/>
          <w:color w:val="auto"/>
        </w:rPr>
      </w:pPr>
    </w:p>
    <w:tbl>
      <w:tblPr>
        <w:tblLayout w:type="fixed"/>
        <w:tblInd w:w="14" w:type="dxa"/>
        <w:tblCellMar>
          <w:top w:w="0" w:type="dxa"/>
          <w:left w:w="0" w:type="dxa"/>
          <w:bottom w:w="0" w:type="dxa"/>
          <w:right w:w="0" w:type="dxa"/>
        </w:tblCellMar>
      </w:tblPr>
      <w:tr>
        <w:trPr>
          <w:trHeight w:val="223"/>
        </w:trPr>
        <w:tc>
          <w:tcPr>
            <w:tcW w:w="33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Name</w:t>
            </w:r>
          </w:p>
        </w:tc>
        <w:tc>
          <w:tcPr>
            <w:tcW w:w="144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Fixed Account Term</w:t>
            </w:r>
          </w:p>
        </w:tc>
        <w:tc>
          <w:tcPr>
            <w:tcW w:w="236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Minimum Guaranteed Interest Rate</w:t>
            </w:r>
            <w:r>
              <w:rPr>
                <w:rFonts w:ascii="Arial" w:cs="Arial" w:eastAsia="Arial" w:hAnsi="Arial"/>
                <w:sz w:val="17"/>
                <w:szCs w:val="17"/>
                <w:b w:val="1"/>
                <w:bCs w:val="1"/>
                <w:color w:val="auto"/>
                <w:vertAlign w:val="superscript"/>
              </w:rPr>
              <w:t>2</w:t>
            </w:r>
          </w:p>
        </w:tc>
      </w:tr>
      <w:tr>
        <w:trPr>
          <w:trHeight w:val="173"/>
        </w:trPr>
        <w:tc>
          <w:tcPr>
            <w:tcW w:w="3340" w:type="dxa"/>
            <w:vAlign w:val="bottom"/>
            <w:tcBorders>
              <w:left w:val="single" w:sz="8" w:color="auto"/>
              <w:bottom w:val="single" w:sz="8" w:color="auto"/>
              <w:right w:val="single" w:sz="8" w:color="auto"/>
            </w:tcBorders>
            <w:shd w:val="clear" w:color="auto" w:fill="F0FFFF"/>
          </w:tcPr>
          <w:p>
            <w:pPr>
              <w:ind w:left="40"/>
              <w:spacing w:after="0"/>
              <w:rPr>
                <w:sz w:val="20"/>
                <w:szCs w:val="20"/>
                <w:color w:val="auto"/>
              </w:rPr>
            </w:pPr>
            <w:r>
              <w:rPr>
                <w:rFonts w:ascii="Arial" w:cs="Arial" w:eastAsia="Arial" w:hAnsi="Arial"/>
                <w:sz w:val="13"/>
                <w:szCs w:val="13"/>
                <w:color w:val="auto"/>
              </w:rPr>
              <w:t>Fixed Account</w:t>
            </w:r>
          </w:p>
        </w:tc>
        <w:tc>
          <w:tcPr>
            <w:tcW w:w="1440" w:type="dxa"/>
            <w:vAlign w:val="bottom"/>
            <w:tcBorders>
              <w:bottom w:val="single" w:sz="8" w:color="auto"/>
              <w:right w:val="single" w:sz="8" w:color="auto"/>
            </w:tcBorders>
            <w:shd w:val="clear" w:color="auto" w:fill="F0FFFF"/>
          </w:tcPr>
          <w:p>
            <w:pPr>
              <w:ind w:left="80"/>
              <w:spacing w:after="0"/>
              <w:rPr>
                <w:sz w:val="20"/>
                <w:szCs w:val="20"/>
                <w:color w:val="auto"/>
              </w:rPr>
            </w:pPr>
            <w:r>
              <w:rPr>
                <w:rFonts w:ascii="Arial" w:cs="Arial" w:eastAsia="Arial" w:hAnsi="Arial"/>
                <w:sz w:val="13"/>
                <w:szCs w:val="13"/>
                <w:color w:val="auto"/>
              </w:rPr>
              <w:t>1 Year</w:t>
            </w:r>
          </w:p>
        </w:tc>
        <w:tc>
          <w:tcPr>
            <w:tcW w:w="2360" w:type="dxa"/>
            <w:vAlign w:val="bottom"/>
            <w:tcBorders>
              <w:bottom w:val="single" w:sz="8" w:color="auto"/>
              <w:right w:val="single" w:sz="8" w:color="auto"/>
            </w:tcBorders>
            <w:shd w:val="clear" w:color="auto" w:fill="F0FFFF"/>
          </w:tcPr>
          <w:p>
            <w:pPr>
              <w:ind w:left="60"/>
              <w:spacing w:after="0"/>
              <w:rPr>
                <w:sz w:val="20"/>
                <w:szCs w:val="20"/>
                <w:color w:val="auto"/>
              </w:rPr>
            </w:pPr>
            <w:r>
              <w:rPr>
                <w:rFonts w:ascii="Arial" w:cs="Arial" w:eastAsia="Arial" w:hAnsi="Arial"/>
                <w:sz w:val="13"/>
                <w:szCs w:val="13"/>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-267335</wp:posOffset>
            </wp:positionV>
            <wp:extent cx="4523105" cy="13843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6">
                      <a:extLst>
                        <a:ext uri="{28A0092B-C50C-407E-A947-70E740481C1C}"/>
                      </a:extLst>
                    </a:blip>
                    <a:srcRect/>
                    <a:stretch>
                      <a:fillRect/>
                    </a:stretch>
                  </pic:blipFill>
                  <pic:spPr bwMode="auto">
                    <a:xfrm>
                      <a:off x="0" y="0"/>
                      <a:ext cx="4523105" cy="138430"/>
                    </a:xfrm>
                    <a:prstGeom prst="rect">
                      <a:avLst/>
                    </a:prstGeom>
                    <a:noFill/>
                  </pic:spPr>
                </pic:pic>
              </a:graphicData>
            </a:graphic>
          </wp:anchor>
        </w:drawing>
      </w:r>
    </w:p>
    <w:p>
      <w:pPr>
        <w:spacing w:after="0" w:line="42" w:lineRule="exact"/>
        <w:rPr>
          <w:sz w:val="20"/>
          <w:szCs w:val="20"/>
          <w:color w:val="auto"/>
        </w:rPr>
      </w:pPr>
    </w:p>
    <w:p>
      <w:pPr>
        <w:ind w:left="4" w:right="2659" w:hanging="4"/>
        <w:spacing w:after="0" w:line="236" w:lineRule="auto"/>
        <w:tabs>
          <w:tab w:leader="none" w:pos="82" w:val="left"/>
        </w:tabs>
        <w:numPr>
          <w:ilvl w:val="0"/>
          <w:numId w:val="10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 xml:space="preserve">The actual Minimum Guaranteed Interest Rate for your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is the amount shown on your </w:t>
      </w:r>
      <w:r>
        <w:rPr>
          <w:rFonts w:ascii="Times New Roman" w:cs="Times New Roman" w:eastAsia="Times New Roman" w:hAnsi="Times New Roman"/>
          <w:sz w:val="13"/>
          <w:szCs w:val="13"/>
          <w:u w:val="single" w:color="auto"/>
          <w:color w:val="auto"/>
        </w:rPr>
        <w:t>Contract Schedule</w:t>
      </w:r>
      <w:r>
        <w:rPr>
          <w:rFonts w:ascii="Times New Roman" w:cs="Times New Roman" w:eastAsia="Times New Roman" w:hAnsi="Times New Roman"/>
          <w:sz w:val="13"/>
          <w:szCs w:val="13"/>
          <w:color w:val="auto"/>
        </w:rPr>
        <w:t xml:space="preserve"> and applies only to amounts in the </w:t>
      </w:r>
      <w:r>
        <w:rPr>
          <w:rFonts w:ascii="Times New Roman" w:cs="Times New Roman" w:eastAsia="Times New Roman" w:hAnsi="Times New Roman"/>
          <w:sz w:val="13"/>
          <w:szCs w:val="13"/>
          <w:u w:val="single" w:color="auto"/>
          <w:color w:val="auto"/>
        </w:rPr>
        <w:t>Fixed Account</w:t>
      </w:r>
      <w:r>
        <w:rPr>
          <w:rFonts w:ascii="Times New Roman" w:cs="Times New Roman" w:eastAsia="Times New Roman" w:hAnsi="Times New Roman"/>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64"/>
        <w:spacing w:after="0"/>
        <w:rPr>
          <w:sz w:val="20"/>
          <w:szCs w:val="20"/>
          <w:color w:val="auto"/>
        </w:rPr>
      </w:pPr>
      <w:r>
        <w:rPr>
          <w:rFonts w:ascii="Times New Roman" w:cs="Times New Roman" w:eastAsia="Times New Roman" w:hAnsi="Times New Roman"/>
          <w:sz w:val="13"/>
          <w:szCs w:val="13"/>
          <w:color w:val="auto"/>
        </w:rPr>
        <w:t>A-3</w:t>
      </w:r>
    </w:p>
    <w:p>
      <w:pPr>
        <w:sectPr>
          <w:pgSz w:w="11900" w:h="16838" w:orient="portrait"/>
          <w:cols w:equalWidth="0" w:num="1">
            <w:col w:w="9803"/>
          </w:cols>
          <w:pgMar w:left="656" w:top="1166" w:right="1440" w:bottom="1440" w:gutter="0" w:footer="0" w:header="0"/>
        </w:sectPr>
      </w:pPr>
    </w:p>
    <w:bookmarkStart w:id="154" w:name="page155"/>
    <w:bookmarkEnd w:id="1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7">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3520" w:type="dxa"/>
            <w:vAlign w:val="bottom"/>
            <w:vMerge w:val="restart"/>
          </w:tcPr>
          <w:p>
            <w:pPr>
              <w:ind w:left="820"/>
              <w:spacing w:after="0"/>
              <w:rPr>
                <w:sz w:val="20"/>
                <w:szCs w:val="20"/>
                <w:color w:val="auto"/>
              </w:rPr>
            </w:pPr>
            <w:r>
              <w:rPr>
                <w:rFonts w:ascii="Times New Roman" w:cs="Times New Roman" w:eastAsia="Times New Roman" w:hAnsi="Times New Roman"/>
                <w:sz w:val="13"/>
                <w:szCs w:val="13"/>
                <w:color w:val="auto"/>
                <w:w w:val="99"/>
              </w:rPr>
              <w:t>(THIS PAGE INTENTIONALLY LEFT BLANK.)</w:t>
            </w:r>
          </w:p>
        </w:tc>
        <w:tc>
          <w:tcPr>
            <w:tcW w:w="0" w:type="dxa"/>
            <w:vAlign w:val="bottom"/>
          </w:tcPr>
          <w:p>
            <w:pPr>
              <w:spacing w:after="0"/>
              <w:rPr>
                <w:sz w:val="1"/>
                <w:szCs w:val="1"/>
                <w:color w:val="auto"/>
              </w:rPr>
            </w:pPr>
          </w:p>
        </w:tc>
      </w:tr>
      <w:tr>
        <w:trPr>
          <w:trHeight w:val="57"/>
        </w:trPr>
        <w:tc>
          <w:tcPr>
            <w:tcW w:w="860" w:type="dxa"/>
            <w:vAlign w:val="bottom"/>
          </w:tcPr>
          <w:p>
            <w:pPr>
              <w:spacing w:after="0"/>
              <w:rPr>
                <w:sz w:val="4"/>
                <w:szCs w:val="4"/>
                <w:color w:val="auto"/>
              </w:rPr>
            </w:pPr>
          </w:p>
        </w:tc>
        <w:tc>
          <w:tcPr>
            <w:tcW w:w="3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9259"/>
          </w:cols>
          <w:pgMar w:left="1200" w:top="1440" w:right="1440" w:bottom="1440" w:gutter="0" w:footer="0" w:header="0"/>
        </w:sectPr>
      </w:pPr>
    </w:p>
    <w:bookmarkStart w:id="155" w:name="page156"/>
    <w:bookmarkEnd w:id="1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8">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3520" w:type="dxa"/>
            <w:vAlign w:val="bottom"/>
            <w:vMerge w:val="restart"/>
          </w:tcPr>
          <w:p>
            <w:pPr>
              <w:ind w:left="820"/>
              <w:spacing w:after="0"/>
              <w:rPr>
                <w:sz w:val="20"/>
                <w:szCs w:val="20"/>
                <w:color w:val="auto"/>
              </w:rPr>
            </w:pPr>
            <w:r>
              <w:rPr>
                <w:rFonts w:ascii="Times New Roman" w:cs="Times New Roman" w:eastAsia="Times New Roman" w:hAnsi="Times New Roman"/>
                <w:sz w:val="13"/>
                <w:szCs w:val="13"/>
                <w:color w:val="auto"/>
                <w:w w:val="99"/>
              </w:rPr>
              <w:t>(THIS PAGE INTENTIONALLY LEFT BLANK.)</w:t>
            </w:r>
          </w:p>
        </w:tc>
        <w:tc>
          <w:tcPr>
            <w:tcW w:w="0" w:type="dxa"/>
            <w:vAlign w:val="bottom"/>
          </w:tcPr>
          <w:p>
            <w:pPr>
              <w:spacing w:after="0"/>
              <w:rPr>
                <w:sz w:val="1"/>
                <w:szCs w:val="1"/>
                <w:color w:val="auto"/>
              </w:rPr>
            </w:pPr>
          </w:p>
        </w:tc>
      </w:tr>
      <w:tr>
        <w:trPr>
          <w:trHeight w:val="57"/>
        </w:trPr>
        <w:tc>
          <w:tcPr>
            <w:tcW w:w="860" w:type="dxa"/>
            <w:vAlign w:val="bottom"/>
          </w:tcPr>
          <w:p>
            <w:pPr>
              <w:spacing w:after="0"/>
              <w:rPr>
                <w:sz w:val="4"/>
                <w:szCs w:val="4"/>
                <w:color w:val="auto"/>
              </w:rPr>
            </w:pPr>
          </w:p>
        </w:tc>
        <w:tc>
          <w:tcPr>
            <w:tcW w:w="3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9259"/>
          </w:cols>
          <w:pgMar w:left="1200" w:top="1440" w:right="1440" w:bottom="1440" w:gutter="0" w:footer="0" w:header="0"/>
        </w:sectPr>
      </w:pPr>
    </w:p>
    <w:bookmarkStart w:id="156" w:name="page157"/>
    <w:bookmarkEnd w:id="156"/>
    <w:p>
      <w:pPr>
        <w:spacing w:after="0"/>
        <w:rPr>
          <w:sz w:val="20"/>
          <w:szCs w:val="20"/>
          <w:color w:val="auto"/>
        </w:rPr>
      </w:pPr>
      <w:r>
        <w:rPr>
          <w:sz w:val="1"/>
          <w:szCs w:val="1"/>
          <w:color w:val="auto"/>
        </w:rPr>
        <w:drawing>
          <wp:anchor simplePos="0" relativeHeight="251657728" behindDoc="1" locked="0" layoutInCell="0" allowOverlap="1">
            <wp:simplePos x="0" y="0"/>
            <wp:positionH relativeFrom="page">
              <wp:posOffset>177165</wp:posOffset>
            </wp:positionH>
            <wp:positionV relativeFrom="page">
              <wp:posOffset>410210</wp:posOffset>
            </wp:positionV>
            <wp:extent cx="719391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9">
                      <a:extLst>
                        <a:ext uri="{28A0092B-C50C-407E-A947-70E740481C1C}"/>
                      </a:extLst>
                    </a:blip>
                    <a:srcRect/>
                    <a:stretch>
                      <a:fillRect/>
                    </a:stretch>
                  </pic:blipFill>
                  <pic:spPr bwMode="auto">
                    <a:xfrm>
                      <a:off x="0" y="0"/>
                      <a:ext cx="7193915" cy="38100"/>
                    </a:xfrm>
                    <a:prstGeom prst="rect">
                      <a:avLst/>
                    </a:prstGeom>
                    <a:noFill/>
                  </pic:spPr>
                </pic:pic>
              </a:graphicData>
            </a:graphic>
          </wp:anchor>
        </w:drawing>
        <w:drawing>
          <wp:inline distT="0" distB="0" distL="0" distR="0">
            <wp:extent cx="1234440" cy="289560"/>
            <wp:effectExtent l="0" t="0" r="0" b="0"/>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0">
                      <a:extLst>
                        <a:ext uri="{28A0092B-C50C-407E-A947-70E740481C1C}"/>
                      </a:extLst>
                    </a:blip>
                    <a:srcRect/>
                    <a:stretch>
                      <a:fillRect/>
                    </a:stretch>
                  </pic:blipFill>
                  <pic:spPr bwMode="auto">
                    <a:xfrm>
                      <a:off x="0" y="0"/>
                      <a:ext cx="1234440" cy="289560"/>
                    </a:xfrm>
                    <a:prstGeom prst="rect">
                      <a:avLst/>
                    </a:prstGeom>
                    <a:noFill/>
                    <a:ln>
                      <a:noFill/>
                    </a:ln>
                  </pic:spPr>
                </pic:pic>
              </a:graphicData>
            </a:graphic>
          </wp:inline>
        </w:drawing>
      </w:r>
      <w:r>
        <w:rPr>
          <w:rFonts w:ascii="Times New Roman" w:cs="Times New Roman" w:eastAsia="Times New Roman" w:hAnsi="Times New Roman"/>
          <w:sz w:val="17"/>
          <w:szCs w:val="17"/>
          <w:color w:val="auto"/>
        </w:rPr>
        <w:t> </w:t>
      </w:r>
    </w:p>
    <w:p>
      <w:pPr>
        <w:spacing w:after="0" w:line="69" w:lineRule="exact"/>
        <w:rPr>
          <w:sz w:val="20"/>
          <w:szCs w:val="20"/>
          <w:color w:val="auto"/>
        </w:rPr>
      </w:pPr>
    </w:p>
    <w:p>
      <w:pPr>
        <w:jc w:val="both"/>
        <w:ind w:right="2599" w:firstLine="264"/>
        <w:spacing w:after="0" w:line="266" w:lineRule="auto"/>
        <w:rPr>
          <w:sz w:val="20"/>
          <w:szCs w:val="20"/>
          <w:color w:val="auto"/>
        </w:rPr>
      </w:pPr>
      <w:r>
        <w:rPr>
          <w:rFonts w:ascii="Times New Roman" w:cs="Times New Roman" w:eastAsia="Times New Roman" w:hAnsi="Times New Roman"/>
          <w:sz w:val="13"/>
          <w:szCs w:val="13"/>
          <w:color w:val="auto"/>
        </w:rPr>
        <w:t xml:space="preserve">The prospectus and statement of additional information (“SAI”) include additional information. The prospectus and SAI are dated the same as this summary prospectus and are incorporated by reference. The prospectus and SAI are available, without charge, upon request. For a free copy, call us at (888) 243-1932, or send an email request to rcg@brighthousefinancial.com. You can also access the prospectus, SAI and other information about the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online at https://dfinview.com/BHF/PUFT/BHF246?site=BHF1.</w:t>
      </w:r>
    </w:p>
    <w:p>
      <w:pPr>
        <w:spacing w:after="0" w:line="52" w:lineRule="exact"/>
        <w:rPr>
          <w:sz w:val="20"/>
          <w:szCs w:val="20"/>
          <w:color w:val="auto"/>
        </w:rPr>
      </w:pPr>
    </w:p>
    <w:p>
      <w:pPr>
        <w:jc w:val="both"/>
        <w:ind w:right="2599" w:firstLine="264"/>
        <w:spacing w:after="0" w:line="272" w:lineRule="auto"/>
        <w:rPr>
          <w:sz w:val="20"/>
          <w:szCs w:val="20"/>
          <w:color w:val="auto"/>
        </w:rPr>
      </w:pPr>
      <w:r>
        <w:rPr>
          <w:rFonts w:ascii="Times New Roman" w:cs="Times New Roman" w:eastAsia="Times New Roman" w:hAnsi="Times New Roman"/>
          <w:sz w:val="13"/>
          <w:szCs w:val="13"/>
          <w:color w:val="auto"/>
        </w:rPr>
        <w:t>Reports and other information about BLNY are available on the SEC’s website at https://www.sec.gov/ and copies of this information may be obtained, upon payment of a duplicating fee, by electronic request at the following email address: publicinfo@sec.gov.</w:t>
      </w:r>
    </w:p>
    <w:p>
      <w:pPr>
        <w:spacing w:after="0" w:line="4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3"/>
          <w:szCs w:val="13"/>
          <w:color w:val="auto"/>
        </w:rPr>
        <w:t xml:space="preserve">EDGAR </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xml:space="preserve"> Identifier No. is C000261171</w:t>
      </w:r>
    </w:p>
    <w:p>
      <w:pPr>
        <w:sectPr>
          <w:pgSz w:w="11900" w:h="16838" w:orient="portrait"/>
          <w:cols w:equalWidth="0" w:num="1">
            <w:col w:w="9739"/>
          </w:cols>
          <w:pgMar w:left="720" w:top="1171" w:right="1440" w:bottom="1440" w:gutter="0" w:footer="0" w:header="0"/>
        </w:sectPr>
      </w:pPr>
    </w:p>
    <w:bookmarkStart w:id="157" w:name="page158"/>
    <w:bookmarkEnd w:id="1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177165</wp:posOffset>
            </wp:positionH>
            <wp:positionV relativeFrom="page">
              <wp:posOffset>120015</wp:posOffset>
            </wp:positionV>
            <wp:extent cx="719391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1">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center"/>
        <w:ind w:right="-19"/>
        <w:spacing w:after="0"/>
        <w:rPr>
          <w:sz w:val="20"/>
          <w:szCs w:val="20"/>
          <w:color w:val="auto"/>
        </w:rPr>
      </w:pPr>
      <w:r>
        <w:rPr>
          <w:rFonts w:ascii="Arial" w:cs="Arial" w:eastAsia="Arial" w:hAnsi="Arial"/>
          <w:sz w:val="13"/>
          <w:szCs w:val="13"/>
          <w:color w:val="auto"/>
        </w:rPr>
        <w:t>Brighthouse Life Insurance Company of NY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POWER OF ATTORNEY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David A. Rosenbaum</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Chairman of the Board, President, Chief Executive Officer and a Director</w:t>
      </w:r>
    </w:p>
    <w:p>
      <w:pPr>
        <w:spacing w:after="0" w:line="146" w:lineRule="exact"/>
        <w:rPr>
          <w:sz w:val="20"/>
          <w:szCs w:val="20"/>
          <w:color w:val="auto"/>
        </w:rPr>
      </w:pPr>
    </w:p>
    <w:p>
      <w:pPr>
        <w:spacing w:after="0" w:line="248" w:lineRule="auto"/>
        <w:rPr>
          <w:sz w:val="20"/>
          <w:szCs w:val="20"/>
          <w:color w:val="auto"/>
        </w:rPr>
      </w:pPr>
      <w:r>
        <w:rPr>
          <w:rFonts w:ascii="Arial" w:cs="Arial" w:eastAsia="Arial" w:hAnsi="Arial"/>
          <w:sz w:val="13"/>
          <w:szCs w:val="13"/>
          <w:color w:val="auto"/>
        </w:rPr>
        <w:t>KNOW ALL MEN BY THESE PRESENTS, that I, David A. Rosenbaum, Chairman of the Board, President, Chief Executive Officer and a Director of Brighthouse Life Insurance Company of NY, a New York company (the “Company”), do hereby constitute and appoint Michele H. Abate, Allie Lin, and Alexander Ulianov, as my attorney-in-fact and agent, each of whom may act individually and none of whom is required to act jointly with any of the others, to sign and file on my behalf and to execute and file any instrument or document required to be filed as part of or in connection with or in any way related to, the Registration Statements and any and all amendments thereto filed by the Company under the Securities Act of 1933 and/or the Investment Company Act of 1940, pertaining to:</w:t>
      </w:r>
    </w:p>
    <w:p>
      <w:pPr>
        <w:spacing w:after="0" w:line="50" w:lineRule="exact"/>
        <w:rPr>
          <w:sz w:val="20"/>
          <w:szCs w:val="20"/>
          <w:color w:val="auto"/>
        </w:rPr>
      </w:pPr>
    </w:p>
    <w:p>
      <w:pPr>
        <w:ind w:left="660" w:hanging="323"/>
        <w:spacing w:after="0"/>
        <w:tabs>
          <w:tab w:leader="none" w:pos="660" w:val="left"/>
        </w:tabs>
        <w:numPr>
          <w:ilvl w:val="0"/>
          <w:numId w:val="108"/>
        </w:numPr>
        <w:rPr>
          <w:rFonts w:ascii="Times New Roman" w:cs="Times New Roman" w:eastAsia="Times New Roman" w:hAnsi="Times New Roman"/>
          <w:sz w:val="21"/>
          <w:szCs w:val="21"/>
          <w:color w:val="auto"/>
          <w:vertAlign w:val="superscript"/>
        </w:rPr>
      </w:pPr>
      <w:r>
        <w:rPr>
          <w:rFonts w:ascii="Arial" w:cs="Arial" w:eastAsia="Arial" w:hAnsi="Arial"/>
          <w:sz w:val="13"/>
          <w:szCs w:val="13"/>
          <w:color w:val="auto"/>
        </w:rPr>
        <w:t>  Brighthouse Variable Annuity Account B (811-08306)</w:t>
      </w:r>
    </w:p>
    <w:p>
      <w:pPr>
        <w:ind w:left="780"/>
        <w:spacing w:after="0"/>
        <w:rPr>
          <w:sz w:val="20"/>
          <w:szCs w:val="20"/>
          <w:color w:val="auto"/>
        </w:rPr>
      </w:pPr>
      <w:r>
        <w:rPr>
          <w:rFonts w:ascii="Arial" w:cs="Arial" w:eastAsia="Arial" w:hAnsi="Arial"/>
          <w:sz w:val="13"/>
          <w:szCs w:val="13"/>
          <w:color w:val="auto"/>
        </w:rPr>
        <w:t>File No. 033-74174 First COVA VA, Custom Select, Russell Select and Class VA, Class AA and Class B</w:t>
      </w:r>
    </w:p>
    <w:p>
      <w:pPr>
        <w:ind w:left="780"/>
        <w:spacing w:after="0"/>
        <w:rPr>
          <w:sz w:val="20"/>
          <w:szCs w:val="20"/>
          <w:color w:val="auto"/>
        </w:rPr>
      </w:pPr>
      <w:r>
        <w:rPr>
          <w:rFonts w:ascii="Arial" w:cs="Arial" w:eastAsia="Arial" w:hAnsi="Arial"/>
          <w:sz w:val="13"/>
          <w:szCs w:val="13"/>
          <w:color w:val="auto"/>
        </w:rPr>
        <w:t>File No. 333-96773 Class VA (offered between June 15, 2001 and October 7, 2011), Class AA, and Class B</w:t>
      </w:r>
    </w:p>
    <w:p>
      <w:pPr>
        <w:ind w:left="780"/>
        <w:spacing w:after="0"/>
        <w:rPr>
          <w:sz w:val="20"/>
          <w:szCs w:val="20"/>
          <w:color w:val="auto"/>
        </w:rPr>
      </w:pPr>
      <w:r>
        <w:rPr>
          <w:rFonts w:ascii="Arial" w:cs="Arial" w:eastAsia="Arial" w:hAnsi="Arial"/>
          <w:sz w:val="13"/>
          <w:szCs w:val="13"/>
          <w:color w:val="auto"/>
        </w:rPr>
        <w:t>File No. 333-96775 Class A</w:t>
      </w:r>
    </w:p>
    <w:p>
      <w:pPr>
        <w:ind w:left="780"/>
        <w:spacing w:after="0"/>
        <w:rPr>
          <w:sz w:val="20"/>
          <w:szCs w:val="20"/>
          <w:color w:val="auto"/>
        </w:rPr>
      </w:pPr>
      <w:r>
        <w:rPr>
          <w:rFonts w:ascii="Arial" w:cs="Arial" w:eastAsia="Arial" w:hAnsi="Arial"/>
          <w:sz w:val="13"/>
          <w:szCs w:val="13"/>
          <w:color w:val="auto"/>
        </w:rPr>
        <w:t>File No. 333-96777 Class XC</w:t>
      </w:r>
    </w:p>
    <w:p>
      <w:pPr>
        <w:ind w:left="780"/>
        <w:spacing w:after="0"/>
        <w:rPr>
          <w:sz w:val="20"/>
          <w:szCs w:val="20"/>
          <w:color w:val="auto"/>
        </w:rPr>
      </w:pPr>
      <w:r>
        <w:rPr>
          <w:rFonts w:ascii="Arial" w:cs="Arial" w:eastAsia="Arial" w:hAnsi="Arial"/>
          <w:sz w:val="13"/>
          <w:szCs w:val="13"/>
          <w:color w:val="auto"/>
        </w:rPr>
        <w:t>File No. 333-96785 Class L and Class L –4 Year (offered between November 22, 2004 and October 7, 2011)</w:t>
      </w:r>
    </w:p>
    <w:p>
      <w:pPr>
        <w:ind w:left="780"/>
        <w:spacing w:after="0"/>
        <w:rPr>
          <w:sz w:val="20"/>
          <w:szCs w:val="20"/>
          <w:color w:val="auto"/>
        </w:rPr>
      </w:pPr>
      <w:r>
        <w:rPr>
          <w:rFonts w:ascii="Arial" w:cs="Arial" w:eastAsia="Arial" w:hAnsi="Arial"/>
          <w:sz w:val="13"/>
          <w:szCs w:val="13"/>
          <w:color w:val="auto"/>
        </w:rPr>
        <w:t>File No. 333-96795 Class C (offered between September 4, 2001 and October 7, 2011)</w:t>
      </w:r>
    </w:p>
    <w:p>
      <w:pPr>
        <w:ind w:left="780"/>
        <w:spacing w:after="0"/>
        <w:rPr>
          <w:sz w:val="20"/>
          <w:szCs w:val="20"/>
          <w:color w:val="auto"/>
        </w:rPr>
      </w:pPr>
      <w:r>
        <w:rPr>
          <w:rFonts w:ascii="Arial" w:cs="Arial" w:eastAsia="Arial" w:hAnsi="Arial"/>
          <w:sz w:val="13"/>
          <w:szCs w:val="13"/>
          <w:color w:val="auto"/>
        </w:rPr>
        <w:t>File No. 333-125613 Vintage L and Vintage XC</w:t>
      </w:r>
    </w:p>
    <w:p>
      <w:pPr>
        <w:ind w:left="780"/>
        <w:spacing w:after="0"/>
        <w:rPr>
          <w:sz w:val="20"/>
          <w:szCs w:val="20"/>
          <w:color w:val="auto"/>
        </w:rPr>
      </w:pPr>
      <w:r>
        <w:rPr>
          <w:rFonts w:ascii="Arial" w:cs="Arial" w:eastAsia="Arial" w:hAnsi="Arial"/>
          <w:sz w:val="13"/>
          <w:szCs w:val="13"/>
          <w:color w:val="auto"/>
        </w:rPr>
        <w:t>File No. 333-125617 PrimElite III</w:t>
      </w:r>
    </w:p>
    <w:p>
      <w:pPr>
        <w:ind w:left="780"/>
        <w:spacing w:after="0"/>
        <w:rPr>
          <w:sz w:val="20"/>
          <w:szCs w:val="20"/>
          <w:color w:val="auto"/>
        </w:rPr>
      </w:pPr>
      <w:r>
        <w:rPr>
          <w:rFonts w:ascii="Arial" w:cs="Arial" w:eastAsia="Arial" w:hAnsi="Arial"/>
          <w:sz w:val="13"/>
          <w:szCs w:val="13"/>
          <w:color w:val="auto"/>
        </w:rPr>
        <w:t>File No. 333-125618 Marquis Portfolios (offered between November 7, 2005 and April 30, 2012)</w:t>
      </w:r>
    </w:p>
    <w:p>
      <w:pPr>
        <w:ind w:left="780"/>
        <w:spacing w:after="0"/>
        <w:rPr>
          <w:sz w:val="20"/>
          <w:szCs w:val="20"/>
          <w:color w:val="auto"/>
        </w:rPr>
      </w:pPr>
      <w:r>
        <w:rPr>
          <w:rFonts w:ascii="Arial" w:cs="Arial" w:eastAsia="Arial" w:hAnsi="Arial"/>
          <w:sz w:val="13"/>
          <w:szCs w:val="13"/>
          <w:color w:val="auto"/>
        </w:rPr>
        <w:t>File No. 333-125619 Protected Equity Portfolio</w:t>
      </w:r>
    </w:p>
    <w:p>
      <w:pPr>
        <w:ind w:left="780"/>
        <w:spacing w:after="0"/>
        <w:rPr>
          <w:sz w:val="20"/>
          <w:szCs w:val="20"/>
          <w:color w:val="auto"/>
        </w:rPr>
      </w:pPr>
      <w:r>
        <w:rPr>
          <w:rFonts w:ascii="Arial" w:cs="Arial" w:eastAsia="Arial" w:hAnsi="Arial"/>
          <w:sz w:val="13"/>
          <w:szCs w:val="13"/>
          <w:color w:val="auto"/>
        </w:rPr>
        <w:t>File No. 333-137370 Class S and Class S - L Share Option (offered between April 30, 2007 and October 7, 2011)</w:t>
      </w:r>
    </w:p>
    <w:p>
      <w:pPr>
        <w:ind w:left="780"/>
        <w:spacing w:after="0"/>
        <w:rPr>
          <w:sz w:val="20"/>
          <w:szCs w:val="20"/>
          <w:color w:val="auto"/>
        </w:rPr>
      </w:pPr>
      <w:r>
        <w:rPr>
          <w:rFonts w:ascii="Arial" w:cs="Arial" w:eastAsia="Arial" w:hAnsi="Arial"/>
          <w:sz w:val="13"/>
          <w:szCs w:val="13"/>
          <w:color w:val="auto"/>
        </w:rPr>
        <w:t>File No. 333-137969 PrimElite IV</w:t>
      </w:r>
    </w:p>
    <w:p>
      <w:pPr>
        <w:ind w:left="780"/>
        <w:spacing w:after="0"/>
        <w:rPr>
          <w:sz w:val="20"/>
          <w:szCs w:val="20"/>
          <w:color w:val="auto"/>
        </w:rPr>
      </w:pPr>
      <w:r>
        <w:rPr>
          <w:rFonts w:ascii="Arial" w:cs="Arial" w:eastAsia="Arial" w:hAnsi="Arial"/>
          <w:sz w:val="13"/>
          <w:szCs w:val="13"/>
          <w:color w:val="auto"/>
        </w:rPr>
        <w:t>File No. 333-148873 Pioneer PRISM</w:t>
      </w:r>
    </w:p>
    <w:p>
      <w:pPr>
        <w:ind w:left="780"/>
        <w:spacing w:after="0"/>
        <w:rPr>
          <w:sz w:val="20"/>
          <w:szCs w:val="20"/>
          <w:color w:val="auto"/>
        </w:rPr>
      </w:pPr>
      <w:r>
        <w:rPr>
          <w:rFonts w:ascii="Arial" w:cs="Arial" w:eastAsia="Arial" w:hAnsi="Arial"/>
          <w:sz w:val="13"/>
          <w:szCs w:val="13"/>
          <w:color w:val="auto"/>
        </w:rPr>
        <w:t>File No. 333-148874 Pioneer PRISM XC</w:t>
      </w:r>
    </w:p>
    <w:p>
      <w:pPr>
        <w:ind w:left="780"/>
        <w:spacing w:after="0"/>
        <w:rPr>
          <w:sz w:val="20"/>
          <w:szCs w:val="20"/>
          <w:color w:val="auto"/>
        </w:rPr>
      </w:pPr>
      <w:r>
        <w:rPr>
          <w:rFonts w:ascii="Arial" w:cs="Arial" w:eastAsia="Arial" w:hAnsi="Arial"/>
          <w:sz w:val="13"/>
          <w:szCs w:val="13"/>
          <w:color w:val="auto"/>
        </w:rPr>
        <w:t>File No. 333-148876 Pioneer PRISM L</w:t>
      </w:r>
    </w:p>
    <w:p>
      <w:pPr>
        <w:ind w:left="780"/>
        <w:spacing w:after="0"/>
        <w:rPr>
          <w:sz w:val="20"/>
          <w:szCs w:val="20"/>
          <w:color w:val="auto"/>
        </w:rPr>
      </w:pPr>
      <w:r>
        <w:rPr>
          <w:rFonts w:ascii="Arial" w:cs="Arial" w:eastAsia="Arial" w:hAnsi="Arial"/>
          <w:sz w:val="13"/>
          <w:szCs w:val="13"/>
          <w:color w:val="auto"/>
        </w:rPr>
        <w:t>File No. 333-152450 Class XTRA</w:t>
      </w:r>
    </w:p>
    <w:p>
      <w:pPr>
        <w:ind w:left="780"/>
        <w:spacing w:after="0"/>
        <w:rPr>
          <w:sz w:val="20"/>
          <w:szCs w:val="20"/>
          <w:color w:val="auto"/>
        </w:rPr>
      </w:pPr>
      <w:r>
        <w:rPr>
          <w:rFonts w:ascii="Arial" w:cs="Arial" w:eastAsia="Arial" w:hAnsi="Arial"/>
          <w:sz w:val="13"/>
          <w:szCs w:val="13"/>
          <w:color w:val="auto"/>
        </w:rPr>
        <w:t>File No. 333-156646 Class XTRA 6</w:t>
      </w:r>
    </w:p>
    <w:p>
      <w:pPr>
        <w:ind w:left="780"/>
        <w:spacing w:after="0" w:line="182" w:lineRule="auto"/>
        <w:rPr>
          <w:sz w:val="20"/>
          <w:szCs w:val="20"/>
          <w:color w:val="auto"/>
        </w:rPr>
      </w:pPr>
      <w:r>
        <w:rPr>
          <w:rFonts w:ascii="Arial" w:cs="Arial" w:eastAsia="Arial" w:hAnsi="Arial"/>
          <w:sz w:val="12"/>
          <w:szCs w:val="12"/>
          <w:color w:val="auto"/>
        </w:rPr>
        <w:t>File No. 333-158579 Brighthouse Simple Solutions</w:t>
      </w:r>
      <w:r>
        <w:rPr>
          <w:rFonts w:ascii="Arial" w:cs="Arial" w:eastAsia="Arial" w:hAnsi="Arial"/>
          <w:sz w:val="17"/>
          <w:szCs w:val="17"/>
          <w:color w:val="auto"/>
          <w:vertAlign w:val="superscript"/>
        </w:rPr>
        <w:t>SM</w:t>
      </w:r>
    </w:p>
    <w:p>
      <w:pPr>
        <w:ind w:left="780"/>
        <w:spacing w:after="0"/>
        <w:rPr>
          <w:sz w:val="20"/>
          <w:szCs w:val="20"/>
          <w:color w:val="auto"/>
        </w:rPr>
      </w:pPr>
      <w:r>
        <w:rPr>
          <w:rFonts w:ascii="Arial" w:cs="Arial" w:eastAsia="Arial" w:hAnsi="Arial"/>
          <w:sz w:val="13"/>
          <w:szCs w:val="13"/>
          <w:color w:val="auto"/>
        </w:rPr>
        <w:t>File No. 333-169687 Class VA- 4 (offered between May 1, 2011 and October 7, 2011)</w:t>
      </w:r>
    </w:p>
    <w:p>
      <w:pPr>
        <w:ind w:left="780"/>
        <w:spacing w:after="0"/>
        <w:rPr>
          <w:sz w:val="20"/>
          <w:szCs w:val="20"/>
          <w:color w:val="auto"/>
        </w:rPr>
      </w:pPr>
      <w:r>
        <w:rPr>
          <w:rFonts w:ascii="Arial" w:cs="Arial" w:eastAsia="Arial" w:hAnsi="Arial"/>
          <w:sz w:val="13"/>
          <w:szCs w:val="13"/>
          <w:color w:val="auto"/>
        </w:rPr>
        <w:t>File No. 333-176679 Class S (offered on and after October 7, 2011) and</w:t>
      </w:r>
    </w:p>
    <w:p>
      <w:pPr>
        <w:ind w:left="1020"/>
        <w:spacing w:after="0"/>
        <w:rPr>
          <w:sz w:val="20"/>
          <w:szCs w:val="20"/>
          <w:color w:val="auto"/>
        </w:rPr>
      </w:pPr>
      <w:r>
        <w:rPr>
          <w:rFonts w:ascii="Arial" w:cs="Arial" w:eastAsia="Arial" w:hAnsi="Arial"/>
          <w:sz w:val="13"/>
          <w:szCs w:val="13"/>
          <w:color w:val="auto"/>
        </w:rPr>
        <w:t>Class S- L Share Option (offered on and after October 7, 2011)</w:t>
      </w:r>
    </w:p>
    <w:p>
      <w:pPr>
        <w:ind w:left="780"/>
        <w:spacing w:after="0"/>
        <w:rPr>
          <w:sz w:val="20"/>
          <w:szCs w:val="20"/>
          <w:color w:val="auto"/>
        </w:rPr>
      </w:pPr>
      <w:r>
        <w:rPr>
          <w:rFonts w:ascii="Arial" w:cs="Arial" w:eastAsia="Arial" w:hAnsi="Arial"/>
          <w:sz w:val="13"/>
          <w:szCs w:val="13"/>
          <w:color w:val="auto"/>
        </w:rPr>
        <w:t>File No. 333-176680 Class VA- 4 (offered between October 7, 2011 and May 1, 2016)</w:t>
      </w:r>
    </w:p>
    <w:p>
      <w:pPr>
        <w:ind w:left="780"/>
        <w:spacing w:after="0"/>
        <w:rPr>
          <w:sz w:val="20"/>
          <w:szCs w:val="20"/>
          <w:color w:val="auto"/>
        </w:rPr>
      </w:pPr>
      <w:r>
        <w:rPr>
          <w:rFonts w:ascii="Arial" w:cs="Arial" w:eastAsia="Arial" w:hAnsi="Arial"/>
          <w:sz w:val="13"/>
          <w:szCs w:val="13"/>
          <w:color w:val="auto"/>
        </w:rPr>
        <w:t>File No. 333-176691 Class VA (offered on and after October 7, 2011)</w:t>
      </w:r>
    </w:p>
    <w:p>
      <w:pPr>
        <w:ind w:left="780"/>
        <w:spacing w:after="0"/>
        <w:rPr>
          <w:sz w:val="20"/>
          <w:szCs w:val="20"/>
          <w:color w:val="auto"/>
        </w:rPr>
      </w:pPr>
      <w:r>
        <w:rPr>
          <w:rFonts w:ascii="Arial" w:cs="Arial" w:eastAsia="Arial" w:hAnsi="Arial"/>
          <w:sz w:val="13"/>
          <w:szCs w:val="13"/>
          <w:color w:val="auto"/>
        </w:rPr>
        <w:t>File No. 333-176692 Class L- 4 Year (offered between October 7, 2011 and April 28, 2013)</w:t>
      </w:r>
    </w:p>
    <w:p>
      <w:pPr>
        <w:ind w:left="780"/>
        <w:spacing w:after="0"/>
        <w:rPr>
          <w:sz w:val="20"/>
          <w:szCs w:val="20"/>
          <w:color w:val="auto"/>
        </w:rPr>
      </w:pPr>
      <w:r>
        <w:rPr>
          <w:rFonts w:ascii="Arial" w:cs="Arial" w:eastAsia="Arial" w:hAnsi="Arial"/>
          <w:sz w:val="13"/>
          <w:szCs w:val="13"/>
          <w:color w:val="auto"/>
        </w:rPr>
        <w:t>File No. 333-176693 Class C (offered on and after October 7, 2011)</w:t>
      </w:r>
    </w:p>
    <w:p>
      <w:pPr>
        <w:ind w:left="780"/>
        <w:spacing w:after="0"/>
        <w:rPr>
          <w:sz w:val="20"/>
          <w:szCs w:val="20"/>
          <w:color w:val="auto"/>
        </w:rPr>
      </w:pPr>
      <w:r>
        <w:rPr>
          <w:rFonts w:ascii="Arial" w:cs="Arial" w:eastAsia="Arial" w:hAnsi="Arial"/>
          <w:sz w:val="13"/>
          <w:szCs w:val="13"/>
          <w:color w:val="auto"/>
        </w:rPr>
        <w:t>File No. 333-178515 Class O (offered between April 30, 2012 and September 20, 2015)</w:t>
      </w:r>
    </w:p>
    <w:p>
      <w:pPr>
        <w:ind w:left="780"/>
        <w:spacing w:after="0"/>
        <w:rPr>
          <w:sz w:val="20"/>
          <w:szCs w:val="20"/>
          <w:color w:val="auto"/>
        </w:rPr>
      </w:pPr>
      <w:r>
        <w:rPr>
          <w:rFonts w:ascii="Arial" w:cs="Arial" w:eastAsia="Arial" w:hAnsi="Arial"/>
          <w:sz w:val="13"/>
          <w:szCs w:val="13"/>
          <w:color w:val="auto"/>
        </w:rPr>
        <w:t>File No. 333-179240 Marquis Portfolios (offered on and after April 30, 2012)</w:t>
      </w:r>
    </w:p>
    <w:p>
      <w:pPr>
        <w:ind w:left="780"/>
        <w:spacing w:after="0"/>
        <w:rPr>
          <w:sz w:val="20"/>
          <w:szCs w:val="20"/>
          <w:color w:val="auto"/>
        </w:rPr>
      </w:pPr>
      <w:r>
        <w:rPr>
          <w:rFonts w:ascii="Arial" w:cs="Arial" w:eastAsia="Arial" w:hAnsi="Arial"/>
          <w:sz w:val="13"/>
          <w:szCs w:val="13"/>
          <w:color w:val="auto"/>
        </w:rPr>
        <w:t>File No. 333-186216 Class L- 4 Year (offered on and after April 29, 2013)</w:t>
      </w:r>
    </w:p>
    <w:p>
      <w:pPr>
        <w:ind w:left="780"/>
        <w:spacing w:after="0"/>
        <w:rPr>
          <w:sz w:val="20"/>
          <w:szCs w:val="20"/>
          <w:color w:val="auto"/>
        </w:rPr>
      </w:pPr>
      <w:r>
        <w:rPr>
          <w:rFonts w:ascii="Arial" w:cs="Arial" w:eastAsia="Arial" w:hAnsi="Arial"/>
          <w:sz w:val="13"/>
          <w:szCs w:val="13"/>
          <w:color w:val="auto"/>
        </w:rPr>
        <w:t>File No. 333-205137 Class O (offered on and after September 21, 2015)</w:t>
      </w:r>
    </w:p>
    <w:p>
      <w:pPr>
        <w:ind w:left="780"/>
        <w:spacing w:after="0"/>
        <w:rPr>
          <w:sz w:val="20"/>
          <w:szCs w:val="20"/>
          <w:color w:val="auto"/>
        </w:rPr>
      </w:pPr>
      <w:r>
        <w:rPr>
          <w:rFonts w:ascii="Arial" w:cs="Arial" w:eastAsia="Arial" w:hAnsi="Arial"/>
          <w:sz w:val="13"/>
          <w:szCs w:val="13"/>
          <w:color w:val="auto"/>
        </w:rPr>
        <w:t>File No. 333-209057 Class VA- 4 (offered on and after May 2, 2016)</w:t>
      </w:r>
    </w:p>
    <w:p>
      <w:pPr>
        <w:ind w:left="780"/>
        <w:spacing w:after="0"/>
        <w:rPr>
          <w:sz w:val="20"/>
          <w:szCs w:val="20"/>
          <w:color w:val="auto"/>
        </w:rPr>
      </w:pPr>
      <w:r>
        <w:rPr>
          <w:rFonts w:ascii="Arial" w:cs="Arial" w:eastAsia="Arial" w:hAnsi="Arial"/>
          <w:sz w:val="13"/>
          <w:szCs w:val="13"/>
          <w:color w:val="auto"/>
        </w:rPr>
        <w:t>File No. 333-209058 Class VA (offered on and after May 2, 2016)</w:t>
      </w:r>
    </w:p>
    <w:p>
      <w:pPr>
        <w:ind w:left="780"/>
        <w:spacing w:after="0"/>
        <w:rPr>
          <w:sz w:val="20"/>
          <w:szCs w:val="20"/>
          <w:color w:val="auto"/>
        </w:rPr>
      </w:pPr>
      <w:r>
        <w:rPr>
          <w:rFonts w:ascii="Arial" w:cs="Arial" w:eastAsia="Arial" w:hAnsi="Arial"/>
          <w:sz w:val="13"/>
          <w:szCs w:val="13"/>
          <w:color w:val="auto"/>
        </w:rPr>
        <w:t>File No. 333-209059 Class S (offered on and after May 2, 2016) and</w:t>
      </w:r>
    </w:p>
    <w:p>
      <w:pPr>
        <w:ind w:left="1020"/>
        <w:spacing w:after="0"/>
        <w:rPr>
          <w:sz w:val="20"/>
          <w:szCs w:val="20"/>
          <w:color w:val="auto"/>
        </w:rPr>
      </w:pPr>
      <w:r>
        <w:rPr>
          <w:rFonts w:ascii="Arial" w:cs="Arial" w:eastAsia="Arial" w:hAnsi="Arial"/>
          <w:sz w:val="13"/>
          <w:szCs w:val="13"/>
          <w:color w:val="auto"/>
        </w:rPr>
        <w:t>S- L Share Option (offered on and after May 2, 2016)</w:t>
      </w:r>
    </w:p>
    <w:p>
      <w:pPr>
        <w:sectPr>
          <w:pgSz w:w="11900" w:h="16838" w:orient="portrait"/>
          <w:cols w:equalWidth="0" w:num="1">
            <w:col w:w="11260"/>
          </w:cols>
          <w:pgMar w:left="300" w:top="126" w:right="339" w:bottom="1440" w:gutter="0" w:footer="0" w:header="0"/>
        </w:sectPr>
      </w:pPr>
    </w:p>
    <w:bookmarkStart w:id="159" w:name="page160"/>
    <w:bookmarkEnd w:id="159"/>
    <w:p>
      <w:pPr>
        <w:ind w:left="78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2">
                      <a:extLst>
                        <a:ext uri="{28A0092B-C50C-407E-A947-70E740481C1C}"/>
                      </a:extLst>
                    </a:blip>
                    <a:srcRect/>
                    <a:stretch>
                      <a:fillRect/>
                    </a:stretch>
                  </pic:blipFill>
                  <pic:spPr bwMode="auto">
                    <a:xfrm>
                      <a:off x="0" y="0"/>
                      <a:ext cx="7206615" cy="31750"/>
                    </a:xfrm>
                    <a:prstGeom prst="rect">
                      <a:avLst/>
                    </a:prstGeom>
                    <a:noFill/>
                  </pic:spPr>
                </pic:pic>
              </a:graphicData>
            </a:graphic>
          </wp:anchor>
        </w:drawing>
        <w:t>File No. 333-216454 Brighthouse Prime Options,</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And pertaining to:</w:t>
      </w:r>
    </w:p>
    <w:p>
      <w:pPr>
        <w:ind w:left="780"/>
        <w:spacing w:after="0" w:line="185" w:lineRule="auto"/>
        <w:rPr>
          <w:sz w:val="20"/>
          <w:szCs w:val="20"/>
          <w:color w:val="auto"/>
        </w:rPr>
      </w:pPr>
      <w:r>
        <w:rPr>
          <w:rFonts w:ascii="Arial" w:cs="Arial" w:eastAsia="Arial" w:hAnsi="Arial"/>
          <w:sz w:val="13"/>
          <w:szCs w:val="13"/>
          <w:color w:val="auto"/>
        </w:rPr>
        <w:t>File No. 333-216452 Brighthouse Shield Level Selector</w:t>
      </w:r>
      <w:r>
        <w:rPr>
          <w:rFonts w:ascii="Arial" w:cs="Arial" w:eastAsia="Arial" w:hAnsi="Arial"/>
          <w:sz w:val="18"/>
          <w:szCs w:val="18"/>
          <w:color w:val="auto"/>
          <w:vertAlign w:val="superscript"/>
        </w:rPr>
        <w:t>®</w:t>
      </w:r>
      <w:r>
        <w:rPr>
          <w:rFonts w:ascii="Arial" w:cs="Arial" w:eastAsia="Arial" w:hAnsi="Arial"/>
          <w:sz w:val="13"/>
          <w:szCs w:val="13"/>
          <w:color w:val="auto"/>
        </w:rPr>
        <w:t xml:space="preserve"> Annuity</w:t>
      </w:r>
    </w:p>
    <w:p>
      <w:pPr>
        <w:ind w:left="780"/>
        <w:spacing w:after="0" w:line="183" w:lineRule="auto"/>
        <w:rPr>
          <w:sz w:val="20"/>
          <w:szCs w:val="20"/>
          <w:color w:val="auto"/>
        </w:rPr>
      </w:pPr>
      <w:r>
        <w:rPr>
          <w:rFonts w:ascii="Arial" w:cs="Arial" w:eastAsia="Arial" w:hAnsi="Arial"/>
          <w:sz w:val="12"/>
          <w:szCs w:val="12"/>
          <w:color w:val="auto"/>
        </w:rPr>
        <w:t>File No. 333-216453 Brighthouse Shield Level Selector</w:t>
      </w:r>
      <w:r>
        <w:rPr>
          <w:rFonts w:ascii="Arial" w:cs="Arial" w:eastAsia="Arial" w:hAnsi="Arial"/>
          <w:sz w:val="17"/>
          <w:szCs w:val="17"/>
          <w:color w:val="auto"/>
          <w:vertAlign w:val="superscript"/>
        </w:rPr>
        <w:t>®</w:t>
      </w:r>
      <w:r>
        <w:rPr>
          <w:rFonts w:ascii="Arial" w:cs="Arial" w:eastAsia="Arial" w:hAnsi="Arial"/>
          <w:sz w:val="12"/>
          <w:szCs w:val="12"/>
          <w:color w:val="auto"/>
        </w:rPr>
        <w:t xml:space="preserve"> 3-Year Annuity</w:t>
      </w:r>
    </w:p>
    <w:p>
      <w:pPr>
        <w:ind w:left="780"/>
        <w:spacing w:after="0" w:line="183" w:lineRule="auto"/>
        <w:rPr>
          <w:sz w:val="20"/>
          <w:szCs w:val="20"/>
          <w:color w:val="auto"/>
        </w:rPr>
      </w:pPr>
      <w:r>
        <w:rPr>
          <w:rFonts w:ascii="Arial" w:cs="Arial" w:eastAsia="Arial" w:hAnsi="Arial"/>
          <w:sz w:val="12"/>
          <w:szCs w:val="12"/>
          <w:color w:val="auto"/>
        </w:rPr>
        <w:t>File No. 333-238214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10 Annuity</w:t>
      </w:r>
    </w:p>
    <w:p>
      <w:pPr>
        <w:ind w:left="780"/>
        <w:spacing w:after="0" w:line="182" w:lineRule="auto"/>
        <w:rPr>
          <w:sz w:val="20"/>
          <w:szCs w:val="20"/>
          <w:color w:val="auto"/>
        </w:rPr>
      </w:pPr>
      <w:r>
        <w:rPr>
          <w:rFonts w:ascii="Arial" w:cs="Arial" w:eastAsia="Arial" w:hAnsi="Arial"/>
          <w:sz w:val="12"/>
          <w:szCs w:val="12"/>
          <w:color w:val="auto"/>
        </w:rPr>
        <w:t>File No. 333-265196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Select 3-Year Annuity</w:t>
      </w:r>
    </w:p>
    <w:p>
      <w:pPr>
        <w:ind w:left="780"/>
        <w:spacing w:after="0" w:line="183" w:lineRule="auto"/>
        <w:rPr>
          <w:sz w:val="20"/>
          <w:szCs w:val="20"/>
          <w:color w:val="auto"/>
        </w:rPr>
      </w:pPr>
      <w:r>
        <w:rPr>
          <w:rFonts w:ascii="Arial" w:cs="Arial" w:eastAsia="Arial" w:hAnsi="Arial"/>
          <w:sz w:val="12"/>
          <w:szCs w:val="12"/>
          <w:color w:val="auto"/>
        </w:rPr>
        <w:t>File No. 333-265199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Select 6-Year Annuity</w:t>
      </w:r>
    </w:p>
    <w:p>
      <w:pPr>
        <w:ind w:left="780"/>
        <w:spacing w:after="0" w:line="183" w:lineRule="auto"/>
        <w:rPr>
          <w:sz w:val="20"/>
          <w:szCs w:val="20"/>
          <w:color w:val="auto"/>
        </w:rPr>
      </w:pPr>
      <w:r>
        <w:rPr>
          <w:rFonts w:ascii="Arial" w:cs="Arial" w:eastAsia="Arial" w:hAnsi="Arial"/>
          <w:sz w:val="12"/>
          <w:szCs w:val="12"/>
          <w:color w:val="auto"/>
        </w:rPr>
        <w:t>File No. 333-259506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Select 6-Year Annuity v.3</w:t>
      </w:r>
    </w:p>
    <w:p>
      <w:pPr>
        <w:ind w:left="780"/>
        <w:spacing w:after="0"/>
        <w:rPr>
          <w:sz w:val="20"/>
          <w:szCs w:val="20"/>
          <w:color w:val="auto"/>
        </w:rPr>
      </w:pPr>
      <w:r>
        <w:rPr>
          <w:rFonts w:ascii="Arial" w:cs="Arial" w:eastAsia="Arial" w:hAnsi="Arial"/>
          <w:sz w:val="13"/>
          <w:szCs w:val="13"/>
          <w:color w:val="auto"/>
        </w:rPr>
        <w:t>File No. 333-279315 Brighthouse Shield</w:t>
      </w:r>
      <w:r>
        <w:rPr>
          <w:rFonts w:ascii="Arial" w:cs="Arial" w:eastAsia="Arial" w:hAnsi="Arial"/>
          <w:sz w:val="19"/>
          <w:szCs w:val="19"/>
          <w:color w:val="auto"/>
          <w:vertAlign w:val="superscript"/>
        </w:rPr>
        <w:t>®</w:t>
      </w:r>
      <w:r>
        <w:rPr>
          <w:rFonts w:ascii="Arial" w:cs="Arial" w:eastAsia="Arial" w:hAnsi="Arial"/>
          <w:sz w:val="13"/>
          <w:szCs w:val="13"/>
          <w:color w:val="auto"/>
        </w:rPr>
        <w:t xml:space="preserve"> Level II 6-Year Annuity</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And new annuities and life products such as:</w:t>
      </w:r>
    </w:p>
    <w:p>
      <w:pPr>
        <w:spacing w:after="0" w:line="11" w:lineRule="exact"/>
        <w:rPr>
          <w:sz w:val="20"/>
          <w:szCs w:val="20"/>
          <w:color w:val="auto"/>
        </w:rPr>
      </w:pPr>
    </w:p>
    <w:p>
      <w:pPr>
        <w:ind w:left="780"/>
        <w:spacing w:after="0"/>
        <w:rPr>
          <w:sz w:val="20"/>
          <w:szCs w:val="20"/>
          <w:color w:val="auto"/>
        </w:rPr>
      </w:pPr>
      <w:r>
        <w:rPr>
          <w:rFonts w:ascii="Arial" w:cs="Arial" w:eastAsia="Arial" w:hAnsi="Arial"/>
          <w:sz w:val="13"/>
          <w:szCs w:val="13"/>
          <w:color w:val="auto"/>
        </w:rPr>
        <w:t>Brighthouse Shield Annuity</w:t>
      </w:r>
    </w:p>
    <w:p>
      <w:pPr>
        <w:ind w:left="780"/>
        <w:spacing w:after="0"/>
        <w:rPr>
          <w:sz w:val="20"/>
          <w:szCs w:val="20"/>
          <w:color w:val="auto"/>
        </w:rPr>
      </w:pPr>
      <w:r>
        <w:rPr>
          <w:rFonts w:ascii="Arial" w:cs="Arial" w:eastAsia="Arial" w:hAnsi="Arial"/>
          <w:sz w:val="13"/>
          <w:szCs w:val="13"/>
          <w:color w:val="auto"/>
        </w:rPr>
        <w:t>Brighthouse Shield 3-Year Annuity</w:t>
      </w:r>
    </w:p>
    <w:p>
      <w:pPr>
        <w:ind w:left="780"/>
        <w:spacing w:after="0"/>
        <w:rPr>
          <w:sz w:val="20"/>
          <w:szCs w:val="20"/>
          <w:color w:val="auto"/>
        </w:rPr>
      </w:pPr>
      <w:r>
        <w:rPr>
          <w:rFonts w:ascii="Arial" w:cs="Arial" w:eastAsia="Arial" w:hAnsi="Arial"/>
          <w:sz w:val="13"/>
          <w:szCs w:val="13"/>
          <w:color w:val="auto"/>
        </w:rPr>
        <w:t>Brighthouse Shield 6-Year Annuity</w:t>
      </w:r>
    </w:p>
    <w:p>
      <w:pPr>
        <w:ind w:left="780"/>
        <w:spacing w:after="0"/>
        <w:rPr>
          <w:sz w:val="20"/>
          <w:szCs w:val="20"/>
          <w:color w:val="auto"/>
        </w:rPr>
      </w:pPr>
      <w:r>
        <w:rPr>
          <w:rFonts w:ascii="Arial" w:cs="Arial" w:eastAsia="Arial" w:hAnsi="Arial"/>
          <w:sz w:val="13"/>
          <w:szCs w:val="13"/>
          <w:color w:val="auto"/>
        </w:rPr>
        <w:t>Brighthouse indexed-linked life insurance policy,</w:t>
      </w:r>
    </w:p>
    <w:p>
      <w:pPr>
        <w:spacing w:after="0" w:line="146" w:lineRule="exact"/>
        <w:rPr>
          <w:sz w:val="20"/>
          <w:szCs w:val="20"/>
          <w:color w:val="auto"/>
        </w:rPr>
      </w:pPr>
    </w:p>
    <w:p>
      <w:pPr>
        <w:spacing w:after="0" w:line="258" w:lineRule="auto"/>
        <w:rPr>
          <w:sz w:val="20"/>
          <w:szCs w:val="20"/>
          <w:color w:val="auto"/>
        </w:rPr>
      </w:pPr>
      <w:r>
        <w:rPr>
          <w:rFonts w:ascii="Arial" w:cs="Arial" w:eastAsia="Arial" w:hAnsi="Arial"/>
          <w:sz w:val="13"/>
          <w:szCs w:val="13"/>
          <w:color w:val="auto"/>
        </w:rPr>
        <w:t>and to have full power and authority to do or cause to be done in my name, place and stead each and every act and thing necessary or appropriate in order to effectuate the same, as fully to all intents and purposes as I might or could do in person, hereby ratifying and confirming all that said attorneys-in-fact or any of them, may do or cause to be done by virtue hereof. This Power of Attorney does not revoke any prior powers of attorney.</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color w:val="auto"/>
        </w:rPr>
        <w:t>IN WITNESS WHEREOF, I have hereunto set my hand this 17th day of May 2024.</w:t>
      </w:r>
    </w:p>
    <w:p>
      <w:pPr>
        <w:spacing w:after="0" w:line="267"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 David A. Rosenbaum</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David A. Rosenbaum</w:t>
      </w:r>
    </w:p>
    <w:p>
      <w:pPr>
        <w:sectPr>
          <w:pgSz w:w="11900" w:h="16838" w:orient="portrait"/>
          <w:cols w:equalWidth="0" w:num="1">
            <w:col w:w="11220"/>
          </w:cols>
          <w:pgMar w:left="300" w:top="236" w:right="379" w:bottom="1440" w:gutter="0" w:footer="0" w:header="0"/>
        </w:sectPr>
      </w:pPr>
    </w:p>
    <w:bookmarkStart w:id="160" w:name="page161"/>
    <w:bookmarkEnd w:id="160"/>
    <w:p>
      <w:pPr>
        <w:jc w:val="center"/>
        <w:ind w:right="-79"/>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3">
                      <a:extLst>
                        <a:ext uri="{28A0092B-C50C-407E-A947-70E740481C1C}"/>
                      </a:extLst>
                    </a:blip>
                    <a:srcRect/>
                    <a:stretch>
                      <a:fillRect/>
                    </a:stretch>
                  </pic:blipFill>
                  <pic:spPr bwMode="auto">
                    <a:xfrm>
                      <a:off x="0" y="0"/>
                      <a:ext cx="7206615" cy="31750"/>
                    </a:xfrm>
                    <a:prstGeom prst="rect">
                      <a:avLst/>
                    </a:prstGeom>
                    <a:noFill/>
                  </pic:spPr>
                </pic:pic>
              </a:graphicData>
            </a:graphic>
          </wp:anchor>
        </w:drawing>
        <w:t>Brighthouse Life Insurance Company of NY</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POWER OF ATTORNEY</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Kendall K. Alley</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Director</w:t>
      </w:r>
    </w:p>
    <w:p>
      <w:pPr>
        <w:spacing w:after="0" w:line="146" w:lineRule="exact"/>
        <w:rPr>
          <w:sz w:val="20"/>
          <w:szCs w:val="20"/>
          <w:color w:val="auto"/>
        </w:rPr>
      </w:pPr>
    </w:p>
    <w:p>
      <w:pPr>
        <w:spacing w:after="0" w:line="251" w:lineRule="auto"/>
        <w:rPr>
          <w:sz w:val="20"/>
          <w:szCs w:val="20"/>
          <w:color w:val="auto"/>
        </w:rPr>
      </w:pPr>
      <w:r>
        <w:rPr>
          <w:rFonts w:ascii="Arial" w:cs="Arial" w:eastAsia="Arial" w:hAnsi="Arial"/>
          <w:sz w:val="13"/>
          <w:szCs w:val="13"/>
          <w:color w:val="auto"/>
        </w:rPr>
        <w:t>KNOW ALL MEN BY THESE PRESENTS, that I, Kendall K. Alley, a Director of Brighthouse Life Insurance Company of NY, a New York company (the “Company”), do hereby constitute and appoint Michele H. Abate, Allie Lin, and Alexander Ulianov, as my attorney-in-fact and agent, each of whom may act individually and none of whom is required to act jointly with any of the others, to sign and file on my behalf and to execute and file any instrument or document required to be filed as part of or in connection with or in any way related to, the Registration Statements and any and all amendments thereto filed by the Company under the Securities Act of 1933 and/or the Investment Company Act of 1940, pertaining to:</w:t>
      </w:r>
    </w:p>
    <w:p>
      <w:pPr>
        <w:ind w:left="660" w:hanging="323"/>
        <w:spacing w:after="0" w:line="218" w:lineRule="auto"/>
        <w:tabs>
          <w:tab w:leader="none" w:pos="660" w:val="left"/>
        </w:tabs>
        <w:numPr>
          <w:ilvl w:val="0"/>
          <w:numId w:val="109"/>
        </w:numPr>
        <w:rPr>
          <w:rFonts w:ascii="Times New Roman" w:cs="Times New Roman" w:eastAsia="Times New Roman" w:hAnsi="Times New Roman"/>
          <w:sz w:val="21"/>
          <w:szCs w:val="21"/>
          <w:color w:val="auto"/>
          <w:vertAlign w:val="superscript"/>
        </w:rPr>
      </w:pPr>
      <w:r>
        <w:rPr>
          <w:rFonts w:ascii="Arial" w:cs="Arial" w:eastAsia="Arial" w:hAnsi="Arial"/>
          <w:sz w:val="13"/>
          <w:szCs w:val="13"/>
          <w:color w:val="auto"/>
        </w:rPr>
        <w:t>  Brighthouse Variable Annuity Account B (811-08306)</w:t>
      </w:r>
    </w:p>
    <w:p>
      <w:pPr>
        <w:ind w:left="780"/>
        <w:spacing w:after="0"/>
        <w:rPr>
          <w:sz w:val="20"/>
          <w:szCs w:val="20"/>
          <w:color w:val="auto"/>
        </w:rPr>
      </w:pPr>
      <w:r>
        <w:rPr>
          <w:rFonts w:ascii="Arial" w:cs="Arial" w:eastAsia="Arial" w:hAnsi="Arial"/>
          <w:sz w:val="13"/>
          <w:szCs w:val="13"/>
          <w:color w:val="auto"/>
        </w:rPr>
        <w:t>File No. 033-74174 First COVA VA, Custom Select, Russell Select and Class VA, Class AA and Class B</w:t>
      </w:r>
    </w:p>
    <w:p>
      <w:pPr>
        <w:ind w:left="780"/>
        <w:spacing w:after="0"/>
        <w:rPr>
          <w:sz w:val="20"/>
          <w:szCs w:val="20"/>
          <w:color w:val="auto"/>
        </w:rPr>
      </w:pPr>
      <w:r>
        <w:rPr>
          <w:rFonts w:ascii="Arial" w:cs="Arial" w:eastAsia="Arial" w:hAnsi="Arial"/>
          <w:sz w:val="13"/>
          <w:szCs w:val="13"/>
          <w:color w:val="auto"/>
        </w:rPr>
        <w:t>File No. 333-96773 Class VA (offered between June 15, 2001 and October 7, 2011), Class AA, and Class B</w:t>
      </w:r>
    </w:p>
    <w:p>
      <w:pPr>
        <w:ind w:left="780"/>
        <w:spacing w:after="0"/>
        <w:rPr>
          <w:sz w:val="20"/>
          <w:szCs w:val="20"/>
          <w:color w:val="auto"/>
        </w:rPr>
      </w:pPr>
      <w:r>
        <w:rPr>
          <w:rFonts w:ascii="Arial" w:cs="Arial" w:eastAsia="Arial" w:hAnsi="Arial"/>
          <w:sz w:val="13"/>
          <w:szCs w:val="13"/>
          <w:color w:val="auto"/>
        </w:rPr>
        <w:t>File No. 333-96775 Class A</w:t>
      </w:r>
    </w:p>
    <w:p>
      <w:pPr>
        <w:ind w:left="780"/>
        <w:spacing w:after="0"/>
        <w:rPr>
          <w:sz w:val="20"/>
          <w:szCs w:val="20"/>
          <w:color w:val="auto"/>
        </w:rPr>
      </w:pPr>
      <w:r>
        <w:rPr>
          <w:rFonts w:ascii="Arial" w:cs="Arial" w:eastAsia="Arial" w:hAnsi="Arial"/>
          <w:sz w:val="13"/>
          <w:szCs w:val="13"/>
          <w:color w:val="auto"/>
        </w:rPr>
        <w:t>File No. 333-96777 Class XC</w:t>
      </w:r>
    </w:p>
    <w:p>
      <w:pPr>
        <w:ind w:left="780"/>
        <w:spacing w:after="0"/>
        <w:rPr>
          <w:sz w:val="20"/>
          <w:szCs w:val="20"/>
          <w:color w:val="auto"/>
        </w:rPr>
      </w:pPr>
      <w:r>
        <w:rPr>
          <w:rFonts w:ascii="Arial" w:cs="Arial" w:eastAsia="Arial" w:hAnsi="Arial"/>
          <w:sz w:val="13"/>
          <w:szCs w:val="13"/>
          <w:color w:val="auto"/>
        </w:rPr>
        <w:t>File No. 333-96785 Class L and Class L –4 Year (offered between November 22, 2004 and October 7, 2011)</w:t>
      </w:r>
    </w:p>
    <w:p>
      <w:pPr>
        <w:ind w:left="780"/>
        <w:spacing w:after="0"/>
        <w:rPr>
          <w:sz w:val="20"/>
          <w:szCs w:val="20"/>
          <w:color w:val="auto"/>
        </w:rPr>
      </w:pPr>
      <w:r>
        <w:rPr>
          <w:rFonts w:ascii="Arial" w:cs="Arial" w:eastAsia="Arial" w:hAnsi="Arial"/>
          <w:sz w:val="13"/>
          <w:szCs w:val="13"/>
          <w:color w:val="auto"/>
        </w:rPr>
        <w:t>File No. 333-96795 Class C (offered between September 4, 2001 and October 7, 2011)</w:t>
      </w:r>
    </w:p>
    <w:p>
      <w:pPr>
        <w:ind w:left="780"/>
        <w:spacing w:after="0"/>
        <w:rPr>
          <w:sz w:val="20"/>
          <w:szCs w:val="20"/>
          <w:color w:val="auto"/>
        </w:rPr>
      </w:pPr>
      <w:r>
        <w:rPr>
          <w:rFonts w:ascii="Arial" w:cs="Arial" w:eastAsia="Arial" w:hAnsi="Arial"/>
          <w:sz w:val="13"/>
          <w:szCs w:val="13"/>
          <w:color w:val="auto"/>
        </w:rPr>
        <w:t>File No. 333-125613 Vintage L and Vintage XC</w:t>
      </w:r>
    </w:p>
    <w:p>
      <w:pPr>
        <w:ind w:left="780"/>
        <w:spacing w:after="0"/>
        <w:rPr>
          <w:sz w:val="20"/>
          <w:szCs w:val="20"/>
          <w:color w:val="auto"/>
        </w:rPr>
      </w:pPr>
      <w:r>
        <w:rPr>
          <w:rFonts w:ascii="Arial" w:cs="Arial" w:eastAsia="Arial" w:hAnsi="Arial"/>
          <w:sz w:val="13"/>
          <w:szCs w:val="13"/>
          <w:color w:val="auto"/>
        </w:rPr>
        <w:t>File No. 333-125617 PrimElite III</w:t>
      </w:r>
    </w:p>
    <w:p>
      <w:pPr>
        <w:ind w:left="780"/>
        <w:spacing w:after="0"/>
        <w:rPr>
          <w:sz w:val="20"/>
          <w:szCs w:val="20"/>
          <w:color w:val="auto"/>
        </w:rPr>
      </w:pPr>
      <w:r>
        <w:rPr>
          <w:rFonts w:ascii="Arial" w:cs="Arial" w:eastAsia="Arial" w:hAnsi="Arial"/>
          <w:sz w:val="13"/>
          <w:szCs w:val="13"/>
          <w:color w:val="auto"/>
        </w:rPr>
        <w:t>File No. 333-125618 Marquis Portfolios (offered between November 7, 2005 and April 30, 2012)</w:t>
      </w:r>
    </w:p>
    <w:p>
      <w:pPr>
        <w:ind w:left="780"/>
        <w:spacing w:after="0"/>
        <w:rPr>
          <w:sz w:val="20"/>
          <w:szCs w:val="20"/>
          <w:color w:val="auto"/>
        </w:rPr>
      </w:pPr>
      <w:r>
        <w:rPr>
          <w:rFonts w:ascii="Arial" w:cs="Arial" w:eastAsia="Arial" w:hAnsi="Arial"/>
          <w:sz w:val="13"/>
          <w:szCs w:val="13"/>
          <w:color w:val="auto"/>
        </w:rPr>
        <w:t>File No. 333-125619 Protected Equity Portfolio</w:t>
      </w:r>
    </w:p>
    <w:p>
      <w:pPr>
        <w:ind w:left="780"/>
        <w:spacing w:after="0"/>
        <w:rPr>
          <w:sz w:val="20"/>
          <w:szCs w:val="20"/>
          <w:color w:val="auto"/>
        </w:rPr>
      </w:pPr>
      <w:r>
        <w:rPr>
          <w:rFonts w:ascii="Arial" w:cs="Arial" w:eastAsia="Arial" w:hAnsi="Arial"/>
          <w:sz w:val="13"/>
          <w:szCs w:val="13"/>
          <w:color w:val="auto"/>
        </w:rPr>
        <w:t>File No. 333-137370 Class S and Class S - L Share Option (offered between April 30, 2007 and October 7, 2011)</w:t>
      </w:r>
    </w:p>
    <w:p>
      <w:pPr>
        <w:ind w:left="780"/>
        <w:spacing w:after="0"/>
        <w:rPr>
          <w:sz w:val="20"/>
          <w:szCs w:val="20"/>
          <w:color w:val="auto"/>
        </w:rPr>
      </w:pPr>
      <w:r>
        <w:rPr>
          <w:rFonts w:ascii="Arial" w:cs="Arial" w:eastAsia="Arial" w:hAnsi="Arial"/>
          <w:sz w:val="13"/>
          <w:szCs w:val="13"/>
          <w:color w:val="auto"/>
        </w:rPr>
        <w:t>File No. 333-137969 PrimElite IV</w:t>
      </w:r>
    </w:p>
    <w:p>
      <w:pPr>
        <w:ind w:left="780"/>
        <w:spacing w:after="0"/>
        <w:rPr>
          <w:sz w:val="20"/>
          <w:szCs w:val="20"/>
          <w:color w:val="auto"/>
        </w:rPr>
      </w:pPr>
      <w:r>
        <w:rPr>
          <w:rFonts w:ascii="Arial" w:cs="Arial" w:eastAsia="Arial" w:hAnsi="Arial"/>
          <w:sz w:val="13"/>
          <w:szCs w:val="13"/>
          <w:color w:val="auto"/>
        </w:rPr>
        <w:t>File No. 333-148873 Pioneer PRISM</w:t>
      </w:r>
    </w:p>
    <w:p>
      <w:pPr>
        <w:ind w:left="780"/>
        <w:spacing w:after="0"/>
        <w:rPr>
          <w:sz w:val="20"/>
          <w:szCs w:val="20"/>
          <w:color w:val="auto"/>
        </w:rPr>
      </w:pPr>
      <w:r>
        <w:rPr>
          <w:rFonts w:ascii="Arial" w:cs="Arial" w:eastAsia="Arial" w:hAnsi="Arial"/>
          <w:sz w:val="13"/>
          <w:szCs w:val="13"/>
          <w:color w:val="auto"/>
        </w:rPr>
        <w:t>File No. 333-148874 Pioneer PRISM XC</w:t>
      </w:r>
    </w:p>
    <w:p>
      <w:pPr>
        <w:ind w:left="780"/>
        <w:spacing w:after="0"/>
        <w:rPr>
          <w:sz w:val="20"/>
          <w:szCs w:val="20"/>
          <w:color w:val="auto"/>
        </w:rPr>
      </w:pPr>
      <w:r>
        <w:rPr>
          <w:rFonts w:ascii="Arial" w:cs="Arial" w:eastAsia="Arial" w:hAnsi="Arial"/>
          <w:sz w:val="13"/>
          <w:szCs w:val="13"/>
          <w:color w:val="auto"/>
        </w:rPr>
        <w:t>File No. 333-148876 Pioneer PRISM L</w:t>
      </w:r>
    </w:p>
    <w:p>
      <w:pPr>
        <w:ind w:left="780"/>
        <w:spacing w:after="0"/>
        <w:rPr>
          <w:sz w:val="20"/>
          <w:szCs w:val="20"/>
          <w:color w:val="auto"/>
        </w:rPr>
      </w:pPr>
      <w:r>
        <w:rPr>
          <w:rFonts w:ascii="Arial" w:cs="Arial" w:eastAsia="Arial" w:hAnsi="Arial"/>
          <w:sz w:val="13"/>
          <w:szCs w:val="13"/>
          <w:color w:val="auto"/>
        </w:rPr>
        <w:t>File No. 333-152450 Class XTRA</w:t>
      </w:r>
    </w:p>
    <w:p>
      <w:pPr>
        <w:ind w:left="780"/>
        <w:spacing w:after="0"/>
        <w:rPr>
          <w:sz w:val="20"/>
          <w:szCs w:val="20"/>
          <w:color w:val="auto"/>
        </w:rPr>
      </w:pPr>
      <w:r>
        <w:rPr>
          <w:rFonts w:ascii="Arial" w:cs="Arial" w:eastAsia="Arial" w:hAnsi="Arial"/>
          <w:sz w:val="13"/>
          <w:szCs w:val="13"/>
          <w:color w:val="auto"/>
        </w:rPr>
        <w:t>File No. 333-156646 Class XTRA 6</w:t>
      </w:r>
    </w:p>
    <w:p>
      <w:pPr>
        <w:ind w:left="780"/>
        <w:spacing w:after="0" w:line="182" w:lineRule="auto"/>
        <w:rPr>
          <w:sz w:val="20"/>
          <w:szCs w:val="20"/>
          <w:color w:val="auto"/>
        </w:rPr>
      </w:pPr>
      <w:r>
        <w:rPr>
          <w:rFonts w:ascii="Arial" w:cs="Arial" w:eastAsia="Arial" w:hAnsi="Arial"/>
          <w:sz w:val="12"/>
          <w:szCs w:val="12"/>
          <w:color w:val="auto"/>
        </w:rPr>
        <w:t>File No. 333-158579 Brighthouse Simple Solutions</w:t>
      </w:r>
      <w:r>
        <w:rPr>
          <w:rFonts w:ascii="Arial" w:cs="Arial" w:eastAsia="Arial" w:hAnsi="Arial"/>
          <w:sz w:val="17"/>
          <w:szCs w:val="17"/>
          <w:color w:val="auto"/>
          <w:vertAlign w:val="superscript"/>
        </w:rPr>
        <w:t>SM</w:t>
      </w:r>
    </w:p>
    <w:p>
      <w:pPr>
        <w:ind w:left="780"/>
        <w:spacing w:after="0"/>
        <w:rPr>
          <w:sz w:val="20"/>
          <w:szCs w:val="20"/>
          <w:color w:val="auto"/>
        </w:rPr>
      </w:pPr>
      <w:r>
        <w:rPr>
          <w:rFonts w:ascii="Arial" w:cs="Arial" w:eastAsia="Arial" w:hAnsi="Arial"/>
          <w:sz w:val="13"/>
          <w:szCs w:val="13"/>
          <w:color w:val="auto"/>
        </w:rPr>
        <w:t>File No. 333-169687 Class VA- 4 (offered between May 1, 2011 and October 7, 2011)</w:t>
      </w:r>
    </w:p>
    <w:p>
      <w:pPr>
        <w:ind w:left="780"/>
        <w:spacing w:after="0"/>
        <w:rPr>
          <w:sz w:val="20"/>
          <w:szCs w:val="20"/>
          <w:color w:val="auto"/>
        </w:rPr>
      </w:pPr>
      <w:r>
        <w:rPr>
          <w:rFonts w:ascii="Arial" w:cs="Arial" w:eastAsia="Arial" w:hAnsi="Arial"/>
          <w:sz w:val="13"/>
          <w:szCs w:val="13"/>
          <w:color w:val="auto"/>
        </w:rPr>
        <w:t>File No. 333-176679 Class S (offered on and after October 7, 2011) and</w:t>
      </w:r>
    </w:p>
    <w:p>
      <w:pPr>
        <w:ind w:left="1020"/>
        <w:spacing w:after="0"/>
        <w:rPr>
          <w:sz w:val="20"/>
          <w:szCs w:val="20"/>
          <w:color w:val="auto"/>
        </w:rPr>
      </w:pPr>
      <w:r>
        <w:rPr>
          <w:rFonts w:ascii="Arial" w:cs="Arial" w:eastAsia="Arial" w:hAnsi="Arial"/>
          <w:sz w:val="13"/>
          <w:szCs w:val="13"/>
          <w:color w:val="auto"/>
        </w:rPr>
        <w:t>Class S- L Share Option (offered on and after October 7, 2011)</w:t>
      </w:r>
    </w:p>
    <w:p>
      <w:pPr>
        <w:ind w:left="780"/>
        <w:spacing w:after="0"/>
        <w:rPr>
          <w:sz w:val="20"/>
          <w:szCs w:val="20"/>
          <w:color w:val="auto"/>
        </w:rPr>
      </w:pPr>
      <w:r>
        <w:rPr>
          <w:rFonts w:ascii="Arial" w:cs="Arial" w:eastAsia="Arial" w:hAnsi="Arial"/>
          <w:sz w:val="13"/>
          <w:szCs w:val="13"/>
          <w:color w:val="auto"/>
        </w:rPr>
        <w:t>File No. 333-176680 Class VA- 4 (offered between October 7, 2011 and May 1, 2016)</w:t>
      </w:r>
    </w:p>
    <w:p>
      <w:pPr>
        <w:ind w:left="780"/>
        <w:spacing w:after="0"/>
        <w:rPr>
          <w:sz w:val="20"/>
          <w:szCs w:val="20"/>
          <w:color w:val="auto"/>
        </w:rPr>
      </w:pPr>
      <w:r>
        <w:rPr>
          <w:rFonts w:ascii="Arial" w:cs="Arial" w:eastAsia="Arial" w:hAnsi="Arial"/>
          <w:sz w:val="13"/>
          <w:szCs w:val="13"/>
          <w:color w:val="auto"/>
        </w:rPr>
        <w:t>File No. 333-176691 Class VA (offered on and after October 7, 2011)</w:t>
      </w:r>
    </w:p>
    <w:p>
      <w:pPr>
        <w:ind w:left="780"/>
        <w:spacing w:after="0"/>
        <w:rPr>
          <w:sz w:val="20"/>
          <w:szCs w:val="20"/>
          <w:color w:val="auto"/>
        </w:rPr>
      </w:pPr>
      <w:r>
        <w:rPr>
          <w:rFonts w:ascii="Arial" w:cs="Arial" w:eastAsia="Arial" w:hAnsi="Arial"/>
          <w:sz w:val="13"/>
          <w:szCs w:val="13"/>
          <w:color w:val="auto"/>
        </w:rPr>
        <w:t>File No. 333-176692 Class L- 4 Year (offered between October 7, 2011 and April 28, 2013)</w:t>
      </w:r>
    </w:p>
    <w:p>
      <w:pPr>
        <w:ind w:left="780"/>
        <w:spacing w:after="0"/>
        <w:rPr>
          <w:sz w:val="20"/>
          <w:szCs w:val="20"/>
          <w:color w:val="auto"/>
        </w:rPr>
      </w:pPr>
      <w:r>
        <w:rPr>
          <w:rFonts w:ascii="Arial" w:cs="Arial" w:eastAsia="Arial" w:hAnsi="Arial"/>
          <w:sz w:val="13"/>
          <w:szCs w:val="13"/>
          <w:color w:val="auto"/>
        </w:rPr>
        <w:t>File No. 333-176693 Class C (offered on and after October 7, 2011)</w:t>
      </w:r>
    </w:p>
    <w:p>
      <w:pPr>
        <w:ind w:left="780"/>
        <w:spacing w:after="0"/>
        <w:rPr>
          <w:sz w:val="20"/>
          <w:szCs w:val="20"/>
          <w:color w:val="auto"/>
        </w:rPr>
      </w:pPr>
      <w:r>
        <w:rPr>
          <w:rFonts w:ascii="Arial" w:cs="Arial" w:eastAsia="Arial" w:hAnsi="Arial"/>
          <w:sz w:val="13"/>
          <w:szCs w:val="13"/>
          <w:color w:val="auto"/>
        </w:rPr>
        <w:t>File No. 333-178515 Class O (offered between April 30, 2012 and September 20, 2015)</w:t>
      </w:r>
    </w:p>
    <w:p>
      <w:pPr>
        <w:ind w:left="780"/>
        <w:spacing w:after="0"/>
        <w:rPr>
          <w:sz w:val="20"/>
          <w:szCs w:val="20"/>
          <w:color w:val="auto"/>
        </w:rPr>
      </w:pPr>
      <w:r>
        <w:rPr>
          <w:rFonts w:ascii="Arial" w:cs="Arial" w:eastAsia="Arial" w:hAnsi="Arial"/>
          <w:sz w:val="13"/>
          <w:szCs w:val="13"/>
          <w:color w:val="auto"/>
        </w:rPr>
        <w:t>File No. 333-179240 Marquis Portfolios (offered on and after April 30, 2012)</w:t>
      </w:r>
    </w:p>
    <w:p>
      <w:pPr>
        <w:ind w:left="780"/>
        <w:spacing w:after="0"/>
        <w:rPr>
          <w:sz w:val="20"/>
          <w:szCs w:val="20"/>
          <w:color w:val="auto"/>
        </w:rPr>
      </w:pPr>
      <w:r>
        <w:rPr>
          <w:rFonts w:ascii="Arial" w:cs="Arial" w:eastAsia="Arial" w:hAnsi="Arial"/>
          <w:sz w:val="13"/>
          <w:szCs w:val="13"/>
          <w:color w:val="auto"/>
        </w:rPr>
        <w:t>File No. 333-186216 Class L- 4 Year (offered on and after April 29, 2013)</w:t>
      </w:r>
    </w:p>
    <w:p>
      <w:pPr>
        <w:ind w:left="780"/>
        <w:spacing w:after="0"/>
        <w:rPr>
          <w:sz w:val="20"/>
          <w:szCs w:val="20"/>
          <w:color w:val="auto"/>
        </w:rPr>
      </w:pPr>
      <w:r>
        <w:rPr>
          <w:rFonts w:ascii="Arial" w:cs="Arial" w:eastAsia="Arial" w:hAnsi="Arial"/>
          <w:sz w:val="13"/>
          <w:szCs w:val="13"/>
          <w:color w:val="auto"/>
        </w:rPr>
        <w:t>File No. 333-205137 Class O (offered on and after September 21, 2015)</w:t>
      </w:r>
    </w:p>
    <w:p>
      <w:pPr>
        <w:ind w:left="780"/>
        <w:spacing w:after="0"/>
        <w:rPr>
          <w:sz w:val="20"/>
          <w:szCs w:val="20"/>
          <w:color w:val="auto"/>
        </w:rPr>
      </w:pPr>
      <w:r>
        <w:rPr>
          <w:rFonts w:ascii="Arial" w:cs="Arial" w:eastAsia="Arial" w:hAnsi="Arial"/>
          <w:sz w:val="13"/>
          <w:szCs w:val="13"/>
          <w:color w:val="auto"/>
        </w:rPr>
        <w:t>File No. 333-209057 Class VA- 4 (offered on and after May 2, 2016)</w:t>
      </w:r>
    </w:p>
    <w:p>
      <w:pPr>
        <w:ind w:left="780"/>
        <w:spacing w:after="0"/>
        <w:rPr>
          <w:sz w:val="20"/>
          <w:szCs w:val="20"/>
          <w:color w:val="auto"/>
        </w:rPr>
      </w:pPr>
      <w:r>
        <w:rPr>
          <w:rFonts w:ascii="Arial" w:cs="Arial" w:eastAsia="Arial" w:hAnsi="Arial"/>
          <w:sz w:val="13"/>
          <w:szCs w:val="13"/>
          <w:color w:val="auto"/>
        </w:rPr>
        <w:t>File No. 333-209058 Class VA (offered on and after May 2, 2016)</w:t>
      </w:r>
    </w:p>
    <w:p>
      <w:pPr>
        <w:ind w:left="780"/>
        <w:spacing w:after="0"/>
        <w:rPr>
          <w:sz w:val="20"/>
          <w:szCs w:val="20"/>
          <w:color w:val="auto"/>
        </w:rPr>
      </w:pPr>
      <w:r>
        <w:rPr>
          <w:rFonts w:ascii="Arial" w:cs="Arial" w:eastAsia="Arial" w:hAnsi="Arial"/>
          <w:sz w:val="13"/>
          <w:szCs w:val="13"/>
          <w:color w:val="auto"/>
        </w:rPr>
        <w:t>File No. 333-209059 Class S (offered on and after May 2, 2016) and</w:t>
      </w:r>
    </w:p>
    <w:p>
      <w:pPr>
        <w:ind w:left="1020"/>
        <w:spacing w:after="0"/>
        <w:rPr>
          <w:sz w:val="20"/>
          <w:szCs w:val="20"/>
          <w:color w:val="auto"/>
        </w:rPr>
      </w:pPr>
      <w:r>
        <w:rPr>
          <w:rFonts w:ascii="Arial" w:cs="Arial" w:eastAsia="Arial" w:hAnsi="Arial"/>
          <w:sz w:val="13"/>
          <w:szCs w:val="13"/>
          <w:color w:val="auto"/>
        </w:rPr>
        <w:t>S- L Share Option (offered on and after May 2, 2016)</w:t>
      </w:r>
    </w:p>
    <w:p>
      <w:pPr>
        <w:ind w:left="780"/>
        <w:spacing w:after="0"/>
        <w:rPr>
          <w:sz w:val="20"/>
          <w:szCs w:val="20"/>
          <w:color w:val="auto"/>
        </w:rPr>
      </w:pPr>
      <w:r>
        <w:rPr>
          <w:rFonts w:ascii="Arial" w:cs="Arial" w:eastAsia="Arial" w:hAnsi="Arial"/>
          <w:sz w:val="13"/>
          <w:szCs w:val="13"/>
          <w:color w:val="auto"/>
        </w:rPr>
        <w:t>File No. 333-216454 Brighthouse Prime Options,</w:t>
      </w:r>
    </w:p>
    <w:p>
      <w:pPr>
        <w:sectPr>
          <w:pgSz w:w="11900" w:h="16838" w:orient="portrait"/>
          <w:cols w:equalWidth="0" w:num="1">
            <w:col w:w="11200"/>
          </w:cols>
          <w:pgMar w:left="300" w:top="236" w:right="399" w:bottom="1440" w:gutter="0" w:footer="0" w:header="0"/>
        </w:sectPr>
      </w:pPr>
    </w:p>
    <w:bookmarkStart w:id="161" w:name="page162"/>
    <w:bookmarkEnd w:id="161"/>
    <w:p>
      <w:pPr>
        <w:ind w:left="5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4">
                      <a:extLst>
                        <a:ext uri="{28A0092B-C50C-407E-A947-70E740481C1C}"/>
                      </a:extLst>
                    </a:blip>
                    <a:srcRect/>
                    <a:stretch>
                      <a:fillRect/>
                    </a:stretch>
                  </pic:blipFill>
                  <pic:spPr bwMode="auto">
                    <a:xfrm>
                      <a:off x="0" y="0"/>
                      <a:ext cx="7206615" cy="31750"/>
                    </a:xfrm>
                    <a:prstGeom prst="rect">
                      <a:avLst/>
                    </a:prstGeom>
                    <a:noFill/>
                  </pic:spPr>
                </pic:pic>
              </a:graphicData>
            </a:graphic>
          </wp:anchor>
        </w:drawing>
        <w:t>And pertaining to:</w:t>
      </w:r>
    </w:p>
    <w:p>
      <w:pPr>
        <w:ind w:left="780"/>
        <w:spacing w:after="0" w:line="185" w:lineRule="auto"/>
        <w:rPr>
          <w:sz w:val="20"/>
          <w:szCs w:val="20"/>
          <w:color w:val="auto"/>
        </w:rPr>
      </w:pPr>
      <w:r>
        <w:rPr>
          <w:rFonts w:ascii="Arial" w:cs="Arial" w:eastAsia="Arial" w:hAnsi="Arial"/>
          <w:sz w:val="13"/>
          <w:szCs w:val="13"/>
          <w:color w:val="auto"/>
        </w:rPr>
        <w:t>File No. 333-216452 Brighthouse Shield Level Selector</w:t>
      </w:r>
      <w:r>
        <w:rPr>
          <w:rFonts w:ascii="Arial" w:cs="Arial" w:eastAsia="Arial" w:hAnsi="Arial"/>
          <w:sz w:val="18"/>
          <w:szCs w:val="18"/>
          <w:color w:val="auto"/>
          <w:vertAlign w:val="superscript"/>
        </w:rPr>
        <w:t>®</w:t>
      </w:r>
      <w:r>
        <w:rPr>
          <w:rFonts w:ascii="Arial" w:cs="Arial" w:eastAsia="Arial" w:hAnsi="Arial"/>
          <w:sz w:val="13"/>
          <w:szCs w:val="13"/>
          <w:color w:val="auto"/>
        </w:rPr>
        <w:t xml:space="preserve"> Annuity</w:t>
      </w:r>
    </w:p>
    <w:p>
      <w:pPr>
        <w:ind w:left="780"/>
        <w:spacing w:after="0" w:line="183" w:lineRule="auto"/>
        <w:rPr>
          <w:sz w:val="20"/>
          <w:szCs w:val="20"/>
          <w:color w:val="auto"/>
        </w:rPr>
      </w:pPr>
      <w:r>
        <w:rPr>
          <w:rFonts w:ascii="Arial" w:cs="Arial" w:eastAsia="Arial" w:hAnsi="Arial"/>
          <w:sz w:val="12"/>
          <w:szCs w:val="12"/>
          <w:color w:val="auto"/>
        </w:rPr>
        <w:t>File No. 333-216453 Brighthouse Shield Level Selector</w:t>
      </w:r>
      <w:r>
        <w:rPr>
          <w:rFonts w:ascii="Arial" w:cs="Arial" w:eastAsia="Arial" w:hAnsi="Arial"/>
          <w:sz w:val="17"/>
          <w:szCs w:val="17"/>
          <w:color w:val="auto"/>
          <w:vertAlign w:val="superscript"/>
        </w:rPr>
        <w:t>®</w:t>
      </w:r>
      <w:r>
        <w:rPr>
          <w:rFonts w:ascii="Arial" w:cs="Arial" w:eastAsia="Arial" w:hAnsi="Arial"/>
          <w:sz w:val="12"/>
          <w:szCs w:val="12"/>
          <w:color w:val="auto"/>
        </w:rPr>
        <w:t xml:space="preserve"> 3-Year Annuity</w:t>
      </w:r>
    </w:p>
    <w:p>
      <w:pPr>
        <w:ind w:left="780"/>
        <w:spacing w:after="0" w:line="183" w:lineRule="auto"/>
        <w:rPr>
          <w:sz w:val="20"/>
          <w:szCs w:val="20"/>
          <w:color w:val="auto"/>
        </w:rPr>
      </w:pPr>
      <w:r>
        <w:rPr>
          <w:rFonts w:ascii="Arial" w:cs="Arial" w:eastAsia="Arial" w:hAnsi="Arial"/>
          <w:sz w:val="12"/>
          <w:szCs w:val="12"/>
          <w:color w:val="auto"/>
        </w:rPr>
        <w:t>File No. 333-238214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10 Annuity</w:t>
      </w:r>
    </w:p>
    <w:p>
      <w:pPr>
        <w:ind w:left="780"/>
        <w:spacing w:after="0" w:line="182" w:lineRule="auto"/>
        <w:rPr>
          <w:sz w:val="20"/>
          <w:szCs w:val="20"/>
          <w:color w:val="auto"/>
        </w:rPr>
      </w:pPr>
      <w:r>
        <w:rPr>
          <w:rFonts w:ascii="Arial" w:cs="Arial" w:eastAsia="Arial" w:hAnsi="Arial"/>
          <w:sz w:val="12"/>
          <w:szCs w:val="12"/>
          <w:color w:val="auto"/>
        </w:rPr>
        <w:t>File No. 333-265196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Select 3-Year Annuity</w:t>
      </w:r>
    </w:p>
    <w:p>
      <w:pPr>
        <w:ind w:left="780"/>
        <w:spacing w:after="0" w:line="183" w:lineRule="auto"/>
        <w:rPr>
          <w:sz w:val="20"/>
          <w:szCs w:val="20"/>
          <w:color w:val="auto"/>
        </w:rPr>
      </w:pPr>
      <w:r>
        <w:rPr>
          <w:rFonts w:ascii="Arial" w:cs="Arial" w:eastAsia="Arial" w:hAnsi="Arial"/>
          <w:sz w:val="12"/>
          <w:szCs w:val="12"/>
          <w:color w:val="auto"/>
        </w:rPr>
        <w:t>File No. 333-265199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Select 6-Year Annuity</w:t>
      </w:r>
    </w:p>
    <w:p>
      <w:pPr>
        <w:ind w:left="780"/>
        <w:spacing w:after="0" w:line="183" w:lineRule="auto"/>
        <w:rPr>
          <w:sz w:val="20"/>
          <w:szCs w:val="20"/>
          <w:color w:val="auto"/>
        </w:rPr>
      </w:pPr>
      <w:r>
        <w:rPr>
          <w:rFonts w:ascii="Arial" w:cs="Arial" w:eastAsia="Arial" w:hAnsi="Arial"/>
          <w:sz w:val="12"/>
          <w:szCs w:val="12"/>
          <w:color w:val="auto"/>
        </w:rPr>
        <w:t>File No. 333-259506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Select 6-Year Annuity v.3</w:t>
      </w:r>
    </w:p>
    <w:p>
      <w:pPr>
        <w:ind w:left="780"/>
        <w:spacing w:after="0"/>
        <w:rPr>
          <w:sz w:val="20"/>
          <w:szCs w:val="20"/>
          <w:color w:val="auto"/>
        </w:rPr>
      </w:pPr>
      <w:r>
        <w:rPr>
          <w:rFonts w:ascii="Arial" w:cs="Arial" w:eastAsia="Arial" w:hAnsi="Arial"/>
          <w:sz w:val="13"/>
          <w:szCs w:val="13"/>
          <w:color w:val="auto"/>
        </w:rPr>
        <w:t>File No. 333-279315 Brighthouse Shield</w:t>
      </w:r>
      <w:r>
        <w:rPr>
          <w:rFonts w:ascii="Arial" w:cs="Arial" w:eastAsia="Arial" w:hAnsi="Arial"/>
          <w:sz w:val="19"/>
          <w:szCs w:val="19"/>
          <w:color w:val="auto"/>
          <w:vertAlign w:val="superscript"/>
        </w:rPr>
        <w:t>®</w:t>
      </w:r>
      <w:r>
        <w:rPr>
          <w:rFonts w:ascii="Arial" w:cs="Arial" w:eastAsia="Arial" w:hAnsi="Arial"/>
          <w:sz w:val="13"/>
          <w:szCs w:val="13"/>
          <w:color w:val="auto"/>
        </w:rPr>
        <w:t xml:space="preserve"> Level II 6-Year Annuity</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And new annuities and life products such as:</w:t>
      </w:r>
    </w:p>
    <w:p>
      <w:pPr>
        <w:spacing w:after="0" w:line="11" w:lineRule="exact"/>
        <w:rPr>
          <w:sz w:val="20"/>
          <w:szCs w:val="20"/>
          <w:color w:val="auto"/>
        </w:rPr>
      </w:pPr>
    </w:p>
    <w:p>
      <w:pPr>
        <w:ind w:left="780"/>
        <w:spacing w:after="0"/>
        <w:rPr>
          <w:sz w:val="20"/>
          <w:szCs w:val="20"/>
          <w:color w:val="auto"/>
        </w:rPr>
      </w:pPr>
      <w:r>
        <w:rPr>
          <w:rFonts w:ascii="Arial" w:cs="Arial" w:eastAsia="Arial" w:hAnsi="Arial"/>
          <w:sz w:val="13"/>
          <w:szCs w:val="13"/>
          <w:color w:val="auto"/>
        </w:rPr>
        <w:t>Brighthouse Shield Annuity</w:t>
      </w:r>
    </w:p>
    <w:p>
      <w:pPr>
        <w:ind w:left="780"/>
        <w:spacing w:after="0"/>
        <w:rPr>
          <w:sz w:val="20"/>
          <w:szCs w:val="20"/>
          <w:color w:val="auto"/>
        </w:rPr>
      </w:pPr>
      <w:r>
        <w:rPr>
          <w:rFonts w:ascii="Arial" w:cs="Arial" w:eastAsia="Arial" w:hAnsi="Arial"/>
          <w:sz w:val="13"/>
          <w:szCs w:val="13"/>
          <w:color w:val="auto"/>
        </w:rPr>
        <w:t>Brighthouse Shield 3-Year Annuity</w:t>
      </w:r>
    </w:p>
    <w:p>
      <w:pPr>
        <w:ind w:left="780"/>
        <w:spacing w:after="0"/>
        <w:rPr>
          <w:sz w:val="20"/>
          <w:szCs w:val="20"/>
          <w:color w:val="auto"/>
        </w:rPr>
      </w:pPr>
      <w:r>
        <w:rPr>
          <w:rFonts w:ascii="Arial" w:cs="Arial" w:eastAsia="Arial" w:hAnsi="Arial"/>
          <w:sz w:val="13"/>
          <w:szCs w:val="13"/>
          <w:color w:val="auto"/>
        </w:rPr>
        <w:t>Brighthouse Shield 6-Year Annuity</w:t>
      </w:r>
    </w:p>
    <w:p>
      <w:pPr>
        <w:ind w:left="780"/>
        <w:spacing w:after="0"/>
        <w:rPr>
          <w:sz w:val="20"/>
          <w:szCs w:val="20"/>
          <w:color w:val="auto"/>
        </w:rPr>
      </w:pPr>
      <w:r>
        <w:rPr>
          <w:rFonts w:ascii="Arial" w:cs="Arial" w:eastAsia="Arial" w:hAnsi="Arial"/>
          <w:sz w:val="13"/>
          <w:szCs w:val="13"/>
          <w:color w:val="auto"/>
        </w:rPr>
        <w:t>Brighthouse index-linked life insurance policy,</w:t>
      </w:r>
    </w:p>
    <w:p>
      <w:pPr>
        <w:spacing w:after="0" w:line="146" w:lineRule="exact"/>
        <w:rPr>
          <w:sz w:val="20"/>
          <w:szCs w:val="20"/>
          <w:color w:val="auto"/>
        </w:rPr>
      </w:pPr>
    </w:p>
    <w:p>
      <w:pPr>
        <w:spacing w:after="0" w:line="258" w:lineRule="auto"/>
        <w:rPr>
          <w:sz w:val="20"/>
          <w:szCs w:val="20"/>
          <w:color w:val="auto"/>
        </w:rPr>
      </w:pPr>
      <w:r>
        <w:rPr>
          <w:rFonts w:ascii="Arial" w:cs="Arial" w:eastAsia="Arial" w:hAnsi="Arial"/>
          <w:sz w:val="13"/>
          <w:szCs w:val="13"/>
          <w:color w:val="auto"/>
        </w:rPr>
        <w:t>and to have full power and authority to do or cause to be done in my name, place and stead each and every act and thing necessary or appropriate in order to effectuate the same, as fully to all intents and purposes as I might or could do in person, hereby ratifying and confirming all that said attorneys-in-fact or any of them, may do or cause to be done by virtue hereof. This Power of Attorney does not revoke any prior powers of attorney.</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color w:val="auto"/>
        </w:rPr>
        <w:t>IN WITNESS WHEREOF, I have hereunto set my hand this 7th day of June 2024.</w:t>
      </w:r>
    </w:p>
    <w:p>
      <w:pPr>
        <w:spacing w:after="0" w:line="317"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 Kendall K. Alley</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Kendall K. Alley</w:t>
      </w:r>
    </w:p>
    <w:p>
      <w:pPr>
        <w:sectPr>
          <w:pgSz w:w="11900" w:h="16838" w:orient="portrait"/>
          <w:cols w:equalWidth="0" w:num="1">
            <w:col w:w="11220"/>
          </w:cols>
          <w:pgMar w:left="300" w:top="236" w:right="379" w:bottom="1440" w:gutter="0" w:footer="0" w:header="0"/>
        </w:sectPr>
      </w:pPr>
    </w:p>
    <w:bookmarkStart w:id="162" w:name="page163"/>
    <w:bookmarkEnd w:id="162"/>
    <w:p>
      <w:pPr>
        <w:jc w:val="center"/>
        <w:ind w:right="-19"/>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5">
                      <a:extLst>
                        <a:ext uri="{28A0092B-C50C-407E-A947-70E740481C1C}"/>
                      </a:extLst>
                    </a:blip>
                    <a:srcRect/>
                    <a:stretch>
                      <a:fillRect/>
                    </a:stretch>
                  </pic:blipFill>
                  <pic:spPr bwMode="auto">
                    <a:xfrm>
                      <a:off x="0" y="0"/>
                      <a:ext cx="7206615" cy="31750"/>
                    </a:xfrm>
                    <a:prstGeom prst="rect">
                      <a:avLst/>
                    </a:prstGeom>
                    <a:noFill/>
                  </pic:spPr>
                </pic:pic>
              </a:graphicData>
            </a:graphic>
          </wp:anchor>
        </w:drawing>
        <w:t>Brighthouse Life Insurance Company of 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POWER OF ATTORNEY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Edward C. Kosnik</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Director and Vice President</w:t>
      </w:r>
    </w:p>
    <w:p>
      <w:pPr>
        <w:spacing w:after="0" w:line="146" w:lineRule="exact"/>
        <w:rPr>
          <w:sz w:val="20"/>
          <w:szCs w:val="20"/>
          <w:color w:val="auto"/>
        </w:rPr>
      </w:pPr>
    </w:p>
    <w:p>
      <w:pPr>
        <w:spacing w:after="0" w:line="251" w:lineRule="auto"/>
        <w:rPr>
          <w:sz w:val="20"/>
          <w:szCs w:val="20"/>
          <w:color w:val="auto"/>
        </w:rPr>
      </w:pPr>
      <w:r>
        <w:rPr>
          <w:rFonts w:ascii="Arial" w:cs="Arial" w:eastAsia="Arial" w:hAnsi="Arial"/>
          <w:sz w:val="13"/>
          <w:szCs w:val="13"/>
          <w:color w:val="auto"/>
        </w:rPr>
        <w:t>KNOW ALL MEN BY THESE PRESENTS, that I, Edward C. Kosnik, a Director and Vice President of Brighthouse Life Insurance Company of NY, a New York company (the “Company”), do hereby constitute and appoint Michele H. Abate, Allie Lin, and Alexander Ulianov, as my attorney-in-fact and agent, each of whom may act individually and none of whom is required to act jointly with any of the others, to sign and file on my behalf and to execute and file any instrument or document required to be filed as part of or in connection with or in any way related to, the Registration Statements and any and all amendments thereto filed by the Company under the Securities Act of 1933 and/or the Investment Company Act of 1940, pertaining to:</w:t>
      </w:r>
    </w:p>
    <w:p>
      <w:pPr>
        <w:spacing w:after="0" w:line="68" w:lineRule="exact"/>
        <w:rPr>
          <w:sz w:val="20"/>
          <w:szCs w:val="20"/>
          <w:color w:val="auto"/>
        </w:rPr>
      </w:pPr>
    </w:p>
    <w:p>
      <w:pPr>
        <w:ind w:left="660" w:hanging="323"/>
        <w:spacing w:after="0"/>
        <w:tabs>
          <w:tab w:leader="none" w:pos="660" w:val="left"/>
        </w:tabs>
        <w:numPr>
          <w:ilvl w:val="0"/>
          <w:numId w:val="110"/>
        </w:numPr>
        <w:rPr>
          <w:rFonts w:ascii="Times New Roman" w:cs="Times New Roman" w:eastAsia="Times New Roman" w:hAnsi="Times New Roman"/>
          <w:sz w:val="21"/>
          <w:szCs w:val="21"/>
          <w:color w:val="auto"/>
          <w:vertAlign w:val="superscript"/>
        </w:rPr>
      </w:pPr>
      <w:r>
        <w:rPr>
          <w:rFonts w:ascii="Arial" w:cs="Arial" w:eastAsia="Arial" w:hAnsi="Arial"/>
          <w:sz w:val="13"/>
          <w:szCs w:val="13"/>
          <w:color w:val="auto"/>
        </w:rPr>
        <w:t>  Brighthouse Variable Annuity Account B (811-08306)</w:t>
      </w:r>
    </w:p>
    <w:p>
      <w:pPr>
        <w:ind w:left="780"/>
        <w:spacing w:after="0"/>
        <w:rPr>
          <w:sz w:val="20"/>
          <w:szCs w:val="20"/>
          <w:color w:val="auto"/>
        </w:rPr>
      </w:pPr>
      <w:r>
        <w:rPr>
          <w:rFonts w:ascii="Arial" w:cs="Arial" w:eastAsia="Arial" w:hAnsi="Arial"/>
          <w:sz w:val="13"/>
          <w:szCs w:val="13"/>
          <w:color w:val="auto"/>
        </w:rPr>
        <w:t>File No. 033-74174 First COVA VA, Custom Select, Russell Select and Class VA, Class AA and Class B</w:t>
      </w:r>
    </w:p>
    <w:p>
      <w:pPr>
        <w:ind w:left="780"/>
        <w:spacing w:after="0"/>
        <w:rPr>
          <w:sz w:val="20"/>
          <w:szCs w:val="20"/>
          <w:color w:val="auto"/>
        </w:rPr>
      </w:pPr>
      <w:r>
        <w:rPr>
          <w:rFonts w:ascii="Arial" w:cs="Arial" w:eastAsia="Arial" w:hAnsi="Arial"/>
          <w:sz w:val="13"/>
          <w:szCs w:val="13"/>
          <w:color w:val="auto"/>
        </w:rPr>
        <w:t>File No. 333-96773 Class VA (offered between June 15, 2001 and October 7, 2011), Class AA, and Class B</w:t>
      </w:r>
    </w:p>
    <w:p>
      <w:pPr>
        <w:ind w:left="780"/>
        <w:spacing w:after="0"/>
        <w:rPr>
          <w:sz w:val="20"/>
          <w:szCs w:val="20"/>
          <w:color w:val="auto"/>
        </w:rPr>
      </w:pPr>
      <w:r>
        <w:rPr>
          <w:rFonts w:ascii="Arial" w:cs="Arial" w:eastAsia="Arial" w:hAnsi="Arial"/>
          <w:sz w:val="13"/>
          <w:szCs w:val="13"/>
          <w:color w:val="auto"/>
        </w:rPr>
        <w:t>File No. 333-96775 Class A</w:t>
      </w:r>
    </w:p>
    <w:p>
      <w:pPr>
        <w:ind w:left="780"/>
        <w:spacing w:after="0"/>
        <w:rPr>
          <w:sz w:val="20"/>
          <w:szCs w:val="20"/>
          <w:color w:val="auto"/>
        </w:rPr>
      </w:pPr>
      <w:r>
        <w:rPr>
          <w:rFonts w:ascii="Arial" w:cs="Arial" w:eastAsia="Arial" w:hAnsi="Arial"/>
          <w:sz w:val="13"/>
          <w:szCs w:val="13"/>
          <w:color w:val="auto"/>
        </w:rPr>
        <w:t>File No. 333-96777 Class XC</w:t>
      </w:r>
    </w:p>
    <w:p>
      <w:pPr>
        <w:ind w:left="780"/>
        <w:spacing w:after="0"/>
        <w:rPr>
          <w:sz w:val="20"/>
          <w:szCs w:val="20"/>
          <w:color w:val="auto"/>
        </w:rPr>
      </w:pPr>
      <w:r>
        <w:rPr>
          <w:rFonts w:ascii="Arial" w:cs="Arial" w:eastAsia="Arial" w:hAnsi="Arial"/>
          <w:sz w:val="13"/>
          <w:szCs w:val="13"/>
          <w:color w:val="auto"/>
        </w:rPr>
        <w:t>File No. 333-96785 Class L and Class L –4 Year (offered between November 22, 2004 and October 7, 2011)</w:t>
      </w:r>
    </w:p>
    <w:p>
      <w:pPr>
        <w:ind w:left="780"/>
        <w:spacing w:after="0"/>
        <w:rPr>
          <w:sz w:val="20"/>
          <w:szCs w:val="20"/>
          <w:color w:val="auto"/>
        </w:rPr>
      </w:pPr>
      <w:r>
        <w:rPr>
          <w:rFonts w:ascii="Arial" w:cs="Arial" w:eastAsia="Arial" w:hAnsi="Arial"/>
          <w:sz w:val="13"/>
          <w:szCs w:val="13"/>
          <w:color w:val="auto"/>
        </w:rPr>
        <w:t>File No. 333-96795 Class C (offered between September 4, 2001 and October 7, 2011)</w:t>
      </w:r>
    </w:p>
    <w:p>
      <w:pPr>
        <w:ind w:left="780"/>
        <w:spacing w:after="0"/>
        <w:rPr>
          <w:sz w:val="20"/>
          <w:szCs w:val="20"/>
          <w:color w:val="auto"/>
        </w:rPr>
      </w:pPr>
      <w:r>
        <w:rPr>
          <w:rFonts w:ascii="Arial" w:cs="Arial" w:eastAsia="Arial" w:hAnsi="Arial"/>
          <w:sz w:val="13"/>
          <w:szCs w:val="13"/>
          <w:color w:val="auto"/>
        </w:rPr>
        <w:t>File No. 333-125613 Vintage L and Vintage XC</w:t>
      </w:r>
    </w:p>
    <w:p>
      <w:pPr>
        <w:ind w:left="780"/>
        <w:spacing w:after="0"/>
        <w:rPr>
          <w:sz w:val="20"/>
          <w:szCs w:val="20"/>
          <w:color w:val="auto"/>
        </w:rPr>
      </w:pPr>
      <w:r>
        <w:rPr>
          <w:rFonts w:ascii="Arial" w:cs="Arial" w:eastAsia="Arial" w:hAnsi="Arial"/>
          <w:sz w:val="13"/>
          <w:szCs w:val="13"/>
          <w:color w:val="auto"/>
        </w:rPr>
        <w:t>File No. 333-125617 PrimElite III</w:t>
      </w:r>
    </w:p>
    <w:p>
      <w:pPr>
        <w:ind w:left="780"/>
        <w:spacing w:after="0"/>
        <w:rPr>
          <w:sz w:val="20"/>
          <w:szCs w:val="20"/>
          <w:color w:val="auto"/>
        </w:rPr>
      </w:pPr>
      <w:r>
        <w:rPr>
          <w:rFonts w:ascii="Arial" w:cs="Arial" w:eastAsia="Arial" w:hAnsi="Arial"/>
          <w:sz w:val="13"/>
          <w:szCs w:val="13"/>
          <w:color w:val="auto"/>
        </w:rPr>
        <w:t>File No. 333-125618 Marquis Portfolios (offered between November 7, 2005 and April 30, 2012)</w:t>
      </w:r>
    </w:p>
    <w:p>
      <w:pPr>
        <w:ind w:left="780"/>
        <w:spacing w:after="0"/>
        <w:rPr>
          <w:sz w:val="20"/>
          <w:szCs w:val="20"/>
          <w:color w:val="auto"/>
        </w:rPr>
      </w:pPr>
      <w:r>
        <w:rPr>
          <w:rFonts w:ascii="Arial" w:cs="Arial" w:eastAsia="Arial" w:hAnsi="Arial"/>
          <w:sz w:val="13"/>
          <w:szCs w:val="13"/>
          <w:color w:val="auto"/>
        </w:rPr>
        <w:t>File No. 333-125619 Protected Equity Portfolio</w:t>
      </w:r>
    </w:p>
    <w:p>
      <w:pPr>
        <w:ind w:left="780"/>
        <w:spacing w:after="0"/>
        <w:rPr>
          <w:sz w:val="20"/>
          <w:szCs w:val="20"/>
          <w:color w:val="auto"/>
        </w:rPr>
      </w:pPr>
      <w:r>
        <w:rPr>
          <w:rFonts w:ascii="Arial" w:cs="Arial" w:eastAsia="Arial" w:hAnsi="Arial"/>
          <w:sz w:val="13"/>
          <w:szCs w:val="13"/>
          <w:color w:val="auto"/>
        </w:rPr>
        <w:t>File No. 333-137370 Class S and Class S - L Share Option (offered between April 30, 2007 and October 7, 2011)</w:t>
      </w:r>
    </w:p>
    <w:p>
      <w:pPr>
        <w:ind w:left="780"/>
        <w:spacing w:after="0"/>
        <w:rPr>
          <w:sz w:val="20"/>
          <w:szCs w:val="20"/>
          <w:color w:val="auto"/>
        </w:rPr>
      </w:pPr>
      <w:r>
        <w:rPr>
          <w:rFonts w:ascii="Arial" w:cs="Arial" w:eastAsia="Arial" w:hAnsi="Arial"/>
          <w:sz w:val="13"/>
          <w:szCs w:val="13"/>
          <w:color w:val="auto"/>
        </w:rPr>
        <w:t>File No. 333-137969 PrimElite IV</w:t>
      </w:r>
    </w:p>
    <w:p>
      <w:pPr>
        <w:ind w:left="780"/>
        <w:spacing w:after="0"/>
        <w:rPr>
          <w:sz w:val="20"/>
          <w:szCs w:val="20"/>
          <w:color w:val="auto"/>
        </w:rPr>
      </w:pPr>
      <w:r>
        <w:rPr>
          <w:rFonts w:ascii="Arial" w:cs="Arial" w:eastAsia="Arial" w:hAnsi="Arial"/>
          <w:sz w:val="13"/>
          <w:szCs w:val="13"/>
          <w:color w:val="auto"/>
        </w:rPr>
        <w:t>File No. 333-148873 Pioneer PRISM</w:t>
      </w:r>
    </w:p>
    <w:p>
      <w:pPr>
        <w:ind w:left="780"/>
        <w:spacing w:after="0"/>
        <w:rPr>
          <w:sz w:val="20"/>
          <w:szCs w:val="20"/>
          <w:color w:val="auto"/>
        </w:rPr>
      </w:pPr>
      <w:r>
        <w:rPr>
          <w:rFonts w:ascii="Arial" w:cs="Arial" w:eastAsia="Arial" w:hAnsi="Arial"/>
          <w:sz w:val="13"/>
          <w:szCs w:val="13"/>
          <w:color w:val="auto"/>
        </w:rPr>
        <w:t>File No. 333-148874 Pioneer PRISM XC</w:t>
      </w:r>
    </w:p>
    <w:p>
      <w:pPr>
        <w:ind w:left="780"/>
        <w:spacing w:after="0"/>
        <w:rPr>
          <w:sz w:val="20"/>
          <w:szCs w:val="20"/>
          <w:color w:val="auto"/>
        </w:rPr>
      </w:pPr>
      <w:r>
        <w:rPr>
          <w:rFonts w:ascii="Arial" w:cs="Arial" w:eastAsia="Arial" w:hAnsi="Arial"/>
          <w:sz w:val="13"/>
          <w:szCs w:val="13"/>
          <w:color w:val="auto"/>
        </w:rPr>
        <w:t>File No. 333-148876 Pioneer PRISM L</w:t>
      </w:r>
    </w:p>
    <w:p>
      <w:pPr>
        <w:ind w:left="780"/>
        <w:spacing w:after="0"/>
        <w:rPr>
          <w:sz w:val="20"/>
          <w:szCs w:val="20"/>
          <w:color w:val="auto"/>
        </w:rPr>
      </w:pPr>
      <w:r>
        <w:rPr>
          <w:rFonts w:ascii="Arial" w:cs="Arial" w:eastAsia="Arial" w:hAnsi="Arial"/>
          <w:sz w:val="13"/>
          <w:szCs w:val="13"/>
          <w:color w:val="auto"/>
        </w:rPr>
        <w:t>File No. 333-152450 Class XTRA</w:t>
      </w:r>
    </w:p>
    <w:p>
      <w:pPr>
        <w:ind w:left="780"/>
        <w:spacing w:after="0"/>
        <w:rPr>
          <w:sz w:val="20"/>
          <w:szCs w:val="20"/>
          <w:color w:val="auto"/>
        </w:rPr>
      </w:pPr>
      <w:r>
        <w:rPr>
          <w:rFonts w:ascii="Arial" w:cs="Arial" w:eastAsia="Arial" w:hAnsi="Arial"/>
          <w:sz w:val="13"/>
          <w:szCs w:val="13"/>
          <w:color w:val="auto"/>
        </w:rPr>
        <w:t>File No. 333-156646 Class XTRA 6</w:t>
      </w:r>
    </w:p>
    <w:p>
      <w:pPr>
        <w:ind w:left="780"/>
        <w:spacing w:after="0" w:line="182" w:lineRule="auto"/>
        <w:rPr>
          <w:sz w:val="20"/>
          <w:szCs w:val="20"/>
          <w:color w:val="auto"/>
        </w:rPr>
      </w:pPr>
      <w:r>
        <w:rPr>
          <w:rFonts w:ascii="Arial" w:cs="Arial" w:eastAsia="Arial" w:hAnsi="Arial"/>
          <w:sz w:val="12"/>
          <w:szCs w:val="12"/>
          <w:color w:val="auto"/>
        </w:rPr>
        <w:t>File No. 333-158579 Brighthouse Simple Solutions</w:t>
      </w:r>
      <w:r>
        <w:rPr>
          <w:rFonts w:ascii="Arial" w:cs="Arial" w:eastAsia="Arial" w:hAnsi="Arial"/>
          <w:sz w:val="17"/>
          <w:szCs w:val="17"/>
          <w:color w:val="auto"/>
          <w:vertAlign w:val="superscript"/>
        </w:rPr>
        <w:t>SM</w:t>
      </w:r>
    </w:p>
    <w:p>
      <w:pPr>
        <w:ind w:left="780"/>
        <w:spacing w:after="0"/>
        <w:rPr>
          <w:sz w:val="20"/>
          <w:szCs w:val="20"/>
          <w:color w:val="auto"/>
        </w:rPr>
      </w:pPr>
      <w:r>
        <w:rPr>
          <w:rFonts w:ascii="Arial" w:cs="Arial" w:eastAsia="Arial" w:hAnsi="Arial"/>
          <w:sz w:val="13"/>
          <w:szCs w:val="13"/>
          <w:color w:val="auto"/>
        </w:rPr>
        <w:t>File No. 333-169687 Class VA- 4 (offered between May 1, 2011 and October 7, 2011)</w:t>
      </w:r>
    </w:p>
    <w:p>
      <w:pPr>
        <w:ind w:left="780"/>
        <w:spacing w:after="0"/>
        <w:rPr>
          <w:sz w:val="20"/>
          <w:szCs w:val="20"/>
          <w:color w:val="auto"/>
        </w:rPr>
      </w:pPr>
      <w:r>
        <w:rPr>
          <w:rFonts w:ascii="Arial" w:cs="Arial" w:eastAsia="Arial" w:hAnsi="Arial"/>
          <w:sz w:val="13"/>
          <w:szCs w:val="13"/>
          <w:color w:val="auto"/>
        </w:rPr>
        <w:t>File No. 333-176679 Class S (offered on and after October 7, 2011) and</w:t>
      </w:r>
    </w:p>
    <w:p>
      <w:pPr>
        <w:ind w:left="1020"/>
        <w:spacing w:after="0"/>
        <w:rPr>
          <w:sz w:val="20"/>
          <w:szCs w:val="20"/>
          <w:color w:val="auto"/>
        </w:rPr>
      </w:pPr>
      <w:r>
        <w:rPr>
          <w:rFonts w:ascii="Arial" w:cs="Arial" w:eastAsia="Arial" w:hAnsi="Arial"/>
          <w:sz w:val="13"/>
          <w:szCs w:val="13"/>
          <w:color w:val="auto"/>
        </w:rPr>
        <w:t>Class S- L Share Option (offered on and after October 7, 2011)</w:t>
      </w:r>
    </w:p>
    <w:p>
      <w:pPr>
        <w:ind w:left="780"/>
        <w:spacing w:after="0"/>
        <w:rPr>
          <w:sz w:val="20"/>
          <w:szCs w:val="20"/>
          <w:color w:val="auto"/>
        </w:rPr>
      </w:pPr>
      <w:r>
        <w:rPr>
          <w:rFonts w:ascii="Arial" w:cs="Arial" w:eastAsia="Arial" w:hAnsi="Arial"/>
          <w:sz w:val="13"/>
          <w:szCs w:val="13"/>
          <w:color w:val="auto"/>
        </w:rPr>
        <w:t>File No. 333-176680 Class VA- 4 (offered between October 7, 2011 and May 1, 2016)</w:t>
      </w:r>
    </w:p>
    <w:p>
      <w:pPr>
        <w:ind w:left="780"/>
        <w:spacing w:after="0"/>
        <w:rPr>
          <w:sz w:val="20"/>
          <w:szCs w:val="20"/>
          <w:color w:val="auto"/>
        </w:rPr>
      </w:pPr>
      <w:r>
        <w:rPr>
          <w:rFonts w:ascii="Arial" w:cs="Arial" w:eastAsia="Arial" w:hAnsi="Arial"/>
          <w:sz w:val="13"/>
          <w:szCs w:val="13"/>
          <w:color w:val="auto"/>
        </w:rPr>
        <w:t>File No. 333-176691 Class VA (offered on and after October 7, 2011)</w:t>
      </w:r>
    </w:p>
    <w:p>
      <w:pPr>
        <w:ind w:left="780"/>
        <w:spacing w:after="0"/>
        <w:rPr>
          <w:sz w:val="20"/>
          <w:szCs w:val="20"/>
          <w:color w:val="auto"/>
        </w:rPr>
      </w:pPr>
      <w:r>
        <w:rPr>
          <w:rFonts w:ascii="Arial" w:cs="Arial" w:eastAsia="Arial" w:hAnsi="Arial"/>
          <w:sz w:val="13"/>
          <w:szCs w:val="13"/>
          <w:color w:val="auto"/>
        </w:rPr>
        <w:t>File No. 333-176692 Class L- 4 Year (offered between October 7, 2011 and April 28, 2013)</w:t>
      </w:r>
    </w:p>
    <w:p>
      <w:pPr>
        <w:ind w:left="780"/>
        <w:spacing w:after="0"/>
        <w:rPr>
          <w:sz w:val="20"/>
          <w:szCs w:val="20"/>
          <w:color w:val="auto"/>
        </w:rPr>
      </w:pPr>
      <w:r>
        <w:rPr>
          <w:rFonts w:ascii="Arial" w:cs="Arial" w:eastAsia="Arial" w:hAnsi="Arial"/>
          <w:sz w:val="13"/>
          <w:szCs w:val="13"/>
          <w:color w:val="auto"/>
        </w:rPr>
        <w:t>File No. 333-176693 Class C (offered on and after October 7, 2011)</w:t>
      </w:r>
    </w:p>
    <w:p>
      <w:pPr>
        <w:ind w:left="780"/>
        <w:spacing w:after="0"/>
        <w:rPr>
          <w:sz w:val="20"/>
          <w:szCs w:val="20"/>
          <w:color w:val="auto"/>
        </w:rPr>
      </w:pPr>
      <w:r>
        <w:rPr>
          <w:rFonts w:ascii="Arial" w:cs="Arial" w:eastAsia="Arial" w:hAnsi="Arial"/>
          <w:sz w:val="13"/>
          <w:szCs w:val="13"/>
          <w:color w:val="auto"/>
        </w:rPr>
        <w:t>File No. 333-178515 Class O (offered between April 30, 2012 and September 20, 2015)</w:t>
      </w:r>
    </w:p>
    <w:p>
      <w:pPr>
        <w:ind w:left="780"/>
        <w:spacing w:after="0"/>
        <w:rPr>
          <w:sz w:val="20"/>
          <w:szCs w:val="20"/>
          <w:color w:val="auto"/>
        </w:rPr>
      </w:pPr>
      <w:r>
        <w:rPr>
          <w:rFonts w:ascii="Arial" w:cs="Arial" w:eastAsia="Arial" w:hAnsi="Arial"/>
          <w:sz w:val="13"/>
          <w:szCs w:val="13"/>
          <w:color w:val="auto"/>
        </w:rPr>
        <w:t>File No. 333-179240 Marquis Portfolios (offered on and after April 30, 2012)</w:t>
      </w:r>
    </w:p>
    <w:p>
      <w:pPr>
        <w:ind w:left="780"/>
        <w:spacing w:after="0"/>
        <w:rPr>
          <w:sz w:val="20"/>
          <w:szCs w:val="20"/>
          <w:color w:val="auto"/>
        </w:rPr>
      </w:pPr>
      <w:r>
        <w:rPr>
          <w:rFonts w:ascii="Arial" w:cs="Arial" w:eastAsia="Arial" w:hAnsi="Arial"/>
          <w:sz w:val="13"/>
          <w:szCs w:val="13"/>
          <w:color w:val="auto"/>
        </w:rPr>
        <w:t>File No. 333-186216 Class L- 4 Year (offered on and after April 29, 2013)</w:t>
      </w:r>
    </w:p>
    <w:p>
      <w:pPr>
        <w:ind w:left="780"/>
        <w:spacing w:after="0"/>
        <w:rPr>
          <w:sz w:val="20"/>
          <w:szCs w:val="20"/>
          <w:color w:val="auto"/>
        </w:rPr>
      </w:pPr>
      <w:r>
        <w:rPr>
          <w:rFonts w:ascii="Arial" w:cs="Arial" w:eastAsia="Arial" w:hAnsi="Arial"/>
          <w:sz w:val="13"/>
          <w:szCs w:val="13"/>
          <w:color w:val="auto"/>
        </w:rPr>
        <w:t>File No. 333-205137 Class O (offered on and after September 21, 2015)</w:t>
      </w:r>
    </w:p>
    <w:p>
      <w:pPr>
        <w:ind w:left="780"/>
        <w:spacing w:after="0"/>
        <w:rPr>
          <w:sz w:val="20"/>
          <w:szCs w:val="20"/>
          <w:color w:val="auto"/>
        </w:rPr>
      </w:pPr>
      <w:r>
        <w:rPr>
          <w:rFonts w:ascii="Arial" w:cs="Arial" w:eastAsia="Arial" w:hAnsi="Arial"/>
          <w:sz w:val="13"/>
          <w:szCs w:val="13"/>
          <w:color w:val="auto"/>
        </w:rPr>
        <w:t>File No. 333-209057 Class VA- 4 (offered on and after May 2, 2016)</w:t>
      </w:r>
    </w:p>
    <w:p>
      <w:pPr>
        <w:ind w:left="780"/>
        <w:spacing w:after="0"/>
        <w:rPr>
          <w:sz w:val="20"/>
          <w:szCs w:val="20"/>
          <w:color w:val="auto"/>
        </w:rPr>
      </w:pPr>
      <w:r>
        <w:rPr>
          <w:rFonts w:ascii="Arial" w:cs="Arial" w:eastAsia="Arial" w:hAnsi="Arial"/>
          <w:sz w:val="13"/>
          <w:szCs w:val="13"/>
          <w:color w:val="auto"/>
        </w:rPr>
        <w:t>File No. 333-209058 Class VA (offered on and after May 2, 2016)</w:t>
      </w:r>
    </w:p>
    <w:p>
      <w:pPr>
        <w:ind w:left="780"/>
        <w:spacing w:after="0"/>
        <w:rPr>
          <w:sz w:val="20"/>
          <w:szCs w:val="20"/>
          <w:color w:val="auto"/>
        </w:rPr>
      </w:pPr>
      <w:r>
        <w:rPr>
          <w:rFonts w:ascii="Arial" w:cs="Arial" w:eastAsia="Arial" w:hAnsi="Arial"/>
          <w:sz w:val="13"/>
          <w:szCs w:val="13"/>
          <w:color w:val="auto"/>
        </w:rPr>
        <w:t>File No. 333-209059 Class S (offered on and after May 2, 2016) and</w:t>
      </w:r>
    </w:p>
    <w:p>
      <w:pPr>
        <w:ind w:left="1020"/>
        <w:spacing w:after="0"/>
        <w:rPr>
          <w:sz w:val="20"/>
          <w:szCs w:val="20"/>
          <w:color w:val="auto"/>
        </w:rPr>
      </w:pPr>
      <w:r>
        <w:rPr>
          <w:rFonts w:ascii="Arial" w:cs="Arial" w:eastAsia="Arial" w:hAnsi="Arial"/>
          <w:sz w:val="13"/>
          <w:szCs w:val="13"/>
          <w:color w:val="auto"/>
        </w:rPr>
        <w:t>S- L Share Option (offered on and after May 2, 2016)</w:t>
      </w:r>
    </w:p>
    <w:p>
      <w:pPr>
        <w:sectPr>
          <w:pgSz w:w="11900" w:h="16838" w:orient="portrait"/>
          <w:cols w:equalWidth="0" w:num="1">
            <w:col w:w="11280"/>
          </w:cols>
          <w:pgMar w:left="300" w:top="236" w:right="319" w:bottom="1440" w:gutter="0" w:footer="0" w:header="0"/>
        </w:sectPr>
      </w:pPr>
    </w:p>
    <w:bookmarkStart w:id="163" w:name="page164"/>
    <w:bookmarkEnd w:id="163"/>
    <w:p>
      <w:pPr>
        <w:ind w:left="78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6">
                      <a:extLst>
                        <a:ext uri="{28A0092B-C50C-407E-A947-70E740481C1C}"/>
                      </a:extLst>
                    </a:blip>
                    <a:srcRect/>
                    <a:stretch>
                      <a:fillRect/>
                    </a:stretch>
                  </pic:blipFill>
                  <pic:spPr bwMode="auto">
                    <a:xfrm>
                      <a:off x="0" y="0"/>
                      <a:ext cx="7206615" cy="31750"/>
                    </a:xfrm>
                    <a:prstGeom prst="rect">
                      <a:avLst/>
                    </a:prstGeom>
                    <a:noFill/>
                  </pic:spPr>
                </pic:pic>
              </a:graphicData>
            </a:graphic>
          </wp:anchor>
        </w:drawing>
        <w:t>File No. 333-216454 Brighthouse Prime Options,</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And pertaining to:</w:t>
      </w:r>
    </w:p>
    <w:p>
      <w:pPr>
        <w:ind w:left="780"/>
        <w:spacing w:after="0" w:line="185" w:lineRule="auto"/>
        <w:rPr>
          <w:sz w:val="20"/>
          <w:szCs w:val="20"/>
          <w:color w:val="auto"/>
        </w:rPr>
      </w:pPr>
      <w:r>
        <w:rPr>
          <w:rFonts w:ascii="Arial" w:cs="Arial" w:eastAsia="Arial" w:hAnsi="Arial"/>
          <w:sz w:val="13"/>
          <w:szCs w:val="13"/>
          <w:color w:val="auto"/>
        </w:rPr>
        <w:t>File No. 333-216452 Brighthouse Shield Level Selector</w:t>
      </w:r>
      <w:r>
        <w:rPr>
          <w:rFonts w:ascii="Arial" w:cs="Arial" w:eastAsia="Arial" w:hAnsi="Arial"/>
          <w:sz w:val="18"/>
          <w:szCs w:val="18"/>
          <w:color w:val="auto"/>
          <w:vertAlign w:val="superscript"/>
        </w:rPr>
        <w:t>®</w:t>
      </w:r>
      <w:r>
        <w:rPr>
          <w:rFonts w:ascii="Arial" w:cs="Arial" w:eastAsia="Arial" w:hAnsi="Arial"/>
          <w:sz w:val="13"/>
          <w:szCs w:val="13"/>
          <w:color w:val="auto"/>
        </w:rPr>
        <w:t xml:space="preserve"> Annuity</w:t>
      </w:r>
    </w:p>
    <w:p>
      <w:pPr>
        <w:ind w:left="780"/>
        <w:spacing w:after="0" w:line="183" w:lineRule="auto"/>
        <w:rPr>
          <w:sz w:val="20"/>
          <w:szCs w:val="20"/>
          <w:color w:val="auto"/>
        </w:rPr>
      </w:pPr>
      <w:r>
        <w:rPr>
          <w:rFonts w:ascii="Arial" w:cs="Arial" w:eastAsia="Arial" w:hAnsi="Arial"/>
          <w:sz w:val="12"/>
          <w:szCs w:val="12"/>
          <w:color w:val="auto"/>
        </w:rPr>
        <w:t>File No. 333-216453 Brighthouse Shield Level Selector</w:t>
      </w:r>
      <w:r>
        <w:rPr>
          <w:rFonts w:ascii="Arial" w:cs="Arial" w:eastAsia="Arial" w:hAnsi="Arial"/>
          <w:sz w:val="17"/>
          <w:szCs w:val="17"/>
          <w:color w:val="auto"/>
          <w:vertAlign w:val="superscript"/>
        </w:rPr>
        <w:t>®</w:t>
      </w:r>
      <w:r>
        <w:rPr>
          <w:rFonts w:ascii="Arial" w:cs="Arial" w:eastAsia="Arial" w:hAnsi="Arial"/>
          <w:sz w:val="12"/>
          <w:szCs w:val="12"/>
          <w:color w:val="auto"/>
        </w:rPr>
        <w:t xml:space="preserve"> 3-Year Annuity</w:t>
      </w:r>
    </w:p>
    <w:p>
      <w:pPr>
        <w:ind w:left="780"/>
        <w:spacing w:after="0" w:line="183" w:lineRule="auto"/>
        <w:rPr>
          <w:sz w:val="20"/>
          <w:szCs w:val="20"/>
          <w:color w:val="auto"/>
        </w:rPr>
      </w:pPr>
      <w:r>
        <w:rPr>
          <w:rFonts w:ascii="Arial" w:cs="Arial" w:eastAsia="Arial" w:hAnsi="Arial"/>
          <w:sz w:val="12"/>
          <w:szCs w:val="12"/>
          <w:color w:val="auto"/>
        </w:rPr>
        <w:t>File No. 333-238214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10 Annuity</w:t>
      </w:r>
    </w:p>
    <w:p>
      <w:pPr>
        <w:ind w:left="780"/>
        <w:spacing w:after="0" w:line="182" w:lineRule="auto"/>
        <w:rPr>
          <w:sz w:val="20"/>
          <w:szCs w:val="20"/>
          <w:color w:val="auto"/>
        </w:rPr>
      </w:pPr>
      <w:r>
        <w:rPr>
          <w:rFonts w:ascii="Arial" w:cs="Arial" w:eastAsia="Arial" w:hAnsi="Arial"/>
          <w:sz w:val="12"/>
          <w:szCs w:val="12"/>
          <w:color w:val="auto"/>
        </w:rPr>
        <w:t>File No. 333-265196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Select 3-Year Annuity</w:t>
      </w:r>
    </w:p>
    <w:p>
      <w:pPr>
        <w:ind w:left="780"/>
        <w:spacing w:after="0" w:line="183" w:lineRule="auto"/>
        <w:rPr>
          <w:sz w:val="20"/>
          <w:szCs w:val="20"/>
          <w:color w:val="auto"/>
        </w:rPr>
      </w:pPr>
      <w:r>
        <w:rPr>
          <w:rFonts w:ascii="Arial" w:cs="Arial" w:eastAsia="Arial" w:hAnsi="Arial"/>
          <w:sz w:val="12"/>
          <w:szCs w:val="12"/>
          <w:color w:val="auto"/>
        </w:rPr>
        <w:t>File No. 333-265199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Select 6-Year Annuity</w:t>
      </w:r>
    </w:p>
    <w:p>
      <w:pPr>
        <w:ind w:left="780"/>
        <w:spacing w:after="0" w:line="183" w:lineRule="auto"/>
        <w:rPr>
          <w:sz w:val="20"/>
          <w:szCs w:val="20"/>
          <w:color w:val="auto"/>
        </w:rPr>
      </w:pPr>
      <w:r>
        <w:rPr>
          <w:rFonts w:ascii="Arial" w:cs="Arial" w:eastAsia="Arial" w:hAnsi="Arial"/>
          <w:sz w:val="12"/>
          <w:szCs w:val="12"/>
          <w:color w:val="auto"/>
        </w:rPr>
        <w:t>File No. 333-259506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Select 6-Year Annuity v.3</w:t>
      </w:r>
    </w:p>
    <w:p>
      <w:pPr>
        <w:ind w:left="780"/>
        <w:spacing w:after="0"/>
        <w:rPr>
          <w:sz w:val="20"/>
          <w:szCs w:val="20"/>
          <w:color w:val="auto"/>
        </w:rPr>
      </w:pPr>
      <w:r>
        <w:rPr>
          <w:rFonts w:ascii="Arial" w:cs="Arial" w:eastAsia="Arial" w:hAnsi="Arial"/>
          <w:sz w:val="13"/>
          <w:szCs w:val="13"/>
          <w:color w:val="auto"/>
        </w:rPr>
        <w:t>File No. 333-279315 Brighthouse Shield</w:t>
      </w:r>
      <w:r>
        <w:rPr>
          <w:rFonts w:ascii="Arial" w:cs="Arial" w:eastAsia="Arial" w:hAnsi="Arial"/>
          <w:sz w:val="19"/>
          <w:szCs w:val="19"/>
          <w:color w:val="auto"/>
          <w:vertAlign w:val="superscript"/>
        </w:rPr>
        <w:t>®</w:t>
      </w:r>
      <w:r>
        <w:rPr>
          <w:rFonts w:ascii="Arial" w:cs="Arial" w:eastAsia="Arial" w:hAnsi="Arial"/>
          <w:sz w:val="13"/>
          <w:szCs w:val="13"/>
          <w:color w:val="auto"/>
        </w:rPr>
        <w:t xml:space="preserve"> Level II 6-Year Annuity</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And new annuities and life products such as:</w:t>
      </w:r>
    </w:p>
    <w:p>
      <w:pPr>
        <w:spacing w:after="0" w:line="11" w:lineRule="exact"/>
        <w:rPr>
          <w:sz w:val="20"/>
          <w:szCs w:val="20"/>
          <w:color w:val="auto"/>
        </w:rPr>
      </w:pPr>
    </w:p>
    <w:p>
      <w:pPr>
        <w:ind w:left="780"/>
        <w:spacing w:after="0"/>
        <w:rPr>
          <w:sz w:val="20"/>
          <w:szCs w:val="20"/>
          <w:color w:val="auto"/>
        </w:rPr>
      </w:pPr>
      <w:r>
        <w:rPr>
          <w:rFonts w:ascii="Arial" w:cs="Arial" w:eastAsia="Arial" w:hAnsi="Arial"/>
          <w:sz w:val="13"/>
          <w:szCs w:val="13"/>
          <w:color w:val="auto"/>
        </w:rPr>
        <w:t>Brighthouse Shield Annuity</w:t>
      </w:r>
    </w:p>
    <w:p>
      <w:pPr>
        <w:ind w:left="780"/>
        <w:spacing w:after="0"/>
        <w:rPr>
          <w:sz w:val="20"/>
          <w:szCs w:val="20"/>
          <w:color w:val="auto"/>
        </w:rPr>
      </w:pPr>
      <w:r>
        <w:rPr>
          <w:rFonts w:ascii="Arial" w:cs="Arial" w:eastAsia="Arial" w:hAnsi="Arial"/>
          <w:sz w:val="13"/>
          <w:szCs w:val="13"/>
          <w:color w:val="auto"/>
        </w:rPr>
        <w:t>Brighthouse Shield 3-Year Annuity</w:t>
      </w:r>
    </w:p>
    <w:p>
      <w:pPr>
        <w:ind w:left="780"/>
        <w:spacing w:after="0"/>
        <w:rPr>
          <w:sz w:val="20"/>
          <w:szCs w:val="20"/>
          <w:color w:val="auto"/>
        </w:rPr>
      </w:pPr>
      <w:r>
        <w:rPr>
          <w:rFonts w:ascii="Arial" w:cs="Arial" w:eastAsia="Arial" w:hAnsi="Arial"/>
          <w:sz w:val="13"/>
          <w:szCs w:val="13"/>
          <w:color w:val="auto"/>
        </w:rPr>
        <w:t>Brighthouse Shield 6-Year Annuity</w:t>
      </w:r>
    </w:p>
    <w:p>
      <w:pPr>
        <w:ind w:left="780"/>
        <w:spacing w:after="0"/>
        <w:rPr>
          <w:sz w:val="20"/>
          <w:szCs w:val="20"/>
          <w:color w:val="auto"/>
        </w:rPr>
      </w:pPr>
      <w:r>
        <w:rPr>
          <w:rFonts w:ascii="Arial" w:cs="Arial" w:eastAsia="Arial" w:hAnsi="Arial"/>
          <w:sz w:val="13"/>
          <w:szCs w:val="13"/>
          <w:color w:val="auto"/>
        </w:rPr>
        <w:t>Brighthouse indexed-linked life insurance policy,</w:t>
      </w:r>
    </w:p>
    <w:p>
      <w:pPr>
        <w:spacing w:after="0" w:line="146" w:lineRule="exact"/>
        <w:rPr>
          <w:sz w:val="20"/>
          <w:szCs w:val="20"/>
          <w:color w:val="auto"/>
        </w:rPr>
      </w:pPr>
    </w:p>
    <w:p>
      <w:pPr>
        <w:spacing w:after="0" w:line="258" w:lineRule="auto"/>
        <w:rPr>
          <w:sz w:val="20"/>
          <w:szCs w:val="20"/>
          <w:color w:val="auto"/>
        </w:rPr>
      </w:pPr>
      <w:r>
        <w:rPr>
          <w:rFonts w:ascii="Arial" w:cs="Arial" w:eastAsia="Arial" w:hAnsi="Arial"/>
          <w:sz w:val="13"/>
          <w:szCs w:val="13"/>
          <w:color w:val="auto"/>
        </w:rPr>
        <w:t>and to have full power and authority to do or cause to be done in my name, place and stead each and every act and thing necessary or appropriate in order to effectuate the same, as fully to all intents and purposes as I might or could do in person, hereby ratifying and confirming all that said attorneys-in-fact or any of them, may do or cause to be done by virtue hereof. This Power of Attorney does not revoke any prior powers of attorney.</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color w:val="auto"/>
        </w:rPr>
        <w:t>IN WITNESS WHEREOF, I have hereunto set my hand this 30th day of May 2024.</w:t>
      </w:r>
    </w:p>
    <w:p>
      <w:pPr>
        <w:spacing w:after="0" w:line="39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 Edward C. Kosnik</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Edward C. Kosnik</w:t>
      </w:r>
    </w:p>
    <w:p>
      <w:pPr>
        <w:sectPr>
          <w:pgSz w:w="11900" w:h="16838" w:orient="portrait"/>
          <w:cols w:equalWidth="0" w:num="1">
            <w:col w:w="11220"/>
          </w:cols>
          <w:pgMar w:left="300" w:top="236" w:right="379" w:bottom="1440" w:gutter="0" w:footer="0" w:header="0"/>
        </w:sectPr>
      </w:pPr>
    </w:p>
    <w:bookmarkStart w:id="164" w:name="page165"/>
    <w:bookmarkEnd w:id="164"/>
    <w:p>
      <w:pPr>
        <w:jc w:val="center"/>
        <w:ind w:right="-79"/>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7">
                      <a:extLst>
                        <a:ext uri="{28A0092B-C50C-407E-A947-70E740481C1C}"/>
                      </a:extLst>
                    </a:blip>
                    <a:srcRect/>
                    <a:stretch>
                      <a:fillRect/>
                    </a:stretch>
                  </pic:blipFill>
                  <pic:spPr bwMode="auto">
                    <a:xfrm>
                      <a:off x="0" y="0"/>
                      <a:ext cx="7206615" cy="31750"/>
                    </a:xfrm>
                    <a:prstGeom prst="rect">
                      <a:avLst/>
                    </a:prstGeom>
                    <a:noFill/>
                  </pic:spPr>
                </pic:pic>
              </a:graphicData>
            </a:graphic>
          </wp:anchor>
        </w:drawing>
        <w:t>Brighthouse Life Insurance Company of NY</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POWER OF ATTORNEY</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Mayer Naiman</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Director</w:t>
      </w:r>
    </w:p>
    <w:p>
      <w:pPr>
        <w:spacing w:after="0" w:line="146" w:lineRule="exact"/>
        <w:rPr>
          <w:sz w:val="20"/>
          <w:szCs w:val="20"/>
          <w:color w:val="auto"/>
        </w:rPr>
      </w:pPr>
    </w:p>
    <w:p>
      <w:pPr>
        <w:spacing w:after="0" w:line="251" w:lineRule="auto"/>
        <w:rPr>
          <w:sz w:val="20"/>
          <w:szCs w:val="20"/>
          <w:color w:val="auto"/>
        </w:rPr>
      </w:pPr>
      <w:r>
        <w:rPr>
          <w:rFonts w:ascii="Arial" w:cs="Arial" w:eastAsia="Arial" w:hAnsi="Arial"/>
          <w:sz w:val="13"/>
          <w:szCs w:val="13"/>
          <w:color w:val="auto"/>
        </w:rPr>
        <w:t>KNOW ALL MEN BY THESE PRESENTS, that I, Mayer Naiman, a Director of Brighthouse Life Insurance Company of NY, a New York company (the “Company”), do hereby constitute and appoint Michele H. Abate, Allie Lin, and Alexander Ulianov, as my attorney-in-fact and agent, each of whom may act individually and none of whom is required to act jointly with any of the others, to sign and file on my behalf and to execute and file any instrument or document required to be filed as part of or in connection with or in any way related to, the Registration Statements and any and all amendments thereto filed by the Company under the Securities Act of 1933 and/or the Investment Company Act of 1940, pertaining to:</w:t>
      </w:r>
    </w:p>
    <w:p>
      <w:pPr>
        <w:spacing w:after="0" w:line="68" w:lineRule="exact"/>
        <w:rPr>
          <w:sz w:val="20"/>
          <w:szCs w:val="20"/>
          <w:color w:val="auto"/>
        </w:rPr>
      </w:pPr>
    </w:p>
    <w:p>
      <w:pPr>
        <w:ind w:left="660" w:hanging="323"/>
        <w:spacing w:after="0"/>
        <w:tabs>
          <w:tab w:leader="none" w:pos="660" w:val="left"/>
        </w:tabs>
        <w:numPr>
          <w:ilvl w:val="0"/>
          <w:numId w:val="111"/>
        </w:numPr>
        <w:rPr>
          <w:rFonts w:ascii="Times New Roman" w:cs="Times New Roman" w:eastAsia="Times New Roman" w:hAnsi="Times New Roman"/>
          <w:sz w:val="21"/>
          <w:szCs w:val="21"/>
          <w:color w:val="auto"/>
          <w:vertAlign w:val="superscript"/>
        </w:rPr>
      </w:pPr>
      <w:r>
        <w:rPr>
          <w:rFonts w:ascii="Arial" w:cs="Arial" w:eastAsia="Arial" w:hAnsi="Arial"/>
          <w:sz w:val="13"/>
          <w:szCs w:val="13"/>
          <w:color w:val="auto"/>
        </w:rPr>
        <w:t>  Brighthouse Variable Annuity Account B (811-08306)</w:t>
      </w:r>
    </w:p>
    <w:p>
      <w:pPr>
        <w:ind w:left="780"/>
        <w:spacing w:after="0"/>
        <w:rPr>
          <w:sz w:val="20"/>
          <w:szCs w:val="20"/>
          <w:color w:val="auto"/>
        </w:rPr>
      </w:pPr>
      <w:r>
        <w:rPr>
          <w:rFonts w:ascii="Arial" w:cs="Arial" w:eastAsia="Arial" w:hAnsi="Arial"/>
          <w:sz w:val="13"/>
          <w:szCs w:val="13"/>
          <w:color w:val="auto"/>
        </w:rPr>
        <w:t>File No. 033-74174 First COVA VA, Custom Select, Russell Select and Class VA, Class AA and Class B</w:t>
      </w:r>
    </w:p>
    <w:p>
      <w:pPr>
        <w:ind w:left="780"/>
        <w:spacing w:after="0"/>
        <w:rPr>
          <w:sz w:val="20"/>
          <w:szCs w:val="20"/>
          <w:color w:val="auto"/>
        </w:rPr>
      </w:pPr>
      <w:r>
        <w:rPr>
          <w:rFonts w:ascii="Arial" w:cs="Arial" w:eastAsia="Arial" w:hAnsi="Arial"/>
          <w:sz w:val="13"/>
          <w:szCs w:val="13"/>
          <w:color w:val="auto"/>
        </w:rPr>
        <w:t>File No. 333-96773 Class VA (offered between June 15, 2001 and October 7, 2011), Class AA, and Class B</w:t>
      </w:r>
    </w:p>
    <w:p>
      <w:pPr>
        <w:ind w:left="780"/>
        <w:spacing w:after="0"/>
        <w:rPr>
          <w:sz w:val="20"/>
          <w:szCs w:val="20"/>
          <w:color w:val="auto"/>
        </w:rPr>
      </w:pPr>
      <w:r>
        <w:rPr>
          <w:rFonts w:ascii="Arial" w:cs="Arial" w:eastAsia="Arial" w:hAnsi="Arial"/>
          <w:sz w:val="13"/>
          <w:szCs w:val="13"/>
          <w:color w:val="auto"/>
        </w:rPr>
        <w:t>File No. 333-96775 Class A</w:t>
      </w:r>
    </w:p>
    <w:p>
      <w:pPr>
        <w:ind w:left="780"/>
        <w:spacing w:after="0"/>
        <w:rPr>
          <w:sz w:val="20"/>
          <w:szCs w:val="20"/>
          <w:color w:val="auto"/>
        </w:rPr>
      </w:pPr>
      <w:r>
        <w:rPr>
          <w:rFonts w:ascii="Arial" w:cs="Arial" w:eastAsia="Arial" w:hAnsi="Arial"/>
          <w:sz w:val="13"/>
          <w:szCs w:val="13"/>
          <w:color w:val="auto"/>
        </w:rPr>
        <w:t>File No. 333-96777 Class XC</w:t>
      </w:r>
    </w:p>
    <w:p>
      <w:pPr>
        <w:ind w:left="780"/>
        <w:spacing w:after="0"/>
        <w:rPr>
          <w:sz w:val="20"/>
          <w:szCs w:val="20"/>
          <w:color w:val="auto"/>
        </w:rPr>
      </w:pPr>
      <w:r>
        <w:rPr>
          <w:rFonts w:ascii="Arial" w:cs="Arial" w:eastAsia="Arial" w:hAnsi="Arial"/>
          <w:sz w:val="13"/>
          <w:szCs w:val="13"/>
          <w:color w:val="auto"/>
        </w:rPr>
        <w:t>File No. 333-96785 Class L and Class L –4 Year (offered between November 22, 2004 and October 7, 2011)</w:t>
      </w:r>
    </w:p>
    <w:p>
      <w:pPr>
        <w:ind w:left="780"/>
        <w:spacing w:after="0"/>
        <w:rPr>
          <w:sz w:val="20"/>
          <w:szCs w:val="20"/>
          <w:color w:val="auto"/>
        </w:rPr>
      </w:pPr>
      <w:r>
        <w:rPr>
          <w:rFonts w:ascii="Arial" w:cs="Arial" w:eastAsia="Arial" w:hAnsi="Arial"/>
          <w:sz w:val="13"/>
          <w:szCs w:val="13"/>
          <w:color w:val="auto"/>
        </w:rPr>
        <w:t>File No. 333-96795 Class C (offered between September 4, 2001 and October 7, 2011)</w:t>
      </w:r>
    </w:p>
    <w:p>
      <w:pPr>
        <w:ind w:left="780"/>
        <w:spacing w:after="0"/>
        <w:rPr>
          <w:sz w:val="20"/>
          <w:szCs w:val="20"/>
          <w:color w:val="auto"/>
        </w:rPr>
      </w:pPr>
      <w:r>
        <w:rPr>
          <w:rFonts w:ascii="Arial" w:cs="Arial" w:eastAsia="Arial" w:hAnsi="Arial"/>
          <w:sz w:val="13"/>
          <w:szCs w:val="13"/>
          <w:color w:val="auto"/>
        </w:rPr>
        <w:t>File No. 333-125613 Vintage L and Vintage XC</w:t>
      </w:r>
    </w:p>
    <w:p>
      <w:pPr>
        <w:ind w:left="780"/>
        <w:spacing w:after="0"/>
        <w:rPr>
          <w:sz w:val="20"/>
          <w:szCs w:val="20"/>
          <w:color w:val="auto"/>
        </w:rPr>
      </w:pPr>
      <w:r>
        <w:rPr>
          <w:rFonts w:ascii="Arial" w:cs="Arial" w:eastAsia="Arial" w:hAnsi="Arial"/>
          <w:sz w:val="13"/>
          <w:szCs w:val="13"/>
          <w:color w:val="auto"/>
        </w:rPr>
        <w:t>File No. 333-125617 PrimElite III</w:t>
      </w:r>
    </w:p>
    <w:p>
      <w:pPr>
        <w:ind w:left="780"/>
        <w:spacing w:after="0"/>
        <w:rPr>
          <w:sz w:val="20"/>
          <w:szCs w:val="20"/>
          <w:color w:val="auto"/>
        </w:rPr>
      </w:pPr>
      <w:r>
        <w:rPr>
          <w:rFonts w:ascii="Arial" w:cs="Arial" w:eastAsia="Arial" w:hAnsi="Arial"/>
          <w:sz w:val="13"/>
          <w:szCs w:val="13"/>
          <w:color w:val="auto"/>
        </w:rPr>
        <w:t>File No. 333-125618 Marquis Portfolios (offered between November 7, 2005 and April 30, 2012)</w:t>
      </w:r>
    </w:p>
    <w:p>
      <w:pPr>
        <w:ind w:left="780"/>
        <w:spacing w:after="0"/>
        <w:rPr>
          <w:sz w:val="20"/>
          <w:szCs w:val="20"/>
          <w:color w:val="auto"/>
        </w:rPr>
      </w:pPr>
      <w:r>
        <w:rPr>
          <w:rFonts w:ascii="Arial" w:cs="Arial" w:eastAsia="Arial" w:hAnsi="Arial"/>
          <w:sz w:val="13"/>
          <w:szCs w:val="13"/>
          <w:color w:val="auto"/>
        </w:rPr>
        <w:t>File No. 333-125619 Protected Equity Portfolio</w:t>
      </w:r>
    </w:p>
    <w:p>
      <w:pPr>
        <w:ind w:left="780"/>
        <w:spacing w:after="0"/>
        <w:rPr>
          <w:sz w:val="20"/>
          <w:szCs w:val="20"/>
          <w:color w:val="auto"/>
        </w:rPr>
      </w:pPr>
      <w:r>
        <w:rPr>
          <w:rFonts w:ascii="Arial" w:cs="Arial" w:eastAsia="Arial" w:hAnsi="Arial"/>
          <w:sz w:val="13"/>
          <w:szCs w:val="13"/>
          <w:color w:val="auto"/>
        </w:rPr>
        <w:t>File No. 333-137370 Class S and Class S - L Share Option (offered between April 30, 2007 and October 7, 2011)</w:t>
      </w:r>
    </w:p>
    <w:p>
      <w:pPr>
        <w:ind w:left="780"/>
        <w:spacing w:after="0"/>
        <w:rPr>
          <w:sz w:val="20"/>
          <w:szCs w:val="20"/>
          <w:color w:val="auto"/>
        </w:rPr>
      </w:pPr>
      <w:r>
        <w:rPr>
          <w:rFonts w:ascii="Arial" w:cs="Arial" w:eastAsia="Arial" w:hAnsi="Arial"/>
          <w:sz w:val="13"/>
          <w:szCs w:val="13"/>
          <w:color w:val="auto"/>
        </w:rPr>
        <w:t>File No. 333-137969 PrimElite IV</w:t>
      </w:r>
    </w:p>
    <w:p>
      <w:pPr>
        <w:ind w:left="780"/>
        <w:spacing w:after="0"/>
        <w:rPr>
          <w:sz w:val="20"/>
          <w:szCs w:val="20"/>
          <w:color w:val="auto"/>
        </w:rPr>
      </w:pPr>
      <w:r>
        <w:rPr>
          <w:rFonts w:ascii="Arial" w:cs="Arial" w:eastAsia="Arial" w:hAnsi="Arial"/>
          <w:sz w:val="13"/>
          <w:szCs w:val="13"/>
          <w:color w:val="auto"/>
        </w:rPr>
        <w:t>File No. 333-148873 Pioneer PRISM</w:t>
      </w:r>
    </w:p>
    <w:p>
      <w:pPr>
        <w:ind w:left="780"/>
        <w:spacing w:after="0"/>
        <w:rPr>
          <w:sz w:val="20"/>
          <w:szCs w:val="20"/>
          <w:color w:val="auto"/>
        </w:rPr>
      </w:pPr>
      <w:r>
        <w:rPr>
          <w:rFonts w:ascii="Arial" w:cs="Arial" w:eastAsia="Arial" w:hAnsi="Arial"/>
          <w:sz w:val="13"/>
          <w:szCs w:val="13"/>
          <w:color w:val="auto"/>
        </w:rPr>
        <w:t>File No. 333-148874 Pioneer PRISM XC</w:t>
      </w:r>
    </w:p>
    <w:p>
      <w:pPr>
        <w:ind w:left="780"/>
        <w:spacing w:after="0"/>
        <w:rPr>
          <w:sz w:val="20"/>
          <w:szCs w:val="20"/>
          <w:color w:val="auto"/>
        </w:rPr>
      </w:pPr>
      <w:r>
        <w:rPr>
          <w:rFonts w:ascii="Arial" w:cs="Arial" w:eastAsia="Arial" w:hAnsi="Arial"/>
          <w:sz w:val="13"/>
          <w:szCs w:val="13"/>
          <w:color w:val="auto"/>
        </w:rPr>
        <w:t>File No. 333-148876 Pioneer PRISM L</w:t>
      </w:r>
    </w:p>
    <w:p>
      <w:pPr>
        <w:ind w:left="780"/>
        <w:spacing w:after="0"/>
        <w:rPr>
          <w:sz w:val="20"/>
          <w:szCs w:val="20"/>
          <w:color w:val="auto"/>
        </w:rPr>
      </w:pPr>
      <w:r>
        <w:rPr>
          <w:rFonts w:ascii="Arial" w:cs="Arial" w:eastAsia="Arial" w:hAnsi="Arial"/>
          <w:sz w:val="13"/>
          <w:szCs w:val="13"/>
          <w:color w:val="auto"/>
        </w:rPr>
        <w:t>File No. 333-152450 Class XTRA</w:t>
      </w:r>
    </w:p>
    <w:p>
      <w:pPr>
        <w:ind w:left="780"/>
        <w:spacing w:after="0"/>
        <w:rPr>
          <w:sz w:val="20"/>
          <w:szCs w:val="20"/>
          <w:color w:val="auto"/>
        </w:rPr>
      </w:pPr>
      <w:r>
        <w:rPr>
          <w:rFonts w:ascii="Arial" w:cs="Arial" w:eastAsia="Arial" w:hAnsi="Arial"/>
          <w:sz w:val="13"/>
          <w:szCs w:val="13"/>
          <w:color w:val="auto"/>
        </w:rPr>
        <w:t>File No. 333-156646 Class XTRA 6</w:t>
      </w:r>
    </w:p>
    <w:p>
      <w:pPr>
        <w:ind w:left="780"/>
        <w:spacing w:after="0" w:line="182" w:lineRule="auto"/>
        <w:rPr>
          <w:sz w:val="20"/>
          <w:szCs w:val="20"/>
          <w:color w:val="auto"/>
        </w:rPr>
      </w:pPr>
      <w:r>
        <w:rPr>
          <w:rFonts w:ascii="Arial" w:cs="Arial" w:eastAsia="Arial" w:hAnsi="Arial"/>
          <w:sz w:val="12"/>
          <w:szCs w:val="12"/>
          <w:color w:val="auto"/>
        </w:rPr>
        <w:t>File No. 333-158579 Brighthouse Simple Solutions</w:t>
      </w:r>
      <w:r>
        <w:rPr>
          <w:rFonts w:ascii="Arial" w:cs="Arial" w:eastAsia="Arial" w:hAnsi="Arial"/>
          <w:sz w:val="17"/>
          <w:szCs w:val="17"/>
          <w:color w:val="auto"/>
          <w:vertAlign w:val="superscript"/>
        </w:rPr>
        <w:t>SM</w:t>
      </w:r>
    </w:p>
    <w:p>
      <w:pPr>
        <w:ind w:left="780"/>
        <w:spacing w:after="0"/>
        <w:rPr>
          <w:sz w:val="20"/>
          <w:szCs w:val="20"/>
          <w:color w:val="auto"/>
        </w:rPr>
      </w:pPr>
      <w:r>
        <w:rPr>
          <w:rFonts w:ascii="Arial" w:cs="Arial" w:eastAsia="Arial" w:hAnsi="Arial"/>
          <w:sz w:val="13"/>
          <w:szCs w:val="13"/>
          <w:color w:val="auto"/>
        </w:rPr>
        <w:t>File No. 333-169687 Class VA- 4 (offered between May 1, 2011 and October 7, 2011)</w:t>
      </w:r>
    </w:p>
    <w:p>
      <w:pPr>
        <w:ind w:left="780"/>
        <w:spacing w:after="0"/>
        <w:rPr>
          <w:sz w:val="20"/>
          <w:szCs w:val="20"/>
          <w:color w:val="auto"/>
        </w:rPr>
      </w:pPr>
      <w:r>
        <w:rPr>
          <w:rFonts w:ascii="Arial" w:cs="Arial" w:eastAsia="Arial" w:hAnsi="Arial"/>
          <w:sz w:val="13"/>
          <w:szCs w:val="13"/>
          <w:color w:val="auto"/>
        </w:rPr>
        <w:t>File No. 333-176679 Class S (offered on and after October 7, 2011) and</w:t>
      </w:r>
    </w:p>
    <w:p>
      <w:pPr>
        <w:ind w:left="1020"/>
        <w:spacing w:after="0"/>
        <w:rPr>
          <w:sz w:val="20"/>
          <w:szCs w:val="20"/>
          <w:color w:val="auto"/>
        </w:rPr>
      </w:pPr>
      <w:r>
        <w:rPr>
          <w:rFonts w:ascii="Arial" w:cs="Arial" w:eastAsia="Arial" w:hAnsi="Arial"/>
          <w:sz w:val="13"/>
          <w:szCs w:val="13"/>
          <w:color w:val="auto"/>
        </w:rPr>
        <w:t>Class S- L Share Option (offered on and after October 7, 2011)</w:t>
      </w:r>
    </w:p>
    <w:p>
      <w:pPr>
        <w:ind w:left="780"/>
        <w:spacing w:after="0"/>
        <w:rPr>
          <w:sz w:val="20"/>
          <w:szCs w:val="20"/>
          <w:color w:val="auto"/>
        </w:rPr>
      </w:pPr>
      <w:r>
        <w:rPr>
          <w:rFonts w:ascii="Arial" w:cs="Arial" w:eastAsia="Arial" w:hAnsi="Arial"/>
          <w:sz w:val="13"/>
          <w:szCs w:val="13"/>
          <w:color w:val="auto"/>
        </w:rPr>
        <w:t>File No. 333-176680 Class VA- 4 (offered between October 7, 2011 and May 1, 2016)</w:t>
      </w:r>
    </w:p>
    <w:p>
      <w:pPr>
        <w:ind w:left="780"/>
        <w:spacing w:after="0"/>
        <w:rPr>
          <w:sz w:val="20"/>
          <w:szCs w:val="20"/>
          <w:color w:val="auto"/>
        </w:rPr>
      </w:pPr>
      <w:r>
        <w:rPr>
          <w:rFonts w:ascii="Arial" w:cs="Arial" w:eastAsia="Arial" w:hAnsi="Arial"/>
          <w:sz w:val="13"/>
          <w:szCs w:val="13"/>
          <w:color w:val="auto"/>
        </w:rPr>
        <w:t>File No. 333-176691 Class VA (offered on and after October 7, 2011)</w:t>
      </w:r>
    </w:p>
    <w:p>
      <w:pPr>
        <w:ind w:left="780"/>
        <w:spacing w:after="0"/>
        <w:rPr>
          <w:sz w:val="20"/>
          <w:szCs w:val="20"/>
          <w:color w:val="auto"/>
        </w:rPr>
      </w:pPr>
      <w:r>
        <w:rPr>
          <w:rFonts w:ascii="Arial" w:cs="Arial" w:eastAsia="Arial" w:hAnsi="Arial"/>
          <w:sz w:val="13"/>
          <w:szCs w:val="13"/>
          <w:color w:val="auto"/>
        </w:rPr>
        <w:t>File No. 333-176692 Class L- 4 Year (offered between October 7, 2011 and April 28, 2013)</w:t>
      </w:r>
    </w:p>
    <w:p>
      <w:pPr>
        <w:ind w:left="780"/>
        <w:spacing w:after="0"/>
        <w:rPr>
          <w:sz w:val="20"/>
          <w:szCs w:val="20"/>
          <w:color w:val="auto"/>
        </w:rPr>
      </w:pPr>
      <w:r>
        <w:rPr>
          <w:rFonts w:ascii="Arial" w:cs="Arial" w:eastAsia="Arial" w:hAnsi="Arial"/>
          <w:sz w:val="13"/>
          <w:szCs w:val="13"/>
          <w:color w:val="auto"/>
        </w:rPr>
        <w:t>File No. 333-176693 Class C (offered on and after October 7, 2011)</w:t>
      </w:r>
    </w:p>
    <w:p>
      <w:pPr>
        <w:ind w:left="780"/>
        <w:spacing w:after="0"/>
        <w:rPr>
          <w:sz w:val="20"/>
          <w:szCs w:val="20"/>
          <w:color w:val="auto"/>
        </w:rPr>
      </w:pPr>
      <w:r>
        <w:rPr>
          <w:rFonts w:ascii="Arial" w:cs="Arial" w:eastAsia="Arial" w:hAnsi="Arial"/>
          <w:sz w:val="13"/>
          <w:szCs w:val="13"/>
          <w:color w:val="auto"/>
        </w:rPr>
        <w:t>File No. 333-178515 Class O (offered between April 30, 2012 and September 20, 2015)</w:t>
      </w:r>
    </w:p>
    <w:p>
      <w:pPr>
        <w:ind w:left="780"/>
        <w:spacing w:after="0"/>
        <w:rPr>
          <w:sz w:val="20"/>
          <w:szCs w:val="20"/>
          <w:color w:val="auto"/>
        </w:rPr>
      </w:pPr>
      <w:r>
        <w:rPr>
          <w:rFonts w:ascii="Arial" w:cs="Arial" w:eastAsia="Arial" w:hAnsi="Arial"/>
          <w:sz w:val="13"/>
          <w:szCs w:val="13"/>
          <w:color w:val="auto"/>
        </w:rPr>
        <w:t>File No. 333-179240 Marquis Portfolios (offered on and after April 30, 2012)</w:t>
      </w:r>
    </w:p>
    <w:p>
      <w:pPr>
        <w:ind w:left="780"/>
        <w:spacing w:after="0"/>
        <w:rPr>
          <w:sz w:val="20"/>
          <w:szCs w:val="20"/>
          <w:color w:val="auto"/>
        </w:rPr>
      </w:pPr>
      <w:r>
        <w:rPr>
          <w:rFonts w:ascii="Arial" w:cs="Arial" w:eastAsia="Arial" w:hAnsi="Arial"/>
          <w:sz w:val="13"/>
          <w:szCs w:val="13"/>
          <w:color w:val="auto"/>
        </w:rPr>
        <w:t>File No. 333-186216 Class L- 4 Year (offered on and after April 29, 2013)</w:t>
      </w:r>
    </w:p>
    <w:p>
      <w:pPr>
        <w:ind w:left="780"/>
        <w:spacing w:after="0"/>
        <w:rPr>
          <w:sz w:val="20"/>
          <w:szCs w:val="20"/>
          <w:color w:val="auto"/>
        </w:rPr>
      </w:pPr>
      <w:r>
        <w:rPr>
          <w:rFonts w:ascii="Arial" w:cs="Arial" w:eastAsia="Arial" w:hAnsi="Arial"/>
          <w:sz w:val="13"/>
          <w:szCs w:val="13"/>
          <w:color w:val="auto"/>
        </w:rPr>
        <w:t>File No. 333-205137 Class O (offered on and after September 21, 2015)</w:t>
      </w:r>
    </w:p>
    <w:p>
      <w:pPr>
        <w:ind w:left="780"/>
        <w:spacing w:after="0"/>
        <w:rPr>
          <w:sz w:val="20"/>
          <w:szCs w:val="20"/>
          <w:color w:val="auto"/>
        </w:rPr>
      </w:pPr>
      <w:r>
        <w:rPr>
          <w:rFonts w:ascii="Arial" w:cs="Arial" w:eastAsia="Arial" w:hAnsi="Arial"/>
          <w:sz w:val="13"/>
          <w:szCs w:val="13"/>
          <w:color w:val="auto"/>
        </w:rPr>
        <w:t>File No. 333-209057 Class VA- 4 (offered on and after May 2, 2016)</w:t>
      </w:r>
    </w:p>
    <w:p>
      <w:pPr>
        <w:ind w:left="780"/>
        <w:spacing w:after="0"/>
        <w:rPr>
          <w:sz w:val="20"/>
          <w:szCs w:val="20"/>
          <w:color w:val="auto"/>
        </w:rPr>
      </w:pPr>
      <w:r>
        <w:rPr>
          <w:rFonts w:ascii="Arial" w:cs="Arial" w:eastAsia="Arial" w:hAnsi="Arial"/>
          <w:sz w:val="13"/>
          <w:szCs w:val="13"/>
          <w:color w:val="auto"/>
        </w:rPr>
        <w:t>File No. 333-209058 Class VA (offered on and after May 2, 2016)</w:t>
      </w:r>
    </w:p>
    <w:p>
      <w:pPr>
        <w:ind w:left="780"/>
        <w:spacing w:after="0"/>
        <w:rPr>
          <w:sz w:val="20"/>
          <w:szCs w:val="20"/>
          <w:color w:val="auto"/>
        </w:rPr>
      </w:pPr>
      <w:r>
        <w:rPr>
          <w:rFonts w:ascii="Arial" w:cs="Arial" w:eastAsia="Arial" w:hAnsi="Arial"/>
          <w:sz w:val="13"/>
          <w:szCs w:val="13"/>
          <w:color w:val="auto"/>
        </w:rPr>
        <w:t>File No. 333-209059 Class S (offered on and after May 2, 2016) and</w:t>
      </w:r>
    </w:p>
    <w:p>
      <w:pPr>
        <w:ind w:left="1020"/>
        <w:spacing w:after="0"/>
        <w:rPr>
          <w:sz w:val="20"/>
          <w:szCs w:val="20"/>
          <w:color w:val="auto"/>
        </w:rPr>
      </w:pPr>
      <w:r>
        <w:rPr>
          <w:rFonts w:ascii="Arial" w:cs="Arial" w:eastAsia="Arial" w:hAnsi="Arial"/>
          <w:sz w:val="13"/>
          <w:szCs w:val="13"/>
          <w:color w:val="auto"/>
        </w:rPr>
        <w:t>S- L Share Option (offered on and after May 2, 2016)</w:t>
      </w:r>
    </w:p>
    <w:p>
      <w:pPr>
        <w:ind w:left="780"/>
        <w:spacing w:after="0"/>
        <w:rPr>
          <w:sz w:val="20"/>
          <w:szCs w:val="20"/>
          <w:color w:val="auto"/>
        </w:rPr>
      </w:pPr>
      <w:r>
        <w:rPr>
          <w:rFonts w:ascii="Arial" w:cs="Arial" w:eastAsia="Arial" w:hAnsi="Arial"/>
          <w:sz w:val="13"/>
          <w:szCs w:val="13"/>
          <w:color w:val="auto"/>
        </w:rPr>
        <w:t>File No. 333-216454 Brighthouse Prime Options,</w:t>
      </w:r>
    </w:p>
    <w:p>
      <w:pPr>
        <w:sectPr>
          <w:pgSz w:w="11900" w:h="16838" w:orient="portrait"/>
          <w:cols w:equalWidth="0" w:num="1">
            <w:col w:w="11200"/>
          </w:cols>
          <w:pgMar w:left="300" w:top="236" w:right="399" w:bottom="1440" w:gutter="0" w:footer="0" w:header="0"/>
        </w:sectPr>
      </w:pPr>
    </w:p>
    <w:bookmarkStart w:id="165" w:name="page166"/>
    <w:bookmarkEnd w:id="165"/>
    <w:p>
      <w:pPr>
        <w:ind w:left="5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8">
                      <a:extLst>
                        <a:ext uri="{28A0092B-C50C-407E-A947-70E740481C1C}"/>
                      </a:extLst>
                    </a:blip>
                    <a:srcRect/>
                    <a:stretch>
                      <a:fillRect/>
                    </a:stretch>
                  </pic:blipFill>
                  <pic:spPr bwMode="auto">
                    <a:xfrm>
                      <a:off x="0" y="0"/>
                      <a:ext cx="7206615" cy="31750"/>
                    </a:xfrm>
                    <a:prstGeom prst="rect">
                      <a:avLst/>
                    </a:prstGeom>
                    <a:noFill/>
                  </pic:spPr>
                </pic:pic>
              </a:graphicData>
            </a:graphic>
          </wp:anchor>
        </w:drawing>
        <w:t>And pertaining to:</w:t>
      </w:r>
    </w:p>
    <w:p>
      <w:pPr>
        <w:ind w:left="780"/>
        <w:spacing w:after="0" w:line="185" w:lineRule="auto"/>
        <w:rPr>
          <w:sz w:val="20"/>
          <w:szCs w:val="20"/>
          <w:color w:val="auto"/>
        </w:rPr>
      </w:pPr>
      <w:r>
        <w:rPr>
          <w:rFonts w:ascii="Arial" w:cs="Arial" w:eastAsia="Arial" w:hAnsi="Arial"/>
          <w:sz w:val="13"/>
          <w:szCs w:val="13"/>
          <w:color w:val="auto"/>
        </w:rPr>
        <w:t>File No. 333-216452 Brighthouse Shield Level Selector</w:t>
      </w:r>
      <w:r>
        <w:rPr>
          <w:rFonts w:ascii="Arial" w:cs="Arial" w:eastAsia="Arial" w:hAnsi="Arial"/>
          <w:sz w:val="18"/>
          <w:szCs w:val="18"/>
          <w:color w:val="auto"/>
          <w:vertAlign w:val="superscript"/>
        </w:rPr>
        <w:t>®</w:t>
      </w:r>
      <w:r>
        <w:rPr>
          <w:rFonts w:ascii="Arial" w:cs="Arial" w:eastAsia="Arial" w:hAnsi="Arial"/>
          <w:sz w:val="13"/>
          <w:szCs w:val="13"/>
          <w:color w:val="auto"/>
        </w:rPr>
        <w:t xml:space="preserve"> Annuity</w:t>
      </w:r>
    </w:p>
    <w:p>
      <w:pPr>
        <w:ind w:left="780"/>
        <w:spacing w:after="0" w:line="183" w:lineRule="auto"/>
        <w:rPr>
          <w:sz w:val="20"/>
          <w:szCs w:val="20"/>
          <w:color w:val="auto"/>
        </w:rPr>
      </w:pPr>
      <w:r>
        <w:rPr>
          <w:rFonts w:ascii="Arial" w:cs="Arial" w:eastAsia="Arial" w:hAnsi="Arial"/>
          <w:sz w:val="12"/>
          <w:szCs w:val="12"/>
          <w:color w:val="auto"/>
        </w:rPr>
        <w:t>File No. 333-216453 Brighthouse Shield Level Selector</w:t>
      </w:r>
      <w:r>
        <w:rPr>
          <w:rFonts w:ascii="Arial" w:cs="Arial" w:eastAsia="Arial" w:hAnsi="Arial"/>
          <w:sz w:val="17"/>
          <w:szCs w:val="17"/>
          <w:color w:val="auto"/>
          <w:vertAlign w:val="superscript"/>
        </w:rPr>
        <w:t>®</w:t>
      </w:r>
      <w:r>
        <w:rPr>
          <w:rFonts w:ascii="Arial" w:cs="Arial" w:eastAsia="Arial" w:hAnsi="Arial"/>
          <w:sz w:val="12"/>
          <w:szCs w:val="12"/>
          <w:color w:val="auto"/>
        </w:rPr>
        <w:t xml:space="preserve"> 3-Year Annuity</w:t>
      </w:r>
    </w:p>
    <w:p>
      <w:pPr>
        <w:ind w:left="780"/>
        <w:spacing w:after="0" w:line="183" w:lineRule="auto"/>
        <w:rPr>
          <w:sz w:val="20"/>
          <w:szCs w:val="20"/>
          <w:color w:val="auto"/>
        </w:rPr>
      </w:pPr>
      <w:r>
        <w:rPr>
          <w:rFonts w:ascii="Arial" w:cs="Arial" w:eastAsia="Arial" w:hAnsi="Arial"/>
          <w:sz w:val="12"/>
          <w:szCs w:val="12"/>
          <w:color w:val="auto"/>
        </w:rPr>
        <w:t>File No. 333-238214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10 Annuity</w:t>
      </w:r>
    </w:p>
    <w:p>
      <w:pPr>
        <w:ind w:left="780"/>
        <w:spacing w:after="0" w:line="182" w:lineRule="auto"/>
        <w:rPr>
          <w:sz w:val="20"/>
          <w:szCs w:val="20"/>
          <w:color w:val="auto"/>
        </w:rPr>
      </w:pPr>
      <w:r>
        <w:rPr>
          <w:rFonts w:ascii="Arial" w:cs="Arial" w:eastAsia="Arial" w:hAnsi="Arial"/>
          <w:sz w:val="12"/>
          <w:szCs w:val="12"/>
          <w:color w:val="auto"/>
        </w:rPr>
        <w:t>File No. 333-265196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Select 3-Year Annuity</w:t>
      </w:r>
    </w:p>
    <w:p>
      <w:pPr>
        <w:ind w:left="780"/>
        <w:spacing w:after="0" w:line="183" w:lineRule="auto"/>
        <w:rPr>
          <w:sz w:val="20"/>
          <w:szCs w:val="20"/>
          <w:color w:val="auto"/>
        </w:rPr>
      </w:pPr>
      <w:r>
        <w:rPr>
          <w:rFonts w:ascii="Arial" w:cs="Arial" w:eastAsia="Arial" w:hAnsi="Arial"/>
          <w:sz w:val="12"/>
          <w:szCs w:val="12"/>
          <w:color w:val="auto"/>
        </w:rPr>
        <w:t>File No. 333-265199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Select 6-Year Annuity</w:t>
      </w:r>
    </w:p>
    <w:p>
      <w:pPr>
        <w:ind w:left="780"/>
        <w:spacing w:after="0" w:line="183" w:lineRule="auto"/>
        <w:rPr>
          <w:sz w:val="20"/>
          <w:szCs w:val="20"/>
          <w:color w:val="auto"/>
        </w:rPr>
      </w:pPr>
      <w:r>
        <w:rPr>
          <w:rFonts w:ascii="Arial" w:cs="Arial" w:eastAsia="Arial" w:hAnsi="Arial"/>
          <w:sz w:val="12"/>
          <w:szCs w:val="12"/>
          <w:color w:val="auto"/>
        </w:rPr>
        <w:t>File No. 333-259506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Select 6-Year Annuity v.3</w:t>
      </w:r>
    </w:p>
    <w:p>
      <w:pPr>
        <w:ind w:left="780"/>
        <w:spacing w:after="0"/>
        <w:rPr>
          <w:sz w:val="20"/>
          <w:szCs w:val="20"/>
          <w:color w:val="auto"/>
        </w:rPr>
      </w:pPr>
      <w:r>
        <w:rPr>
          <w:rFonts w:ascii="Arial" w:cs="Arial" w:eastAsia="Arial" w:hAnsi="Arial"/>
          <w:sz w:val="13"/>
          <w:szCs w:val="13"/>
          <w:color w:val="auto"/>
        </w:rPr>
        <w:t>File No. 333-279315 Brighthouse Shield</w:t>
      </w:r>
      <w:r>
        <w:rPr>
          <w:rFonts w:ascii="Arial" w:cs="Arial" w:eastAsia="Arial" w:hAnsi="Arial"/>
          <w:sz w:val="19"/>
          <w:szCs w:val="19"/>
          <w:color w:val="auto"/>
          <w:vertAlign w:val="superscript"/>
        </w:rPr>
        <w:t>®</w:t>
      </w:r>
      <w:r>
        <w:rPr>
          <w:rFonts w:ascii="Arial" w:cs="Arial" w:eastAsia="Arial" w:hAnsi="Arial"/>
          <w:sz w:val="13"/>
          <w:szCs w:val="13"/>
          <w:color w:val="auto"/>
        </w:rPr>
        <w:t xml:space="preserve"> Level II 6-Year Annuity</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And new annuities and life products such as:</w:t>
      </w:r>
    </w:p>
    <w:p>
      <w:pPr>
        <w:spacing w:after="0" w:line="11" w:lineRule="exact"/>
        <w:rPr>
          <w:sz w:val="20"/>
          <w:szCs w:val="20"/>
          <w:color w:val="auto"/>
        </w:rPr>
      </w:pPr>
    </w:p>
    <w:p>
      <w:pPr>
        <w:ind w:left="780"/>
        <w:spacing w:after="0"/>
        <w:rPr>
          <w:sz w:val="20"/>
          <w:szCs w:val="20"/>
          <w:color w:val="auto"/>
        </w:rPr>
      </w:pPr>
      <w:r>
        <w:rPr>
          <w:rFonts w:ascii="Arial" w:cs="Arial" w:eastAsia="Arial" w:hAnsi="Arial"/>
          <w:sz w:val="13"/>
          <w:szCs w:val="13"/>
          <w:color w:val="auto"/>
        </w:rPr>
        <w:t>Brighthouse Shield Annuity</w:t>
      </w:r>
    </w:p>
    <w:p>
      <w:pPr>
        <w:ind w:left="780"/>
        <w:spacing w:after="0"/>
        <w:rPr>
          <w:sz w:val="20"/>
          <w:szCs w:val="20"/>
          <w:color w:val="auto"/>
        </w:rPr>
      </w:pPr>
      <w:r>
        <w:rPr>
          <w:rFonts w:ascii="Arial" w:cs="Arial" w:eastAsia="Arial" w:hAnsi="Arial"/>
          <w:sz w:val="13"/>
          <w:szCs w:val="13"/>
          <w:color w:val="auto"/>
        </w:rPr>
        <w:t>Brighthouse Shield 3-Year Annuity</w:t>
      </w:r>
    </w:p>
    <w:p>
      <w:pPr>
        <w:ind w:left="780"/>
        <w:spacing w:after="0"/>
        <w:rPr>
          <w:sz w:val="20"/>
          <w:szCs w:val="20"/>
          <w:color w:val="auto"/>
        </w:rPr>
      </w:pPr>
      <w:r>
        <w:rPr>
          <w:rFonts w:ascii="Arial" w:cs="Arial" w:eastAsia="Arial" w:hAnsi="Arial"/>
          <w:sz w:val="13"/>
          <w:szCs w:val="13"/>
          <w:color w:val="auto"/>
        </w:rPr>
        <w:t>Brighthouse Shield 6-Year Annuity</w:t>
      </w:r>
    </w:p>
    <w:p>
      <w:pPr>
        <w:ind w:left="780"/>
        <w:spacing w:after="0"/>
        <w:rPr>
          <w:sz w:val="20"/>
          <w:szCs w:val="20"/>
          <w:color w:val="auto"/>
        </w:rPr>
      </w:pPr>
      <w:r>
        <w:rPr>
          <w:rFonts w:ascii="Arial" w:cs="Arial" w:eastAsia="Arial" w:hAnsi="Arial"/>
          <w:sz w:val="13"/>
          <w:szCs w:val="13"/>
          <w:color w:val="auto"/>
        </w:rPr>
        <w:t>Brighthouse indexed-linked life insurance policy,</w:t>
      </w:r>
    </w:p>
    <w:p>
      <w:pPr>
        <w:spacing w:after="0" w:line="146" w:lineRule="exact"/>
        <w:rPr>
          <w:sz w:val="20"/>
          <w:szCs w:val="20"/>
          <w:color w:val="auto"/>
        </w:rPr>
      </w:pPr>
    </w:p>
    <w:p>
      <w:pPr>
        <w:spacing w:after="0" w:line="258" w:lineRule="auto"/>
        <w:rPr>
          <w:sz w:val="20"/>
          <w:szCs w:val="20"/>
          <w:color w:val="auto"/>
        </w:rPr>
      </w:pPr>
      <w:r>
        <w:rPr>
          <w:rFonts w:ascii="Arial" w:cs="Arial" w:eastAsia="Arial" w:hAnsi="Arial"/>
          <w:sz w:val="13"/>
          <w:szCs w:val="13"/>
          <w:color w:val="auto"/>
        </w:rPr>
        <w:t>and to have full power and authority to do or cause to be done in my name, place and stead each and every act and thing necessary or appropriate in order to effectuate the same, as fully to all intents and purposes as I might or could do in person, hereby ratifying and confirming all that said attorneys-in-fact or any of them, may do or cause to be done by virtue hereof. This Power of Attorney does not revoke any prior powers of attorney.</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color w:val="auto"/>
        </w:rPr>
        <w:t>IN WITNESS WHEREOF, I have hereunto set my hand this 17th day of May 2024.</w:t>
      </w:r>
    </w:p>
    <w:p>
      <w:pPr>
        <w:spacing w:after="0" w:line="39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 Mayer Naiman</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Mayer Naiman</w:t>
      </w:r>
    </w:p>
    <w:p>
      <w:pPr>
        <w:sectPr>
          <w:pgSz w:w="11900" w:h="16838" w:orient="portrait"/>
          <w:cols w:equalWidth="0" w:num="1">
            <w:col w:w="11220"/>
          </w:cols>
          <w:pgMar w:left="300" w:top="236" w:right="379" w:bottom="1440" w:gutter="0" w:footer="0" w:header="0"/>
        </w:sectPr>
      </w:pPr>
    </w:p>
    <w:bookmarkStart w:id="166" w:name="page167"/>
    <w:bookmarkEnd w:id="166"/>
    <w:p>
      <w:pPr>
        <w:jc w:val="center"/>
        <w:ind w:right="-79"/>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9">
                      <a:extLst>
                        <a:ext uri="{28A0092B-C50C-407E-A947-70E740481C1C}"/>
                      </a:extLst>
                    </a:blip>
                    <a:srcRect/>
                    <a:stretch>
                      <a:fillRect/>
                    </a:stretch>
                  </pic:blipFill>
                  <pic:spPr bwMode="auto">
                    <a:xfrm>
                      <a:off x="0" y="0"/>
                      <a:ext cx="7206615" cy="31750"/>
                    </a:xfrm>
                    <a:prstGeom prst="rect">
                      <a:avLst/>
                    </a:prstGeom>
                    <a:noFill/>
                  </pic:spPr>
                </pic:pic>
              </a:graphicData>
            </a:graphic>
          </wp:anchor>
        </w:drawing>
        <w:t>Brighthouse Life Insurance Company of NY</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POWER OF ATTORNEY</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Douglas A. Rayvid</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Director</w:t>
      </w:r>
    </w:p>
    <w:p>
      <w:pPr>
        <w:spacing w:after="0" w:line="146" w:lineRule="exact"/>
        <w:rPr>
          <w:sz w:val="20"/>
          <w:szCs w:val="20"/>
          <w:color w:val="auto"/>
        </w:rPr>
      </w:pPr>
    </w:p>
    <w:p>
      <w:pPr>
        <w:spacing w:after="0" w:line="251" w:lineRule="auto"/>
        <w:rPr>
          <w:sz w:val="20"/>
          <w:szCs w:val="20"/>
          <w:color w:val="auto"/>
        </w:rPr>
      </w:pPr>
      <w:r>
        <w:rPr>
          <w:rFonts w:ascii="Arial" w:cs="Arial" w:eastAsia="Arial" w:hAnsi="Arial"/>
          <w:sz w:val="13"/>
          <w:szCs w:val="13"/>
          <w:color w:val="auto"/>
        </w:rPr>
        <w:t>KNOW ALL MEN BY THESE PRESENTS, that I, Douglas A. Rayvid, a Director of Brighthouse Life Insurance Company of NY, a New York company (the “Company”), do hereby constitute and appoint Michele H. Abate, Allie Lin, and Alexander Ulianov, as my attorney-in-fact and agent, each of whom may act individually and none of whom is required to act jointly with any of the others, to sign and file on my behalf and to execute and file any instrument or document required to be filed as part of or in connection with or in any way related to, the Registration Statements and any and all amendments thereto filed by the Company under the Securities Act of 1933 and/or the Investment Company Act of 1940, pertaining to:</w:t>
      </w:r>
    </w:p>
    <w:p>
      <w:pPr>
        <w:ind w:left="660" w:hanging="323"/>
        <w:spacing w:after="0" w:line="218" w:lineRule="auto"/>
        <w:tabs>
          <w:tab w:leader="none" w:pos="660" w:val="left"/>
        </w:tabs>
        <w:numPr>
          <w:ilvl w:val="0"/>
          <w:numId w:val="112"/>
        </w:numPr>
        <w:rPr>
          <w:rFonts w:ascii="Times New Roman" w:cs="Times New Roman" w:eastAsia="Times New Roman" w:hAnsi="Times New Roman"/>
          <w:sz w:val="21"/>
          <w:szCs w:val="21"/>
          <w:color w:val="auto"/>
          <w:vertAlign w:val="superscript"/>
        </w:rPr>
      </w:pPr>
      <w:r>
        <w:rPr>
          <w:rFonts w:ascii="Arial" w:cs="Arial" w:eastAsia="Arial" w:hAnsi="Arial"/>
          <w:sz w:val="13"/>
          <w:szCs w:val="13"/>
          <w:color w:val="auto"/>
        </w:rPr>
        <w:t>  Brighthouse Variable Annuity Account B (811-08306)</w:t>
      </w:r>
    </w:p>
    <w:p>
      <w:pPr>
        <w:ind w:left="780"/>
        <w:spacing w:after="0"/>
        <w:rPr>
          <w:sz w:val="20"/>
          <w:szCs w:val="20"/>
          <w:color w:val="auto"/>
        </w:rPr>
      </w:pPr>
      <w:r>
        <w:rPr>
          <w:rFonts w:ascii="Arial" w:cs="Arial" w:eastAsia="Arial" w:hAnsi="Arial"/>
          <w:sz w:val="13"/>
          <w:szCs w:val="13"/>
          <w:color w:val="auto"/>
        </w:rPr>
        <w:t>File No. 033-74174 First COVA VA, Custom Select, Russell Select and Class VA, Class AA and Class B</w:t>
      </w:r>
    </w:p>
    <w:p>
      <w:pPr>
        <w:ind w:left="780"/>
        <w:spacing w:after="0"/>
        <w:rPr>
          <w:sz w:val="20"/>
          <w:szCs w:val="20"/>
          <w:color w:val="auto"/>
        </w:rPr>
      </w:pPr>
      <w:r>
        <w:rPr>
          <w:rFonts w:ascii="Arial" w:cs="Arial" w:eastAsia="Arial" w:hAnsi="Arial"/>
          <w:sz w:val="13"/>
          <w:szCs w:val="13"/>
          <w:color w:val="auto"/>
        </w:rPr>
        <w:t>File No. 333-96773 Class VA (offered between June 15, 2001 and October 7, 2011), Class AA, and Class B</w:t>
      </w:r>
    </w:p>
    <w:p>
      <w:pPr>
        <w:ind w:left="780"/>
        <w:spacing w:after="0"/>
        <w:rPr>
          <w:sz w:val="20"/>
          <w:szCs w:val="20"/>
          <w:color w:val="auto"/>
        </w:rPr>
      </w:pPr>
      <w:r>
        <w:rPr>
          <w:rFonts w:ascii="Arial" w:cs="Arial" w:eastAsia="Arial" w:hAnsi="Arial"/>
          <w:sz w:val="13"/>
          <w:szCs w:val="13"/>
          <w:color w:val="auto"/>
        </w:rPr>
        <w:t>File No. 333-96775 Class A</w:t>
      </w:r>
    </w:p>
    <w:p>
      <w:pPr>
        <w:ind w:left="780"/>
        <w:spacing w:after="0"/>
        <w:rPr>
          <w:sz w:val="20"/>
          <w:szCs w:val="20"/>
          <w:color w:val="auto"/>
        </w:rPr>
      </w:pPr>
      <w:r>
        <w:rPr>
          <w:rFonts w:ascii="Arial" w:cs="Arial" w:eastAsia="Arial" w:hAnsi="Arial"/>
          <w:sz w:val="13"/>
          <w:szCs w:val="13"/>
          <w:color w:val="auto"/>
        </w:rPr>
        <w:t>File No. 333-96777 Class XC</w:t>
      </w:r>
    </w:p>
    <w:p>
      <w:pPr>
        <w:ind w:left="780"/>
        <w:spacing w:after="0"/>
        <w:rPr>
          <w:sz w:val="20"/>
          <w:szCs w:val="20"/>
          <w:color w:val="auto"/>
        </w:rPr>
      </w:pPr>
      <w:r>
        <w:rPr>
          <w:rFonts w:ascii="Arial" w:cs="Arial" w:eastAsia="Arial" w:hAnsi="Arial"/>
          <w:sz w:val="13"/>
          <w:szCs w:val="13"/>
          <w:color w:val="auto"/>
        </w:rPr>
        <w:t>File No. 333-96785 Class L and Class L –4 Year (offered between November 22, 2004 and October 7, 2011)</w:t>
      </w:r>
    </w:p>
    <w:p>
      <w:pPr>
        <w:ind w:left="780"/>
        <w:spacing w:after="0"/>
        <w:rPr>
          <w:sz w:val="20"/>
          <w:szCs w:val="20"/>
          <w:color w:val="auto"/>
        </w:rPr>
      </w:pPr>
      <w:r>
        <w:rPr>
          <w:rFonts w:ascii="Arial" w:cs="Arial" w:eastAsia="Arial" w:hAnsi="Arial"/>
          <w:sz w:val="13"/>
          <w:szCs w:val="13"/>
          <w:color w:val="auto"/>
        </w:rPr>
        <w:t>File No. 333-96795 Class C (offered between September 4, 2001 and October 7, 2011)</w:t>
      </w:r>
    </w:p>
    <w:p>
      <w:pPr>
        <w:ind w:left="780"/>
        <w:spacing w:after="0"/>
        <w:rPr>
          <w:sz w:val="20"/>
          <w:szCs w:val="20"/>
          <w:color w:val="auto"/>
        </w:rPr>
      </w:pPr>
      <w:r>
        <w:rPr>
          <w:rFonts w:ascii="Arial" w:cs="Arial" w:eastAsia="Arial" w:hAnsi="Arial"/>
          <w:sz w:val="13"/>
          <w:szCs w:val="13"/>
          <w:color w:val="auto"/>
        </w:rPr>
        <w:t>File No. 333-125613 Vintage L and Vintage XC</w:t>
      </w:r>
    </w:p>
    <w:p>
      <w:pPr>
        <w:ind w:left="780"/>
        <w:spacing w:after="0"/>
        <w:rPr>
          <w:sz w:val="20"/>
          <w:szCs w:val="20"/>
          <w:color w:val="auto"/>
        </w:rPr>
      </w:pPr>
      <w:r>
        <w:rPr>
          <w:rFonts w:ascii="Arial" w:cs="Arial" w:eastAsia="Arial" w:hAnsi="Arial"/>
          <w:sz w:val="13"/>
          <w:szCs w:val="13"/>
          <w:color w:val="auto"/>
        </w:rPr>
        <w:t>File No. 333-125617 PrimElite III</w:t>
      </w:r>
    </w:p>
    <w:p>
      <w:pPr>
        <w:ind w:left="780"/>
        <w:spacing w:after="0"/>
        <w:rPr>
          <w:sz w:val="20"/>
          <w:szCs w:val="20"/>
          <w:color w:val="auto"/>
        </w:rPr>
      </w:pPr>
      <w:r>
        <w:rPr>
          <w:rFonts w:ascii="Arial" w:cs="Arial" w:eastAsia="Arial" w:hAnsi="Arial"/>
          <w:sz w:val="13"/>
          <w:szCs w:val="13"/>
          <w:color w:val="auto"/>
        </w:rPr>
        <w:t>File No. 333-125618 Marquis Portfolios (offered between November 7, 2005 and April 30, 2012)</w:t>
      </w:r>
    </w:p>
    <w:p>
      <w:pPr>
        <w:ind w:left="780"/>
        <w:spacing w:after="0"/>
        <w:rPr>
          <w:sz w:val="20"/>
          <w:szCs w:val="20"/>
          <w:color w:val="auto"/>
        </w:rPr>
      </w:pPr>
      <w:r>
        <w:rPr>
          <w:rFonts w:ascii="Arial" w:cs="Arial" w:eastAsia="Arial" w:hAnsi="Arial"/>
          <w:sz w:val="13"/>
          <w:szCs w:val="13"/>
          <w:color w:val="auto"/>
        </w:rPr>
        <w:t>File No. 333-125619 Protected Equity Portfolio</w:t>
      </w:r>
    </w:p>
    <w:p>
      <w:pPr>
        <w:ind w:left="780"/>
        <w:spacing w:after="0"/>
        <w:rPr>
          <w:sz w:val="20"/>
          <w:szCs w:val="20"/>
          <w:color w:val="auto"/>
        </w:rPr>
      </w:pPr>
      <w:r>
        <w:rPr>
          <w:rFonts w:ascii="Arial" w:cs="Arial" w:eastAsia="Arial" w:hAnsi="Arial"/>
          <w:sz w:val="13"/>
          <w:szCs w:val="13"/>
          <w:color w:val="auto"/>
        </w:rPr>
        <w:t>File No. 333-137370 Class S and Class S - L Share Option (offered between April 30, 2007 and October 7, 2011)</w:t>
      </w:r>
    </w:p>
    <w:p>
      <w:pPr>
        <w:ind w:left="780"/>
        <w:spacing w:after="0"/>
        <w:rPr>
          <w:sz w:val="20"/>
          <w:szCs w:val="20"/>
          <w:color w:val="auto"/>
        </w:rPr>
      </w:pPr>
      <w:r>
        <w:rPr>
          <w:rFonts w:ascii="Arial" w:cs="Arial" w:eastAsia="Arial" w:hAnsi="Arial"/>
          <w:sz w:val="13"/>
          <w:szCs w:val="13"/>
          <w:color w:val="auto"/>
        </w:rPr>
        <w:t>File No. 333-137969 PrimElite IV</w:t>
      </w:r>
    </w:p>
    <w:p>
      <w:pPr>
        <w:ind w:left="780"/>
        <w:spacing w:after="0"/>
        <w:rPr>
          <w:sz w:val="20"/>
          <w:szCs w:val="20"/>
          <w:color w:val="auto"/>
        </w:rPr>
      </w:pPr>
      <w:r>
        <w:rPr>
          <w:rFonts w:ascii="Arial" w:cs="Arial" w:eastAsia="Arial" w:hAnsi="Arial"/>
          <w:sz w:val="13"/>
          <w:szCs w:val="13"/>
          <w:color w:val="auto"/>
        </w:rPr>
        <w:t>File No. 333-148873 Pioneer PRISM</w:t>
      </w:r>
    </w:p>
    <w:p>
      <w:pPr>
        <w:ind w:left="780"/>
        <w:spacing w:after="0"/>
        <w:rPr>
          <w:sz w:val="20"/>
          <w:szCs w:val="20"/>
          <w:color w:val="auto"/>
        </w:rPr>
      </w:pPr>
      <w:r>
        <w:rPr>
          <w:rFonts w:ascii="Arial" w:cs="Arial" w:eastAsia="Arial" w:hAnsi="Arial"/>
          <w:sz w:val="13"/>
          <w:szCs w:val="13"/>
          <w:color w:val="auto"/>
        </w:rPr>
        <w:t>File No. 333-148874 Pioneer PRISM XC</w:t>
      </w:r>
    </w:p>
    <w:p>
      <w:pPr>
        <w:ind w:left="780"/>
        <w:spacing w:after="0"/>
        <w:rPr>
          <w:sz w:val="20"/>
          <w:szCs w:val="20"/>
          <w:color w:val="auto"/>
        </w:rPr>
      </w:pPr>
      <w:r>
        <w:rPr>
          <w:rFonts w:ascii="Arial" w:cs="Arial" w:eastAsia="Arial" w:hAnsi="Arial"/>
          <w:sz w:val="13"/>
          <w:szCs w:val="13"/>
          <w:color w:val="auto"/>
        </w:rPr>
        <w:t>File No. 333-148876 Pioneer PRISM L</w:t>
      </w:r>
    </w:p>
    <w:p>
      <w:pPr>
        <w:ind w:left="780"/>
        <w:spacing w:after="0"/>
        <w:rPr>
          <w:sz w:val="20"/>
          <w:szCs w:val="20"/>
          <w:color w:val="auto"/>
        </w:rPr>
      </w:pPr>
      <w:r>
        <w:rPr>
          <w:rFonts w:ascii="Arial" w:cs="Arial" w:eastAsia="Arial" w:hAnsi="Arial"/>
          <w:sz w:val="13"/>
          <w:szCs w:val="13"/>
          <w:color w:val="auto"/>
        </w:rPr>
        <w:t>File No. 333-152450 Class XTRA</w:t>
      </w:r>
    </w:p>
    <w:p>
      <w:pPr>
        <w:ind w:left="780"/>
        <w:spacing w:after="0"/>
        <w:rPr>
          <w:sz w:val="20"/>
          <w:szCs w:val="20"/>
          <w:color w:val="auto"/>
        </w:rPr>
      </w:pPr>
      <w:r>
        <w:rPr>
          <w:rFonts w:ascii="Arial" w:cs="Arial" w:eastAsia="Arial" w:hAnsi="Arial"/>
          <w:sz w:val="13"/>
          <w:szCs w:val="13"/>
          <w:color w:val="auto"/>
        </w:rPr>
        <w:t>File No. 333-156646 Class XTRA 6</w:t>
      </w:r>
    </w:p>
    <w:p>
      <w:pPr>
        <w:ind w:left="780"/>
        <w:spacing w:after="0" w:line="182" w:lineRule="auto"/>
        <w:rPr>
          <w:sz w:val="20"/>
          <w:szCs w:val="20"/>
          <w:color w:val="auto"/>
        </w:rPr>
      </w:pPr>
      <w:r>
        <w:rPr>
          <w:rFonts w:ascii="Arial" w:cs="Arial" w:eastAsia="Arial" w:hAnsi="Arial"/>
          <w:sz w:val="12"/>
          <w:szCs w:val="12"/>
          <w:color w:val="auto"/>
        </w:rPr>
        <w:t>File No. 333-158579 Brighthouse Simple Solutions</w:t>
      </w:r>
      <w:r>
        <w:rPr>
          <w:rFonts w:ascii="Arial" w:cs="Arial" w:eastAsia="Arial" w:hAnsi="Arial"/>
          <w:sz w:val="17"/>
          <w:szCs w:val="17"/>
          <w:color w:val="auto"/>
          <w:vertAlign w:val="superscript"/>
        </w:rPr>
        <w:t>SM</w:t>
      </w:r>
    </w:p>
    <w:p>
      <w:pPr>
        <w:ind w:left="780"/>
        <w:spacing w:after="0"/>
        <w:rPr>
          <w:sz w:val="20"/>
          <w:szCs w:val="20"/>
          <w:color w:val="auto"/>
        </w:rPr>
      </w:pPr>
      <w:r>
        <w:rPr>
          <w:rFonts w:ascii="Arial" w:cs="Arial" w:eastAsia="Arial" w:hAnsi="Arial"/>
          <w:sz w:val="13"/>
          <w:szCs w:val="13"/>
          <w:color w:val="auto"/>
        </w:rPr>
        <w:t>File No. 333-169687 Class VA- 4 (offered between May 1, 2011 and October 7, 2011)</w:t>
      </w:r>
    </w:p>
    <w:p>
      <w:pPr>
        <w:ind w:left="780"/>
        <w:spacing w:after="0"/>
        <w:rPr>
          <w:sz w:val="20"/>
          <w:szCs w:val="20"/>
          <w:color w:val="auto"/>
        </w:rPr>
      </w:pPr>
      <w:r>
        <w:rPr>
          <w:rFonts w:ascii="Arial" w:cs="Arial" w:eastAsia="Arial" w:hAnsi="Arial"/>
          <w:sz w:val="13"/>
          <w:szCs w:val="13"/>
          <w:color w:val="auto"/>
        </w:rPr>
        <w:t>File No. 333-176679 Class S (offered on and after October 7, 2011) and</w:t>
      </w:r>
    </w:p>
    <w:p>
      <w:pPr>
        <w:ind w:left="1020"/>
        <w:spacing w:after="0"/>
        <w:rPr>
          <w:sz w:val="20"/>
          <w:szCs w:val="20"/>
          <w:color w:val="auto"/>
        </w:rPr>
      </w:pPr>
      <w:r>
        <w:rPr>
          <w:rFonts w:ascii="Arial" w:cs="Arial" w:eastAsia="Arial" w:hAnsi="Arial"/>
          <w:sz w:val="13"/>
          <w:szCs w:val="13"/>
          <w:color w:val="auto"/>
        </w:rPr>
        <w:t>Class S- L Share Option (offered on and after October 7, 2011)</w:t>
      </w:r>
    </w:p>
    <w:p>
      <w:pPr>
        <w:ind w:left="780"/>
        <w:spacing w:after="0"/>
        <w:rPr>
          <w:sz w:val="20"/>
          <w:szCs w:val="20"/>
          <w:color w:val="auto"/>
        </w:rPr>
      </w:pPr>
      <w:r>
        <w:rPr>
          <w:rFonts w:ascii="Arial" w:cs="Arial" w:eastAsia="Arial" w:hAnsi="Arial"/>
          <w:sz w:val="13"/>
          <w:szCs w:val="13"/>
          <w:color w:val="auto"/>
        </w:rPr>
        <w:t>File No. 333-176680 Class VA- 4 (offered between October 7, 2011 and May 1, 2016)</w:t>
      </w:r>
    </w:p>
    <w:p>
      <w:pPr>
        <w:ind w:left="780"/>
        <w:spacing w:after="0"/>
        <w:rPr>
          <w:sz w:val="20"/>
          <w:szCs w:val="20"/>
          <w:color w:val="auto"/>
        </w:rPr>
      </w:pPr>
      <w:r>
        <w:rPr>
          <w:rFonts w:ascii="Arial" w:cs="Arial" w:eastAsia="Arial" w:hAnsi="Arial"/>
          <w:sz w:val="13"/>
          <w:szCs w:val="13"/>
          <w:color w:val="auto"/>
        </w:rPr>
        <w:t>File No. 333-176691 Class VA (offered on and after October 7, 2011)</w:t>
      </w:r>
    </w:p>
    <w:p>
      <w:pPr>
        <w:ind w:left="780"/>
        <w:spacing w:after="0"/>
        <w:rPr>
          <w:sz w:val="20"/>
          <w:szCs w:val="20"/>
          <w:color w:val="auto"/>
        </w:rPr>
      </w:pPr>
      <w:r>
        <w:rPr>
          <w:rFonts w:ascii="Arial" w:cs="Arial" w:eastAsia="Arial" w:hAnsi="Arial"/>
          <w:sz w:val="13"/>
          <w:szCs w:val="13"/>
          <w:color w:val="auto"/>
        </w:rPr>
        <w:t>File No. 333-176692 Class L- 4 Year (offered between October 7, 2011 and April 28, 2013)</w:t>
      </w:r>
    </w:p>
    <w:p>
      <w:pPr>
        <w:ind w:left="780"/>
        <w:spacing w:after="0"/>
        <w:rPr>
          <w:sz w:val="20"/>
          <w:szCs w:val="20"/>
          <w:color w:val="auto"/>
        </w:rPr>
      </w:pPr>
      <w:r>
        <w:rPr>
          <w:rFonts w:ascii="Arial" w:cs="Arial" w:eastAsia="Arial" w:hAnsi="Arial"/>
          <w:sz w:val="13"/>
          <w:szCs w:val="13"/>
          <w:color w:val="auto"/>
        </w:rPr>
        <w:t>File No. 333-176693 Class C (offered on and after October 7, 2011)</w:t>
      </w:r>
    </w:p>
    <w:p>
      <w:pPr>
        <w:ind w:left="780"/>
        <w:spacing w:after="0"/>
        <w:rPr>
          <w:sz w:val="20"/>
          <w:szCs w:val="20"/>
          <w:color w:val="auto"/>
        </w:rPr>
      </w:pPr>
      <w:r>
        <w:rPr>
          <w:rFonts w:ascii="Arial" w:cs="Arial" w:eastAsia="Arial" w:hAnsi="Arial"/>
          <w:sz w:val="13"/>
          <w:szCs w:val="13"/>
          <w:color w:val="auto"/>
        </w:rPr>
        <w:t>File No. 333-178515 Class O (offered between April 30, 2012 and September 20, 2015)</w:t>
      </w:r>
    </w:p>
    <w:p>
      <w:pPr>
        <w:ind w:left="780"/>
        <w:spacing w:after="0"/>
        <w:rPr>
          <w:sz w:val="20"/>
          <w:szCs w:val="20"/>
          <w:color w:val="auto"/>
        </w:rPr>
      </w:pPr>
      <w:r>
        <w:rPr>
          <w:rFonts w:ascii="Arial" w:cs="Arial" w:eastAsia="Arial" w:hAnsi="Arial"/>
          <w:sz w:val="13"/>
          <w:szCs w:val="13"/>
          <w:color w:val="auto"/>
        </w:rPr>
        <w:t>File No. 333-179240 Marquis Portfolios (offered on and after April 30, 2012)</w:t>
      </w:r>
    </w:p>
    <w:p>
      <w:pPr>
        <w:ind w:left="780"/>
        <w:spacing w:after="0"/>
        <w:rPr>
          <w:sz w:val="20"/>
          <w:szCs w:val="20"/>
          <w:color w:val="auto"/>
        </w:rPr>
      </w:pPr>
      <w:r>
        <w:rPr>
          <w:rFonts w:ascii="Arial" w:cs="Arial" w:eastAsia="Arial" w:hAnsi="Arial"/>
          <w:sz w:val="13"/>
          <w:szCs w:val="13"/>
          <w:color w:val="auto"/>
        </w:rPr>
        <w:t>File No. 333-186216 Class L- 4 Year (offered on and after April 29, 2013)</w:t>
      </w:r>
    </w:p>
    <w:p>
      <w:pPr>
        <w:ind w:left="780"/>
        <w:spacing w:after="0"/>
        <w:rPr>
          <w:sz w:val="20"/>
          <w:szCs w:val="20"/>
          <w:color w:val="auto"/>
        </w:rPr>
      </w:pPr>
      <w:r>
        <w:rPr>
          <w:rFonts w:ascii="Arial" w:cs="Arial" w:eastAsia="Arial" w:hAnsi="Arial"/>
          <w:sz w:val="13"/>
          <w:szCs w:val="13"/>
          <w:color w:val="auto"/>
        </w:rPr>
        <w:t>File No. 333-205137 Class O (offered on and after September 21, 2015)</w:t>
      </w:r>
    </w:p>
    <w:p>
      <w:pPr>
        <w:ind w:left="780"/>
        <w:spacing w:after="0"/>
        <w:rPr>
          <w:sz w:val="20"/>
          <w:szCs w:val="20"/>
          <w:color w:val="auto"/>
        </w:rPr>
      </w:pPr>
      <w:r>
        <w:rPr>
          <w:rFonts w:ascii="Arial" w:cs="Arial" w:eastAsia="Arial" w:hAnsi="Arial"/>
          <w:sz w:val="13"/>
          <w:szCs w:val="13"/>
          <w:color w:val="auto"/>
        </w:rPr>
        <w:t>File No. 333-209057 Class VA- 4 (offered on and after May 2, 2016)</w:t>
      </w:r>
    </w:p>
    <w:p>
      <w:pPr>
        <w:ind w:left="780"/>
        <w:spacing w:after="0"/>
        <w:rPr>
          <w:sz w:val="20"/>
          <w:szCs w:val="20"/>
          <w:color w:val="auto"/>
        </w:rPr>
      </w:pPr>
      <w:r>
        <w:rPr>
          <w:rFonts w:ascii="Arial" w:cs="Arial" w:eastAsia="Arial" w:hAnsi="Arial"/>
          <w:sz w:val="13"/>
          <w:szCs w:val="13"/>
          <w:color w:val="auto"/>
        </w:rPr>
        <w:t>File No. 333-209058 Class VA (offered on and after May 2, 2016)</w:t>
      </w:r>
    </w:p>
    <w:p>
      <w:pPr>
        <w:ind w:left="780"/>
        <w:spacing w:after="0"/>
        <w:rPr>
          <w:sz w:val="20"/>
          <w:szCs w:val="20"/>
          <w:color w:val="auto"/>
        </w:rPr>
      </w:pPr>
      <w:r>
        <w:rPr>
          <w:rFonts w:ascii="Arial" w:cs="Arial" w:eastAsia="Arial" w:hAnsi="Arial"/>
          <w:sz w:val="13"/>
          <w:szCs w:val="13"/>
          <w:color w:val="auto"/>
        </w:rPr>
        <w:t>File No. 333-209059 Class S (offered on and after May 2, 2016) and</w:t>
      </w:r>
    </w:p>
    <w:p>
      <w:pPr>
        <w:ind w:left="1020"/>
        <w:spacing w:after="0"/>
        <w:rPr>
          <w:sz w:val="20"/>
          <w:szCs w:val="20"/>
          <w:color w:val="auto"/>
        </w:rPr>
      </w:pPr>
      <w:r>
        <w:rPr>
          <w:rFonts w:ascii="Arial" w:cs="Arial" w:eastAsia="Arial" w:hAnsi="Arial"/>
          <w:sz w:val="13"/>
          <w:szCs w:val="13"/>
          <w:color w:val="auto"/>
        </w:rPr>
        <w:t>S- L Share Option (offered on and after May 2, 2016)</w:t>
      </w:r>
    </w:p>
    <w:p>
      <w:pPr>
        <w:ind w:left="780"/>
        <w:spacing w:after="0"/>
        <w:rPr>
          <w:sz w:val="20"/>
          <w:szCs w:val="20"/>
          <w:color w:val="auto"/>
        </w:rPr>
      </w:pPr>
      <w:r>
        <w:rPr>
          <w:rFonts w:ascii="Arial" w:cs="Arial" w:eastAsia="Arial" w:hAnsi="Arial"/>
          <w:sz w:val="13"/>
          <w:szCs w:val="13"/>
          <w:color w:val="auto"/>
        </w:rPr>
        <w:t>File No. 333-216454 Brighthouse Prime Options,</w:t>
      </w:r>
    </w:p>
    <w:p>
      <w:pPr>
        <w:sectPr>
          <w:pgSz w:w="11900" w:h="16838" w:orient="portrait"/>
          <w:cols w:equalWidth="0" w:num="1">
            <w:col w:w="11200"/>
          </w:cols>
          <w:pgMar w:left="300" w:top="236" w:right="399" w:bottom="1440" w:gutter="0" w:footer="0" w:header="0"/>
        </w:sectPr>
      </w:pPr>
    </w:p>
    <w:bookmarkStart w:id="167" w:name="page168"/>
    <w:bookmarkEnd w:id="167"/>
    <w:p>
      <w:pPr>
        <w:ind w:left="5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0">
                      <a:extLst>
                        <a:ext uri="{28A0092B-C50C-407E-A947-70E740481C1C}"/>
                      </a:extLst>
                    </a:blip>
                    <a:srcRect/>
                    <a:stretch>
                      <a:fillRect/>
                    </a:stretch>
                  </pic:blipFill>
                  <pic:spPr bwMode="auto">
                    <a:xfrm>
                      <a:off x="0" y="0"/>
                      <a:ext cx="7206615" cy="31750"/>
                    </a:xfrm>
                    <a:prstGeom prst="rect">
                      <a:avLst/>
                    </a:prstGeom>
                    <a:noFill/>
                  </pic:spPr>
                </pic:pic>
              </a:graphicData>
            </a:graphic>
          </wp:anchor>
        </w:drawing>
        <w:t>And pertaining to:</w:t>
      </w:r>
    </w:p>
    <w:p>
      <w:pPr>
        <w:ind w:left="780"/>
        <w:spacing w:after="0" w:line="185" w:lineRule="auto"/>
        <w:rPr>
          <w:sz w:val="20"/>
          <w:szCs w:val="20"/>
          <w:color w:val="auto"/>
        </w:rPr>
      </w:pPr>
      <w:r>
        <w:rPr>
          <w:rFonts w:ascii="Arial" w:cs="Arial" w:eastAsia="Arial" w:hAnsi="Arial"/>
          <w:sz w:val="13"/>
          <w:szCs w:val="13"/>
          <w:color w:val="auto"/>
        </w:rPr>
        <w:t>File No. 333-216452 Brighthouse Shield Level Selector</w:t>
      </w:r>
      <w:r>
        <w:rPr>
          <w:rFonts w:ascii="Arial" w:cs="Arial" w:eastAsia="Arial" w:hAnsi="Arial"/>
          <w:sz w:val="18"/>
          <w:szCs w:val="18"/>
          <w:color w:val="auto"/>
          <w:vertAlign w:val="superscript"/>
        </w:rPr>
        <w:t>®</w:t>
      </w:r>
      <w:r>
        <w:rPr>
          <w:rFonts w:ascii="Arial" w:cs="Arial" w:eastAsia="Arial" w:hAnsi="Arial"/>
          <w:sz w:val="13"/>
          <w:szCs w:val="13"/>
          <w:color w:val="auto"/>
        </w:rPr>
        <w:t xml:space="preserve"> Annuity</w:t>
      </w:r>
    </w:p>
    <w:p>
      <w:pPr>
        <w:ind w:left="780"/>
        <w:spacing w:after="0" w:line="183" w:lineRule="auto"/>
        <w:rPr>
          <w:sz w:val="20"/>
          <w:szCs w:val="20"/>
          <w:color w:val="auto"/>
        </w:rPr>
      </w:pPr>
      <w:r>
        <w:rPr>
          <w:rFonts w:ascii="Arial" w:cs="Arial" w:eastAsia="Arial" w:hAnsi="Arial"/>
          <w:sz w:val="12"/>
          <w:szCs w:val="12"/>
          <w:color w:val="auto"/>
        </w:rPr>
        <w:t>File No. 333-216453 Brighthouse Shield Level Selector</w:t>
      </w:r>
      <w:r>
        <w:rPr>
          <w:rFonts w:ascii="Arial" w:cs="Arial" w:eastAsia="Arial" w:hAnsi="Arial"/>
          <w:sz w:val="17"/>
          <w:szCs w:val="17"/>
          <w:color w:val="auto"/>
          <w:vertAlign w:val="superscript"/>
        </w:rPr>
        <w:t>®</w:t>
      </w:r>
      <w:r>
        <w:rPr>
          <w:rFonts w:ascii="Arial" w:cs="Arial" w:eastAsia="Arial" w:hAnsi="Arial"/>
          <w:sz w:val="12"/>
          <w:szCs w:val="12"/>
          <w:color w:val="auto"/>
        </w:rPr>
        <w:t xml:space="preserve"> 3-Year Annuity</w:t>
      </w:r>
    </w:p>
    <w:p>
      <w:pPr>
        <w:ind w:left="780"/>
        <w:spacing w:after="0" w:line="183" w:lineRule="auto"/>
        <w:rPr>
          <w:sz w:val="20"/>
          <w:szCs w:val="20"/>
          <w:color w:val="auto"/>
        </w:rPr>
      </w:pPr>
      <w:r>
        <w:rPr>
          <w:rFonts w:ascii="Arial" w:cs="Arial" w:eastAsia="Arial" w:hAnsi="Arial"/>
          <w:sz w:val="12"/>
          <w:szCs w:val="12"/>
          <w:color w:val="auto"/>
        </w:rPr>
        <w:t>File No. 333-238214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10 Annuity</w:t>
      </w:r>
    </w:p>
    <w:p>
      <w:pPr>
        <w:ind w:left="780"/>
        <w:spacing w:after="0" w:line="182" w:lineRule="auto"/>
        <w:rPr>
          <w:sz w:val="20"/>
          <w:szCs w:val="20"/>
          <w:color w:val="auto"/>
        </w:rPr>
      </w:pPr>
      <w:r>
        <w:rPr>
          <w:rFonts w:ascii="Arial" w:cs="Arial" w:eastAsia="Arial" w:hAnsi="Arial"/>
          <w:sz w:val="12"/>
          <w:szCs w:val="12"/>
          <w:color w:val="auto"/>
        </w:rPr>
        <w:t>File No. 333-265196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Select 3-Year Annuity</w:t>
      </w:r>
    </w:p>
    <w:p>
      <w:pPr>
        <w:ind w:left="780"/>
        <w:spacing w:after="0" w:line="183" w:lineRule="auto"/>
        <w:rPr>
          <w:sz w:val="20"/>
          <w:szCs w:val="20"/>
          <w:color w:val="auto"/>
        </w:rPr>
      </w:pPr>
      <w:r>
        <w:rPr>
          <w:rFonts w:ascii="Arial" w:cs="Arial" w:eastAsia="Arial" w:hAnsi="Arial"/>
          <w:sz w:val="12"/>
          <w:szCs w:val="12"/>
          <w:color w:val="auto"/>
        </w:rPr>
        <w:t>File No. 333-265199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Select 6-Year Annuity</w:t>
      </w:r>
    </w:p>
    <w:p>
      <w:pPr>
        <w:ind w:left="780"/>
        <w:spacing w:after="0" w:line="183" w:lineRule="auto"/>
        <w:rPr>
          <w:sz w:val="20"/>
          <w:szCs w:val="20"/>
          <w:color w:val="auto"/>
        </w:rPr>
      </w:pPr>
      <w:r>
        <w:rPr>
          <w:rFonts w:ascii="Arial" w:cs="Arial" w:eastAsia="Arial" w:hAnsi="Arial"/>
          <w:sz w:val="12"/>
          <w:szCs w:val="12"/>
          <w:color w:val="auto"/>
        </w:rPr>
        <w:t>File No. 333-259506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Select 6-Year Annuity v.3</w:t>
      </w:r>
    </w:p>
    <w:p>
      <w:pPr>
        <w:ind w:left="780"/>
        <w:spacing w:after="0"/>
        <w:rPr>
          <w:sz w:val="20"/>
          <w:szCs w:val="20"/>
          <w:color w:val="auto"/>
        </w:rPr>
      </w:pPr>
      <w:r>
        <w:rPr>
          <w:rFonts w:ascii="Arial" w:cs="Arial" w:eastAsia="Arial" w:hAnsi="Arial"/>
          <w:sz w:val="13"/>
          <w:szCs w:val="13"/>
          <w:color w:val="auto"/>
        </w:rPr>
        <w:t>File No. 333-279315 Brighthouse Shield</w:t>
      </w:r>
      <w:r>
        <w:rPr>
          <w:rFonts w:ascii="Arial" w:cs="Arial" w:eastAsia="Arial" w:hAnsi="Arial"/>
          <w:sz w:val="19"/>
          <w:szCs w:val="19"/>
          <w:color w:val="auto"/>
          <w:vertAlign w:val="superscript"/>
        </w:rPr>
        <w:t>®</w:t>
      </w:r>
      <w:r>
        <w:rPr>
          <w:rFonts w:ascii="Arial" w:cs="Arial" w:eastAsia="Arial" w:hAnsi="Arial"/>
          <w:sz w:val="13"/>
          <w:szCs w:val="13"/>
          <w:color w:val="auto"/>
        </w:rPr>
        <w:t xml:space="preserve"> Level II 6-Year Annuity</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And new annuities and life products such as:</w:t>
      </w:r>
    </w:p>
    <w:p>
      <w:pPr>
        <w:spacing w:after="0" w:line="11" w:lineRule="exact"/>
        <w:rPr>
          <w:sz w:val="20"/>
          <w:szCs w:val="20"/>
          <w:color w:val="auto"/>
        </w:rPr>
      </w:pPr>
    </w:p>
    <w:p>
      <w:pPr>
        <w:ind w:left="780"/>
        <w:spacing w:after="0"/>
        <w:rPr>
          <w:sz w:val="20"/>
          <w:szCs w:val="20"/>
          <w:color w:val="auto"/>
        </w:rPr>
      </w:pPr>
      <w:r>
        <w:rPr>
          <w:rFonts w:ascii="Arial" w:cs="Arial" w:eastAsia="Arial" w:hAnsi="Arial"/>
          <w:sz w:val="13"/>
          <w:szCs w:val="13"/>
          <w:color w:val="auto"/>
        </w:rPr>
        <w:t>Brighthouse Shield Annuity</w:t>
      </w:r>
    </w:p>
    <w:p>
      <w:pPr>
        <w:ind w:left="780"/>
        <w:spacing w:after="0"/>
        <w:rPr>
          <w:sz w:val="20"/>
          <w:szCs w:val="20"/>
          <w:color w:val="auto"/>
        </w:rPr>
      </w:pPr>
      <w:r>
        <w:rPr>
          <w:rFonts w:ascii="Arial" w:cs="Arial" w:eastAsia="Arial" w:hAnsi="Arial"/>
          <w:sz w:val="13"/>
          <w:szCs w:val="13"/>
          <w:color w:val="auto"/>
        </w:rPr>
        <w:t>Brighthouse Shield 3-Year Annuity</w:t>
      </w:r>
    </w:p>
    <w:p>
      <w:pPr>
        <w:ind w:left="780"/>
        <w:spacing w:after="0"/>
        <w:rPr>
          <w:sz w:val="20"/>
          <w:szCs w:val="20"/>
          <w:color w:val="auto"/>
        </w:rPr>
      </w:pPr>
      <w:r>
        <w:rPr>
          <w:rFonts w:ascii="Arial" w:cs="Arial" w:eastAsia="Arial" w:hAnsi="Arial"/>
          <w:sz w:val="13"/>
          <w:szCs w:val="13"/>
          <w:color w:val="auto"/>
        </w:rPr>
        <w:t>Brighthouse Shield 6-Year Annuity</w:t>
      </w:r>
    </w:p>
    <w:p>
      <w:pPr>
        <w:ind w:left="780"/>
        <w:spacing w:after="0"/>
        <w:rPr>
          <w:sz w:val="20"/>
          <w:szCs w:val="20"/>
          <w:color w:val="auto"/>
        </w:rPr>
      </w:pPr>
      <w:r>
        <w:rPr>
          <w:rFonts w:ascii="Arial" w:cs="Arial" w:eastAsia="Arial" w:hAnsi="Arial"/>
          <w:sz w:val="13"/>
          <w:szCs w:val="13"/>
          <w:color w:val="auto"/>
        </w:rPr>
        <w:t>Brighthouse indexed-linked life insurance policy,</w:t>
      </w:r>
    </w:p>
    <w:p>
      <w:pPr>
        <w:spacing w:after="0" w:line="146" w:lineRule="exact"/>
        <w:rPr>
          <w:sz w:val="20"/>
          <w:szCs w:val="20"/>
          <w:color w:val="auto"/>
        </w:rPr>
      </w:pPr>
    </w:p>
    <w:p>
      <w:pPr>
        <w:spacing w:after="0" w:line="258" w:lineRule="auto"/>
        <w:rPr>
          <w:sz w:val="20"/>
          <w:szCs w:val="20"/>
          <w:color w:val="auto"/>
        </w:rPr>
      </w:pPr>
      <w:r>
        <w:rPr>
          <w:rFonts w:ascii="Arial" w:cs="Arial" w:eastAsia="Arial" w:hAnsi="Arial"/>
          <w:sz w:val="13"/>
          <w:szCs w:val="13"/>
          <w:color w:val="auto"/>
        </w:rPr>
        <w:t>and to have full power and authority to do or cause to be done in my name, place and stead each and every act and thing necessary or appropriate in order to effectuate the same, as fully to all intents and purposes as I might or could do in person, hereby ratifying and confirming all that said attorneys-in-fact or any of them, may do or cause to be done by virtue hereof. This Power of Attorney does not revoke any prior powers of attorney.</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color w:val="auto"/>
        </w:rPr>
        <w:t>IN WITNESS WHEREOF, I have hereunto set my hand this 20th day of May 2024.</w:t>
      </w:r>
    </w:p>
    <w:p>
      <w:pPr>
        <w:spacing w:after="0" w:line="317"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 Douglas A. Rayvid</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Douglas A. Rayvid</w:t>
      </w:r>
    </w:p>
    <w:p>
      <w:pPr>
        <w:sectPr>
          <w:pgSz w:w="11900" w:h="16838" w:orient="portrait"/>
          <w:cols w:equalWidth="0" w:num="1">
            <w:col w:w="11220"/>
          </w:cols>
          <w:pgMar w:left="300" w:top="236" w:right="379" w:bottom="1440" w:gutter="0" w:footer="0" w:header="0"/>
        </w:sectPr>
      </w:pPr>
    </w:p>
    <w:bookmarkStart w:id="168" w:name="page169"/>
    <w:bookmarkEnd w:id="168"/>
    <w:p>
      <w:pPr>
        <w:jc w:val="center"/>
        <w:ind w:right="-79"/>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1">
                      <a:extLst>
                        <a:ext uri="{28A0092B-C50C-407E-A947-70E740481C1C}"/>
                      </a:extLst>
                    </a:blip>
                    <a:srcRect/>
                    <a:stretch>
                      <a:fillRect/>
                    </a:stretch>
                  </pic:blipFill>
                  <pic:spPr bwMode="auto">
                    <a:xfrm>
                      <a:off x="0" y="0"/>
                      <a:ext cx="7206615" cy="31750"/>
                    </a:xfrm>
                    <a:prstGeom prst="rect">
                      <a:avLst/>
                    </a:prstGeom>
                    <a:noFill/>
                  </pic:spPr>
                </pic:pic>
              </a:graphicData>
            </a:graphic>
          </wp:anchor>
        </w:drawing>
        <w:t>Brighthouse Life Insurance Company of NY</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POWER OF ATTORNEY</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Robert A. Semke</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Director</w:t>
      </w:r>
    </w:p>
    <w:p>
      <w:pPr>
        <w:spacing w:after="0" w:line="146" w:lineRule="exact"/>
        <w:rPr>
          <w:sz w:val="20"/>
          <w:szCs w:val="20"/>
          <w:color w:val="auto"/>
        </w:rPr>
      </w:pPr>
    </w:p>
    <w:p>
      <w:pPr>
        <w:spacing w:after="0" w:line="251" w:lineRule="auto"/>
        <w:rPr>
          <w:sz w:val="20"/>
          <w:szCs w:val="20"/>
          <w:color w:val="auto"/>
        </w:rPr>
      </w:pPr>
      <w:r>
        <w:rPr>
          <w:rFonts w:ascii="Arial" w:cs="Arial" w:eastAsia="Arial" w:hAnsi="Arial"/>
          <w:sz w:val="13"/>
          <w:szCs w:val="13"/>
          <w:color w:val="auto"/>
        </w:rPr>
        <w:t>KNOW ALL MEN BY THESE PRESENTS, that I, Robert A. Semke, a Director of Brighthouse Life Insurance Company of NY, a New York company (the “Company”), do hereby constitute and appoint Michele H. Abate, Allie Lin, and Alexander Ulianov, as my attorney-in-fact and agent, each of whom may act individually and none of whom is required to act jointly with any of the others, to sign and file on my behalf and to execute and file any instrument or document required to be filed as part of or in connection with or in any way related to, the Registration Statements and any and all amendments thereto filed by the Company under the Securities Act of 1933 and/or the Investment Company Act of 1940, pertaining to:</w:t>
      </w:r>
    </w:p>
    <w:p>
      <w:pPr>
        <w:spacing w:after="0" w:line="68" w:lineRule="exact"/>
        <w:rPr>
          <w:sz w:val="20"/>
          <w:szCs w:val="20"/>
          <w:color w:val="auto"/>
        </w:rPr>
      </w:pPr>
    </w:p>
    <w:p>
      <w:pPr>
        <w:ind w:left="660" w:hanging="323"/>
        <w:spacing w:after="0"/>
        <w:tabs>
          <w:tab w:leader="none" w:pos="660" w:val="left"/>
        </w:tabs>
        <w:numPr>
          <w:ilvl w:val="0"/>
          <w:numId w:val="113"/>
        </w:numPr>
        <w:rPr>
          <w:rFonts w:ascii="Times New Roman" w:cs="Times New Roman" w:eastAsia="Times New Roman" w:hAnsi="Times New Roman"/>
          <w:sz w:val="21"/>
          <w:szCs w:val="21"/>
          <w:color w:val="auto"/>
          <w:vertAlign w:val="superscript"/>
        </w:rPr>
      </w:pPr>
      <w:r>
        <w:rPr>
          <w:rFonts w:ascii="Arial" w:cs="Arial" w:eastAsia="Arial" w:hAnsi="Arial"/>
          <w:sz w:val="13"/>
          <w:szCs w:val="13"/>
          <w:color w:val="auto"/>
        </w:rPr>
        <w:t>  Brighthouse Variable Annuity Account B (811-08306)</w:t>
      </w:r>
    </w:p>
    <w:p>
      <w:pPr>
        <w:ind w:left="780"/>
        <w:spacing w:after="0"/>
        <w:rPr>
          <w:sz w:val="20"/>
          <w:szCs w:val="20"/>
          <w:color w:val="auto"/>
        </w:rPr>
      </w:pPr>
      <w:r>
        <w:rPr>
          <w:rFonts w:ascii="Arial" w:cs="Arial" w:eastAsia="Arial" w:hAnsi="Arial"/>
          <w:sz w:val="13"/>
          <w:szCs w:val="13"/>
          <w:color w:val="auto"/>
        </w:rPr>
        <w:t>File No. 033-74174 First COVA VA, Custom Select, Russell Select and Class VA, Class AA and Class B</w:t>
      </w:r>
    </w:p>
    <w:p>
      <w:pPr>
        <w:ind w:left="780"/>
        <w:spacing w:after="0"/>
        <w:rPr>
          <w:sz w:val="20"/>
          <w:szCs w:val="20"/>
          <w:color w:val="auto"/>
        </w:rPr>
      </w:pPr>
      <w:r>
        <w:rPr>
          <w:rFonts w:ascii="Arial" w:cs="Arial" w:eastAsia="Arial" w:hAnsi="Arial"/>
          <w:sz w:val="13"/>
          <w:szCs w:val="13"/>
          <w:color w:val="auto"/>
        </w:rPr>
        <w:t>File No. 333-96773 Class VA (offered between June 15, 2001 and October 7, 2011), Class AA, and Class B</w:t>
      </w:r>
    </w:p>
    <w:p>
      <w:pPr>
        <w:ind w:left="780"/>
        <w:spacing w:after="0"/>
        <w:rPr>
          <w:sz w:val="20"/>
          <w:szCs w:val="20"/>
          <w:color w:val="auto"/>
        </w:rPr>
      </w:pPr>
      <w:r>
        <w:rPr>
          <w:rFonts w:ascii="Arial" w:cs="Arial" w:eastAsia="Arial" w:hAnsi="Arial"/>
          <w:sz w:val="13"/>
          <w:szCs w:val="13"/>
          <w:color w:val="auto"/>
        </w:rPr>
        <w:t>File No. 333-96775 Class A</w:t>
      </w:r>
    </w:p>
    <w:p>
      <w:pPr>
        <w:ind w:left="780"/>
        <w:spacing w:after="0"/>
        <w:rPr>
          <w:sz w:val="20"/>
          <w:szCs w:val="20"/>
          <w:color w:val="auto"/>
        </w:rPr>
      </w:pPr>
      <w:r>
        <w:rPr>
          <w:rFonts w:ascii="Arial" w:cs="Arial" w:eastAsia="Arial" w:hAnsi="Arial"/>
          <w:sz w:val="13"/>
          <w:szCs w:val="13"/>
          <w:color w:val="auto"/>
        </w:rPr>
        <w:t>File No. 333-96777 Class XC</w:t>
      </w:r>
    </w:p>
    <w:p>
      <w:pPr>
        <w:ind w:left="780"/>
        <w:spacing w:after="0"/>
        <w:rPr>
          <w:sz w:val="20"/>
          <w:szCs w:val="20"/>
          <w:color w:val="auto"/>
        </w:rPr>
      </w:pPr>
      <w:r>
        <w:rPr>
          <w:rFonts w:ascii="Arial" w:cs="Arial" w:eastAsia="Arial" w:hAnsi="Arial"/>
          <w:sz w:val="13"/>
          <w:szCs w:val="13"/>
          <w:color w:val="auto"/>
        </w:rPr>
        <w:t>File No. 333-96785 Class L and Class L –4 Year (offered between November 22, 2004 and October 7, 2011)</w:t>
      </w:r>
    </w:p>
    <w:p>
      <w:pPr>
        <w:ind w:left="780"/>
        <w:spacing w:after="0"/>
        <w:rPr>
          <w:sz w:val="20"/>
          <w:szCs w:val="20"/>
          <w:color w:val="auto"/>
        </w:rPr>
      </w:pPr>
      <w:r>
        <w:rPr>
          <w:rFonts w:ascii="Arial" w:cs="Arial" w:eastAsia="Arial" w:hAnsi="Arial"/>
          <w:sz w:val="13"/>
          <w:szCs w:val="13"/>
          <w:color w:val="auto"/>
        </w:rPr>
        <w:t>File No. 333-96795 Class C (offered between September 4, 2001 and October 7, 2011)</w:t>
      </w:r>
    </w:p>
    <w:p>
      <w:pPr>
        <w:ind w:left="780"/>
        <w:spacing w:after="0"/>
        <w:rPr>
          <w:sz w:val="20"/>
          <w:szCs w:val="20"/>
          <w:color w:val="auto"/>
        </w:rPr>
      </w:pPr>
      <w:r>
        <w:rPr>
          <w:rFonts w:ascii="Arial" w:cs="Arial" w:eastAsia="Arial" w:hAnsi="Arial"/>
          <w:sz w:val="13"/>
          <w:szCs w:val="13"/>
          <w:color w:val="auto"/>
        </w:rPr>
        <w:t>File No. 333-125613 Vintage L and Vintage XC</w:t>
      </w:r>
    </w:p>
    <w:p>
      <w:pPr>
        <w:ind w:left="780"/>
        <w:spacing w:after="0"/>
        <w:rPr>
          <w:sz w:val="20"/>
          <w:szCs w:val="20"/>
          <w:color w:val="auto"/>
        </w:rPr>
      </w:pPr>
      <w:r>
        <w:rPr>
          <w:rFonts w:ascii="Arial" w:cs="Arial" w:eastAsia="Arial" w:hAnsi="Arial"/>
          <w:sz w:val="13"/>
          <w:szCs w:val="13"/>
          <w:color w:val="auto"/>
        </w:rPr>
        <w:t>File No. 333-125617 PrimElite III</w:t>
      </w:r>
    </w:p>
    <w:p>
      <w:pPr>
        <w:ind w:left="780"/>
        <w:spacing w:after="0"/>
        <w:rPr>
          <w:sz w:val="20"/>
          <w:szCs w:val="20"/>
          <w:color w:val="auto"/>
        </w:rPr>
      </w:pPr>
      <w:r>
        <w:rPr>
          <w:rFonts w:ascii="Arial" w:cs="Arial" w:eastAsia="Arial" w:hAnsi="Arial"/>
          <w:sz w:val="13"/>
          <w:szCs w:val="13"/>
          <w:color w:val="auto"/>
        </w:rPr>
        <w:t>File No. 333-125618 Marquis Portfolios (offered between November 7, 2005 and April 30, 2012)</w:t>
      </w:r>
    </w:p>
    <w:p>
      <w:pPr>
        <w:ind w:left="780"/>
        <w:spacing w:after="0"/>
        <w:rPr>
          <w:sz w:val="20"/>
          <w:szCs w:val="20"/>
          <w:color w:val="auto"/>
        </w:rPr>
      </w:pPr>
      <w:r>
        <w:rPr>
          <w:rFonts w:ascii="Arial" w:cs="Arial" w:eastAsia="Arial" w:hAnsi="Arial"/>
          <w:sz w:val="13"/>
          <w:szCs w:val="13"/>
          <w:color w:val="auto"/>
        </w:rPr>
        <w:t>File No. 333-125619 Protected Equity Portfolio</w:t>
      </w:r>
    </w:p>
    <w:p>
      <w:pPr>
        <w:ind w:left="780"/>
        <w:spacing w:after="0"/>
        <w:rPr>
          <w:sz w:val="20"/>
          <w:szCs w:val="20"/>
          <w:color w:val="auto"/>
        </w:rPr>
      </w:pPr>
      <w:r>
        <w:rPr>
          <w:rFonts w:ascii="Arial" w:cs="Arial" w:eastAsia="Arial" w:hAnsi="Arial"/>
          <w:sz w:val="13"/>
          <w:szCs w:val="13"/>
          <w:color w:val="auto"/>
        </w:rPr>
        <w:t>File No. 333-137370 Class S and Class S - L Share Option (offered between April 30, 2007 and October 7, 2011)</w:t>
      </w:r>
    </w:p>
    <w:p>
      <w:pPr>
        <w:ind w:left="780"/>
        <w:spacing w:after="0"/>
        <w:rPr>
          <w:sz w:val="20"/>
          <w:szCs w:val="20"/>
          <w:color w:val="auto"/>
        </w:rPr>
      </w:pPr>
      <w:r>
        <w:rPr>
          <w:rFonts w:ascii="Arial" w:cs="Arial" w:eastAsia="Arial" w:hAnsi="Arial"/>
          <w:sz w:val="13"/>
          <w:szCs w:val="13"/>
          <w:color w:val="auto"/>
        </w:rPr>
        <w:t>File No. 333-137969 PrimElite IV</w:t>
      </w:r>
    </w:p>
    <w:p>
      <w:pPr>
        <w:ind w:left="780"/>
        <w:spacing w:after="0"/>
        <w:rPr>
          <w:sz w:val="20"/>
          <w:szCs w:val="20"/>
          <w:color w:val="auto"/>
        </w:rPr>
      </w:pPr>
      <w:r>
        <w:rPr>
          <w:rFonts w:ascii="Arial" w:cs="Arial" w:eastAsia="Arial" w:hAnsi="Arial"/>
          <w:sz w:val="13"/>
          <w:szCs w:val="13"/>
          <w:color w:val="auto"/>
        </w:rPr>
        <w:t>File No. 333-148873 Pioneer PRISM</w:t>
      </w:r>
    </w:p>
    <w:p>
      <w:pPr>
        <w:ind w:left="780"/>
        <w:spacing w:after="0"/>
        <w:rPr>
          <w:sz w:val="20"/>
          <w:szCs w:val="20"/>
          <w:color w:val="auto"/>
        </w:rPr>
      </w:pPr>
      <w:r>
        <w:rPr>
          <w:rFonts w:ascii="Arial" w:cs="Arial" w:eastAsia="Arial" w:hAnsi="Arial"/>
          <w:sz w:val="13"/>
          <w:szCs w:val="13"/>
          <w:color w:val="auto"/>
        </w:rPr>
        <w:t>File No. 333-148874 Pioneer PRISM XC</w:t>
      </w:r>
    </w:p>
    <w:p>
      <w:pPr>
        <w:ind w:left="780"/>
        <w:spacing w:after="0"/>
        <w:rPr>
          <w:sz w:val="20"/>
          <w:szCs w:val="20"/>
          <w:color w:val="auto"/>
        </w:rPr>
      </w:pPr>
      <w:r>
        <w:rPr>
          <w:rFonts w:ascii="Arial" w:cs="Arial" w:eastAsia="Arial" w:hAnsi="Arial"/>
          <w:sz w:val="13"/>
          <w:szCs w:val="13"/>
          <w:color w:val="auto"/>
        </w:rPr>
        <w:t>File No. 333-148876 Pioneer PRISM L</w:t>
      </w:r>
    </w:p>
    <w:p>
      <w:pPr>
        <w:ind w:left="780"/>
        <w:spacing w:after="0"/>
        <w:rPr>
          <w:sz w:val="20"/>
          <w:szCs w:val="20"/>
          <w:color w:val="auto"/>
        </w:rPr>
      </w:pPr>
      <w:r>
        <w:rPr>
          <w:rFonts w:ascii="Arial" w:cs="Arial" w:eastAsia="Arial" w:hAnsi="Arial"/>
          <w:sz w:val="13"/>
          <w:szCs w:val="13"/>
          <w:color w:val="auto"/>
        </w:rPr>
        <w:t>File No. 333-152450 Class XTRA</w:t>
      </w:r>
    </w:p>
    <w:p>
      <w:pPr>
        <w:ind w:left="780"/>
        <w:spacing w:after="0"/>
        <w:rPr>
          <w:sz w:val="20"/>
          <w:szCs w:val="20"/>
          <w:color w:val="auto"/>
        </w:rPr>
      </w:pPr>
      <w:r>
        <w:rPr>
          <w:rFonts w:ascii="Arial" w:cs="Arial" w:eastAsia="Arial" w:hAnsi="Arial"/>
          <w:sz w:val="13"/>
          <w:szCs w:val="13"/>
          <w:color w:val="auto"/>
        </w:rPr>
        <w:t>File No. 333-156646 Class XTRA 6</w:t>
      </w:r>
    </w:p>
    <w:p>
      <w:pPr>
        <w:ind w:left="780"/>
        <w:spacing w:after="0" w:line="182" w:lineRule="auto"/>
        <w:rPr>
          <w:sz w:val="20"/>
          <w:szCs w:val="20"/>
          <w:color w:val="auto"/>
        </w:rPr>
      </w:pPr>
      <w:r>
        <w:rPr>
          <w:rFonts w:ascii="Arial" w:cs="Arial" w:eastAsia="Arial" w:hAnsi="Arial"/>
          <w:sz w:val="12"/>
          <w:szCs w:val="12"/>
          <w:color w:val="auto"/>
        </w:rPr>
        <w:t>File No. 333-158579 Brighthouse Simple Solutions</w:t>
      </w:r>
      <w:r>
        <w:rPr>
          <w:rFonts w:ascii="Arial" w:cs="Arial" w:eastAsia="Arial" w:hAnsi="Arial"/>
          <w:sz w:val="17"/>
          <w:szCs w:val="17"/>
          <w:color w:val="auto"/>
          <w:vertAlign w:val="superscript"/>
        </w:rPr>
        <w:t>SM</w:t>
      </w:r>
    </w:p>
    <w:p>
      <w:pPr>
        <w:ind w:left="780"/>
        <w:spacing w:after="0"/>
        <w:rPr>
          <w:sz w:val="20"/>
          <w:szCs w:val="20"/>
          <w:color w:val="auto"/>
        </w:rPr>
      </w:pPr>
      <w:r>
        <w:rPr>
          <w:rFonts w:ascii="Arial" w:cs="Arial" w:eastAsia="Arial" w:hAnsi="Arial"/>
          <w:sz w:val="13"/>
          <w:szCs w:val="13"/>
          <w:color w:val="auto"/>
        </w:rPr>
        <w:t>File No. 333-169687 Class VA- 4 (offered between May 1, 2011 and October 7, 2011)</w:t>
      </w:r>
    </w:p>
    <w:p>
      <w:pPr>
        <w:ind w:left="780"/>
        <w:spacing w:after="0"/>
        <w:rPr>
          <w:sz w:val="20"/>
          <w:szCs w:val="20"/>
          <w:color w:val="auto"/>
        </w:rPr>
      </w:pPr>
      <w:r>
        <w:rPr>
          <w:rFonts w:ascii="Arial" w:cs="Arial" w:eastAsia="Arial" w:hAnsi="Arial"/>
          <w:sz w:val="13"/>
          <w:szCs w:val="13"/>
          <w:color w:val="auto"/>
        </w:rPr>
        <w:t>File No. 333-176679 Class S (offered on and after October 7, 2011) and</w:t>
      </w:r>
    </w:p>
    <w:p>
      <w:pPr>
        <w:ind w:left="1020"/>
        <w:spacing w:after="0"/>
        <w:rPr>
          <w:sz w:val="20"/>
          <w:szCs w:val="20"/>
          <w:color w:val="auto"/>
        </w:rPr>
      </w:pPr>
      <w:r>
        <w:rPr>
          <w:rFonts w:ascii="Arial" w:cs="Arial" w:eastAsia="Arial" w:hAnsi="Arial"/>
          <w:sz w:val="13"/>
          <w:szCs w:val="13"/>
          <w:color w:val="auto"/>
        </w:rPr>
        <w:t>Class S- L Share Option (offered on and after October 7, 2011)</w:t>
      </w:r>
    </w:p>
    <w:p>
      <w:pPr>
        <w:ind w:left="780"/>
        <w:spacing w:after="0"/>
        <w:rPr>
          <w:sz w:val="20"/>
          <w:szCs w:val="20"/>
          <w:color w:val="auto"/>
        </w:rPr>
      </w:pPr>
      <w:r>
        <w:rPr>
          <w:rFonts w:ascii="Arial" w:cs="Arial" w:eastAsia="Arial" w:hAnsi="Arial"/>
          <w:sz w:val="13"/>
          <w:szCs w:val="13"/>
          <w:color w:val="auto"/>
        </w:rPr>
        <w:t>File No. 333-176680 Class VA- 4 (offered between October 7, 2011 and May 1, 2016)</w:t>
      </w:r>
    </w:p>
    <w:p>
      <w:pPr>
        <w:ind w:left="780"/>
        <w:spacing w:after="0"/>
        <w:rPr>
          <w:sz w:val="20"/>
          <w:szCs w:val="20"/>
          <w:color w:val="auto"/>
        </w:rPr>
      </w:pPr>
      <w:r>
        <w:rPr>
          <w:rFonts w:ascii="Arial" w:cs="Arial" w:eastAsia="Arial" w:hAnsi="Arial"/>
          <w:sz w:val="13"/>
          <w:szCs w:val="13"/>
          <w:color w:val="auto"/>
        </w:rPr>
        <w:t>File No. 333-176691 Class VA (offered on and after October 7, 2011)</w:t>
      </w:r>
    </w:p>
    <w:p>
      <w:pPr>
        <w:ind w:left="780"/>
        <w:spacing w:after="0"/>
        <w:rPr>
          <w:sz w:val="20"/>
          <w:szCs w:val="20"/>
          <w:color w:val="auto"/>
        </w:rPr>
      </w:pPr>
      <w:r>
        <w:rPr>
          <w:rFonts w:ascii="Arial" w:cs="Arial" w:eastAsia="Arial" w:hAnsi="Arial"/>
          <w:sz w:val="13"/>
          <w:szCs w:val="13"/>
          <w:color w:val="auto"/>
        </w:rPr>
        <w:t>File No. 333-176692 Class L- 4 Year (offered between October 7, 2011 and April 28, 2013)</w:t>
      </w:r>
    </w:p>
    <w:p>
      <w:pPr>
        <w:ind w:left="780"/>
        <w:spacing w:after="0"/>
        <w:rPr>
          <w:sz w:val="20"/>
          <w:szCs w:val="20"/>
          <w:color w:val="auto"/>
        </w:rPr>
      </w:pPr>
      <w:r>
        <w:rPr>
          <w:rFonts w:ascii="Arial" w:cs="Arial" w:eastAsia="Arial" w:hAnsi="Arial"/>
          <w:sz w:val="13"/>
          <w:szCs w:val="13"/>
          <w:color w:val="auto"/>
        </w:rPr>
        <w:t>File No. 333-176693 Class C (offered on and after October 7, 2011)</w:t>
      </w:r>
    </w:p>
    <w:p>
      <w:pPr>
        <w:ind w:left="780"/>
        <w:spacing w:after="0"/>
        <w:rPr>
          <w:sz w:val="20"/>
          <w:szCs w:val="20"/>
          <w:color w:val="auto"/>
        </w:rPr>
      </w:pPr>
      <w:r>
        <w:rPr>
          <w:rFonts w:ascii="Arial" w:cs="Arial" w:eastAsia="Arial" w:hAnsi="Arial"/>
          <w:sz w:val="13"/>
          <w:szCs w:val="13"/>
          <w:color w:val="auto"/>
        </w:rPr>
        <w:t>File No. 333-178515 Class O (offered between April 30, 2012 and September 20, 2015)</w:t>
      </w:r>
    </w:p>
    <w:p>
      <w:pPr>
        <w:ind w:left="780"/>
        <w:spacing w:after="0"/>
        <w:rPr>
          <w:sz w:val="20"/>
          <w:szCs w:val="20"/>
          <w:color w:val="auto"/>
        </w:rPr>
      </w:pPr>
      <w:r>
        <w:rPr>
          <w:rFonts w:ascii="Arial" w:cs="Arial" w:eastAsia="Arial" w:hAnsi="Arial"/>
          <w:sz w:val="13"/>
          <w:szCs w:val="13"/>
          <w:color w:val="auto"/>
        </w:rPr>
        <w:t>File No. 333-179240 Marquis Portfolios (offered on and after April 30, 2012)</w:t>
      </w:r>
    </w:p>
    <w:p>
      <w:pPr>
        <w:ind w:left="780"/>
        <w:spacing w:after="0"/>
        <w:rPr>
          <w:sz w:val="20"/>
          <w:szCs w:val="20"/>
          <w:color w:val="auto"/>
        </w:rPr>
      </w:pPr>
      <w:r>
        <w:rPr>
          <w:rFonts w:ascii="Arial" w:cs="Arial" w:eastAsia="Arial" w:hAnsi="Arial"/>
          <w:sz w:val="13"/>
          <w:szCs w:val="13"/>
          <w:color w:val="auto"/>
        </w:rPr>
        <w:t>File No. 333-186216 Class L- 4 Year (offered on and after April 29, 2013)</w:t>
      </w:r>
    </w:p>
    <w:p>
      <w:pPr>
        <w:ind w:left="780"/>
        <w:spacing w:after="0"/>
        <w:rPr>
          <w:sz w:val="20"/>
          <w:szCs w:val="20"/>
          <w:color w:val="auto"/>
        </w:rPr>
      </w:pPr>
      <w:r>
        <w:rPr>
          <w:rFonts w:ascii="Arial" w:cs="Arial" w:eastAsia="Arial" w:hAnsi="Arial"/>
          <w:sz w:val="13"/>
          <w:szCs w:val="13"/>
          <w:color w:val="auto"/>
        </w:rPr>
        <w:t>File No. 333-205137 Class O (offered on and after September 21, 2015)</w:t>
      </w:r>
    </w:p>
    <w:p>
      <w:pPr>
        <w:ind w:left="780"/>
        <w:spacing w:after="0"/>
        <w:rPr>
          <w:sz w:val="20"/>
          <w:szCs w:val="20"/>
          <w:color w:val="auto"/>
        </w:rPr>
      </w:pPr>
      <w:r>
        <w:rPr>
          <w:rFonts w:ascii="Arial" w:cs="Arial" w:eastAsia="Arial" w:hAnsi="Arial"/>
          <w:sz w:val="13"/>
          <w:szCs w:val="13"/>
          <w:color w:val="auto"/>
        </w:rPr>
        <w:t>File No. 333-209057 Class VA- 4 (offered on and after May 2, 2016)</w:t>
      </w:r>
    </w:p>
    <w:p>
      <w:pPr>
        <w:ind w:left="780"/>
        <w:spacing w:after="0"/>
        <w:rPr>
          <w:sz w:val="20"/>
          <w:szCs w:val="20"/>
          <w:color w:val="auto"/>
        </w:rPr>
      </w:pPr>
      <w:r>
        <w:rPr>
          <w:rFonts w:ascii="Arial" w:cs="Arial" w:eastAsia="Arial" w:hAnsi="Arial"/>
          <w:sz w:val="13"/>
          <w:szCs w:val="13"/>
          <w:color w:val="auto"/>
        </w:rPr>
        <w:t>File No. 333-209058 Class VA (offered on and after May 2, 2016)</w:t>
      </w:r>
    </w:p>
    <w:p>
      <w:pPr>
        <w:ind w:left="780"/>
        <w:spacing w:after="0"/>
        <w:rPr>
          <w:sz w:val="20"/>
          <w:szCs w:val="20"/>
          <w:color w:val="auto"/>
        </w:rPr>
      </w:pPr>
      <w:r>
        <w:rPr>
          <w:rFonts w:ascii="Arial" w:cs="Arial" w:eastAsia="Arial" w:hAnsi="Arial"/>
          <w:sz w:val="13"/>
          <w:szCs w:val="13"/>
          <w:color w:val="auto"/>
        </w:rPr>
        <w:t>File No. 333-209059 Class S (offered on and after May 2, 2016) and</w:t>
      </w:r>
    </w:p>
    <w:p>
      <w:pPr>
        <w:ind w:left="1020"/>
        <w:spacing w:after="0"/>
        <w:rPr>
          <w:sz w:val="20"/>
          <w:szCs w:val="20"/>
          <w:color w:val="auto"/>
        </w:rPr>
      </w:pPr>
      <w:r>
        <w:rPr>
          <w:rFonts w:ascii="Arial" w:cs="Arial" w:eastAsia="Arial" w:hAnsi="Arial"/>
          <w:sz w:val="13"/>
          <w:szCs w:val="13"/>
          <w:color w:val="auto"/>
        </w:rPr>
        <w:t>S- L Share Option (offered on and after May 2, 2016)</w:t>
      </w:r>
    </w:p>
    <w:p>
      <w:pPr>
        <w:ind w:left="780"/>
        <w:spacing w:after="0"/>
        <w:rPr>
          <w:sz w:val="20"/>
          <w:szCs w:val="20"/>
          <w:color w:val="auto"/>
        </w:rPr>
      </w:pPr>
      <w:r>
        <w:rPr>
          <w:rFonts w:ascii="Arial" w:cs="Arial" w:eastAsia="Arial" w:hAnsi="Arial"/>
          <w:sz w:val="13"/>
          <w:szCs w:val="13"/>
          <w:color w:val="auto"/>
        </w:rPr>
        <w:t>File No. 333-216454 Brighthouse Prime Options,</w:t>
      </w:r>
    </w:p>
    <w:p>
      <w:pPr>
        <w:sectPr>
          <w:pgSz w:w="11900" w:h="16838" w:orient="portrait"/>
          <w:cols w:equalWidth="0" w:num="1">
            <w:col w:w="11200"/>
          </w:cols>
          <w:pgMar w:left="300" w:top="236" w:right="399" w:bottom="1440" w:gutter="0" w:footer="0" w:header="0"/>
        </w:sectPr>
      </w:pPr>
    </w:p>
    <w:bookmarkStart w:id="169" w:name="page170"/>
    <w:bookmarkEnd w:id="169"/>
    <w:p>
      <w:pPr>
        <w:ind w:left="5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2">
                      <a:extLst>
                        <a:ext uri="{28A0092B-C50C-407E-A947-70E740481C1C}"/>
                      </a:extLst>
                    </a:blip>
                    <a:srcRect/>
                    <a:stretch>
                      <a:fillRect/>
                    </a:stretch>
                  </pic:blipFill>
                  <pic:spPr bwMode="auto">
                    <a:xfrm>
                      <a:off x="0" y="0"/>
                      <a:ext cx="7206615" cy="31750"/>
                    </a:xfrm>
                    <a:prstGeom prst="rect">
                      <a:avLst/>
                    </a:prstGeom>
                    <a:noFill/>
                  </pic:spPr>
                </pic:pic>
              </a:graphicData>
            </a:graphic>
          </wp:anchor>
        </w:drawing>
        <w:t>And pertaining to:</w:t>
      </w:r>
    </w:p>
    <w:p>
      <w:pPr>
        <w:ind w:left="780"/>
        <w:spacing w:after="0" w:line="185" w:lineRule="auto"/>
        <w:rPr>
          <w:sz w:val="20"/>
          <w:szCs w:val="20"/>
          <w:color w:val="auto"/>
        </w:rPr>
      </w:pPr>
      <w:r>
        <w:rPr>
          <w:rFonts w:ascii="Arial" w:cs="Arial" w:eastAsia="Arial" w:hAnsi="Arial"/>
          <w:sz w:val="13"/>
          <w:szCs w:val="13"/>
          <w:color w:val="auto"/>
        </w:rPr>
        <w:t>File No. 333-216452 Brighthouse Shield Level Selector</w:t>
      </w:r>
      <w:r>
        <w:rPr>
          <w:rFonts w:ascii="Arial" w:cs="Arial" w:eastAsia="Arial" w:hAnsi="Arial"/>
          <w:sz w:val="18"/>
          <w:szCs w:val="18"/>
          <w:color w:val="auto"/>
          <w:vertAlign w:val="superscript"/>
        </w:rPr>
        <w:t>®</w:t>
      </w:r>
      <w:r>
        <w:rPr>
          <w:rFonts w:ascii="Arial" w:cs="Arial" w:eastAsia="Arial" w:hAnsi="Arial"/>
          <w:sz w:val="13"/>
          <w:szCs w:val="13"/>
          <w:color w:val="auto"/>
        </w:rPr>
        <w:t xml:space="preserve"> Annuity</w:t>
      </w:r>
    </w:p>
    <w:p>
      <w:pPr>
        <w:ind w:left="780"/>
        <w:spacing w:after="0" w:line="183" w:lineRule="auto"/>
        <w:rPr>
          <w:sz w:val="20"/>
          <w:szCs w:val="20"/>
          <w:color w:val="auto"/>
        </w:rPr>
      </w:pPr>
      <w:r>
        <w:rPr>
          <w:rFonts w:ascii="Arial" w:cs="Arial" w:eastAsia="Arial" w:hAnsi="Arial"/>
          <w:sz w:val="12"/>
          <w:szCs w:val="12"/>
          <w:color w:val="auto"/>
        </w:rPr>
        <w:t>File No. 333-216453 Brighthouse Shield Level Selector</w:t>
      </w:r>
      <w:r>
        <w:rPr>
          <w:rFonts w:ascii="Arial" w:cs="Arial" w:eastAsia="Arial" w:hAnsi="Arial"/>
          <w:sz w:val="17"/>
          <w:szCs w:val="17"/>
          <w:color w:val="auto"/>
          <w:vertAlign w:val="superscript"/>
        </w:rPr>
        <w:t>®</w:t>
      </w:r>
      <w:r>
        <w:rPr>
          <w:rFonts w:ascii="Arial" w:cs="Arial" w:eastAsia="Arial" w:hAnsi="Arial"/>
          <w:sz w:val="12"/>
          <w:szCs w:val="12"/>
          <w:color w:val="auto"/>
        </w:rPr>
        <w:t xml:space="preserve"> 3-Year Annuity</w:t>
      </w:r>
    </w:p>
    <w:p>
      <w:pPr>
        <w:ind w:left="780"/>
        <w:spacing w:after="0" w:line="183" w:lineRule="auto"/>
        <w:rPr>
          <w:sz w:val="20"/>
          <w:szCs w:val="20"/>
          <w:color w:val="auto"/>
        </w:rPr>
      </w:pPr>
      <w:r>
        <w:rPr>
          <w:rFonts w:ascii="Arial" w:cs="Arial" w:eastAsia="Arial" w:hAnsi="Arial"/>
          <w:sz w:val="12"/>
          <w:szCs w:val="12"/>
          <w:color w:val="auto"/>
        </w:rPr>
        <w:t>File No. 333-238214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10 Annuity</w:t>
      </w:r>
    </w:p>
    <w:p>
      <w:pPr>
        <w:ind w:left="780"/>
        <w:spacing w:after="0" w:line="182" w:lineRule="auto"/>
        <w:rPr>
          <w:sz w:val="20"/>
          <w:szCs w:val="20"/>
          <w:color w:val="auto"/>
        </w:rPr>
      </w:pPr>
      <w:r>
        <w:rPr>
          <w:rFonts w:ascii="Arial" w:cs="Arial" w:eastAsia="Arial" w:hAnsi="Arial"/>
          <w:sz w:val="12"/>
          <w:szCs w:val="12"/>
          <w:color w:val="auto"/>
        </w:rPr>
        <w:t>File No. 333-265196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Select 3-Year Annuity</w:t>
      </w:r>
    </w:p>
    <w:p>
      <w:pPr>
        <w:ind w:left="780"/>
        <w:spacing w:after="0" w:line="183" w:lineRule="auto"/>
        <w:rPr>
          <w:sz w:val="20"/>
          <w:szCs w:val="20"/>
          <w:color w:val="auto"/>
        </w:rPr>
      </w:pPr>
      <w:r>
        <w:rPr>
          <w:rFonts w:ascii="Arial" w:cs="Arial" w:eastAsia="Arial" w:hAnsi="Arial"/>
          <w:sz w:val="12"/>
          <w:szCs w:val="12"/>
          <w:color w:val="auto"/>
        </w:rPr>
        <w:t>File No. 333-265199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Select 6-Year Annuity</w:t>
      </w:r>
    </w:p>
    <w:p>
      <w:pPr>
        <w:ind w:left="780"/>
        <w:spacing w:after="0" w:line="183" w:lineRule="auto"/>
        <w:rPr>
          <w:sz w:val="20"/>
          <w:szCs w:val="20"/>
          <w:color w:val="auto"/>
        </w:rPr>
      </w:pPr>
      <w:r>
        <w:rPr>
          <w:rFonts w:ascii="Arial" w:cs="Arial" w:eastAsia="Arial" w:hAnsi="Arial"/>
          <w:sz w:val="12"/>
          <w:szCs w:val="12"/>
          <w:color w:val="auto"/>
        </w:rPr>
        <w:t>File No. 333-259506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Select 6-Year Annuity v.3</w:t>
      </w:r>
    </w:p>
    <w:p>
      <w:pPr>
        <w:ind w:left="780"/>
        <w:spacing w:after="0"/>
        <w:rPr>
          <w:sz w:val="20"/>
          <w:szCs w:val="20"/>
          <w:color w:val="auto"/>
        </w:rPr>
      </w:pPr>
      <w:r>
        <w:rPr>
          <w:rFonts w:ascii="Arial" w:cs="Arial" w:eastAsia="Arial" w:hAnsi="Arial"/>
          <w:sz w:val="13"/>
          <w:szCs w:val="13"/>
          <w:color w:val="auto"/>
        </w:rPr>
        <w:t>File No. 333-279315 Brighthouse Shield</w:t>
      </w:r>
      <w:r>
        <w:rPr>
          <w:rFonts w:ascii="Arial" w:cs="Arial" w:eastAsia="Arial" w:hAnsi="Arial"/>
          <w:sz w:val="19"/>
          <w:szCs w:val="19"/>
          <w:color w:val="auto"/>
          <w:vertAlign w:val="superscript"/>
        </w:rPr>
        <w:t>®</w:t>
      </w:r>
      <w:r>
        <w:rPr>
          <w:rFonts w:ascii="Arial" w:cs="Arial" w:eastAsia="Arial" w:hAnsi="Arial"/>
          <w:sz w:val="13"/>
          <w:szCs w:val="13"/>
          <w:color w:val="auto"/>
        </w:rPr>
        <w:t xml:space="preserve"> Level II 6-Year Annuity</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And new annuities and life products such as:</w:t>
      </w:r>
    </w:p>
    <w:p>
      <w:pPr>
        <w:spacing w:after="0" w:line="11" w:lineRule="exact"/>
        <w:rPr>
          <w:sz w:val="20"/>
          <w:szCs w:val="20"/>
          <w:color w:val="auto"/>
        </w:rPr>
      </w:pPr>
    </w:p>
    <w:p>
      <w:pPr>
        <w:ind w:left="780"/>
        <w:spacing w:after="0"/>
        <w:rPr>
          <w:sz w:val="20"/>
          <w:szCs w:val="20"/>
          <w:color w:val="auto"/>
        </w:rPr>
      </w:pPr>
      <w:r>
        <w:rPr>
          <w:rFonts w:ascii="Arial" w:cs="Arial" w:eastAsia="Arial" w:hAnsi="Arial"/>
          <w:sz w:val="13"/>
          <w:szCs w:val="13"/>
          <w:color w:val="auto"/>
        </w:rPr>
        <w:t>Brighthouse Shield Annuity</w:t>
      </w:r>
    </w:p>
    <w:p>
      <w:pPr>
        <w:ind w:left="780"/>
        <w:spacing w:after="0"/>
        <w:rPr>
          <w:sz w:val="20"/>
          <w:szCs w:val="20"/>
          <w:color w:val="auto"/>
        </w:rPr>
      </w:pPr>
      <w:r>
        <w:rPr>
          <w:rFonts w:ascii="Arial" w:cs="Arial" w:eastAsia="Arial" w:hAnsi="Arial"/>
          <w:sz w:val="13"/>
          <w:szCs w:val="13"/>
          <w:color w:val="auto"/>
        </w:rPr>
        <w:t>Brighthouse Shield 3-Year Annuity</w:t>
      </w:r>
    </w:p>
    <w:p>
      <w:pPr>
        <w:ind w:left="780"/>
        <w:spacing w:after="0"/>
        <w:rPr>
          <w:sz w:val="20"/>
          <w:szCs w:val="20"/>
          <w:color w:val="auto"/>
        </w:rPr>
      </w:pPr>
      <w:r>
        <w:rPr>
          <w:rFonts w:ascii="Arial" w:cs="Arial" w:eastAsia="Arial" w:hAnsi="Arial"/>
          <w:sz w:val="13"/>
          <w:szCs w:val="13"/>
          <w:color w:val="auto"/>
        </w:rPr>
        <w:t>Brighthouse Shield 6-Year Annuity</w:t>
      </w:r>
    </w:p>
    <w:p>
      <w:pPr>
        <w:ind w:left="780"/>
        <w:spacing w:after="0"/>
        <w:rPr>
          <w:sz w:val="20"/>
          <w:szCs w:val="20"/>
          <w:color w:val="auto"/>
        </w:rPr>
      </w:pPr>
      <w:r>
        <w:rPr>
          <w:rFonts w:ascii="Arial" w:cs="Arial" w:eastAsia="Arial" w:hAnsi="Arial"/>
          <w:sz w:val="13"/>
          <w:szCs w:val="13"/>
          <w:color w:val="auto"/>
        </w:rPr>
        <w:t>Brighthouse indexed-linked life insurance policy,</w:t>
      </w:r>
    </w:p>
    <w:p>
      <w:pPr>
        <w:spacing w:after="0" w:line="146" w:lineRule="exact"/>
        <w:rPr>
          <w:sz w:val="20"/>
          <w:szCs w:val="20"/>
          <w:color w:val="auto"/>
        </w:rPr>
      </w:pPr>
    </w:p>
    <w:p>
      <w:pPr>
        <w:spacing w:after="0" w:line="258" w:lineRule="auto"/>
        <w:rPr>
          <w:sz w:val="20"/>
          <w:szCs w:val="20"/>
          <w:color w:val="auto"/>
        </w:rPr>
      </w:pPr>
      <w:r>
        <w:rPr>
          <w:rFonts w:ascii="Arial" w:cs="Arial" w:eastAsia="Arial" w:hAnsi="Arial"/>
          <w:sz w:val="13"/>
          <w:szCs w:val="13"/>
          <w:color w:val="auto"/>
        </w:rPr>
        <w:t>and to have full power and authority to do or cause to be done in my name, place and stead each and every act and thing necessary or appropriate in order to effectuate the same, as fully to all intents and purposes as I might or could do in person, hereby ratifying and confirming all that said attorneys-in-fact or any of them, may do or cause to be done by virtue hereof. This Power of Attorney does not revoke any prior powers of attorney.</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color w:val="auto"/>
        </w:rPr>
        <w:t>IN WITNESS WHEREOF, I have hereunto set my hand this 21st day of May 2024.</w:t>
      </w:r>
    </w:p>
    <w:p>
      <w:pPr>
        <w:spacing w:after="0" w:line="347"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 Robert A. Semke</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Robert A. Semke</w:t>
      </w:r>
    </w:p>
    <w:p>
      <w:pPr>
        <w:sectPr>
          <w:pgSz w:w="11900" w:h="16838" w:orient="portrait"/>
          <w:cols w:equalWidth="0" w:num="1">
            <w:col w:w="11220"/>
          </w:cols>
          <w:pgMar w:left="300" w:top="236" w:right="379" w:bottom="1440" w:gutter="0" w:footer="0" w:header="0"/>
        </w:sectPr>
      </w:pPr>
    </w:p>
    <w:bookmarkStart w:id="170" w:name="page171"/>
    <w:bookmarkEnd w:id="170"/>
    <w:p>
      <w:pPr>
        <w:jc w:val="center"/>
        <w:ind w:right="-19"/>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3">
                      <a:extLst>
                        <a:ext uri="{28A0092B-C50C-407E-A947-70E740481C1C}"/>
                      </a:extLst>
                    </a:blip>
                    <a:srcRect/>
                    <a:stretch>
                      <a:fillRect/>
                    </a:stretch>
                  </pic:blipFill>
                  <pic:spPr bwMode="auto">
                    <a:xfrm>
                      <a:off x="0" y="0"/>
                      <a:ext cx="7206615" cy="31750"/>
                    </a:xfrm>
                    <a:prstGeom prst="rect">
                      <a:avLst/>
                    </a:prstGeom>
                    <a:noFill/>
                  </pic:spPr>
                </pic:pic>
              </a:graphicData>
            </a:graphic>
          </wp:anchor>
        </w:drawing>
        <w:t>Brighthouse Life Insurance Company of 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POWER OF ATTORNEY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Kevin White</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Director</w:t>
      </w:r>
    </w:p>
    <w:p>
      <w:pPr>
        <w:spacing w:after="0" w:line="146"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KNOW ALL MEN BY THESE PRESENTS, that I, Kevin White, a Director of Brighthouse Life Insurance Company of NY, a New York company (the “Company”), do hereby constitute and appoint Michele H. Abate, Allie Lin, and Alexander Ulianov, as my attorney-in-fact and agent, each of whom may act individually and none of whom is required to act jointly with any of the others, to sign and file on my behalf and to execute and file any instrument or document required to be filed as part of or in connection with or in any way related to, the Registration Statements and any and all amendments thereto filed by the Company under the Securities Act of 1933 and/or the Investment Company Act of 1940, pertaining to:</w:t>
      </w:r>
    </w:p>
    <w:p>
      <w:pPr>
        <w:ind w:left="660" w:hanging="323"/>
        <w:spacing w:after="0" w:line="218" w:lineRule="auto"/>
        <w:tabs>
          <w:tab w:leader="none" w:pos="660" w:val="left"/>
        </w:tabs>
        <w:numPr>
          <w:ilvl w:val="0"/>
          <w:numId w:val="114"/>
        </w:numPr>
        <w:rPr>
          <w:rFonts w:ascii="Times New Roman" w:cs="Times New Roman" w:eastAsia="Times New Roman" w:hAnsi="Times New Roman"/>
          <w:sz w:val="21"/>
          <w:szCs w:val="21"/>
          <w:color w:val="auto"/>
          <w:vertAlign w:val="superscript"/>
        </w:rPr>
      </w:pPr>
      <w:r>
        <w:rPr>
          <w:rFonts w:ascii="Arial" w:cs="Arial" w:eastAsia="Arial" w:hAnsi="Arial"/>
          <w:sz w:val="13"/>
          <w:szCs w:val="13"/>
          <w:color w:val="auto"/>
        </w:rPr>
        <w:t>  Brighthouse Variable Annuity Account B (811-08306)</w:t>
      </w:r>
    </w:p>
    <w:p>
      <w:pPr>
        <w:ind w:left="780"/>
        <w:spacing w:after="0"/>
        <w:rPr>
          <w:sz w:val="20"/>
          <w:szCs w:val="20"/>
          <w:color w:val="auto"/>
        </w:rPr>
      </w:pPr>
      <w:r>
        <w:rPr>
          <w:rFonts w:ascii="Arial" w:cs="Arial" w:eastAsia="Arial" w:hAnsi="Arial"/>
          <w:sz w:val="13"/>
          <w:szCs w:val="13"/>
          <w:color w:val="auto"/>
        </w:rPr>
        <w:t>File No. 033-74174 First COVA VA, Custom Select, Russell Select and Class VA, Class AA and Class B</w:t>
      </w:r>
    </w:p>
    <w:p>
      <w:pPr>
        <w:ind w:left="780"/>
        <w:spacing w:after="0"/>
        <w:rPr>
          <w:sz w:val="20"/>
          <w:szCs w:val="20"/>
          <w:color w:val="auto"/>
        </w:rPr>
      </w:pPr>
      <w:r>
        <w:rPr>
          <w:rFonts w:ascii="Arial" w:cs="Arial" w:eastAsia="Arial" w:hAnsi="Arial"/>
          <w:sz w:val="13"/>
          <w:szCs w:val="13"/>
          <w:color w:val="auto"/>
        </w:rPr>
        <w:t>File No. 333-96773 Class VA (offered between June 15, 2001 and October 7, 2011), Class AA, and Class B</w:t>
      </w:r>
    </w:p>
    <w:p>
      <w:pPr>
        <w:ind w:left="780"/>
        <w:spacing w:after="0"/>
        <w:rPr>
          <w:sz w:val="20"/>
          <w:szCs w:val="20"/>
          <w:color w:val="auto"/>
        </w:rPr>
      </w:pPr>
      <w:r>
        <w:rPr>
          <w:rFonts w:ascii="Arial" w:cs="Arial" w:eastAsia="Arial" w:hAnsi="Arial"/>
          <w:sz w:val="13"/>
          <w:szCs w:val="13"/>
          <w:color w:val="auto"/>
        </w:rPr>
        <w:t>File No. 333-96775 Class A</w:t>
      </w:r>
    </w:p>
    <w:p>
      <w:pPr>
        <w:ind w:left="780"/>
        <w:spacing w:after="0"/>
        <w:rPr>
          <w:sz w:val="20"/>
          <w:szCs w:val="20"/>
          <w:color w:val="auto"/>
        </w:rPr>
      </w:pPr>
      <w:r>
        <w:rPr>
          <w:rFonts w:ascii="Arial" w:cs="Arial" w:eastAsia="Arial" w:hAnsi="Arial"/>
          <w:sz w:val="13"/>
          <w:szCs w:val="13"/>
          <w:color w:val="auto"/>
        </w:rPr>
        <w:t>File No. 333-96777 Class XC</w:t>
      </w:r>
    </w:p>
    <w:p>
      <w:pPr>
        <w:ind w:left="780"/>
        <w:spacing w:after="0"/>
        <w:rPr>
          <w:sz w:val="20"/>
          <w:szCs w:val="20"/>
          <w:color w:val="auto"/>
        </w:rPr>
      </w:pPr>
      <w:r>
        <w:rPr>
          <w:rFonts w:ascii="Arial" w:cs="Arial" w:eastAsia="Arial" w:hAnsi="Arial"/>
          <w:sz w:val="13"/>
          <w:szCs w:val="13"/>
          <w:color w:val="auto"/>
        </w:rPr>
        <w:t>File No. 333-96785 Class L and Class L –4 Year (offered between November 22, 2004 and October 7, 2011)</w:t>
      </w:r>
    </w:p>
    <w:p>
      <w:pPr>
        <w:ind w:left="780"/>
        <w:spacing w:after="0"/>
        <w:rPr>
          <w:sz w:val="20"/>
          <w:szCs w:val="20"/>
          <w:color w:val="auto"/>
        </w:rPr>
      </w:pPr>
      <w:r>
        <w:rPr>
          <w:rFonts w:ascii="Arial" w:cs="Arial" w:eastAsia="Arial" w:hAnsi="Arial"/>
          <w:sz w:val="13"/>
          <w:szCs w:val="13"/>
          <w:color w:val="auto"/>
        </w:rPr>
        <w:t>File No. 333-96795 Class C (offered between September 4, 2001 and October 7, 2011)</w:t>
      </w:r>
    </w:p>
    <w:p>
      <w:pPr>
        <w:ind w:left="780"/>
        <w:spacing w:after="0"/>
        <w:rPr>
          <w:sz w:val="20"/>
          <w:szCs w:val="20"/>
          <w:color w:val="auto"/>
        </w:rPr>
      </w:pPr>
      <w:r>
        <w:rPr>
          <w:rFonts w:ascii="Arial" w:cs="Arial" w:eastAsia="Arial" w:hAnsi="Arial"/>
          <w:sz w:val="13"/>
          <w:szCs w:val="13"/>
          <w:color w:val="auto"/>
        </w:rPr>
        <w:t>File No. 333-125613 Vintage L and Vintage XC</w:t>
      </w:r>
    </w:p>
    <w:p>
      <w:pPr>
        <w:ind w:left="780"/>
        <w:spacing w:after="0"/>
        <w:rPr>
          <w:sz w:val="20"/>
          <w:szCs w:val="20"/>
          <w:color w:val="auto"/>
        </w:rPr>
      </w:pPr>
      <w:r>
        <w:rPr>
          <w:rFonts w:ascii="Arial" w:cs="Arial" w:eastAsia="Arial" w:hAnsi="Arial"/>
          <w:sz w:val="13"/>
          <w:szCs w:val="13"/>
          <w:color w:val="auto"/>
        </w:rPr>
        <w:t>File No. 333-125617 PrimElite III</w:t>
      </w:r>
    </w:p>
    <w:p>
      <w:pPr>
        <w:ind w:left="780"/>
        <w:spacing w:after="0"/>
        <w:rPr>
          <w:sz w:val="20"/>
          <w:szCs w:val="20"/>
          <w:color w:val="auto"/>
        </w:rPr>
      </w:pPr>
      <w:r>
        <w:rPr>
          <w:rFonts w:ascii="Arial" w:cs="Arial" w:eastAsia="Arial" w:hAnsi="Arial"/>
          <w:sz w:val="13"/>
          <w:szCs w:val="13"/>
          <w:color w:val="auto"/>
        </w:rPr>
        <w:t>File No. 333-125618 Marquis Portfolios (offered between November 7, 2005 and April 30, 2012)</w:t>
      </w:r>
    </w:p>
    <w:p>
      <w:pPr>
        <w:ind w:left="780"/>
        <w:spacing w:after="0"/>
        <w:rPr>
          <w:sz w:val="20"/>
          <w:szCs w:val="20"/>
          <w:color w:val="auto"/>
        </w:rPr>
      </w:pPr>
      <w:r>
        <w:rPr>
          <w:rFonts w:ascii="Arial" w:cs="Arial" w:eastAsia="Arial" w:hAnsi="Arial"/>
          <w:sz w:val="13"/>
          <w:szCs w:val="13"/>
          <w:color w:val="auto"/>
        </w:rPr>
        <w:t>File No. 333-125619 Protected Equity Portfolio</w:t>
      </w:r>
    </w:p>
    <w:p>
      <w:pPr>
        <w:ind w:left="780"/>
        <w:spacing w:after="0"/>
        <w:rPr>
          <w:sz w:val="20"/>
          <w:szCs w:val="20"/>
          <w:color w:val="auto"/>
        </w:rPr>
      </w:pPr>
      <w:r>
        <w:rPr>
          <w:rFonts w:ascii="Arial" w:cs="Arial" w:eastAsia="Arial" w:hAnsi="Arial"/>
          <w:sz w:val="13"/>
          <w:szCs w:val="13"/>
          <w:color w:val="auto"/>
        </w:rPr>
        <w:t>File No. 333-137370 Class S and Class S - L Share Option (offered between April 30, 2007 and October 7, 2011)</w:t>
      </w:r>
    </w:p>
    <w:p>
      <w:pPr>
        <w:ind w:left="780"/>
        <w:spacing w:after="0"/>
        <w:rPr>
          <w:sz w:val="20"/>
          <w:szCs w:val="20"/>
          <w:color w:val="auto"/>
        </w:rPr>
      </w:pPr>
      <w:r>
        <w:rPr>
          <w:rFonts w:ascii="Arial" w:cs="Arial" w:eastAsia="Arial" w:hAnsi="Arial"/>
          <w:sz w:val="13"/>
          <w:szCs w:val="13"/>
          <w:color w:val="auto"/>
        </w:rPr>
        <w:t>File No. 333-137969 PrimElite IV</w:t>
      </w:r>
    </w:p>
    <w:p>
      <w:pPr>
        <w:ind w:left="780"/>
        <w:spacing w:after="0"/>
        <w:rPr>
          <w:sz w:val="20"/>
          <w:szCs w:val="20"/>
          <w:color w:val="auto"/>
        </w:rPr>
      </w:pPr>
      <w:r>
        <w:rPr>
          <w:rFonts w:ascii="Arial" w:cs="Arial" w:eastAsia="Arial" w:hAnsi="Arial"/>
          <w:sz w:val="13"/>
          <w:szCs w:val="13"/>
          <w:color w:val="auto"/>
        </w:rPr>
        <w:t>File No. 333-148873 Pioneer PRISM</w:t>
      </w:r>
    </w:p>
    <w:p>
      <w:pPr>
        <w:ind w:left="780"/>
        <w:spacing w:after="0"/>
        <w:rPr>
          <w:sz w:val="20"/>
          <w:szCs w:val="20"/>
          <w:color w:val="auto"/>
        </w:rPr>
      </w:pPr>
      <w:r>
        <w:rPr>
          <w:rFonts w:ascii="Arial" w:cs="Arial" w:eastAsia="Arial" w:hAnsi="Arial"/>
          <w:sz w:val="13"/>
          <w:szCs w:val="13"/>
          <w:color w:val="auto"/>
        </w:rPr>
        <w:t>File No. 333-148874 Pioneer PRISM XC</w:t>
      </w:r>
    </w:p>
    <w:p>
      <w:pPr>
        <w:ind w:left="780"/>
        <w:spacing w:after="0"/>
        <w:rPr>
          <w:sz w:val="20"/>
          <w:szCs w:val="20"/>
          <w:color w:val="auto"/>
        </w:rPr>
      </w:pPr>
      <w:r>
        <w:rPr>
          <w:rFonts w:ascii="Arial" w:cs="Arial" w:eastAsia="Arial" w:hAnsi="Arial"/>
          <w:sz w:val="13"/>
          <w:szCs w:val="13"/>
          <w:color w:val="auto"/>
        </w:rPr>
        <w:t>File No. 333-148876 Pioneer PRISM L</w:t>
      </w:r>
    </w:p>
    <w:p>
      <w:pPr>
        <w:ind w:left="780"/>
        <w:spacing w:after="0"/>
        <w:rPr>
          <w:sz w:val="20"/>
          <w:szCs w:val="20"/>
          <w:color w:val="auto"/>
        </w:rPr>
      </w:pPr>
      <w:r>
        <w:rPr>
          <w:rFonts w:ascii="Arial" w:cs="Arial" w:eastAsia="Arial" w:hAnsi="Arial"/>
          <w:sz w:val="13"/>
          <w:szCs w:val="13"/>
          <w:color w:val="auto"/>
        </w:rPr>
        <w:t>File No. 333-152450 Class XTRA</w:t>
      </w:r>
    </w:p>
    <w:p>
      <w:pPr>
        <w:ind w:left="780"/>
        <w:spacing w:after="0"/>
        <w:rPr>
          <w:sz w:val="20"/>
          <w:szCs w:val="20"/>
          <w:color w:val="auto"/>
        </w:rPr>
      </w:pPr>
      <w:r>
        <w:rPr>
          <w:rFonts w:ascii="Arial" w:cs="Arial" w:eastAsia="Arial" w:hAnsi="Arial"/>
          <w:sz w:val="13"/>
          <w:szCs w:val="13"/>
          <w:color w:val="auto"/>
        </w:rPr>
        <w:t>File No. 333-156646 Class XTRA 6</w:t>
      </w:r>
    </w:p>
    <w:p>
      <w:pPr>
        <w:ind w:left="780"/>
        <w:spacing w:after="0" w:line="182" w:lineRule="auto"/>
        <w:rPr>
          <w:sz w:val="20"/>
          <w:szCs w:val="20"/>
          <w:color w:val="auto"/>
        </w:rPr>
      </w:pPr>
      <w:r>
        <w:rPr>
          <w:rFonts w:ascii="Arial" w:cs="Arial" w:eastAsia="Arial" w:hAnsi="Arial"/>
          <w:sz w:val="12"/>
          <w:szCs w:val="12"/>
          <w:color w:val="auto"/>
        </w:rPr>
        <w:t>File No. 333-158579 Brighthouse Simple Solutions</w:t>
      </w:r>
      <w:r>
        <w:rPr>
          <w:rFonts w:ascii="Arial" w:cs="Arial" w:eastAsia="Arial" w:hAnsi="Arial"/>
          <w:sz w:val="17"/>
          <w:szCs w:val="17"/>
          <w:color w:val="auto"/>
          <w:vertAlign w:val="superscript"/>
        </w:rPr>
        <w:t>SM</w:t>
      </w:r>
    </w:p>
    <w:p>
      <w:pPr>
        <w:ind w:left="780"/>
        <w:spacing w:after="0"/>
        <w:rPr>
          <w:sz w:val="20"/>
          <w:szCs w:val="20"/>
          <w:color w:val="auto"/>
        </w:rPr>
      </w:pPr>
      <w:r>
        <w:rPr>
          <w:rFonts w:ascii="Arial" w:cs="Arial" w:eastAsia="Arial" w:hAnsi="Arial"/>
          <w:sz w:val="13"/>
          <w:szCs w:val="13"/>
          <w:color w:val="auto"/>
        </w:rPr>
        <w:t>File No. 333-169687 Class VA- 4 (offered between May 1, 2011 and October 7, 2011)</w:t>
      </w:r>
    </w:p>
    <w:p>
      <w:pPr>
        <w:ind w:left="780"/>
        <w:spacing w:after="0"/>
        <w:rPr>
          <w:sz w:val="20"/>
          <w:szCs w:val="20"/>
          <w:color w:val="auto"/>
        </w:rPr>
      </w:pPr>
      <w:r>
        <w:rPr>
          <w:rFonts w:ascii="Arial" w:cs="Arial" w:eastAsia="Arial" w:hAnsi="Arial"/>
          <w:sz w:val="13"/>
          <w:szCs w:val="13"/>
          <w:color w:val="auto"/>
        </w:rPr>
        <w:t>File No. 333-176679 Class S (offered on and after October 7, 2011) and</w:t>
      </w:r>
    </w:p>
    <w:p>
      <w:pPr>
        <w:ind w:left="1020"/>
        <w:spacing w:after="0"/>
        <w:rPr>
          <w:sz w:val="20"/>
          <w:szCs w:val="20"/>
          <w:color w:val="auto"/>
        </w:rPr>
      </w:pPr>
      <w:r>
        <w:rPr>
          <w:rFonts w:ascii="Arial" w:cs="Arial" w:eastAsia="Arial" w:hAnsi="Arial"/>
          <w:sz w:val="13"/>
          <w:szCs w:val="13"/>
          <w:color w:val="auto"/>
        </w:rPr>
        <w:t>Class S- L Share Option (offered on and after October 7, 2011)</w:t>
      </w:r>
    </w:p>
    <w:p>
      <w:pPr>
        <w:ind w:left="780"/>
        <w:spacing w:after="0"/>
        <w:rPr>
          <w:sz w:val="20"/>
          <w:szCs w:val="20"/>
          <w:color w:val="auto"/>
        </w:rPr>
      </w:pPr>
      <w:r>
        <w:rPr>
          <w:rFonts w:ascii="Arial" w:cs="Arial" w:eastAsia="Arial" w:hAnsi="Arial"/>
          <w:sz w:val="13"/>
          <w:szCs w:val="13"/>
          <w:color w:val="auto"/>
        </w:rPr>
        <w:t>File No. 333-176680 Class VA- 4 (offered between October 7, 2011 and May 1, 2016)</w:t>
      </w:r>
    </w:p>
    <w:p>
      <w:pPr>
        <w:ind w:left="780"/>
        <w:spacing w:after="0"/>
        <w:rPr>
          <w:sz w:val="20"/>
          <w:szCs w:val="20"/>
          <w:color w:val="auto"/>
        </w:rPr>
      </w:pPr>
      <w:r>
        <w:rPr>
          <w:rFonts w:ascii="Arial" w:cs="Arial" w:eastAsia="Arial" w:hAnsi="Arial"/>
          <w:sz w:val="13"/>
          <w:szCs w:val="13"/>
          <w:color w:val="auto"/>
        </w:rPr>
        <w:t>File No. 333-176691 Class VA (offered on and after October 7, 2011)</w:t>
      </w:r>
    </w:p>
    <w:p>
      <w:pPr>
        <w:ind w:left="780"/>
        <w:spacing w:after="0"/>
        <w:rPr>
          <w:sz w:val="20"/>
          <w:szCs w:val="20"/>
          <w:color w:val="auto"/>
        </w:rPr>
      </w:pPr>
      <w:r>
        <w:rPr>
          <w:rFonts w:ascii="Arial" w:cs="Arial" w:eastAsia="Arial" w:hAnsi="Arial"/>
          <w:sz w:val="13"/>
          <w:szCs w:val="13"/>
          <w:color w:val="auto"/>
        </w:rPr>
        <w:t>File No. 333-176692 Class L- 4 Year (offered between October 7, 2011 and April 28, 2013)</w:t>
      </w:r>
    </w:p>
    <w:p>
      <w:pPr>
        <w:ind w:left="780"/>
        <w:spacing w:after="0"/>
        <w:rPr>
          <w:sz w:val="20"/>
          <w:szCs w:val="20"/>
          <w:color w:val="auto"/>
        </w:rPr>
      </w:pPr>
      <w:r>
        <w:rPr>
          <w:rFonts w:ascii="Arial" w:cs="Arial" w:eastAsia="Arial" w:hAnsi="Arial"/>
          <w:sz w:val="13"/>
          <w:szCs w:val="13"/>
          <w:color w:val="auto"/>
        </w:rPr>
        <w:t>File No. 333-176693 Class C (offered on and after October 7, 2011)</w:t>
      </w:r>
    </w:p>
    <w:p>
      <w:pPr>
        <w:ind w:left="780"/>
        <w:spacing w:after="0"/>
        <w:rPr>
          <w:sz w:val="20"/>
          <w:szCs w:val="20"/>
          <w:color w:val="auto"/>
        </w:rPr>
      </w:pPr>
      <w:r>
        <w:rPr>
          <w:rFonts w:ascii="Arial" w:cs="Arial" w:eastAsia="Arial" w:hAnsi="Arial"/>
          <w:sz w:val="13"/>
          <w:szCs w:val="13"/>
          <w:color w:val="auto"/>
        </w:rPr>
        <w:t>File No. 333-178515 Class O (offered between April 30, 2012 and September 20, 2015)</w:t>
      </w:r>
    </w:p>
    <w:p>
      <w:pPr>
        <w:ind w:left="780"/>
        <w:spacing w:after="0"/>
        <w:rPr>
          <w:sz w:val="20"/>
          <w:szCs w:val="20"/>
          <w:color w:val="auto"/>
        </w:rPr>
      </w:pPr>
      <w:r>
        <w:rPr>
          <w:rFonts w:ascii="Arial" w:cs="Arial" w:eastAsia="Arial" w:hAnsi="Arial"/>
          <w:sz w:val="13"/>
          <w:szCs w:val="13"/>
          <w:color w:val="auto"/>
        </w:rPr>
        <w:t>File No. 333-179240 Marquis Portfolios (offered on and after April 30, 2012)</w:t>
      </w:r>
    </w:p>
    <w:p>
      <w:pPr>
        <w:ind w:left="780"/>
        <w:spacing w:after="0"/>
        <w:rPr>
          <w:sz w:val="20"/>
          <w:szCs w:val="20"/>
          <w:color w:val="auto"/>
        </w:rPr>
      </w:pPr>
      <w:r>
        <w:rPr>
          <w:rFonts w:ascii="Arial" w:cs="Arial" w:eastAsia="Arial" w:hAnsi="Arial"/>
          <w:sz w:val="13"/>
          <w:szCs w:val="13"/>
          <w:color w:val="auto"/>
        </w:rPr>
        <w:t>File No. 333-186216 Class L- 4 Year (offered on and after April 29, 2013)</w:t>
      </w:r>
    </w:p>
    <w:p>
      <w:pPr>
        <w:ind w:left="780"/>
        <w:spacing w:after="0"/>
        <w:rPr>
          <w:sz w:val="20"/>
          <w:szCs w:val="20"/>
          <w:color w:val="auto"/>
        </w:rPr>
      </w:pPr>
      <w:r>
        <w:rPr>
          <w:rFonts w:ascii="Arial" w:cs="Arial" w:eastAsia="Arial" w:hAnsi="Arial"/>
          <w:sz w:val="13"/>
          <w:szCs w:val="13"/>
          <w:color w:val="auto"/>
        </w:rPr>
        <w:t>File No. 333-205137 Class O (offered on and after September 21, 2015)</w:t>
      </w:r>
    </w:p>
    <w:p>
      <w:pPr>
        <w:ind w:left="780"/>
        <w:spacing w:after="0"/>
        <w:rPr>
          <w:sz w:val="20"/>
          <w:szCs w:val="20"/>
          <w:color w:val="auto"/>
        </w:rPr>
      </w:pPr>
      <w:r>
        <w:rPr>
          <w:rFonts w:ascii="Arial" w:cs="Arial" w:eastAsia="Arial" w:hAnsi="Arial"/>
          <w:sz w:val="13"/>
          <w:szCs w:val="13"/>
          <w:color w:val="auto"/>
        </w:rPr>
        <w:t>File No. 333-209057 Class VA- 4 (offered on and after May 2, 2016)</w:t>
      </w:r>
    </w:p>
    <w:p>
      <w:pPr>
        <w:ind w:left="780"/>
        <w:spacing w:after="0"/>
        <w:rPr>
          <w:sz w:val="20"/>
          <w:szCs w:val="20"/>
          <w:color w:val="auto"/>
        </w:rPr>
      </w:pPr>
      <w:r>
        <w:rPr>
          <w:rFonts w:ascii="Arial" w:cs="Arial" w:eastAsia="Arial" w:hAnsi="Arial"/>
          <w:sz w:val="13"/>
          <w:szCs w:val="13"/>
          <w:color w:val="auto"/>
        </w:rPr>
        <w:t>File No. 333-209058 Class VA (offered on and after May 2, 2016)</w:t>
      </w:r>
    </w:p>
    <w:p>
      <w:pPr>
        <w:ind w:left="780"/>
        <w:spacing w:after="0"/>
        <w:rPr>
          <w:sz w:val="20"/>
          <w:szCs w:val="20"/>
          <w:color w:val="auto"/>
        </w:rPr>
      </w:pPr>
      <w:r>
        <w:rPr>
          <w:rFonts w:ascii="Arial" w:cs="Arial" w:eastAsia="Arial" w:hAnsi="Arial"/>
          <w:sz w:val="13"/>
          <w:szCs w:val="13"/>
          <w:color w:val="auto"/>
        </w:rPr>
        <w:t>File No. 333-209059 Class S (offered on and after May 2, 2016) and</w:t>
      </w:r>
    </w:p>
    <w:p>
      <w:pPr>
        <w:ind w:left="1020"/>
        <w:spacing w:after="0"/>
        <w:rPr>
          <w:sz w:val="20"/>
          <w:szCs w:val="20"/>
          <w:color w:val="auto"/>
        </w:rPr>
      </w:pPr>
      <w:r>
        <w:rPr>
          <w:rFonts w:ascii="Arial" w:cs="Arial" w:eastAsia="Arial" w:hAnsi="Arial"/>
          <w:sz w:val="13"/>
          <w:szCs w:val="13"/>
          <w:color w:val="auto"/>
        </w:rPr>
        <w:t>S- L Share Option (offered on and after May 2, 2016)</w:t>
      </w:r>
    </w:p>
    <w:p>
      <w:pPr>
        <w:ind w:left="780"/>
        <w:spacing w:after="0"/>
        <w:rPr>
          <w:sz w:val="20"/>
          <w:szCs w:val="20"/>
          <w:color w:val="auto"/>
        </w:rPr>
      </w:pPr>
      <w:r>
        <w:rPr>
          <w:rFonts w:ascii="Arial" w:cs="Arial" w:eastAsia="Arial" w:hAnsi="Arial"/>
          <w:sz w:val="13"/>
          <w:szCs w:val="13"/>
          <w:color w:val="auto"/>
        </w:rPr>
        <w:t>File No. 333-216454 Brighthouse Prime Options,</w:t>
      </w:r>
    </w:p>
    <w:p>
      <w:pPr>
        <w:sectPr>
          <w:pgSz w:w="11900" w:h="16838" w:orient="portrait"/>
          <w:cols w:equalWidth="0" w:num="1">
            <w:col w:w="11260"/>
          </w:cols>
          <w:pgMar w:left="300" w:top="236" w:right="339" w:bottom="1440" w:gutter="0" w:footer="0" w:header="0"/>
        </w:sectPr>
      </w:pPr>
    </w:p>
    <w:bookmarkStart w:id="171" w:name="page172"/>
    <w:bookmarkEnd w:id="171"/>
    <w:p>
      <w:pPr>
        <w:ind w:left="5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4">
                      <a:extLst>
                        <a:ext uri="{28A0092B-C50C-407E-A947-70E740481C1C}"/>
                      </a:extLst>
                    </a:blip>
                    <a:srcRect/>
                    <a:stretch>
                      <a:fillRect/>
                    </a:stretch>
                  </pic:blipFill>
                  <pic:spPr bwMode="auto">
                    <a:xfrm>
                      <a:off x="0" y="0"/>
                      <a:ext cx="7206615" cy="31750"/>
                    </a:xfrm>
                    <a:prstGeom prst="rect">
                      <a:avLst/>
                    </a:prstGeom>
                    <a:noFill/>
                  </pic:spPr>
                </pic:pic>
              </a:graphicData>
            </a:graphic>
          </wp:anchor>
        </w:drawing>
        <w:t>And pertaining to:</w:t>
      </w:r>
    </w:p>
    <w:p>
      <w:pPr>
        <w:ind w:left="780"/>
        <w:spacing w:after="0" w:line="185" w:lineRule="auto"/>
        <w:rPr>
          <w:sz w:val="20"/>
          <w:szCs w:val="20"/>
          <w:color w:val="auto"/>
        </w:rPr>
      </w:pPr>
      <w:r>
        <w:rPr>
          <w:rFonts w:ascii="Arial" w:cs="Arial" w:eastAsia="Arial" w:hAnsi="Arial"/>
          <w:sz w:val="13"/>
          <w:szCs w:val="13"/>
          <w:color w:val="auto"/>
        </w:rPr>
        <w:t>File No. 333-216452 Brighthouse Shield Level Selector</w:t>
      </w:r>
      <w:r>
        <w:rPr>
          <w:rFonts w:ascii="Arial" w:cs="Arial" w:eastAsia="Arial" w:hAnsi="Arial"/>
          <w:sz w:val="18"/>
          <w:szCs w:val="18"/>
          <w:color w:val="auto"/>
          <w:vertAlign w:val="superscript"/>
        </w:rPr>
        <w:t>®</w:t>
      </w:r>
      <w:r>
        <w:rPr>
          <w:rFonts w:ascii="Arial" w:cs="Arial" w:eastAsia="Arial" w:hAnsi="Arial"/>
          <w:sz w:val="13"/>
          <w:szCs w:val="13"/>
          <w:color w:val="auto"/>
        </w:rPr>
        <w:t xml:space="preserve"> Annuity</w:t>
      </w:r>
    </w:p>
    <w:p>
      <w:pPr>
        <w:ind w:left="780"/>
        <w:spacing w:after="0" w:line="183" w:lineRule="auto"/>
        <w:rPr>
          <w:sz w:val="20"/>
          <w:szCs w:val="20"/>
          <w:color w:val="auto"/>
        </w:rPr>
      </w:pPr>
      <w:r>
        <w:rPr>
          <w:rFonts w:ascii="Arial" w:cs="Arial" w:eastAsia="Arial" w:hAnsi="Arial"/>
          <w:sz w:val="12"/>
          <w:szCs w:val="12"/>
          <w:color w:val="auto"/>
        </w:rPr>
        <w:t>File No. 333-216453 Brighthouse Shield Level Selector</w:t>
      </w:r>
      <w:r>
        <w:rPr>
          <w:rFonts w:ascii="Arial" w:cs="Arial" w:eastAsia="Arial" w:hAnsi="Arial"/>
          <w:sz w:val="17"/>
          <w:szCs w:val="17"/>
          <w:color w:val="auto"/>
          <w:vertAlign w:val="superscript"/>
        </w:rPr>
        <w:t>®</w:t>
      </w:r>
      <w:r>
        <w:rPr>
          <w:rFonts w:ascii="Arial" w:cs="Arial" w:eastAsia="Arial" w:hAnsi="Arial"/>
          <w:sz w:val="12"/>
          <w:szCs w:val="12"/>
          <w:color w:val="auto"/>
        </w:rPr>
        <w:t xml:space="preserve"> 3-Year Annuity</w:t>
      </w:r>
    </w:p>
    <w:p>
      <w:pPr>
        <w:ind w:left="780"/>
        <w:spacing w:after="0" w:line="183" w:lineRule="auto"/>
        <w:rPr>
          <w:sz w:val="20"/>
          <w:szCs w:val="20"/>
          <w:color w:val="auto"/>
        </w:rPr>
      </w:pPr>
      <w:r>
        <w:rPr>
          <w:rFonts w:ascii="Arial" w:cs="Arial" w:eastAsia="Arial" w:hAnsi="Arial"/>
          <w:sz w:val="12"/>
          <w:szCs w:val="12"/>
          <w:color w:val="auto"/>
        </w:rPr>
        <w:t>File No. 333-238214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10 Annuity</w:t>
      </w:r>
    </w:p>
    <w:p>
      <w:pPr>
        <w:ind w:left="780"/>
        <w:spacing w:after="0" w:line="182" w:lineRule="auto"/>
        <w:rPr>
          <w:sz w:val="20"/>
          <w:szCs w:val="20"/>
          <w:color w:val="auto"/>
        </w:rPr>
      </w:pPr>
      <w:r>
        <w:rPr>
          <w:rFonts w:ascii="Arial" w:cs="Arial" w:eastAsia="Arial" w:hAnsi="Arial"/>
          <w:sz w:val="12"/>
          <w:szCs w:val="12"/>
          <w:color w:val="auto"/>
        </w:rPr>
        <w:t>File No. 333-265196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Select 3-Year Annuity</w:t>
      </w:r>
    </w:p>
    <w:p>
      <w:pPr>
        <w:ind w:left="780"/>
        <w:spacing w:after="0" w:line="183" w:lineRule="auto"/>
        <w:rPr>
          <w:sz w:val="20"/>
          <w:szCs w:val="20"/>
          <w:color w:val="auto"/>
        </w:rPr>
      </w:pPr>
      <w:r>
        <w:rPr>
          <w:rFonts w:ascii="Arial" w:cs="Arial" w:eastAsia="Arial" w:hAnsi="Arial"/>
          <w:sz w:val="12"/>
          <w:szCs w:val="12"/>
          <w:color w:val="auto"/>
        </w:rPr>
        <w:t>File No. 333-265199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Select 6-Year Annuity</w:t>
      </w:r>
    </w:p>
    <w:p>
      <w:pPr>
        <w:ind w:left="780"/>
        <w:spacing w:after="0" w:line="183" w:lineRule="auto"/>
        <w:rPr>
          <w:sz w:val="20"/>
          <w:szCs w:val="20"/>
          <w:color w:val="auto"/>
        </w:rPr>
      </w:pPr>
      <w:r>
        <w:rPr>
          <w:rFonts w:ascii="Arial" w:cs="Arial" w:eastAsia="Arial" w:hAnsi="Arial"/>
          <w:sz w:val="12"/>
          <w:szCs w:val="12"/>
          <w:color w:val="auto"/>
        </w:rPr>
        <w:t>File No. 333-259506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Select 6-Year Annuity v.3</w:t>
      </w:r>
    </w:p>
    <w:p>
      <w:pPr>
        <w:ind w:left="780"/>
        <w:spacing w:after="0"/>
        <w:rPr>
          <w:sz w:val="20"/>
          <w:szCs w:val="20"/>
          <w:color w:val="auto"/>
        </w:rPr>
      </w:pPr>
      <w:r>
        <w:rPr>
          <w:rFonts w:ascii="Arial" w:cs="Arial" w:eastAsia="Arial" w:hAnsi="Arial"/>
          <w:sz w:val="13"/>
          <w:szCs w:val="13"/>
          <w:color w:val="auto"/>
        </w:rPr>
        <w:t>File No. 333-279315 Brighthouse Shield</w:t>
      </w:r>
      <w:r>
        <w:rPr>
          <w:rFonts w:ascii="Arial" w:cs="Arial" w:eastAsia="Arial" w:hAnsi="Arial"/>
          <w:sz w:val="19"/>
          <w:szCs w:val="19"/>
          <w:color w:val="auto"/>
          <w:vertAlign w:val="superscript"/>
        </w:rPr>
        <w:t>®</w:t>
      </w:r>
      <w:r>
        <w:rPr>
          <w:rFonts w:ascii="Arial" w:cs="Arial" w:eastAsia="Arial" w:hAnsi="Arial"/>
          <w:sz w:val="13"/>
          <w:szCs w:val="13"/>
          <w:color w:val="auto"/>
        </w:rPr>
        <w:t xml:space="preserve"> Level II 6-Year Annuity</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And new annuities and life products such as:</w:t>
      </w:r>
    </w:p>
    <w:p>
      <w:pPr>
        <w:spacing w:after="0" w:line="11" w:lineRule="exact"/>
        <w:rPr>
          <w:sz w:val="20"/>
          <w:szCs w:val="20"/>
          <w:color w:val="auto"/>
        </w:rPr>
      </w:pPr>
    </w:p>
    <w:p>
      <w:pPr>
        <w:ind w:left="780"/>
        <w:spacing w:after="0"/>
        <w:rPr>
          <w:sz w:val="20"/>
          <w:szCs w:val="20"/>
          <w:color w:val="auto"/>
        </w:rPr>
      </w:pPr>
      <w:r>
        <w:rPr>
          <w:rFonts w:ascii="Arial" w:cs="Arial" w:eastAsia="Arial" w:hAnsi="Arial"/>
          <w:sz w:val="13"/>
          <w:szCs w:val="13"/>
          <w:color w:val="auto"/>
        </w:rPr>
        <w:t>Brighthouse Shield Annuity</w:t>
      </w:r>
    </w:p>
    <w:p>
      <w:pPr>
        <w:ind w:left="780"/>
        <w:spacing w:after="0"/>
        <w:rPr>
          <w:sz w:val="20"/>
          <w:szCs w:val="20"/>
          <w:color w:val="auto"/>
        </w:rPr>
      </w:pPr>
      <w:r>
        <w:rPr>
          <w:rFonts w:ascii="Arial" w:cs="Arial" w:eastAsia="Arial" w:hAnsi="Arial"/>
          <w:sz w:val="13"/>
          <w:szCs w:val="13"/>
          <w:color w:val="auto"/>
        </w:rPr>
        <w:t>Brighthouse Shield 3-Year Annuity</w:t>
      </w:r>
    </w:p>
    <w:p>
      <w:pPr>
        <w:ind w:left="780"/>
        <w:spacing w:after="0"/>
        <w:rPr>
          <w:sz w:val="20"/>
          <w:szCs w:val="20"/>
          <w:color w:val="auto"/>
        </w:rPr>
      </w:pPr>
      <w:r>
        <w:rPr>
          <w:rFonts w:ascii="Arial" w:cs="Arial" w:eastAsia="Arial" w:hAnsi="Arial"/>
          <w:sz w:val="13"/>
          <w:szCs w:val="13"/>
          <w:color w:val="auto"/>
        </w:rPr>
        <w:t>Brighthouse Shield 6-Year Annuity</w:t>
      </w:r>
    </w:p>
    <w:p>
      <w:pPr>
        <w:ind w:left="780"/>
        <w:spacing w:after="0"/>
        <w:rPr>
          <w:sz w:val="20"/>
          <w:szCs w:val="20"/>
          <w:color w:val="auto"/>
        </w:rPr>
      </w:pPr>
      <w:r>
        <w:rPr>
          <w:rFonts w:ascii="Arial" w:cs="Arial" w:eastAsia="Arial" w:hAnsi="Arial"/>
          <w:sz w:val="13"/>
          <w:szCs w:val="13"/>
          <w:color w:val="auto"/>
        </w:rPr>
        <w:t>Brighthouse indexed-linked life insurance policy,</w:t>
      </w:r>
    </w:p>
    <w:p>
      <w:pPr>
        <w:spacing w:after="0" w:line="146" w:lineRule="exact"/>
        <w:rPr>
          <w:sz w:val="20"/>
          <w:szCs w:val="20"/>
          <w:color w:val="auto"/>
        </w:rPr>
      </w:pPr>
    </w:p>
    <w:p>
      <w:pPr>
        <w:spacing w:after="0" w:line="258" w:lineRule="auto"/>
        <w:rPr>
          <w:sz w:val="20"/>
          <w:szCs w:val="20"/>
          <w:color w:val="auto"/>
        </w:rPr>
      </w:pPr>
      <w:r>
        <w:rPr>
          <w:rFonts w:ascii="Arial" w:cs="Arial" w:eastAsia="Arial" w:hAnsi="Arial"/>
          <w:sz w:val="13"/>
          <w:szCs w:val="13"/>
          <w:color w:val="auto"/>
        </w:rPr>
        <w:t>and to have full power and authority to do or cause to be done in my name, place and stead each and every act and thing necessary or appropriate in order to effectuate the same, as fully to all intents and purposes as I might or could do in person, hereby ratifying and confirming all that said attorneys-in-fact or any of them, may do or cause to be done by virtue hereof. This Power of Attorney does not revoke any prior powers of attorney.</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color w:val="auto"/>
        </w:rPr>
        <w:t>IN WITNESS WHEREOF, I have hereunto set my hand this 17th day of May 2024.</w:t>
      </w:r>
    </w:p>
    <w:p>
      <w:pPr>
        <w:spacing w:after="0" w:line="347"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 Kevin White</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Kevin White</w:t>
      </w:r>
    </w:p>
    <w:p>
      <w:pPr>
        <w:sectPr>
          <w:pgSz w:w="11900" w:h="16838" w:orient="portrait"/>
          <w:cols w:equalWidth="0" w:num="1">
            <w:col w:w="11220"/>
          </w:cols>
          <w:pgMar w:left="300" w:top="236" w:right="379" w:bottom="1440" w:gutter="0" w:footer="0" w:header="0"/>
        </w:sectPr>
      </w:pPr>
    </w:p>
    <w:bookmarkStart w:id="172" w:name="page173"/>
    <w:bookmarkEnd w:id="172"/>
    <w:p>
      <w:pPr>
        <w:jc w:val="center"/>
        <w:ind w:right="-199"/>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5">
                      <a:extLst>
                        <a:ext uri="{28A0092B-C50C-407E-A947-70E740481C1C}"/>
                      </a:extLst>
                    </a:blip>
                    <a:srcRect/>
                    <a:stretch>
                      <a:fillRect/>
                    </a:stretch>
                  </pic:blipFill>
                  <pic:spPr bwMode="auto">
                    <a:xfrm>
                      <a:off x="0" y="0"/>
                      <a:ext cx="7206615" cy="31750"/>
                    </a:xfrm>
                    <a:prstGeom prst="rect">
                      <a:avLst/>
                    </a:prstGeom>
                    <a:noFill/>
                  </pic:spPr>
                </pic:pic>
              </a:graphicData>
            </a:graphic>
          </wp:anchor>
        </w:drawing>
        <w:t>Brighthouse Life Insurance Company of NY</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3"/>
          <w:szCs w:val="13"/>
          <w:color w:val="auto"/>
        </w:rPr>
        <w:t>POWER OF ATTORNEY</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3"/>
          <w:szCs w:val="13"/>
          <w:color w:val="auto"/>
        </w:rPr>
        <w:t>Richard A. Cook</w:t>
      </w:r>
    </w:p>
    <w:p>
      <w:pPr>
        <w:spacing w:after="0" w:line="11" w:lineRule="exact"/>
        <w:rPr>
          <w:sz w:val="20"/>
          <w:szCs w:val="20"/>
          <w:color w:val="auto"/>
        </w:rPr>
      </w:pPr>
    </w:p>
    <w:p>
      <w:pPr>
        <w:jc w:val="center"/>
        <w:ind w:right="-199"/>
        <w:spacing w:after="0"/>
        <w:rPr>
          <w:sz w:val="20"/>
          <w:szCs w:val="20"/>
          <w:color w:val="auto"/>
        </w:rPr>
      </w:pPr>
      <w:r>
        <w:rPr>
          <w:rFonts w:ascii="Arial" w:cs="Arial" w:eastAsia="Arial" w:hAnsi="Arial"/>
          <w:sz w:val="13"/>
          <w:szCs w:val="13"/>
          <w:color w:val="auto"/>
        </w:rPr>
        <w:t>Vice President and Chief Financial Officer</w:t>
      </w:r>
    </w:p>
    <w:p>
      <w:pPr>
        <w:spacing w:after="0" w:line="146" w:lineRule="exact"/>
        <w:rPr>
          <w:sz w:val="20"/>
          <w:szCs w:val="20"/>
          <w:color w:val="auto"/>
        </w:rPr>
      </w:pPr>
    </w:p>
    <w:p>
      <w:pPr>
        <w:spacing w:after="0" w:line="251" w:lineRule="auto"/>
        <w:rPr>
          <w:sz w:val="20"/>
          <w:szCs w:val="20"/>
          <w:color w:val="auto"/>
        </w:rPr>
      </w:pPr>
      <w:r>
        <w:rPr>
          <w:rFonts w:ascii="Arial" w:cs="Arial" w:eastAsia="Arial" w:hAnsi="Arial"/>
          <w:sz w:val="13"/>
          <w:szCs w:val="13"/>
          <w:color w:val="auto"/>
        </w:rPr>
        <w:t>KNOW ALL MEN BY THESE PRESENTS, that I, Richard A. Cook, Vice President and Chief Financial Officer of Brighthouse Life Insurance Company of NY, a New York company (the “Company”), do hereby constitute and appoint Michele H. Abate, Allie Lin, and Alexander Ulianov, as my attorney-in-fact and agent, each of whom may act individually and none of whom is required to act jointly with any of the others, to sign and file on my behalf and to execute and file any instrument or document required to be filed as part of or in connection with or in any way related to, the Registration Statements and any and all amendments thereto filed by the Company under the Securities Act of 1933 and/or the Investment Company Act of 1940, pertaining to:</w:t>
      </w:r>
    </w:p>
    <w:p>
      <w:pPr>
        <w:spacing w:after="0" w:line="68" w:lineRule="exact"/>
        <w:rPr>
          <w:sz w:val="20"/>
          <w:szCs w:val="20"/>
          <w:color w:val="auto"/>
        </w:rPr>
      </w:pPr>
    </w:p>
    <w:p>
      <w:pPr>
        <w:ind w:left="660" w:hanging="323"/>
        <w:spacing w:after="0"/>
        <w:tabs>
          <w:tab w:leader="none" w:pos="660" w:val="left"/>
        </w:tabs>
        <w:numPr>
          <w:ilvl w:val="0"/>
          <w:numId w:val="115"/>
        </w:numPr>
        <w:rPr>
          <w:rFonts w:ascii="Times New Roman" w:cs="Times New Roman" w:eastAsia="Times New Roman" w:hAnsi="Times New Roman"/>
          <w:sz w:val="21"/>
          <w:szCs w:val="21"/>
          <w:color w:val="auto"/>
          <w:vertAlign w:val="superscript"/>
        </w:rPr>
      </w:pPr>
      <w:r>
        <w:rPr>
          <w:rFonts w:ascii="Arial" w:cs="Arial" w:eastAsia="Arial" w:hAnsi="Arial"/>
          <w:sz w:val="13"/>
          <w:szCs w:val="13"/>
          <w:color w:val="auto"/>
        </w:rPr>
        <w:t>  Brighthouse Variable Annuity Account B (811-08306)</w:t>
      </w:r>
    </w:p>
    <w:p>
      <w:pPr>
        <w:ind w:left="780"/>
        <w:spacing w:after="0"/>
        <w:rPr>
          <w:sz w:val="20"/>
          <w:szCs w:val="20"/>
          <w:color w:val="auto"/>
        </w:rPr>
      </w:pPr>
      <w:r>
        <w:rPr>
          <w:rFonts w:ascii="Arial" w:cs="Arial" w:eastAsia="Arial" w:hAnsi="Arial"/>
          <w:sz w:val="13"/>
          <w:szCs w:val="13"/>
          <w:color w:val="auto"/>
        </w:rPr>
        <w:t>File No. 033-74174 First COVA VA, Custom Select, Russell Select and Class VA, Class AA and Class B</w:t>
      </w:r>
    </w:p>
    <w:p>
      <w:pPr>
        <w:ind w:left="780"/>
        <w:spacing w:after="0"/>
        <w:rPr>
          <w:sz w:val="20"/>
          <w:szCs w:val="20"/>
          <w:color w:val="auto"/>
        </w:rPr>
      </w:pPr>
      <w:r>
        <w:rPr>
          <w:rFonts w:ascii="Arial" w:cs="Arial" w:eastAsia="Arial" w:hAnsi="Arial"/>
          <w:sz w:val="13"/>
          <w:szCs w:val="13"/>
          <w:color w:val="auto"/>
        </w:rPr>
        <w:t>File No. 333-96773 Class VA (offered between June 15, 2001 and October 7, 2011), Class AA, and Class B</w:t>
      </w:r>
    </w:p>
    <w:p>
      <w:pPr>
        <w:ind w:left="780"/>
        <w:spacing w:after="0"/>
        <w:rPr>
          <w:sz w:val="20"/>
          <w:szCs w:val="20"/>
          <w:color w:val="auto"/>
        </w:rPr>
      </w:pPr>
      <w:r>
        <w:rPr>
          <w:rFonts w:ascii="Arial" w:cs="Arial" w:eastAsia="Arial" w:hAnsi="Arial"/>
          <w:sz w:val="13"/>
          <w:szCs w:val="13"/>
          <w:color w:val="auto"/>
        </w:rPr>
        <w:t>File No. 333-96775 Class A</w:t>
      </w:r>
    </w:p>
    <w:p>
      <w:pPr>
        <w:ind w:left="780"/>
        <w:spacing w:after="0"/>
        <w:rPr>
          <w:sz w:val="20"/>
          <w:szCs w:val="20"/>
          <w:color w:val="auto"/>
        </w:rPr>
      </w:pPr>
      <w:r>
        <w:rPr>
          <w:rFonts w:ascii="Arial" w:cs="Arial" w:eastAsia="Arial" w:hAnsi="Arial"/>
          <w:sz w:val="13"/>
          <w:szCs w:val="13"/>
          <w:color w:val="auto"/>
        </w:rPr>
        <w:t>File No. 333-96777 Class XC</w:t>
      </w:r>
    </w:p>
    <w:p>
      <w:pPr>
        <w:ind w:left="780"/>
        <w:spacing w:after="0"/>
        <w:rPr>
          <w:sz w:val="20"/>
          <w:szCs w:val="20"/>
          <w:color w:val="auto"/>
        </w:rPr>
      </w:pPr>
      <w:r>
        <w:rPr>
          <w:rFonts w:ascii="Arial" w:cs="Arial" w:eastAsia="Arial" w:hAnsi="Arial"/>
          <w:sz w:val="13"/>
          <w:szCs w:val="13"/>
          <w:color w:val="auto"/>
        </w:rPr>
        <w:t>File No. 333-96785 Class L and Class L –4 Year (offered between November 22, 2004 and October 7, 2011)</w:t>
      </w:r>
    </w:p>
    <w:p>
      <w:pPr>
        <w:ind w:left="780"/>
        <w:spacing w:after="0"/>
        <w:rPr>
          <w:sz w:val="20"/>
          <w:szCs w:val="20"/>
          <w:color w:val="auto"/>
        </w:rPr>
      </w:pPr>
      <w:r>
        <w:rPr>
          <w:rFonts w:ascii="Arial" w:cs="Arial" w:eastAsia="Arial" w:hAnsi="Arial"/>
          <w:sz w:val="13"/>
          <w:szCs w:val="13"/>
          <w:color w:val="auto"/>
        </w:rPr>
        <w:t>File No. 333-96795 Class C (offered between September 4, 2001 and October 7, 2011)</w:t>
      </w:r>
    </w:p>
    <w:p>
      <w:pPr>
        <w:ind w:left="780"/>
        <w:spacing w:after="0"/>
        <w:rPr>
          <w:sz w:val="20"/>
          <w:szCs w:val="20"/>
          <w:color w:val="auto"/>
        </w:rPr>
      </w:pPr>
      <w:r>
        <w:rPr>
          <w:rFonts w:ascii="Arial" w:cs="Arial" w:eastAsia="Arial" w:hAnsi="Arial"/>
          <w:sz w:val="13"/>
          <w:szCs w:val="13"/>
          <w:color w:val="auto"/>
        </w:rPr>
        <w:t>File No. 333-125613 Vintage L and Vintage XC</w:t>
      </w:r>
    </w:p>
    <w:p>
      <w:pPr>
        <w:ind w:left="780"/>
        <w:spacing w:after="0"/>
        <w:rPr>
          <w:sz w:val="20"/>
          <w:szCs w:val="20"/>
          <w:color w:val="auto"/>
        </w:rPr>
      </w:pPr>
      <w:r>
        <w:rPr>
          <w:rFonts w:ascii="Arial" w:cs="Arial" w:eastAsia="Arial" w:hAnsi="Arial"/>
          <w:sz w:val="13"/>
          <w:szCs w:val="13"/>
          <w:color w:val="auto"/>
        </w:rPr>
        <w:t>File No. 333-125617 PrimElite III File No. 333-125618 Marquis Portfolios (offered between November 7, 2005 and</w:t>
      </w:r>
    </w:p>
    <w:p>
      <w:pPr>
        <w:ind w:left="780"/>
        <w:spacing w:after="0"/>
        <w:rPr>
          <w:sz w:val="20"/>
          <w:szCs w:val="20"/>
          <w:color w:val="auto"/>
        </w:rPr>
      </w:pPr>
      <w:r>
        <w:rPr>
          <w:rFonts w:ascii="Arial" w:cs="Arial" w:eastAsia="Arial" w:hAnsi="Arial"/>
          <w:sz w:val="13"/>
          <w:szCs w:val="13"/>
          <w:color w:val="auto"/>
        </w:rPr>
        <w:t>April 30, 2012)</w:t>
      </w:r>
    </w:p>
    <w:p>
      <w:pPr>
        <w:ind w:left="780"/>
        <w:spacing w:after="0"/>
        <w:rPr>
          <w:sz w:val="20"/>
          <w:szCs w:val="20"/>
          <w:color w:val="auto"/>
        </w:rPr>
      </w:pPr>
      <w:r>
        <w:rPr>
          <w:rFonts w:ascii="Arial" w:cs="Arial" w:eastAsia="Arial" w:hAnsi="Arial"/>
          <w:sz w:val="13"/>
          <w:szCs w:val="13"/>
          <w:color w:val="auto"/>
        </w:rPr>
        <w:t>File No. 333-125619 Protected Equity Portfolio</w:t>
      </w:r>
    </w:p>
    <w:p>
      <w:pPr>
        <w:ind w:left="780"/>
        <w:spacing w:after="0"/>
        <w:rPr>
          <w:sz w:val="20"/>
          <w:szCs w:val="20"/>
          <w:color w:val="auto"/>
        </w:rPr>
      </w:pPr>
      <w:r>
        <w:rPr>
          <w:rFonts w:ascii="Arial" w:cs="Arial" w:eastAsia="Arial" w:hAnsi="Arial"/>
          <w:sz w:val="13"/>
          <w:szCs w:val="13"/>
          <w:color w:val="auto"/>
        </w:rPr>
        <w:t>File No. 333-137370 Class S and Class S - L Share Option (offered between April 30, 2007 and October 7, 2011)</w:t>
      </w:r>
    </w:p>
    <w:p>
      <w:pPr>
        <w:ind w:left="780"/>
        <w:spacing w:after="0"/>
        <w:rPr>
          <w:sz w:val="20"/>
          <w:szCs w:val="20"/>
          <w:color w:val="auto"/>
        </w:rPr>
      </w:pPr>
      <w:r>
        <w:rPr>
          <w:rFonts w:ascii="Arial" w:cs="Arial" w:eastAsia="Arial" w:hAnsi="Arial"/>
          <w:sz w:val="13"/>
          <w:szCs w:val="13"/>
          <w:color w:val="auto"/>
        </w:rPr>
        <w:t>File No. 333-137969 PrimElite IV</w:t>
      </w:r>
    </w:p>
    <w:p>
      <w:pPr>
        <w:ind w:left="780"/>
        <w:spacing w:after="0"/>
        <w:rPr>
          <w:sz w:val="20"/>
          <w:szCs w:val="20"/>
          <w:color w:val="auto"/>
        </w:rPr>
      </w:pPr>
      <w:r>
        <w:rPr>
          <w:rFonts w:ascii="Arial" w:cs="Arial" w:eastAsia="Arial" w:hAnsi="Arial"/>
          <w:sz w:val="13"/>
          <w:szCs w:val="13"/>
          <w:color w:val="auto"/>
        </w:rPr>
        <w:t>File No. 333-148873 Pioneer PRISM</w:t>
      </w:r>
    </w:p>
    <w:p>
      <w:pPr>
        <w:ind w:left="780"/>
        <w:spacing w:after="0"/>
        <w:rPr>
          <w:sz w:val="20"/>
          <w:szCs w:val="20"/>
          <w:color w:val="auto"/>
        </w:rPr>
      </w:pPr>
      <w:r>
        <w:rPr>
          <w:rFonts w:ascii="Arial" w:cs="Arial" w:eastAsia="Arial" w:hAnsi="Arial"/>
          <w:sz w:val="13"/>
          <w:szCs w:val="13"/>
          <w:color w:val="auto"/>
        </w:rPr>
        <w:t>File No. 333-148874 Pioneer PRISM XC</w:t>
      </w:r>
    </w:p>
    <w:p>
      <w:pPr>
        <w:ind w:left="780"/>
        <w:spacing w:after="0"/>
        <w:rPr>
          <w:sz w:val="20"/>
          <w:szCs w:val="20"/>
          <w:color w:val="auto"/>
        </w:rPr>
      </w:pPr>
      <w:r>
        <w:rPr>
          <w:rFonts w:ascii="Arial" w:cs="Arial" w:eastAsia="Arial" w:hAnsi="Arial"/>
          <w:sz w:val="13"/>
          <w:szCs w:val="13"/>
          <w:color w:val="auto"/>
        </w:rPr>
        <w:t>File No. 333-148876 Pioneer PRISM L</w:t>
      </w:r>
    </w:p>
    <w:p>
      <w:pPr>
        <w:ind w:left="780"/>
        <w:spacing w:after="0"/>
        <w:rPr>
          <w:sz w:val="20"/>
          <w:szCs w:val="20"/>
          <w:color w:val="auto"/>
        </w:rPr>
      </w:pPr>
      <w:r>
        <w:rPr>
          <w:rFonts w:ascii="Arial" w:cs="Arial" w:eastAsia="Arial" w:hAnsi="Arial"/>
          <w:sz w:val="13"/>
          <w:szCs w:val="13"/>
          <w:color w:val="auto"/>
        </w:rPr>
        <w:t>File No. 333-152450 Class XTRA</w:t>
      </w:r>
    </w:p>
    <w:p>
      <w:pPr>
        <w:ind w:left="780"/>
        <w:spacing w:after="0"/>
        <w:rPr>
          <w:sz w:val="20"/>
          <w:szCs w:val="20"/>
          <w:color w:val="auto"/>
        </w:rPr>
      </w:pPr>
      <w:r>
        <w:rPr>
          <w:rFonts w:ascii="Arial" w:cs="Arial" w:eastAsia="Arial" w:hAnsi="Arial"/>
          <w:sz w:val="13"/>
          <w:szCs w:val="13"/>
          <w:color w:val="auto"/>
        </w:rPr>
        <w:t>File No. 333-156646 Class XTRA 6</w:t>
      </w:r>
    </w:p>
    <w:p>
      <w:pPr>
        <w:ind w:left="780"/>
        <w:spacing w:after="0"/>
        <w:rPr>
          <w:sz w:val="20"/>
          <w:szCs w:val="20"/>
          <w:color w:val="auto"/>
        </w:rPr>
      </w:pPr>
      <w:r>
        <w:rPr>
          <w:rFonts w:ascii="Arial" w:cs="Arial" w:eastAsia="Arial" w:hAnsi="Arial"/>
          <w:sz w:val="13"/>
          <w:szCs w:val="13"/>
          <w:color w:val="auto"/>
        </w:rPr>
        <w:t>File No. 333-158579 Brighthouse Simple SolutionsSM</w:t>
      </w:r>
    </w:p>
    <w:p>
      <w:pPr>
        <w:ind w:left="780"/>
        <w:spacing w:after="0"/>
        <w:rPr>
          <w:sz w:val="20"/>
          <w:szCs w:val="20"/>
          <w:color w:val="auto"/>
        </w:rPr>
      </w:pPr>
      <w:r>
        <w:rPr>
          <w:rFonts w:ascii="Arial" w:cs="Arial" w:eastAsia="Arial" w:hAnsi="Arial"/>
          <w:sz w:val="13"/>
          <w:szCs w:val="13"/>
          <w:color w:val="auto"/>
        </w:rPr>
        <w:t>File No. 333-169687 Class VA- 4 (offered between May 1, 2011 and October 7, 2011)</w:t>
      </w:r>
    </w:p>
    <w:p>
      <w:pPr>
        <w:ind w:left="780"/>
        <w:spacing w:after="0"/>
        <w:rPr>
          <w:sz w:val="20"/>
          <w:szCs w:val="20"/>
          <w:color w:val="auto"/>
        </w:rPr>
      </w:pPr>
      <w:r>
        <w:rPr>
          <w:rFonts w:ascii="Arial" w:cs="Arial" w:eastAsia="Arial" w:hAnsi="Arial"/>
          <w:sz w:val="13"/>
          <w:szCs w:val="13"/>
          <w:color w:val="auto"/>
        </w:rPr>
        <w:t>File No. 333-176679 Class S (offered on and after October 7, 2011) and</w:t>
      </w:r>
    </w:p>
    <w:p>
      <w:pPr>
        <w:ind w:left="1020"/>
        <w:spacing w:after="0"/>
        <w:rPr>
          <w:sz w:val="20"/>
          <w:szCs w:val="20"/>
          <w:color w:val="auto"/>
        </w:rPr>
      </w:pPr>
      <w:r>
        <w:rPr>
          <w:rFonts w:ascii="Arial" w:cs="Arial" w:eastAsia="Arial" w:hAnsi="Arial"/>
          <w:sz w:val="13"/>
          <w:szCs w:val="13"/>
          <w:color w:val="auto"/>
        </w:rPr>
        <w:t>Class S- L Share Option (offered on and after October 7, 2011)</w:t>
      </w:r>
    </w:p>
    <w:p>
      <w:pPr>
        <w:ind w:left="780"/>
        <w:spacing w:after="0"/>
        <w:rPr>
          <w:sz w:val="20"/>
          <w:szCs w:val="20"/>
          <w:color w:val="auto"/>
        </w:rPr>
      </w:pPr>
      <w:r>
        <w:rPr>
          <w:rFonts w:ascii="Arial" w:cs="Arial" w:eastAsia="Arial" w:hAnsi="Arial"/>
          <w:sz w:val="13"/>
          <w:szCs w:val="13"/>
          <w:color w:val="auto"/>
        </w:rPr>
        <w:t>File No. 333-176680 Class VA- 4 (offered between October 7, 2011 and May 1, 2016)</w:t>
      </w:r>
    </w:p>
    <w:p>
      <w:pPr>
        <w:ind w:left="780"/>
        <w:spacing w:after="0"/>
        <w:rPr>
          <w:sz w:val="20"/>
          <w:szCs w:val="20"/>
          <w:color w:val="auto"/>
        </w:rPr>
      </w:pPr>
      <w:r>
        <w:rPr>
          <w:rFonts w:ascii="Arial" w:cs="Arial" w:eastAsia="Arial" w:hAnsi="Arial"/>
          <w:sz w:val="13"/>
          <w:szCs w:val="13"/>
          <w:color w:val="auto"/>
        </w:rPr>
        <w:t>File No. 333-176691 Class VA (offered on and after October 7, 2011)</w:t>
      </w:r>
    </w:p>
    <w:p>
      <w:pPr>
        <w:ind w:left="780"/>
        <w:spacing w:after="0"/>
        <w:rPr>
          <w:sz w:val="20"/>
          <w:szCs w:val="20"/>
          <w:color w:val="auto"/>
        </w:rPr>
      </w:pPr>
      <w:r>
        <w:rPr>
          <w:rFonts w:ascii="Arial" w:cs="Arial" w:eastAsia="Arial" w:hAnsi="Arial"/>
          <w:sz w:val="13"/>
          <w:szCs w:val="13"/>
          <w:color w:val="auto"/>
        </w:rPr>
        <w:t>File No. 333-176692 Class L- 4 Year (offered between October 7, 2011 and April 28, 2013)</w:t>
      </w:r>
    </w:p>
    <w:p>
      <w:pPr>
        <w:ind w:left="780"/>
        <w:spacing w:after="0"/>
        <w:rPr>
          <w:sz w:val="20"/>
          <w:szCs w:val="20"/>
          <w:color w:val="auto"/>
        </w:rPr>
      </w:pPr>
      <w:r>
        <w:rPr>
          <w:rFonts w:ascii="Arial" w:cs="Arial" w:eastAsia="Arial" w:hAnsi="Arial"/>
          <w:sz w:val="13"/>
          <w:szCs w:val="13"/>
          <w:color w:val="auto"/>
        </w:rPr>
        <w:t>File No. 333-176693 Class C (offered on and after October 7, 2011)</w:t>
      </w:r>
    </w:p>
    <w:p>
      <w:pPr>
        <w:ind w:left="780"/>
        <w:spacing w:after="0"/>
        <w:rPr>
          <w:sz w:val="20"/>
          <w:szCs w:val="20"/>
          <w:color w:val="auto"/>
        </w:rPr>
      </w:pPr>
      <w:r>
        <w:rPr>
          <w:rFonts w:ascii="Arial" w:cs="Arial" w:eastAsia="Arial" w:hAnsi="Arial"/>
          <w:sz w:val="13"/>
          <w:szCs w:val="13"/>
          <w:color w:val="auto"/>
        </w:rPr>
        <w:t>File No. 333-178515 Class O (offered between April 30, 2012 and September 20, 2015)</w:t>
      </w:r>
    </w:p>
    <w:p>
      <w:pPr>
        <w:ind w:left="780"/>
        <w:spacing w:after="0"/>
        <w:rPr>
          <w:sz w:val="20"/>
          <w:szCs w:val="20"/>
          <w:color w:val="auto"/>
        </w:rPr>
      </w:pPr>
      <w:r>
        <w:rPr>
          <w:rFonts w:ascii="Arial" w:cs="Arial" w:eastAsia="Arial" w:hAnsi="Arial"/>
          <w:sz w:val="13"/>
          <w:szCs w:val="13"/>
          <w:color w:val="auto"/>
        </w:rPr>
        <w:t>File No. 333-179240 Marquis Portfolios (offered on and after April 30, 2012)</w:t>
      </w:r>
    </w:p>
    <w:p>
      <w:pPr>
        <w:ind w:left="780"/>
        <w:spacing w:after="0"/>
        <w:rPr>
          <w:sz w:val="20"/>
          <w:szCs w:val="20"/>
          <w:color w:val="auto"/>
        </w:rPr>
      </w:pPr>
      <w:r>
        <w:rPr>
          <w:rFonts w:ascii="Arial" w:cs="Arial" w:eastAsia="Arial" w:hAnsi="Arial"/>
          <w:sz w:val="13"/>
          <w:szCs w:val="13"/>
          <w:color w:val="auto"/>
        </w:rPr>
        <w:t>File No. 333-186216 Class L- 4 Year (offered on and after April 29, 2013)</w:t>
      </w:r>
    </w:p>
    <w:p>
      <w:pPr>
        <w:ind w:left="780"/>
        <w:spacing w:after="0"/>
        <w:rPr>
          <w:sz w:val="20"/>
          <w:szCs w:val="20"/>
          <w:color w:val="auto"/>
        </w:rPr>
      </w:pPr>
      <w:r>
        <w:rPr>
          <w:rFonts w:ascii="Arial" w:cs="Arial" w:eastAsia="Arial" w:hAnsi="Arial"/>
          <w:sz w:val="13"/>
          <w:szCs w:val="13"/>
          <w:color w:val="auto"/>
        </w:rPr>
        <w:t>File No. 333-205137 Class O (offered on and after September 21, 2015)</w:t>
      </w:r>
    </w:p>
    <w:p>
      <w:pPr>
        <w:ind w:left="780"/>
        <w:spacing w:after="0"/>
        <w:rPr>
          <w:sz w:val="20"/>
          <w:szCs w:val="20"/>
          <w:color w:val="auto"/>
        </w:rPr>
      </w:pPr>
      <w:r>
        <w:rPr>
          <w:rFonts w:ascii="Arial" w:cs="Arial" w:eastAsia="Arial" w:hAnsi="Arial"/>
          <w:sz w:val="13"/>
          <w:szCs w:val="13"/>
          <w:color w:val="auto"/>
        </w:rPr>
        <w:t>File No. 333-209057 Class VA- 4 (offered on and after May 2, 2016)</w:t>
      </w:r>
    </w:p>
    <w:p>
      <w:pPr>
        <w:ind w:left="780"/>
        <w:spacing w:after="0"/>
        <w:rPr>
          <w:sz w:val="20"/>
          <w:szCs w:val="20"/>
          <w:color w:val="auto"/>
        </w:rPr>
      </w:pPr>
      <w:r>
        <w:rPr>
          <w:rFonts w:ascii="Arial" w:cs="Arial" w:eastAsia="Arial" w:hAnsi="Arial"/>
          <w:sz w:val="13"/>
          <w:szCs w:val="13"/>
          <w:color w:val="auto"/>
        </w:rPr>
        <w:t>File No. 333-209058 Class VA (offered on and after May 2, 2016)</w:t>
      </w:r>
    </w:p>
    <w:p>
      <w:pPr>
        <w:ind w:left="780"/>
        <w:spacing w:after="0"/>
        <w:rPr>
          <w:sz w:val="20"/>
          <w:szCs w:val="20"/>
          <w:color w:val="auto"/>
        </w:rPr>
      </w:pPr>
      <w:r>
        <w:rPr>
          <w:rFonts w:ascii="Arial" w:cs="Arial" w:eastAsia="Arial" w:hAnsi="Arial"/>
          <w:sz w:val="13"/>
          <w:szCs w:val="13"/>
          <w:color w:val="auto"/>
        </w:rPr>
        <w:t>File No. 333-209059 Class S (offered on and after May 2, 2016) and</w:t>
      </w:r>
    </w:p>
    <w:p>
      <w:pPr>
        <w:ind w:left="1020"/>
        <w:spacing w:after="0"/>
        <w:rPr>
          <w:sz w:val="20"/>
          <w:szCs w:val="20"/>
          <w:color w:val="auto"/>
        </w:rPr>
      </w:pPr>
      <w:r>
        <w:rPr>
          <w:rFonts w:ascii="Arial" w:cs="Arial" w:eastAsia="Arial" w:hAnsi="Arial"/>
          <w:sz w:val="13"/>
          <w:szCs w:val="13"/>
          <w:color w:val="auto"/>
        </w:rPr>
        <w:t>S- L Share Option (offered on and after May 2, 2016)</w:t>
      </w:r>
    </w:p>
    <w:p>
      <w:pPr>
        <w:sectPr>
          <w:pgSz w:w="11900" w:h="16838" w:orient="portrait"/>
          <w:cols w:equalWidth="0" w:num="1">
            <w:col w:w="11100"/>
          </w:cols>
          <w:pgMar w:left="300" w:top="236" w:right="499" w:bottom="1440" w:gutter="0" w:footer="0" w:header="0"/>
        </w:sectPr>
      </w:pPr>
    </w:p>
    <w:bookmarkStart w:id="173" w:name="page174"/>
    <w:bookmarkEnd w:id="173"/>
    <w:p>
      <w:pPr>
        <w:ind w:left="78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6">
                      <a:extLst>
                        <a:ext uri="{28A0092B-C50C-407E-A947-70E740481C1C}"/>
                      </a:extLst>
                    </a:blip>
                    <a:srcRect/>
                    <a:stretch>
                      <a:fillRect/>
                    </a:stretch>
                  </pic:blipFill>
                  <pic:spPr bwMode="auto">
                    <a:xfrm>
                      <a:off x="0" y="0"/>
                      <a:ext cx="7206615" cy="31750"/>
                    </a:xfrm>
                    <a:prstGeom prst="rect">
                      <a:avLst/>
                    </a:prstGeom>
                    <a:noFill/>
                  </pic:spPr>
                </pic:pic>
              </a:graphicData>
            </a:graphic>
          </wp:anchor>
        </w:drawing>
        <w:t>File No. 333-216454 Brighthouse Prime Options,</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And pertaining to:</w:t>
      </w:r>
    </w:p>
    <w:p>
      <w:pPr>
        <w:ind w:left="780"/>
        <w:spacing w:after="0" w:line="185" w:lineRule="auto"/>
        <w:rPr>
          <w:sz w:val="20"/>
          <w:szCs w:val="20"/>
          <w:color w:val="auto"/>
        </w:rPr>
      </w:pPr>
      <w:r>
        <w:rPr>
          <w:rFonts w:ascii="Arial" w:cs="Arial" w:eastAsia="Arial" w:hAnsi="Arial"/>
          <w:sz w:val="13"/>
          <w:szCs w:val="13"/>
          <w:color w:val="auto"/>
        </w:rPr>
        <w:t>File No. 333-216452 Brighthouse Shield Level Selector</w:t>
      </w:r>
      <w:r>
        <w:rPr>
          <w:rFonts w:ascii="Arial" w:cs="Arial" w:eastAsia="Arial" w:hAnsi="Arial"/>
          <w:sz w:val="18"/>
          <w:szCs w:val="18"/>
          <w:color w:val="auto"/>
          <w:vertAlign w:val="superscript"/>
        </w:rPr>
        <w:t>®</w:t>
      </w:r>
      <w:r>
        <w:rPr>
          <w:rFonts w:ascii="Arial" w:cs="Arial" w:eastAsia="Arial" w:hAnsi="Arial"/>
          <w:sz w:val="13"/>
          <w:szCs w:val="13"/>
          <w:color w:val="auto"/>
        </w:rPr>
        <w:t xml:space="preserve"> Annuity</w:t>
      </w:r>
    </w:p>
    <w:p>
      <w:pPr>
        <w:ind w:left="780"/>
        <w:spacing w:after="0" w:line="183" w:lineRule="auto"/>
        <w:rPr>
          <w:sz w:val="20"/>
          <w:szCs w:val="20"/>
          <w:color w:val="auto"/>
        </w:rPr>
      </w:pPr>
      <w:r>
        <w:rPr>
          <w:rFonts w:ascii="Arial" w:cs="Arial" w:eastAsia="Arial" w:hAnsi="Arial"/>
          <w:sz w:val="12"/>
          <w:szCs w:val="12"/>
          <w:color w:val="auto"/>
        </w:rPr>
        <w:t>File No. 333-216453 Brighthouse Shield Level Selector</w:t>
      </w:r>
      <w:r>
        <w:rPr>
          <w:rFonts w:ascii="Arial" w:cs="Arial" w:eastAsia="Arial" w:hAnsi="Arial"/>
          <w:sz w:val="17"/>
          <w:szCs w:val="17"/>
          <w:color w:val="auto"/>
          <w:vertAlign w:val="superscript"/>
        </w:rPr>
        <w:t>®</w:t>
      </w:r>
      <w:r>
        <w:rPr>
          <w:rFonts w:ascii="Arial" w:cs="Arial" w:eastAsia="Arial" w:hAnsi="Arial"/>
          <w:sz w:val="12"/>
          <w:szCs w:val="12"/>
          <w:color w:val="auto"/>
        </w:rPr>
        <w:t xml:space="preserve"> 3-Year Annuity</w:t>
      </w:r>
    </w:p>
    <w:p>
      <w:pPr>
        <w:ind w:left="780"/>
        <w:spacing w:after="0" w:line="183" w:lineRule="auto"/>
        <w:rPr>
          <w:sz w:val="20"/>
          <w:szCs w:val="20"/>
          <w:color w:val="auto"/>
        </w:rPr>
      </w:pPr>
      <w:r>
        <w:rPr>
          <w:rFonts w:ascii="Arial" w:cs="Arial" w:eastAsia="Arial" w:hAnsi="Arial"/>
          <w:sz w:val="12"/>
          <w:szCs w:val="12"/>
          <w:color w:val="auto"/>
        </w:rPr>
        <w:t>File No. 333-238214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10 Annuity</w:t>
      </w:r>
    </w:p>
    <w:p>
      <w:pPr>
        <w:ind w:left="780"/>
        <w:spacing w:after="0" w:line="182" w:lineRule="auto"/>
        <w:rPr>
          <w:sz w:val="20"/>
          <w:szCs w:val="20"/>
          <w:color w:val="auto"/>
        </w:rPr>
      </w:pPr>
      <w:r>
        <w:rPr>
          <w:rFonts w:ascii="Arial" w:cs="Arial" w:eastAsia="Arial" w:hAnsi="Arial"/>
          <w:sz w:val="12"/>
          <w:szCs w:val="12"/>
          <w:color w:val="auto"/>
        </w:rPr>
        <w:t>File No. 333-265196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Select 3-Year Annuity</w:t>
      </w:r>
    </w:p>
    <w:p>
      <w:pPr>
        <w:ind w:left="780"/>
        <w:spacing w:after="0" w:line="183" w:lineRule="auto"/>
        <w:rPr>
          <w:sz w:val="20"/>
          <w:szCs w:val="20"/>
          <w:color w:val="auto"/>
        </w:rPr>
      </w:pPr>
      <w:r>
        <w:rPr>
          <w:rFonts w:ascii="Arial" w:cs="Arial" w:eastAsia="Arial" w:hAnsi="Arial"/>
          <w:sz w:val="12"/>
          <w:szCs w:val="12"/>
          <w:color w:val="auto"/>
        </w:rPr>
        <w:t>File No. 333-265199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Select 6-Year Annuity</w:t>
      </w:r>
    </w:p>
    <w:p>
      <w:pPr>
        <w:ind w:left="780"/>
        <w:spacing w:after="0" w:line="183" w:lineRule="auto"/>
        <w:rPr>
          <w:sz w:val="20"/>
          <w:szCs w:val="20"/>
          <w:color w:val="auto"/>
        </w:rPr>
      </w:pPr>
      <w:r>
        <w:rPr>
          <w:rFonts w:ascii="Arial" w:cs="Arial" w:eastAsia="Arial" w:hAnsi="Arial"/>
          <w:sz w:val="12"/>
          <w:szCs w:val="12"/>
          <w:color w:val="auto"/>
        </w:rPr>
        <w:t>File No. 333-259506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Select 6-Year Annuity v.3</w:t>
      </w:r>
    </w:p>
    <w:p>
      <w:pPr>
        <w:ind w:left="780"/>
        <w:spacing w:after="0"/>
        <w:rPr>
          <w:sz w:val="20"/>
          <w:szCs w:val="20"/>
          <w:color w:val="auto"/>
        </w:rPr>
      </w:pPr>
      <w:r>
        <w:rPr>
          <w:rFonts w:ascii="Arial" w:cs="Arial" w:eastAsia="Arial" w:hAnsi="Arial"/>
          <w:sz w:val="13"/>
          <w:szCs w:val="13"/>
          <w:color w:val="auto"/>
        </w:rPr>
        <w:t>File No. 333-279315 Brighthouse Shield</w:t>
      </w:r>
      <w:r>
        <w:rPr>
          <w:rFonts w:ascii="Arial" w:cs="Arial" w:eastAsia="Arial" w:hAnsi="Arial"/>
          <w:sz w:val="19"/>
          <w:szCs w:val="19"/>
          <w:color w:val="auto"/>
          <w:vertAlign w:val="superscript"/>
        </w:rPr>
        <w:t>®</w:t>
      </w:r>
      <w:r>
        <w:rPr>
          <w:rFonts w:ascii="Arial" w:cs="Arial" w:eastAsia="Arial" w:hAnsi="Arial"/>
          <w:sz w:val="13"/>
          <w:szCs w:val="13"/>
          <w:color w:val="auto"/>
        </w:rPr>
        <w:t xml:space="preserve"> Level II 6-Year Annuity</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And new annuities and life products such as:</w:t>
      </w:r>
    </w:p>
    <w:p>
      <w:pPr>
        <w:spacing w:after="0" w:line="11" w:lineRule="exact"/>
        <w:rPr>
          <w:sz w:val="20"/>
          <w:szCs w:val="20"/>
          <w:color w:val="auto"/>
        </w:rPr>
      </w:pPr>
    </w:p>
    <w:p>
      <w:pPr>
        <w:ind w:left="780"/>
        <w:spacing w:after="0"/>
        <w:rPr>
          <w:sz w:val="20"/>
          <w:szCs w:val="20"/>
          <w:color w:val="auto"/>
        </w:rPr>
      </w:pPr>
      <w:r>
        <w:rPr>
          <w:rFonts w:ascii="Arial" w:cs="Arial" w:eastAsia="Arial" w:hAnsi="Arial"/>
          <w:sz w:val="13"/>
          <w:szCs w:val="13"/>
          <w:color w:val="auto"/>
        </w:rPr>
        <w:t>Brighthouse Shield Annuity</w:t>
      </w:r>
    </w:p>
    <w:p>
      <w:pPr>
        <w:ind w:left="780"/>
        <w:spacing w:after="0"/>
        <w:rPr>
          <w:sz w:val="20"/>
          <w:szCs w:val="20"/>
          <w:color w:val="auto"/>
        </w:rPr>
      </w:pPr>
      <w:r>
        <w:rPr>
          <w:rFonts w:ascii="Arial" w:cs="Arial" w:eastAsia="Arial" w:hAnsi="Arial"/>
          <w:sz w:val="13"/>
          <w:szCs w:val="13"/>
          <w:color w:val="auto"/>
        </w:rPr>
        <w:t>Brighthouse Shield 3-Year Annuity</w:t>
      </w:r>
    </w:p>
    <w:p>
      <w:pPr>
        <w:ind w:left="780"/>
        <w:spacing w:after="0"/>
        <w:rPr>
          <w:sz w:val="20"/>
          <w:szCs w:val="20"/>
          <w:color w:val="auto"/>
        </w:rPr>
      </w:pPr>
      <w:r>
        <w:rPr>
          <w:rFonts w:ascii="Arial" w:cs="Arial" w:eastAsia="Arial" w:hAnsi="Arial"/>
          <w:sz w:val="13"/>
          <w:szCs w:val="13"/>
          <w:color w:val="auto"/>
        </w:rPr>
        <w:t>Brighthouse Shield 6-Year Annuity</w:t>
      </w:r>
    </w:p>
    <w:p>
      <w:pPr>
        <w:ind w:left="780"/>
        <w:spacing w:after="0"/>
        <w:rPr>
          <w:sz w:val="20"/>
          <w:szCs w:val="20"/>
          <w:color w:val="auto"/>
        </w:rPr>
      </w:pPr>
      <w:r>
        <w:rPr>
          <w:rFonts w:ascii="Arial" w:cs="Arial" w:eastAsia="Arial" w:hAnsi="Arial"/>
          <w:sz w:val="13"/>
          <w:szCs w:val="13"/>
          <w:color w:val="auto"/>
        </w:rPr>
        <w:t>Brighthouse indexed-linked life insurance policy,</w:t>
      </w:r>
    </w:p>
    <w:p>
      <w:pPr>
        <w:spacing w:after="0" w:line="146" w:lineRule="exact"/>
        <w:rPr>
          <w:sz w:val="20"/>
          <w:szCs w:val="20"/>
          <w:color w:val="auto"/>
        </w:rPr>
      </w:pPr>
    </w:p>
    <w:p>
      <w:pPr>
        <w:spacing w:after="0" w:line="258" w:lineRule="auto"/>
        <w:rPr>
          <w:sz w:val="20"/>
          <w:szCs w:val="20"/>
          <w:color w:val="auto"/>
        </w:rPr>
      </w:pPr>
      <w:r>
        <w:rPr>
          <w:rFonts w:ascii="Arial" w:cs="Arial" w:eastAsia="Arial" w:hAnsi="Arial"/>
          <w:sz w:val="13"/>
          <w:szCs w:val="13"/>
          <w:color w:val="auto"/>
        </w:rPr>
        <w:t>and to have full power and authority to do or cause to be done in my name, place and stead each and every act and thing necessary or appropriate in order to effectuate the same, as fully to all intents and purposes as I might or could do in person, hereby ratifying and confirming all that said attorneys-in-fact or any of them, may do or cause to be done by virtue hereof. This Power of Attorney does not revoke any prior powers of attorney.</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color w:val="auto"/>
        </w:rPr>
        <w:t>IN WITNESS WHEREOF, I have hereunto set my hand this 8th day of January 2025.</w:t>
      </w:r>
    </w:p>
    <w:p>
      <w:pPr>
        <w:spacing w:after="0" w:line="39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 Richard A. Cook</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Richard A. Cook</w:t>
      </w:r>
    </w:p>
    <w:p>
      <w:pPr>
        <w:sectPr>
          <w:pgSz w:w="11900" w:h="16838" w:orient="portrait"/>
          <w:cols w:equalWidth="0" w:num="1">
            <w:col w:w="11220"/>
          </w:cols>
          <w:pgMar w:left="300" w:top="236" w:right="379" w:bottom="1440" w:gutter="0" w:footer="0" w:header="0"/>
        </w:sectPr>
      </w:pPr>
    </w:p>
    <w:bookmarkStart w:id="174" w:name="page175"/>
    <w:bookmarkEnd w:id="174"/>
    <w:p>
      <w:pPr>
        <w:jc w:val="center"/>
        <w:ind w:right="-39"/>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7">
                      <a:extLst>
                        <a:ext uri="{28A0092B-C50C-407E-A947-70E740481C1C}"/>
                      </a:extLst>
                    </a:blip>
                    <a:srcRect/>
                    <a:stretch>
                      <a:fillRect/>
                    </a:stretch>
                  </pic:blipFill>
                  <pic:spPr bwMode="auto">
                    <a:xfrm>
                      <a:off x="0" y="0"/>
                      <a:ext cx="7206615" cy="31750"/>
                    </a:xfrm>
                    <a:prstGeom prst="rect">
                      <a:avLst/>
                    </a:prstGeom>
                    <a:noFill/>
                  </pic:spPr>
                </pic:pic>
              </a:graphicData>
            </a:graphic>
          </wp:anchor>
        </w:drawing>
        <w:t>Brighthouse Life Insurance Company of NY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POWER OF ATTORNEY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Gianna H. Figaro-Sterling</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Vice President and Controller</w:t>
      </w:r>
    </w:p>
    <w:p>
      <w:pPr>
        <w:spacing w:after="0" w:line="176" w:lineRule="exact"/>
        <w:rPr>
          <w:sz w:val="20"/>
          <w:szCs w:val="20"/>
          <w:color w:val="auto"/>
        </w:rPr>
      </w:pPr>
    </w:p>
    <w:p>
      <w:pPr>
        <w:spacing w:after="0" w:line="251" w:lineRule="auto"/>
        <w:rPr>
          <w:sz w:val="20"/>
          <w:szCs w:val="20"/>
          <w:color w:val="auto"/>
        </w:rPr>
      </w:pPr>
      <w:r>
        <w:rPr>
          <w:rFonts w:ascii="Arial" w:cs="Arial" w:eastAsia="Arial" w:hAnsi="Arial"/>
          <w:sz w:val="13"/>
          <w:szCs w:val="13"/>
          <w:color w:val="auto"/>
        </w:rPr>
        <w:t>KNOW ALL MEN BY THESE PRESENTS, that I, Gianna H. Figaro-Sterling, Vice President and Controller of Brighthouse Life Insurance Company of NY, a New York company (the “Company”), do hereby constitute and appoint Michele H. Abate, Allie Lin, and Alexander Ulianov, as my attorney-in-fact and agent, each of whom may act individually and none of whom is required to act jointly with any of the others, to sign and file on my behalf and to execute and file any instrument or document required to be filed as part of or in connection with or in any way related to, the Registration Statements and any and all amendments thereto filed by the Company under the Securities Act of 1933 and/or the Investment Company Act of 1940, pertaining to:</w:t>
      </w:r>
    </w:p>
    <w:p>
      <w:pPr>
        <w:ind w:left="660" w:hanging="323"/>
        <w:spacing w:after="0" w:line="218" w:lineRule="auto"/>
        <w:tabs>
          <w:tab w:leader="none" w:pos="660" w:val="left"/>
        </w:tabs>
        <w:numPr>
          <w:ilvl w:val="0"/>
          <w:numId w:val="116"/>
        </w:numPr>
        <w:rPr>
          <w:rFonts w:ascii="Times New Roman" w:cs="Times New Roman" w:eastAsia="Times New Roman" w:hAnsi="Times New Roman"/>
          <w:sz w:val="21"/>
          <w:szCs w:val="21"/>
          <w:color w:val="auto"/>
          <w:vertAlign w:val="superscript"/>
        </w:rPr>
      </w:pPr>
      <w:r>
        <w:rPr>
          <w:rFonts w:ascii="Arial" w:cs="Arial" w:eastAsia="Arial" w:hAnsi="Arial"/>
          <w:sz w:val="13"/>
          <w:szCs w:val="13"/>
          <w:color w:val="auto"/>
        </w:rPr>
        <w:t>  Brighthouse Variable Annuity Account B (811-08306)</w:t>
      </w:r>
    </w:p>
    <w:p>
      <w:pPr>
        <w:ind w:left="780"/>
        <w:spacing w:after="0"/>
        <w:rPr>
          <w:sz w:val="20"/>
          <w:szCs w:val="20"/>
          <w:color w:val="auto"/>
        </w:rPr>
      </w:pPr>
      <w:r>
        <w:rPr>
          <w:rFonts w:ascii="Arial" w:cs="Arial" w:eastAsia="Arial" w:hAnsi="Arial"/>
          <w:sz w:val="13"/>
          <w:szCs w:val="13"/>
          <w:color w:val="auto"/>
        </w:rPr>
        <w:t>File No. 033-74174 First COVA VA, Custom Select, Russell Select and Class VA, Class AA and Class B</w:t>
      </w:r>
    </w:p>
    <w:p>
      <w:pPr>
        <w:ind w:left="780"/>
        <w:spacing w:after="0"/>
        <w:rPr>
          <w:sz w:val="20"/>
          <w:szCs w:val="20"/>
          <w:color w:val="auto"/>
        </w:rPr>
      </w:pPr>
      <w:r>
        <w:rPr>
          <w:rFonts w:ascii="Arial" w:cs="Arial" w:eastAsia="Arial" w:hAnsi="Arial"/>
          <w:sz w:val="13"/>
          <w:szCs w:val="13"/>
          <w:color w:val="auto"/>
        </w:rPr>
        <w:t>File No. 333-96773 Class VA (offered between June 15, 2001 and October 7, 2011), Class AA, and Class B</w:t>
      </w:r>
    </w:p>
    <w:p>
      <w:pPr>
        <w:ind w:left="780"/>
        <w:spacing w:after="0"/>
        <w:rPr>
          <w:sz w:val="20"/>
          <w:szCs w:val="20"/>
          <w:color w:val="auto"/>
        </w:rPr>
      </w:pPr>
      <w:r>
        <w:rPr>
          <w:rFonts w:ascii="Arial" w:cs="Arial" w:eastAsia="Arial" w:hAnsi="Arial"/>
          <w:sz w:val="13"/>
          <w:szCs w:val="13"/>
          <w:color w:val="auto"/>
        </w:rPr>
        <w:t>File No. 333-96775 Class A</w:t>
      </w:r>
    </w:p>
    <w:p>
      <w:pPr>
        <w:ind w:left="780"/>
        <w:spacing w:after="0"/>
        <w:rPr>
          <w:sz w:val="20"/>
          <w:szCs w:val="20"/>
          <w:color w:val="auto"/>
        </w:rPr>
      </w:pPr>
      <w:r>
        <w:rPr>
          <w:rFonts w:ascii="Arial" w:cs="Arial" w:eastAsia="Arial" w:hAnsi="Arial"/>
          <w:sz w:val="13"/>
          <w:szCs w:val="13"/>
          <w:color w:val="auto"/>
        </w:rPr>
        <w:t>File No. 333-96777 Class XC</w:t>
      </w:r>
    </w:p>
    <w:p>
      <w:pPr>
        <w:ind w:left="780"/>
        <w:spacing w:after="0"/>
        <w:rPr>
          <w:sz w:val="20"/>
          <w:szCs w:val="20"/>
          <w:color w:val="auto"/>
        </w:rPr>
      </w:pPr>
      <w:r>
        <w:rPr>
          <w:rFonts w:ascii="Arial" w:cs="Arial" w:eastAsia="Arial" w:hAnsi="Arial"/>
          <w:sz w:val="13"/>
          <w:szCs w:val="13"/>
          <w:color w:val="auto"/>
        </w:rPr>
        <w:t>File No. 333-96785 Class L and Class L –4 Year (offered between November 22, 2004 and October 7, 2011)</w:t>
      </w:r>
    </w:p>
    <w:p>
      <w:pPr>
        <w:ind w:left="780"/>
        <w:spacing w:after="0"/>
        <w:rPr>
          <w:sz w:val="20"/>
          <w:szCs w:val="20"/>
          <w:color w:val="auto"/>
        </w:rPr>
      </w:pPr>
      <w:r>
        <w:rPr>
          <w:rFonts w:ascii="Arial" w:cs="Arial" w:eastAsia="Arial" w:hAnsi="Arial"/>
          <w:sz w:val="13"/>
          <w:szCs w:val="13"/>
          <w:color w:val="auto"/>
        </w:rPr>
        <w:t>File No. 333-96795 Class C (offered between September 4, 2001 and October 7, 2011)</w:t>
      </w:r>
    </w:p>
    <w:p>
      <w:pPr>
        <w:ind w:left="780"/>
        <w:spacing w:after="0"/>
        <w:rPr>
          <w:sz w:val="20"/>
          <w:szCs w:val="20"/>
          <w:color w:val="auto"/>
        </w:rPr>
      </w:pPr>
      <w:r>
        <w:rPr>
          <w:rFonts w:ascii="Arial" w:cs="Arial" w:eastAsia="Arial" w:hAnsi="Arial"/>
          <w:sz w:val="13"/>
          <w:szCs w:val="13"/>
          <w:color w:val="auto"/>
        </w:rPr>
        <w:t>File No. 333-125613 Vintage L and Vintage XC</w:t>
      </w:r>
    </w:p>
    <w:p>
      <w:pPr>
        <w:ind w:left="780"/>
        <w:spacing w:after="0"/>
        <w:rPr>
          <w:sz w:val="20"/>
          <w:szCs w:val="20"/>
          <w:color w:val="auto"/>
        </w:rPr>
      </w:pPr>
      <w:r>
        <w:rPr>
          <w:rFonts w:ascii="Arial" w:cs="Arial" w:eastAsia="Arial" w:hAnsi="Arial"/>
          <w:sz w:val="13"/>
          <w:szCs w:val="13"/>
          <w:color w:val="auto"/>
        </w:rPr>
        <w:t>File No. 333-125617 PrimElite III</w:t>
      </w:r>
    </w:p>
    <w:p>
      <w:pPr>
        <w:ind w:left="780"/>
        <w:spacing w:after="0"/>
        <w:rPr>
          <w:sz w:val="20"/>
          <w:szCs w:val="20"/>
          <w:color w:val="auto"/>
        </w:rPr>
      </w:pPr>
      <w:r>
        <w:rPr>
          <w:rFonts w:ascii="Arial" w:cs="Arial" w:eastAsia="Arial" w:hAnsi="Arial"/>
          <w:sz w:val="13"/>
          <w:szCs w:val="13"/>
          <w:color w:val="auto"/>
        </w:rPr>
        <w:t>File No. 333-125618 Marquis Portfolios (offered between November 7, 2005 and April 30, 2012)</w:t>
      </w:r>
    </w:p>
    <w:p>
      <w:pPr>
        <w:ind w:left="780"/>
        <w:spacing w:after="0"/>
        <w:rPr>
          <w:sz w:val="20"/>
          <w:szCs w:val="20"/>
          <w:color w:val="auto"/>
        </w:rPr>
      </w:pPr>
      <w:r>
        <w:rPr>
          <w:rFonts w:ascii="Arial" w:cs="Arial" w:eastAsia="Arial" w:hAnsi="Arial"/>
          <w:sz w:val="13"/>
          <w:szCs w:val="13"/>
          <w:color w:val="auto"/>
        </w:rPr>
        <w:t>File No. 333-125619 Protected Equity Portfolio</w:t>
      </w:r>
    </w:p>
    <w:p>
      <w:pPr>
        <w:ind w:left="780"/>
        <w:spacing w:after="0"/>
        <w:rPr>
          <w:sz w:val="20"/>
          <w:szCs w:val="20"/>
          <w:color w:val="auto"/>
        </w:rPr>
      </w:pPr>
      <w:r>
        <w:rPr>
          <w:rFonts w:ascii="Arial" w:cs="Arial" w:eastAsia="Arial" w:hAnsi="Arial"/>
          <w:sz w:val="13"/>
          <w:szCs w:val="13"/>
          <w:color w:val="auto"/>
        </w:rPr>
        <w:t>File No. 333-137370 Class S and Class S - L Share Option (offered between April 30, 2007 and October 7, 2011)</w:t>
      </w:r>
    </w:p>
    <w:p>
      <w:pPr>
        <w:ind w:left="780"/>
        <w:spacing w:after="0"/>
        <w:rPr>
          <w:sz w:val="20"/>
          <w:szCs w:val="20"/>
          <w:color w:val="auto"/>
        </w:rPr>
      </w:pPr>
      <w:r>
        <w:rPr>
          <w:rFonts w:ascii="Arial" w:cs="Arial" w:eastAsia="Arial" w:hAnsi="Arial"/>
          <w:sz w:val="13"/>
          <w:szCs w:val="13"/>
          <w:color w:val="auto"/>
        </w:rPr>
        <w:t>File No. 333-137969 PrimElite IV</w:t>
      </w:r>
    </w:p>
    <w:p>
      <w:pPr>
        <w:ind w:left="780"/>
        <w:spacing w:after="0"/>
        <w:rPr>
          <w:sz w:val="20"/>
          <w:szCs w:val="20"/>
          <w:color w:val="auto"/>
        </w:rPr>
      </w:pPr>
      <w:r>
        <w:rPr>
          <w:rFonts w:ascii="Arial" w:cs="Arial" w:eastAsia="Arial" w:hAnsi="Arial"/>
          <w:sz w:val="13"/>
          <w:szCs w:val="13"/>
          <w:color w:val="auto"/>
        </w:rPr>
        <w:t>File No. 333-148873 Pioneer PRISM</w:t>
      </w:r>
    </w:p>
    <w:p>
      <w:pPr>
        <w:ind w:left="780"/>
        <w:spacing w:after="0"/>
        <w:rPr>
          <w:sz w:val="20"/>
          <w:szCs w:val="20"/>
          <w:color w:val="auto"/>
        </w:rPr>
      </w:pPr>
      <w:r>
        <w:rPr>
          <w:rFonts w:ascii="Arial" w:cs="Arial" w:eastAsia="Arial" w:hAnsi="Arial"/>
          <w:sz w:val="13"/>
          <w:szCs w:val="13"/>
          <w:color w:val="auto"/>
        </w:rPr>
        <w:t>File No. 333-148874 Pioneer PRISM XC</w:t>
      </w:r>
    </w:p>
    <w:p>
      <w:pPr>
        <w:ind w:left="780"/>
        <w:spacing w:after="0"/>
        <w:rPr>
          <w:sz w:val="20"/>
          <w:szCs w:val="20"/>
          <w:color w:val="auto"/>
        </w:rPr>
      </w:pPr>
      <w:r>
        <w:rPr>
          <w:rFonts w:ascii="Arial" w:cs="Arial" w:eastAsia="Arial" w:hAnsi="Arial"/>
          <w:sz w:val="13"/>
          <w:szCs w:val="13"/>
          <w:color w:val="auto"/>
        </w:rPr>
        <w:t>File No. 333-148876 Pioneer PRISM L</w:t>
      </w:r>
    </w:p>
    <w:p>
      <w:pPr>
        <w:ind w:left="780"/>
        <w:spacing w:after="0"/>
        <w:rPr>
          <w:sz w:val="20"/>
          <w:szCs w:val="20"/>
          <w:color w:val="auto"/>
        </w:rPr>
      </w:pPr>
      <w:r>
        <w:rPr>
          <w:rFonts w:ascii="Arial" w:cs="Arial" w:eastAsia="Arial" w:hAnsi="Arial"/>
          <w:sz w:val="13"/>
          <w:szCs w:val="13"/>
          <w:color w:val="auto"/>
        </w:rPr>
        <w:t>File No. 333-152450 Class XTRA</w:t>
      </w:r>
    </w:p>
    <w:p>
      <w:pPr>
        <w:ind w:left="780"/>
        <w:spacing w:after="0"/>
        <w:rPr>
          <w:sz w:val="20"/>
          <w:szCs w:val="20"/>
          <w:color w:val="auto"/>
        </w:rPr>
      </w:pPr>
      <w:r>
        <w:rPr>
          <w:rFonts w:ascii="Arial" w:cs="Arial" w:eastAsia="Arial" w:hAnsi="Arial"/>
          <w:sz w:val="13"/>
          <w:szCs w:val="13"/>
          <w:color w:val="auto"/>
        </w:rPr>
        <w:t>File No. 333-156646 Class XTRA 6</w:t>
      </w:r>
    </w:p>
    <w:p>
      <w:pPr>
        <w:ind w:left="780"/>
        <w:spacing w:after="0" w:line="182" w:lineRule="auto"/>
        <w:rPr>
          <w:sz w:val="20"/>
          <w:szCs w:val="20"/>
          <w:color w:val="auto"/>
        </w:rPr>
      </w:pPr>
      <w:r>
        <w:rPr>
          <w:rFonts w:ascii="Arial" w:cs="Arial" w:eastAsia="Arial" w:hAnsi="Arial"/>
          <w:sz w:val="12"/>
          <w:szCs w:val="12"/>
          <w:color w:val="auto"/>
        </w:rPr>
        <w:t>File No. 333-158579 Brighthouse Simple Solutions</w:t>
      </w:r>
      <w:r>
        <w:rPr>
          <w:rFonts w:ascii="Arial" w:cs="Arial" w:eastAsia="Arial" w:hAnsi="Arial"/>
          <w:sz w:val="17"/>
          <w:szCs w:val="17"/>
          <w:color w:val="auto"/>
          <w:vertAlign w:val="superscript"/>
        </w:rPr>
        <w:t>SM</w:t>
      </w:r>
    </w:p>
    <w:p>
      <w:pPr>
        <w:ind w:left="780"/>
        <w:spacing w:after="0"/>
        <w:rPr>
          <w:sz w:val="20"/>
          <w:szCs w:val="20"/>
          <w:color w:val="auto"/>
        </w:rPr>
      </w:pPr>
      <w:r>
        <w:rPr>
          <w:rFonts w:ascii="Arial" w:cs="Arial" w:eastAsia="Arial" w:hAnsi="Arial"/>
          <w:sz w:val="13"/>
          <w:szCs w:val="13"/>
          <w:color w:val="auto"/>
        </w:rPr>
        <w:t>File No. 333-169687 Class VA- 4 (offered between May 1, 2011 and October 7, 2011)</w:t>
      </w:r>
    </w:p>
    <w:p>
      <w:pPr>
        <w:ind w:left="780"/>
        <w:spacing w:after="0"/>
        <w:rPr>
          <w:sz w:val="20"/>
          <w:szCs w:val="20"/>
          <w:color w:val="auto"/>
        </w:rPr>
      </w:pPr>
      <w:r>
        <w:rPr>
          <w:rFonts w:ascii="Arial" w:cs="Arial" w:eastAsia="Arial" w:hAnsi="Arial"/>
          <w:sz w:val="13"/>
          <w:szCs w:val="13"/>
          <w:color w:val="auto"/>
        </w:rPr>
        <w:t>File No. 333-176679 Class S (offered on and after October 7, 2011) and</w:t>
      </w:r>
    </w:p>
    <w:p>
      <w:pPr>
        <w:ind w:left="1020"/>
        <w:spacing w:after="0"/>
        <w:rPr>
          <w:sz w:val="20"/>
          <w:szCs w:val="20"/>
          <w:color w:val="auto"/>
        </w:rPr>
      </w:pPr>
      <w:r>
        <w:rPr>
          <w:rFonts w:ascii="Arial" w:cs="Arial" w:eastAsia="Arial" w:hAnsi="Arial"/>
          <w:sz w:val="13"/>
          <w:szCs w:val="13"/>
          <w:color w:val="auto"/>
        </w:rPr>
        <w:t>Class S- L Share Option (offered on and after October 7, 2011)</w:t>
      </w:r>
    </w:p>
    <w:p>
      <w:pPr>
        <w:ind w:left="780"/>
        <w:spacing w:after="0"/>
        <w:rPr>
          <w:sz w:val="20"/>
          <w:szCs w:val="20"/>
          <w:color w:val="auto"/>
        </w:rPr>
      </w:pPr>
      <w:r>
        <w:rPr>
          <w:rFonts w:ascii="Arial" w:cs="Arial" w:eastAsia="Arial" w:hAnsi="Arial"/>
          <w:sz w:val="13"/>
          <w:szCs w:val="13"/>
          <w:color w:val="auto"/>
        </w:rPr>
        <w:t>File No. 333-176680 Class VA- 4 (offered between October 7, 2011 and May 1, 2016)</w:t>
      </w:r>
    </w:p>
    <w:p>
      <w:pPr>
        <w:ind w:left="780"/>
        <w:spacing w:after="0"/>
        <w:rPr>
          <w:sz w:val="20"/>
          <w:szCs w:val="20"/>
          <w:color w:val="auto"/>
        </w:rPr>
      </w:pPr>
      <w:r>
        <w:rPr>
          <w:rFonts w:ascii="Arial" w:cs="Arial" w:eastAsia="Arial" w:hAnsi="Arial"/>
          <w:sz w:val="13"/>
          <w:szCs w:val="13"/>
          <w:color w:val="auto"/>
        </w:rPr>
        <w:t>File No. 333-176691 Class VA (offered on and after October 7, 2011)</w:t>
      </w:r>
    </w:p>
    <w:p>
      <w:pPr>
        <w:ind w:left="780"/>
        <w:spacing w:after="0"/>
        <w:rPr>
          <w:sz w:val="20"/>
          <w:szCs w:val="20"/>
          <w:color w:val="auto"/>
        </w:rPr>
      </w:pPr>
      <w:r>
        <w:rPr>
          <w:rFonts w:ascii="Arial" w:cs="Arial" w:eastAsia="Arial" w:hAnsi="Arial"/>
          <w:sz w:val="13"/>
          <w:szCs w:val="13"/>
          <w:color w:val="auto"/>
        </w:rPr>
        <w:t>File No. 333-176692 Class L- 4 Year (offered between October 7, 2011 and April 28, 2013)</w:t>
      </w:r>
    </w:p>
    <w:p>
      <w:pPr>
        <w:ind w:left="780"/>
        <w:spacing w:after="0"/>
        <w:rPr>
          <w:sz w:val="20"/>
          <w:szCs w:val="20"/>
          <w:color w:val="auto"/>
        </w:rPr>
      </w:pPr>
      <w:r>
        <w:rPr>
          <w:rFonts w:ascii="Arial" w:cs="Arial" w:eastAsia="Arial" w:hAnsi="Arial"/>
          <w:sz w:val="13"/>
          <w:szCs w:val="13"/>
          <w:color w:val="auto"/>
        </w:rPr>
        <w:t>File No. 333-176693 Class C (offered on and after October 7, 2011)</w:t>
      </w:r>
    </w:p>
    <w:p>
      <w:pPr>
        <w:ind w:left="780"/>
        <w:spacing w:after="0"/>
        <w:rPr>
          <w:sz w:val="20"/>
          <w:szCs w:val="20"/>
          <w:color w:val="auto"/>
        </w:rPr>
      </w:pPr>
      <w:r>
        <w:rPr>
          <w:rFonts w:ascii="Arial" w:cs="Arial" w:eastAsia="Arial" w:hAnsi="Arial"/>
          <w:sz w:val="13"/>
          <w:szCs w:val="13"/>
          <w:color w:val="auto"/>
        </w:rPr>
        <w:t>File No. 333-178515 Class O (offered between April 30, 2012 and September 20, 2015)</w:t>
      </w:r>
    </w:p>
    <w:p>
      <w:pPr>
        <w:ind w:left="780"/>
        <w:spacing w:after="0"/>
        <w:rPr>
          <w:sz w:val="20"/>
          <w:szCs w:val="20"/>
          <w:color w:val="auto"/>
        </w:rPr>
      </w:pPr>
      <w:r>
        <w:rPr>
          <w:rFonts w:ascii="Arial" w:cs="Arial" w:eastAsia="Arial" w:hAnsi="Arial"/>
          <w:sz w:val="13"/>
          <w:szCs w:val="13"/>
          <w:color w:val="auto"/>
        </w:rPr>
        <w:t>File No. 333-179240 Marquis Portfolios (offered on and after April 30, 2012)</w:t>
      </w:r>
    </w:p>
    <w:p>
      <w:pPr>
        <w:ind w:left="780"/>
        <w:spacing w:after="0"/>
        <w:rPr>
          <w:sz w:val="20"/>
          <w:szCs w:val="20"/>
          <w:color w:val="auto"/>
        </w:rPr>
      </w:pPr>
      <w:r>
        <w:rPr>
          <w:rFonts w:ascii="Arial" w:cs="Arial" w:eastAsia="Arial" w:hAnsi="Arial"/>
          <w:sz w:val="13"/>
          <w:szCs w:val="13"/>
          <w:color w:val="auto"/>
        </w:rPr>
        <w:t>File No. 333-186216 Class L- 4 Year (offered on and after April 29, 2013)</w:t>
      </w:r>
    </w:p>
    <w:p>
      <w:pPr>
        <w:ind w:left="780"/>
        <w:spacing w:after="0"/>
        <w:rPr>
          <w:sz w:val="20"/>
          <w:szCs w:val="20"/>
          <w:color w:val="auto"/>
        </w:rPr>
      </w:pPr>
      <w:r>
        <w:rPr>
          <w:rFonts w:ascii="Arial" w:cs="Arial" w:eastAsia="Arial" w:hAnsi="Arial"/>
          <w:sz w:val="13"/>
          <w:szCs w:val="13"/>
          <w:color w:val="auto"/>
        </w:rPr>
        <w:t>File No. 333-205137 Class O (offered on and after September 21, 2015)</w:t>
      </w:r>
    </w:p>
    <w:p>
      <w:pPr>
        <w:ind w:left="780"/>
        <w:spacing w:after="0"/>
        <w:rPr>
          <w:sz w:val="20"/>
          <w:szCs w:val="20"/>
          <w:color w:val="auto"/>
        </w:rPr>
      </w:pPr>
      <w:r>
        <w:rPr>
          <w:rFonts w:ascii="Arial" w:cs="Arial" w:eastAsia="Arial" w:hAnsi="Arial"/>
          <w:sz w:val="13"/>
          <w:szCs w:val="13"/>
          <w:color w:val="auto"/>
        </w:rPr>
        <w:t>File No. 333-209057 Class VA- 4 (offered on and after May 2, 2016)</w:t>
      </w:r>
    </w:p>
    <w:p>
      <w:pPr>
        <w:ind w:left="780"/>
        <w:spacing w:after="0"/>
        <w:rPr>
          <w:sz w:val="20"/>
          <w:szCs w:val="20"/>
          <w:color w:val="auto"/>
        </w:rPr>
      </w:pPr>
      <w:r>
        <w:rPr>
          <w:rFonts w:ascii="Arial" w:cs="Arial" w:eastAsia="Arial" w:hAnsi="Arial"/>
          <w:sz w:val="13"/>
          <w:szCs w:val="13"/>
          <w:color w:val="auto"/>
        </w:rPr>
        <w:t>File No. 333-209058 Class VA (offered on and after May 2, 2016)</w:t>
      </w:r>
    </w:p>
    <w:p>
      <w:pPr>
        <w:ind w:left="780"/>
        <w:spacing w:after="0"/>
        <w:rPr>
          <w:sz w:val="20"/>
          <w:szCs w:val="20"/>
          <w:color w:val="auto"/>
        </w:rPr>
      </w:pPr>
      <w:r>
        <w:rPr>
          <w:rFonts w:ascii="Arial" w:cs="Arial" w:eastAsia="Arial" w:hAnsi="Arial"/>
          <w:sz w:val="13"/>
          <w:szCs w:val="13"/>
          <w:color w:val="auto"/>
        </w:rPr>
        <w:t>File No. 333-209059 Class S (offered on and after May 2, 2016) and</w:t>
      </w:r>
    </w:p>
    <w:p>
      <w:pPr>
        <w:ind w:left="1020"/>
        <w:spacing w:after="0"/>
        <w:rPr>
          <w:sz w:val="20"/>
          <w:szCs w:val="20"/>
          <w:color w:val="auto"/>
        </w:rPr>
      </w:pPr>
      <w:r>
        <w:rPr>
          <w:rFonts w:ascii="Arial" w:cs="Arial" w:eastAsia="Arial" w:hAnsi="Arial"/>
          <w:sz w:val="13"/>
          <w:szCs w:val="13"/>
          <w:color w:val="auto"/>
        </w:rPr>
        <w:t>S- L Share Option (offered on and after May 2, 2016)</w:t>
      </w:r>
    </w:p>
    <w:p>
      <w:pPr>
        <w:sectPr>
          <w:pgSz w:w="11900" w:h="16838" w:orient="portrait"/>
          <w:cols w:equalWidth="0" w:num="1">
            <w:col w:w="11240"/>
          </w:cols>
          <w:pgMar w:left="300" w:top="236" w:right="359" w:bottom="1440" w:gutter="0" w:footer="0" w:header="0"/>
        </w:sectPr>
      </w:pPr>
    </w:p>
    <w:bookmarkStart w:id="175" w:name="page176"/>
    <w:bookmarkEnd w:id="175"/>
    <w:p>
      <w:pPr>
        <w:ind w:left="78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8">
                      <a:extLst>
                        <a:ext uri="{28A0092B-C50C-407E-A947-70E740481C1C}"/>
                      </a:extLst>
                    </a:blip>
                    <a:srcRect/>
                    <a:stretch>
                      <a:fillRect/>
                    </a:stretch>
                  </pic:blipFill>
                  <pic:spPr bwMode="auto">
                    <a:xfrm>
                      <a:off x="0" y="0"/>
                      <a:ext cx="7206615" cy="31750"/>
                    </a:xfrm>
                    <a:prstGeom prst="rect">
                      <a:avLst/>
                    </a:prstGeom>
                    <a:noFill/>
                  </pic:spPr>
                </pic:pic>
              </a:graphicData>
            </a:graphic>
          </wp:anchor>
        </w:drawing>
        <w:t>File No. 333-216454 Brighthouse Prime Options,</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And pertaining to:</w:t>
      </w:r>
    </w:p>
    <w:p>
      <w:pPr>
        <w:ind w:left="780"/>
        <w:spacing w:after="0" w:line="185" w:lineRule="auto"/>
        <w:rPr>
          <w:sz w:val="20"/>
          <w:szCs w:val="20"/>
          <w:color w:val="auto"/>
        </w:rPr>
      </w:pPr>
      <w:r>
        <w:rPr>
          <w:rFonts w:ascii="Arial" w:cs="Arial" w:eastAsia="Arial" w:hAnsi="Arial"/>
          <w:sz w:val="13"/>
          <w:szCs w:val="13"/>
          <w:color w:val="auto"/>
        </w:rPr>
        <w:t>File No. 333-216452 Brighthouse Shield Level Selector</w:t>
      </w:r>
      <w:r>
        <w:rPr>
          <w:rFonts w:ascii="Arial" w:cs="Arial" w:eastAsia="Arial" w:hAnsi="Arial"/>
          <w:sz w:val="18"/>
          <w:szCs w:val="18"/>
          <w:color w:val="auto"/>
          <w:vertAlign w:val="superscript"/>
        </w:rPr>
        <w:t>®</w:t>
      </w:r>
      <w:r>
        <w:rPr>
          <w:rFonts w:ascii="Arial" w:cs="Arial" w:eastAsia="Arial" w:hAnsi="Arial"/>
          <w:sz w:val="13"/>
          <w:szCs w:val="13"/>
          <w:color w:val="auto"/>
        </w:rPr>
        <w:t xml:space="preserve"> Annuity</w:t>
      </w:r>
    </w:p>
    <w:p>
      <w:pPr>
        <w:ind w:left="780"/>
        <w:spacing w:after="0" w:line="183" w:lineRule="auto"/>
        <w:rPr>
          <w:sz w:val="20"/>
          <w:szCs w:val="20"/>
          <w:color w:val="auto"/>
        </w:rPr>
      </w:pPr>
      <w:r>
        <w:rPr>
          <w:rFonts w:ascii="Arial" w:cs="Arial" w:eastAsia="Arial" w:hAnsi="Arial"/>
          <w:sz w:val="12"/>
          <w:szCs w:val="12"/>
          <w:color w:val="auto"/>
        </w:rPr>
        <w:t>File No. 333-216453 Brighthouse Shield Level Selector</w:t>
      </w:r>
      <w:r>
        <w:rPr>
          <w:rFonts w:ascii="Arial" w:cs="Arial" w:eastAsia="Arial" w:hAnsi="Arial"/>
          <w:sz w:val="17"/>
          <w:szCs w:val="17"/>
          <w:color w:val="auto"/>
          <w:vertAlign w:val="superscript"/>
        </w:rPr>
        <w:t>®</w:t>
      </w:r>
      <w:r>
        <w:rPr>
          <w:rFonts w:ascii="Arial" w:cs="Arial" w:eastAsia="Arial" w:hAnsi="Arial"/>
          <w:sz w:val="12"/>
          <w:szCs w:val="12"/>
          <w:color w:val="auto"/>
        </w:rPr>
        <w:t xml:space="preserve"> 3-Year Annuity</w:t>
      </w:r>
    </w:p>
    <w:p>
      <w:pPr>
        <w:ind w:left="780"/>
        <w:spacing w:after="0" w:line="183" w:lineRule="auto"/>
        <w:rPr>
          <w:sz w:val="20"/>
          <w:szCs w:val="20"/>
          <w:color w:val="auto"/>
        </w:rPr>
      </w:pPr>
      <w:r>
        <w:rPr>
          <w:rFonts w:ascii="Arial" w:cs="Arial" w:eastAsia="Arial" w:hAnsi="Arial"/>
          <w:sz w:val="12"/>
          <w:szCs w:val="12"/>
          <w:color w:val="auto"/>
        </w:rPr>
        <w:t>File No. 333-238214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10 Annuity</w:t>
      </w:r>
    </w:p>
    <w:p>
      <w:pPr>
        <w:ind w:left="780"/>
        <w:spacing w:after="0" w:line="182" w:lineRule="auto"/>
        <w:rPr>
          <w:sz w:val="20"/>
          <w:szCs w:val="20"/>
          <w:color w:val="auto"/>
        </w:rPr>
      </w:pPr>
      <w:r>
        <w:rPr>
          <w:rFonts w:ascii="Arial" w:cs="Arial" w:eastAsia="Arial" w:hAnsi="Arial"/>
          <w:sz w:val="12"/>
          <w:szCs w:val="12"/>
          <w:color w:val="auto"/>
        </w:rPr>
        <w:t>File No. 333-265196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Select 3-Year Annuity</w:t>
      </w:r>
    </w:p>
    <w:p>
      <w:pPr>
        <w:ind w:left="780"/>
        <w:spacing w:after="0" w:line="183" w:lineRule="auto"/>
        <w:rPr>
          <w:sz w:val="20"/>
          <w:szCs w:val="20"/>
          <w:color w:val="auto"/>
        </w:rPr>
      </w:pPr>
      <w:r>
        <w:rPr>
          <w:rFonts w:ascii="Arial" w:cs="Arial" w:eastAsia="Arial" w:hAnsi="Arial"/>
          <w:sz w:val="12"/>
          <w:szCs w:val="12"/>
          <w:color w:val="auto"/>
        </w:rPr>
        <w:t>File No. 333-265199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Select 6-Year Annuity</w:t>
      </w:r>
    </w:p>
    <w:p>
      <w:pPr>
        <w:ind w:left="780"/>
        <w:spacing w:after="0" w:line="183" w:lineRule="auto"/>
        <w:rPr>
          <w:sz w:val="20"/>
          <w:szCs w:val="20"/>
          <w:color w:val="auto"/>
        </w:rPr>
      </w:pPr>
      <w:r>
        <w:rPr>
          <w:rFonts w:ascii="Arial" w:cs="Arial" w:eastAsia="Arial" w:hAnsi="Arial"/>
          <w:sz w:val="12"/>
          <w:szCs w:val="12"/>
          <w:color w:val="auto"/>
        </w:rPr>
        <w:t>File No. 333-259506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Select 6-Year Annuity v.3</w:t>
      </w:r>
    </w:p>
    <w:p>
      <w:pPr>
        <w:ind w:left="780"/>
        <w:spacing w:after="0"/>
        <w:rPr>
          <w:sz w:val="20"/>
          <w:szCs w:val="20"/>
          <w:color w:val="auto"/>
        </w:rPr>
      </w:pPr>
      <w:r>
        <w:rPr>
          <w:rFonts w:ascii="Arial" w:cs="Arial" w:eastAsia="Arial" w:hAnsi="Arial"/>
          <w:sz w:val="13"/>
          <w:szCs w:val="13"/>
          <w:color w:val="auto"/>
        </w:rPr>
        <w:t>File No. 333-279315 Brighthouse Shield</w:t>
      </w:r>
      <w:r>
        <w:rPr>
          <w:rFonts w:ascii="Arial" w:cs="Arial" w:eastAsia="Arial" w:hAnsi="Arial"/>
          <w:sz w:val="19"/>
          <w:szCs w:val="19"/>
          <w:color w:val="auto"/>
          <w:vertAlign w:val="superscript"/>
        </w:rPr>
        <w:t>®</w:t>
      </w:r>
      <w:r>
        <w:rPr>
          <w:rFonts w:ascii="Arial" w:cs="Arial" w:eastAsia="Arial" w:hAnsi="Arial"/>
          <w:sz w:val="13"/>
          <w:szCs w:val="13"/>
          <w:color w:val="auto"/>
        </w:rPr>
        <w:t xml:space="preserve"> Level II 6-Year Annuity</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And new annuities and life products such as:</w:t>
      </w:r>
    </w:p>
    <w:p>
      <w:pPr>
        <w:spacing w:after="0" w:line="11" w:lineRule="exact"/>
        <w:rPr>
          <w:sz w:val="20"/>
          <w:szCs w:val="20"/>
          <w:color w:val="auto"/>
        </w:rPr>
      </w:pPr>
    </w:p>
    <w:p>
      <w:pPr>
        <w:ind w:left="780"/>
        <w:spacing w:after="0"/>
        <w:rPr>
          <w:sz w:val="20"/>
          <w:szCs w:val="20"/>
          <w:color w:val="auto"/>
        </w:rPr>
      </w:pPr>
      <w:r>
        <w:rPr>
          <w:rFonts w:ascii="Arial" w:cs="Arial" w:eastAsia="Arial" w:hAnsi="Arial"/>
          <w:sz w:val="13"/>
          <w:szCs w:val="13"/>
          <w:color w:val="auto"/>
        </w:rPr>
        <w:t>Brighthouse Shield Annuity</w:t>
      </w:r>
    </w:p>
    <w:p>
      <w:pPr>
        <w:ind w:left="780"/>
        <w:spacing w:after="0"/>
        <w:rPr>
          <w:sz w:val="20"/>
          <w:szCs w:val="20"/>
          <w:color w:val="auto"/>
        </w:rPr>
      </w:pPr>
      <w:r>
        <w:rPr>
          <w:rFonts w:ascii="Arial" w:cs="Arial" w:eastAsia="Arial" w:hAnsi="Arial"/>
          <w:sz w:val="13"/>
          <w:szCs w:val="13"/>
          <w:color w:val="auto"/>
        </w:rPr>
        <w:t>Brighthouse Shield 3-Year Annuity</w:t>
      </w:r>
    </w:p>
    <w:p>
      <w:pPr>
        <w:ind w:left="780"/>
        <w:spacing w:after="0"/>
        <w:rPr>
          <w:sz w:val="20"/>
          <w:szCs w:val="20"/>
          <w:color w:val="auto"/>
        </w:rPr>
      </w:pPr>
      <w:r>
        <w:rPr>
          <w:rFonts w:ascii="Arial" w:cs="Arial" w:eastAsia="Arial" w:hAnsi="Arial"/>
          <w:sz w:val="13"/>
          <w:szCs w:val="13"/>
          <w:color w:val="auto"/>
        </w:rPr>
        <w:t>Brighthouse Shield 6-Year Annuity</w:t>
      </w:r>
    </w:p>
    <w:p>
      <w:pPr>
        <w:ind w:left="780"/>
        <w:spacing w:after="0"/>
        <w:rPr>
          <w:sz w:val="20"/>
          <w:szCs w:val="20"/>
          <w:color w:val="auto"/>
        </w:rPr>
      </w:pPr>
      <w:r>
        <w:rPr>
          <w:rFonts w:ascii="Arial" w:cs="Arial" w:eastAsia="Arial" w:hAnsi="Arial"/>
          <w:sz w:val="13"/>
          <w:szCs w:val="13"/>
          <w:color w:val="auto"/>
        </w:rPr>
        <w:t>Brighthouse indexed-linked life insurance policy,</w:t>
      </w:r>
    </w:p>
    <w:p>
      <w:pPr>
        <w:spacing w:after="0" w:line="146" w:lineRule="exact"/>
        <w:rPr>
          <w:sz w:val="20"/>
          <w:szCs w:val="20"/>
          <w:color w:val="auto"/>
        </w:rPr>
      </w:pPr>
    </w:p>
    <w:p>
      <w:pPr>
        <w:spacing w:after="0" w:line="258" w:lineRule="auto"/>
        <w:rPr>
          <w:sz w:val="20"/>
          <w:szCs w:val="20"/>
          <w:color w:val="auto"/>
        </w:rPr>
      </w:pPr>
      <w:r>
        <w:rPr>
          <w:rFonts w:ascii="Arial" w:cs="Arial" w:eastAsia="Arial" w:hAnsi="Arial"/>
          <w:sz w:val="13"/>
          <w:szCs w:val="13"/>
          <w:color w:val="auto"/>
        </w:rPr>
        <w:t>and to have full power and authority to do or cause to be done in my name, place and stead each and every act and thing necessary or appropriate in order to effectuate the same, as fully to all intents and purposes as I might or could do in person, hereby ratifying and confirming all that said attorneys-in-fact or any of them, may do or cause to be done by virtue hereof. This Power of Attorney does not revoke any prior powers of attorney.</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color w:val="auto"/>
        </w:rPr>
        <w:t>IN WITNESS WHEREOF, I have hereunto set my hand this 19th day of May 2024.</w:t>
      </w:r>
    </w:p>
    <w:p>
      <w:pPr>
        <w:spacing w:after="0" w:line="36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 Gianna H. Figaro-Sterling</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Gianna H. Figaro-Sterling</w:t>
      </w:r>
    </w:p>
    <w:p>
      <w:pPr>
        <w:sectPr>
          <w:pgSz w:w="11900" w:h="16838" w:orient="portrait"/>
          <w:cols w:equalWidth="0" w:num="1">
            <w:col w:w="11220"/>
          </w:cols>
          <w:pgMar w:left="300" w:top="236" w:right="37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3"/>
          <w:szCs w:val="13"/>
          <w:b w:val="1"/>
          <w:bCs w:val="1"/>
          <w:color w:val="auto"/>
        </w:rPr>
        <w:t>Brighthouse Shield</w:t>
      </w:r>
      <w:r>
        <w:rPr>
          <w:rFonts w:ascii="Times New Roman" w:cs="Times New Roman" w:eastAsia="Times New Roman" w:hAnsi="Times New Roman"/>
          <w:sz w:val="19"/>
          <w:szCs w:val="19"/>
          <w:b w:val="1"/>
          <w:bCs w:val="1"/>
          <w:color w:val="auto"/>
          <w:vertAlign w:val="superscript"/>
        </w:rPr>
        <w:t>®</w:t>
      </w:r>
      <w:r>
        <w:rPr>
          <w:rFonts w:ascii="Times New Roman" w:cs="Times New Roman" w:eastAsia="Times New Roman" w:hAnsi="Times New Roman"/>
          <w:sz w:val="13"/>
          <w:szCs w:val="13"/>
          <w:b w:val="1"/>
          <w:bCs w:val="1"/>
          <w:color w:val="auto"/>
        </w:rPr>
        <w:t xml:space="preserve"> Level II 6-Year Annuity</w:t>
      </w:r>
    </w:p>
    <w:p>
      <w:pPr>
        <w:ind w:right="3500"/>
        <w:spacing w:after="0" w:line="268" w:lineRule="auto"/>
        <w:rPr>
          <w:sz w:val="20"/>
          <w:szCs w:val="20"/>
          <w:color w:val="auto"/>
        </w:rPr>
      </w:pPr>
      <w:r>
        <w:rPr>
          <w:rFonts w:ascii="Times New Roman" w:cs="Times New Roman" w:eastAsia="Times New Roman" w:hAnsi="Times New Roman"/>
          <w:sz w:val="13"/>
          <w:szCs w:val="13"/>
          <w:b w:val="1"/>
          <w:bCs w:val="1"/>
          <w:color w:val="auto"/>
        </w:rPr>
        <w:t>Historical new contract upside crediting rates in effect for each Shield Option offered by the Contract during the period dated July 22, 2024 through December 31, 2024*</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The Contract was not available before July 22, 2024</w:t>
      </w:r>
    </w:p>
    <w:p>
      <w:pPr>
        <w:spacing w:after="0" w:line="168" w:lineRule="exact"/>
        <w:rPr>
          <w:sz w:val="20"/>
          <w:szCs w:val="20"/>
          <w:color w:val="auto"/>
        </w:rPr>
      </w:pPr>
    </w:p>
    <w:p>
      <w:pPr>
        <w:ind w:right="3420"/>
        <w:spacing w:after="0" w:line="290" w:lineRule="auto"/>
        <w:rPr>
          <w:sz w:val="20"/>
          <w:szCs w:val="20"/>
          <w:color w:val="auto"/>
        </w:rPr>
      </w:pPr>
      <w:r>
        <w:rPr>
          <w:rFonts w:ascii="Times New Roman" w:cs="Times New Roman" w:eastAsia="Times New Roman" w:hAnsi="Times New Roman"/>
          <w:sz w:val="13"/>
          <w:szCs w:val="13"/>
          <w:color w:val="auto"/>
        </w:rPr>
        <w:t>The following chart shows the historical new contract Cap Rates, Step Rates, and Edge Rates in effect for each of the Shield Options during the stated time period.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20" w:type="dxa"/>
            <w:vAlign w:val="bottom"/>
          </w:tcPr>
          <w:p>
            <w:pPr>
              <w:spacing w:after="0"/>
              <w:rPr>
                <w:sz w:val="11"/>
                <w:szCs w:val="11"/>
                <w:color w:val="auto"/>
              </w:rPr>
            </w:pPr>
          </w:p>
        </w:tc>
        <w:tc>
          <w:tcPr>
            <w:tcW w:w="1180" w:type="dxa"/>
            <w:vAlign w:val="bottom"/>
            <w:gridSpan w:val="4"/>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Shield Option</w:t>
            </w:r>
          </w:p>
        </w:tc>
        <w:tc>
          <w:tcPr>
            <w:tcW w:w="800" w:type="dxa"/>
            <w:vAlign w:val="bottom"/>
          </w:tcPr>
          <w:p>
            <w:pPr>
              <w:spacing w:after="0"/>
              <w:rPr>
                <w:sz w:val="11"/>
                <w:szCs w:val="11"/>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88"/>
              </w:rPr>
              <w:t>July</w:t>
            </w:r>
          </w:p>
        </w:tc>
        <w:tc>
          <w:tcPr>
            <w:tcW w:w="1560" w:type="dxa"/>
            <w:vAlign w:val="bottom"/>
            <w:gridSpan w:val="4"/>
          </w:tcPr>
          <w:p>
            <w:pPr>
              <w:jc w:val="right"/>
              <w:ind w:right="700"/>
              <w:spacing w:after="0"/>
              <w:rPr>
                <w:sz w:val="20"/>
                <w:szCs w:val="20"/>
                <w:color w:val="auto"/>
              </w:rPr>
            </w:pPr>
            <w:r>
              <w:rPr>
                <w:rFonts w:ascii="Times New Roman" w:cs="Times New Roman" w:eastAsia="Times New Roman" w:hAnsi="Times New Roman"/>
                <w:sz w:val="11"/>
                <w:szCs w:val="11"/>
                <w:b w:val="1"/>
                <w:bCs w:val="1"/>
                <w:color w:val="auto"/>
              </w:rPr>
              <w:t>August</w:t>
            </w:r>
          </w:p>
        </w:tc>
        <w:tc>
          <w:tcPr>
            <w:tcW w:w="1540" w:type="dxa"/>
            <w:vAlign w:val="bottom"/>
            <w:gridSpan w:val="4"/>
          </w:tcPr>
          <w:p>
            <w:pPr>
              <w:jc w:val="right"/>
              <w:ind w:right="620"/>
              <w:spacing w:after="0"/>
              <w:rPr>
                <w:sz w:val="20"/>
                <w:szCs w:val="20"/>
                <w:color w:val="auto"/>
              </w:rPr>
            </w:pPr>
            <w:r>
              <w:rPr>
                <w:rFonts w:ascii="Times New Roman" w:cs="Times New Roman" w:eastAsia="Times New Roman" w:hAnsi="Times New Roman"/>
                <w:sz w:val="11"/>
                <w:szCs w:val="11"/>
                <w:b w:val="1"/>
                <w:bCs w:val="1"/>
                <w:color w:val="auto"/>
              </w:rPr>
              <w:t>September</w:t>
            </w:r>
          </w:p>
        </w:tc>
        <w:tc>
          <w:tcPr>
            <w:tcW w:w="1560" w:type="dxa"/>
            <w:vAlign w:val="bottom"/>
            <w:gridSpan w:val="4"/>
          </w:tcPr>
          <w:p>
            <w:pPr>
              <w:jc w:val="right"/>
              <w:ind w:right="700"/>
              <w:spacing w:after="0"/>
              <w:rPr>
                <w:sz w:val="20"/>
                <w:szCs w:val="20"/>
                <w:color w:val="auto"/>
              </w:rPr>
            </w:pPr>
            <w:r>
              <w:rPr>
                <w:rFonts w:ascii="Times New Roman" w:cs="Times New Roman" w:eastAsia="Times New Roman" w:hAnsi="Times New Roman"/>
                <w:sz w:val="11"/>
                <w:szCs w:val="11"/>
                <w:b w:val="1"/>
                <w:bCs w:val="1"/>
                <w:color w:val="auto"/>
              </w:rPr>
              <w:t>October</w:t>
            </w:r>
          </w:p>
        </w:tc>
        <w:tc>
          <w:tcPr>
            <w:tcW w:w="1540" w:type="dxa"/>
            <w:vAlign w:val="bottom"/>
            <w:gridSpan w:val="4"/>
          </w:tcPr>
          <w:p>
            <w:pPr>
              <w:jc w:val="right"/>
              <w:ind w:right="640"/>
              <w:spacing w:after="0"/>
              <w:rPr>
                <w:sz w:val="20"/>
                <w:szCs w:val="20"/>
                <w:color w:val="auto"/>
              </w:rPr>
            </w:pPr>
            <w:r>
              <w:rPr>
                <w:rFonts w:ascii="Times New Roman" w:cs="Times New Roman" w:eastAsia="Times New Roman" w:hAnsi="Times New Roman"/>
                <w:sz w:val="11"/>
                <w:szCs w:val="11"/>
                <w:b w:val="1"/>
                <w:bCs w:val="1"/>
                <w:color w:val="auto"/>
              </w:rPr>
              <w:t>November</w:t>
            </w:r>
          </w:p>
        </w:tc>
        <w:tc>
          <w:tcPr>
            <w:tcW w:w="1500" w:type="dxa"/>
            <w:vAlign w:val="bottom"/>
            <w:gridSpan w:val="4"/>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rPr>
              <w:t>December</w:t>
            </w:r>
          </w:p>
        </w:tc>
        <w:tc>
          <w:tcPr>
            <w:tcW w:w="0" w:type="dxa"/>
            <w:vAlign w:val="bottom"/>
          </w:tcPr>
          <w:p>
            <w:pPr>
              <w:spacing w:after="0"/>
              <w:rPr>
                <w:sz w:val="1"/>
                <w:szCs w:val="1"/>
                <w:color w:val="auto"/>
              </w:rPr>
            </w:pPr>
          </w:p>
        </w:tc>
      </w:tr>
      <w:tr>
        <w:trPr>
          <w:trHeight w:val="99"/>
        </w:trPr>
        <w:tc>
          <w:tcPr>
            <w:tcW w:w="920" w:type="dxa"/>
            <w:vAlign w:val="bottom"/>
            <w:tcBorders>
              <w:top w:val="single" w:sz="8" w:color="auto"/>
              <w:bottom w:val="single" w:sz="8" w:color="auto"/>
            </w:tcBorders>
          </w:tcPr>
          <w:p>
            <w:pPr>
              <w:spacing w:after="0" w:line="99" w:lineRule="exact"/>
              <w:rPr>
                <w:sz w:val="20"/>
                <w:szCs w:val="20"/>
                <w:color w:val="auto"/>
              </w:rPr>
            </w:pPr>
            <w:r>
              <w:rPr>
                <w:rFonts w:ascii="Times New Roman" w:cs="Times New Roman" w:eastAsia="Times New Roman" w:hAnsi="Times New Roman"/>
                <w:sz w:val="11"/>
                <w:szCs w:val="11"/>
                <w:i w:val="1"/>
                <w:iCs w:val="1"/>
                <w:color w:val="auto"/>
                <w:w w:val="98"/>
              </w:rPr>
              <w:t>Rate Crediting Type</w:t>
            </w:r>
          </w:p>
        </w:tc>
        <w:tc>
          <w:tcPr>
            <w:tcW w:w="500" w:type="dxa"/>
            <w:vAlign w:val="bottom"/>
            <w:tcBorders>
              <w:top w:val="single" w:sz="8" w:color="auto"/>
            </w:tcBorders>
            <w:gridSpan w:val="2"/>
          </w:tcPr>
          <w:p>
            <w:pPr>
              <w:ind w:left="80"/>
              <w:spacing w:after="0" w:line="99" w:lineRule="exact"/>
              <w:rPr>
                <w:sz w:val="20"/>
                <w:szCs w:val="20"/>
                <w:color w:val="auto"/>
              </w:rPr>
            </w:pPr>
            <w:r>
              <w:rPr>
                <w:rFonts w:ascii="Times New Roman" w:cs="Times New Roman" w:eastAsia="Times New Roman" w:hAnsi="Times New Roman"/>
                <w:sz w:val="11"/>
                <w:szCs w:val="11"/>
                <w:i w:val="1"/>
                <w:iCs w:val="1"/>
                <w:color w:val="auto"/>
              </w:rPr>
              <w:t>Term</w:t>
            </w:r>
          </w:p>
        </w:tc>
        <w:tc>
          <w:tcPr>
            <w:tcW w:w="680" w:type="dxa"/>
            <w:vAlign w:val="bottom"/>
            <w:tcBorders>
              <w:top w:val="single" w:sz="8" w:color="auto"/>
            </w:tcBorders>
            <w:gridSpan w:val="2"/>
          </w:tcPr>
          <w:p>
            <w:pPr>
              <w:jc w:val="right"/>
              <w:ind w:right="200"/>
              <w:spacing w:after="0" w:line="99" w:lineRule="exact"/>
              <w:rPr>
                <w:sz w:val="20"/>
                <w:szCs w:val="20"/>
                <w:color w:val="auto"/>
              </w:rPr>
            </w:pPr>
            <w:r>
              <w:rPr>
                <w:rFonts w:ascii="Times New Roman" w:cs="Times New Roman" w:eastAsia="Times New Roman" w:hAnsi="Times New Roman"/>
                <w:sz w:val="11"/>
                <w:szCs w:val="11"/>
                <w:i w:val="1"/>
                <w:iCs w:val="1"/>
                <w:color w:val="auto"/>
                <w:w w:val="91"/>
              </w:rPr>
              <w:t>Shield Rate</w:t>
            </w:r>
          </w:p>
        </w:tc>
        <w:tc>
          <w:tcPr>
            <w:tcW w:w="800" w:type="dxa"/>
            <w:vAlign w:val="bottom"/>
            <w:tcBorders>
              <w:top w:val="single" w:sz="8" w:color="auto"/>
            </w:tcBorders>
          </w:tcPr>
          <w:p>
            <w:pPr>
              <w:jc w:val="center"/>
              <w:spacing w:after="0" w:line="99" w:lineRule="exact"/>
              <w:rPr>
                <w:sz w:val="20"/>
                <w:szCs w:val="20"/>
                <w:color w:val="auto"/>
              </w:rPr>
            </w:pPr>
            <w:r>
              <w:rPr>
                <w:rFonts w:ascii="Times New Roman" w:cs="Times New Roman" w:eastAsia="Times New Roman" w:hAnsi="Times New Roman"/>
                <w:sz w:val="11"/>
                <w:szCs w:val="11"/>
                <w:i w:val="1"/>
                <w:iCs w:val="1"/>
                <w:color w:val="auto"/>
                <w:w w:val="98"/>
              </w:rPr>
              <w:t>Index</w:t>
            </w:r>
          </w:p>
        </w:tc>
        <w:tc>
          <w:tcPr>
            <w:tcW w:w="580" w:type="dxa"/>
            <w:vAlign w:val="bottom"/>
            <w:tcBorders>
              <w:top w:val="single" w:sz="8" w:color="auto"/>
            </w:tcBorders>
          </w:tcPr>
          <w:p>
            <w:pPr>
              <w:jc w:val="right"/>
              <w:ind w:right="34"/>
              <w:spacing w:after="0" w:line="99" w:lineRule="exact"/>
              <w:rPr>
                <w:sz w:val="20"/>
                <w:szCs w:val="20"/>
                <w:color w:val="auto"/>
              </w:rPr>
            </w:pPr>
            <w:r>
              <w:rPr>
                <w:rFonts w:ascii="Times New Roman" w:cs="Times New Roman" w:eastAsia="Times New Roman" w:hAnsi="Times New Roman"/>
                <w:sz w:val="11"/>
                <w:szCs w:val="11"/>
                <w:color w:val="auto"/>
              </w:rPr>
              <w:t>07/22/24</w:t>
            </w:r>
          </w:p>
        </w:tc>
        <w:tc>
          <w:tcPr>
            <w:tcW w:w="180" w:type="dxa"/>
            <w:vAlign w:val="bottom"/>
          </w:tcPr>
          <w:p>
            <w:pPr>
              <w:spacing w:after="0"/>
              <w:rPr>
                <w:sz w:val="8"/>
                <w:szCs w:val="8"/>
                <w:color w:val="auto"/>
              </w:rPr>
            </w:pPr>
          </w:p>
        </w:tc>
        <w:tc>
          <w:tcPr>
            <w:tcW w:w="600" w:type="dxa"/>
            <w:vAlign w:val="bottom"/>
            <w:tcBorders>
              <w:top w:val="single" w:sz="8" w:color="auto"/>
            </w:tcBorders>
          </w:tcPr>
          <w:p>
            <w:pPr>
              <w:jc w:val="right"/>
              <w:ind w:right="34"/>
              <w:spacing w:after="0" w:line="99" w:lineRule="exact"/>
              <w:rPr>
                <w:sz w:val="20"/>
                <w:szCs w:val="20"/>
                <w:color w:val="auto"/>
              </w:rPr>
            </w:pPr>
            <w:r>
              <w:rPr>
                <w:rFonts w:ascii="Times New Roman" w:cs="Times New Roman" w:eastAsia="Times New Roman" w:hAnsi="Times New Roman"/>
                <w:sz w:val="11"/>
                <w:szCs w:val="11"/>
                <w:color w:val="auto"/>
              </w:rPr>
              <w:t>08/01/24</w:t>
            </w:r>
          </w:p>
        </w:tc>
        <w:tc>
          <w:tcPr>
            <w:tcW w:w="1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jc w:val="right"/>
              <w:ind w:right="34"/>
              <w:spacing w:after="0" w:line="99" w:lineRule="exact"/>
              <w:rPr>
                <w:sz w:val="20"/>
                <w:szCs w:val="20"/>
                <w:color w:val="auto"/>
              </w:rPr>
            </w:pPr>
            <w:r>
              <w:rPr>
                <w:rFonts w:ascii="Times New Roman" w:cs="Times New Roman" w:eastAsia="Times New Roman" w:hAnsi="Times New Roman"/>
                <w:sz w:val="11"/>
                <w:szCs w:val="11"/>
                <w:color w:val="auto"/>
              </w:rPr>
              <w:t>08/15/24</w:t>
            </w:r>
          </w:p>
        </w:tc>
        <w:tc>
          <w:tcPr>
            <w:tcW w:w="200" w:type="dxa"/>
            <w:vAlign w:val="bottom"/>
          </w:tcPr>
          <w:p>
            <w:pPr>
              <w:spacing w:after="0"/>
              <w:rPr>
                <w:sz w:val="8"/>
                <w:szCs w:val="8"/>
                <w:color w:val="auto"/>
              </w:rPr>
            </w:pPr>
          </w:p>
        </w:tc>
        <w:tc>
          <w:tcPr>
            <w:tcW w:w="580" w:type="dxa"/>
            <w:vAlign w:val="bottom"/>
            <w:tcBorders>
              <w:top w:val="single" w:sz="8" w:color="auto"/>
            </w:tcBorders>
          </w:tcPr>
          <w:p>
            <w:pPr>
              <w:jc w:val="right"/>
              <w:ind w:right="34"/>
              <w:spacing w:after="0" w:line="99" w:lineRule="exact"/>
              <w:rPr>
                <w:sz w:val="20"/>
                <w:szCs w:val="20"/>
                <w:color w:val="auto"/>
              </w:rPr>
            </w:pPr>
            <w:r>
              <w:rPr>
                <w:rFonts w:ascii="Times New Roman" w:cs="Times New Roman" w:eastAsia="Times New Roman" w:hAnsi="Times New Roman"/>
                <w:sz w:val="11"/>
                <w:szCs w:val="11"/>
                <w:color w:val="auto"/>
              </w:rPr>
              <w:t>09/01/24</w:t>
            </w:r>
          </w:p>
        </w:tc>
        <w:tc>
          <w:tcPr>
            <w:tcW w:w="2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jc w:val="right"/>
              <w:ind w:right="34"/>
              <w:spacing w:after="0" w:line="99" w:lineRule="exact"/>
              <w:rPr>
                <w:sz w:val="20"/>
                <w:szCs w:val="20"/>
                <w:color w:val="auto"/>
              </w:rPr>
            </w:pPr>
            <w:r>
              <w:rPr>
                <w:rFonts w:ascii="Times New Roman" w:cs="Times New Roman" w:eastAsia="Times New Roman" w:hAnsi="Times New Roman"/>
                <w:sz w:val="11"/>
                <w:szCs w:val="11"/>
                <w:color w:val="auto"/>
              </w:rPr>
              <w:t>09/15/24</w:t>
            </w:r>
          </w:p>
        </w:tc>
        <w:tc>
          <w:tcPr>
            <w:tcW w:w="180" w:type="dxa"/>
            <w:vAlign w:val="bottom"/>
          </w:tcPr>
          <w:p>
            <w:pPr>
              <w:spacing w:after="0"/>
              <w:rPr>
                <w:sz w:val="8"/>
                <w:szCs w:val="8"/>
                <w:color w:val="auto"/>
              </w:rPr>
            </w:pPr>
          </w:p>
        </w:tc>
        <w:tc>
          <w:tcPr>
            <w:tcW w:w="600" w:type="dxa"/>
            <w:vAlign w:val="bottom"/>
            <w:tcBorders>
              <w:top w:val="single" w:sz="8" w:color="auto"/>
            </w:tcBorders>
          </w:tcPr>
          <w:p>
            <w:pPr>
              <w:jc w:val="right"/>
              <w:ind w:right="54"/>
              <w:spacing w:after="0" w:line="99" w:lineRule="exact"/>
              <w:rPr>
                <w:sz w:val="20"/>
                <w:szCs w:val="20"/>
                <w:color w:val="auto"/>
              </w:rPr>
            </w:pPr>
            <w:r>
              <w:rPr>
                <w:rFonts w:ascii="Times New Roman" w:cs="Times New Roman" w:eastAsia="Times New Roman" w:hAnsi="Times New Roman"/>
                <w:sz w:val="11"/>
                <w:szCs w:val="11"/>
                <w:color w:val="auto"/>
              </w:rPr>
              <w:t>10/01/24</w:t>
            </w:r>
          </w:p>
        </w:tc>
        <w:tc>
          <w:tcPr>
            <w:tcW w:w="1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jc w:val="right"/>
              <w:ind w:right="34"/>
              <w:spacing w:after="0" w:line="99" w:lineRule="exact"/>
              <w:rPr>
                <w:sz w:val="20"/>
                <w:szCs w:val="20"/>
                <w:color w:val="auto"/>
              </w:rPr>
            </w:pPr>
            <w:r>
              <w:rPr>
                <w:rFonts w:ascii="Times New Roman" w:cs="Times New Roman" w:eastAsia="Times New Roman" w:hAnsi="Times New Roman"/>
                <w:sz w:val="11"/>
                <w:szCs w:val="11"/>
                <w:color w:val="auto"/>
              </w:rPr>
              <w:t>10/15/24</w:t>
            </w:r>
          </w:p>
        </w:tc>
        <w:tc>
          <w:tcPr>
            <w:tcW w:w="200" w:type="dxa"/>
            <w:vAlign w:val="bottom"/>
          </w:tcPr>
          <w:p>
            <w:pPr>
              <w:spacing w:after="0"/>
              <w:rPr>
                <w:sz w:val="8"/>
                <w:szCs w:val="8"/>
                <w:color w:val="auto"/>
              </w:rPr>
            </w:pPr>
          </w:p>
        </w:tc>
        <w:tc>
          <w:tcPr>
            <w:tcW w:w="580" w:type="dxa"/>
            <w:vAlign w:val="bottom"/>
            <w:tcBorders>
              <w:top w:val="single" w:sz="8" w:color="auto"/>
            </w:tcBorders>
          </w:tcPr>
          <w:p>
            <w:pPr>
              <w:jc w:val="right"/>
              <w:ind w:right="34"/>
              <w:spacing w:after="0" w:line="99" w:lineRule="exact"/>
              <w:rPr>
                <w:sz w:val="20"/>
                <w:szCs w:val="20"/>
                <w:color w:val="auto"/>
              </w:rPr>
            </w:pPr>
            <w:r>
              <w:rPr>
                <w:rFonts w:ascii="Times New Roman" w:cs="Times New Roman" w:eastAsia="Times New Roman" w:hAnsi="Times New Roman"/>
                <w:sz w:val="11"/>
                <w:szCs w:val="11"/>
                <w:color w:val="auto"/>
              </w:rPr>
              <w:t>11/01/24</w:t>
            </w:r>
          </w:p>
        </w:tc>
        <w:tc>
          <w:tcPr>
            <w:tcW w:w="1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jc w:val="right"/>
              <w:ind w:right="54"/>
              <w:spacing w:after="0" w:line="99" w:lineRule="exact"/>
              <w:rPr>
                <w:sz w:val="20"/>
                <w:szCs w:val="20"/>
                <w:color w:val="auto"/>
              </w:rPr>
            </w:pPr>
            <w:r>
              <w:rPr>
                <w:rFonts w:ascii="Times New Roman" w:cs="Times New Roman" w:eastAsia="Times New Roman" w:hAnsi="Times New Roman"/>
                <w:sz w:val="11"/>
                <w:szCs w:val="11"/>
                <w:color w:val="auto"/>
              </w:rPr>
              <w:t>11/15/24</w:t>
            </w:r>
          </w:p>
        </w:tc>
        <w:tc>
          <w:tcPr>
            <w:tcW w:w="180" w:type="dxa"/>
            <w:vAlign w:val="bottom"/>
          </w:tcPr>
          <w:p>
            <w:pPr>
              <w:spacing w:after="0"/>
              <w:rPr>
                <w:sz w:val="8"/>
                <w:szCs w:val="8"/>
                <w:color w:val="auto"/>
              </w:rPr>
            </w:pPr>
          </w:p>
        </w:tc>
        <w:tc>
          <w:tcPr>
            <w:tcW w:w="580" w:type="dxa"/>
            <w:vAlign w:val="bottom"/>
            <w:tcBorders>
              <w:top w:val="single" w:sz="8" w:color="auto"/>
            </w:tcBorders>
          </w:tcPr>
          <w:p>
            <w:pPr>
              <w:jc w:val="right"/>
              <w:ind w:right="34"/>
              <w:spacing w:after="0" w:line="99" w:lineRule="exact"/>
              <w:rPr>
                <w:sz w:val="20"/>
                <w:szCs w:val="20"/>
                <w:color w:val="auto"/>
              </w:rPr>
            </w:pPr>
            <w:r>
              <w:rPr>
                <w:rFonts w:ascii="Times New Roman" w:cs="Times New Roman" w:eastAsia="Times New Roman" w:hAnsi="Times New Roman"/>
                <w:sz w:val="11"/>
                <w:szCs w:val="11"/>
                <w:color w:val="auto"/>
              </w:rPr>
              <w:t>12/01/24</w:t>
            </w:r>
          </w:p>
        </w:tc>
        <w:tc>
          <w:tcPr>
            <w:tcW w:w="2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jc w:val="right"/>
              <w:ind w:right="34"/>
              <w:spacing w:after="0" w:line="99" w:lineRule="exact"/>
              <w:rPr>
                <w:sz w:val="20"/>
                <w:szCs w:val="20"/>
                <w:color w:val="auto"/>
              </w:rPr>
            </w:pPr>
            <w:r>
              <w:rPr>
                <w:rFonts w:ascii="Times New Roman" w:cs="Times New Roman" w:eastAsia="Times New Roman" w:hAnsi="Times New Roman"/>
                <w:sz w:val="11"/>
                <w:szCs w:val="11"/>
                <w:color w:val="auto"/>
              </w:rPr>
              <w:t>12/15/24</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Cap Rate</w:t>
            </w:r>
          </w:p>
        </w:tc>
        <w:tc>
          <w:tcPr>
            <w:tcW w:w="3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920" w:type="dxa"/>
            <w:vAlign w:val="bottom"/>
            <w:tcBorders>
              <w:right w:val="single" w:sz="8" w:color="CCEEFF"/>
            </w:tcBorders>
            <w:vMerge w:val="continue"/>
            <w:shd w:val="clear" w:color="auto" w:fill="CCEEFF"/>
          </w:tcPr>
          <w:p>
            <w:pPr>
              <w:spacing w:after="0"/>
              <w:rPr>
                <w:sz w:val="12"/>
                <w:szCs w:val="12"/>
                <w:color w:val="auto"/>
              </w:rPr>
            </w:pPr>
          </w:p>
        </w:tc>
        <w:tc>
          <w:tcPr>
            <w:tcW w:w="380" w:type="dxa"/>
            <w:vAlign w:val="bottom"/>
            <w:shd w:val="clear" w:color="auto" w:fill="CCEEFF"/>
          </w:tcPr>
          <w:p>
            <w:pPr>
              <w:ind w:left="60"/>
              <w:spacing w:after="0" w:line="139" w:lineRule="exact"/>
              <w:rPr>
                <w:sz w:val="20"/>
                <w:szCs w:val="20"/>
                <w:color w:val="auto"/>
              </w:rPr>
            </w:pPr>
            <w:r>
              <w:rPr>
                <w:rFonts w:ascii="Times New Roman" w:cs="Times New Roman" w:eastAsia="Times New Roman" w:hAnsi="Times New Roman"/>
                <w:sz w:val="13"/>
                <w:szCs w:val="13"/>
                <w:color w:val="auto"/>
                <w:w w:val="90"/>
              </w:rPr>
              <w:t>6-year</w:t>
            </w:r>
          </w:p>
        </w:tc>
        <w:tc>
          <w:tcPr>
            <w:tcW w:w="120" w:type="dxa"/>
            <w:vAlign w:val="bottom"/>
            <w:vMerge w:val="continue"/>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39" w:lineRule="exact"/>
              <w:rPr>
                <w:sz w:val="20"/>
                <w:szCs w:val="20"/>
                <w:color w:val="auto"/>
              </w:rPr>
            </w:pPr>
            <w:r>
              <w:rPr>
                <w:rFonts w:ascii="Times New Roman" w:cs="Times New Roman" w:eastAsia="Times New Roman" w:hAnsi="Times New Roman"/>
                <w:sz w:val="13"/>
                <w:szCs w:val="13"/>
                <w:color w:val="auto"/>
              </w:rPr>
              <w:t>25%</w:t>
            </w:r>
          </w:p>
        </w:tc>
        <w:tc>
          <w:tcPr>
            <w:tcW w:w="800" w:type="dxa"/>
            <w:vAlign w:val="bottom"/>
            <w:tcBorders>
              <w:right w:val="single" w:sz="8" w:color="CCEEFF"/>
            </w:tcBorders>
            <w:shd w:val="clear" w:color="auto" w:fill="CCEEFF"/>
          </w:tcPr>
          <w:p>
            <w:pPr>
              <w:jc w:val="center"/>
              <w:spacing w:after="0" w:line="138" w:lineRule="exact"/>
              <w:rPr>
                <w:sz w:val="20"/>
                <w:szCs w:val="20"/>
                <w:color w:val="auto"/>
              </w:rPr>
            </w:pPr>
            <w:r>
              <w:rPr>
                <w:rFonts w:ascii="Times New Roman" w:cs="Times New Roman" w:eastAsia="Times New Roman" w:hAnsi="Times New Roman"/>
                <w:sz w:val="11"/>
                <w:szCs w:val="11"/>
                <w:color w:val="auto"/>
              </w:rPr>
              <w:t>S&amp;P 500</w:t>
            </w:r>
            <w:r>
              <w:rPr>
                <w:rFonts w:ascii="Times New Roman" w:cs="Times New Roman" w:eastAsia="Times New Roman" w:hAnsi="Times New Roman"/>
                <w:sz w:val="16"/>
                <w:szCs w:val="16"/>
                <w:color w:val="auto"/>
                <w:vertAlign w:val="superscript"/>
              </w:rPr>
              <w:t>®</w:t>
            </w:r>
          </w:p>
        </w:tc>
        <w:tc>
          <w:tcPr>
            <w:tcW w:w="760" w:type="dxa"/>
            <w:vAlign w:val="bottom"/>
            <w:gridSpan w:val="2"/>
            <w:shd w:val="clear" w:color="auto" w:fill="CCEEFF"/>
          </w:tcPr>
          <w:p>
            <w:pPr>
              <w:jc w:val="right"/>
              <w:ind w:right="60"/>
              <w:spacing w:after="0" w:line="139" w:lineRule="exact"/>
              <w:rPr>
                <w:sz w:val="20"/>
                <w:szCs w:val="20"/>
                <w:color w:val="auto"/>
              </w:rPr>
            </w:pPr>
            <w:r>
              <w:rPr>
                <w:rFonts w:ascii="Times New Roman" w:cs="Times New Roman" w:eastAsia="Times New Roman" w:hAnsi="Times New Roman"/>
                <w:sz w:val="13"/>
                <w:szCs w:val="13"/>
                <w:color w:val="auto"/>
              </w:rPr>
              <w:t>100.00%</w:t>
            </w:r>
          </w:p>
        </w:tc>
        <w:tc>
          <w:tcPr>
            <w:tcW w:w="780" w:type="dxa"/>
            <w:vAlign w:val="bottom"/>
            <w:gridSpan w:val="2"/>
            <w:shd w:val="clear" w:color="auto" w:fill="CCEEFF"/>
          </w:tcPr>
          <w:p>
            <w:pPr>
              <w:jc w:val="right"/>
              <w:ind w:right="80"/>
              <w:spacing w:after="0" w:line="139" w:lineRule="exact"/>
              <w:rPr>
                <w:sz w:val="20"/>
                <w:szCs w:val="20"/>
                <w:color w:val="auto"/>
              </w:rPr>
            </w:pPr>
            <w:r>
              <w:rPr>
                <w:rFonts w:ascii="Times New Roman" w:cs="Times New Roman" w:eastAsia="Times New Roman" w:hAnsi="Times New Roman"/>
                <w:sz w:val="13"/>
                <w:szCs w:val="13"/>
                <w:color w:val="auto"/>
              </w:rPr>
              <w:t>100.00%</w:t>
            </w:r>
          </w:p>
        </w:tc>
        <w:tc>
          <w:tcPr>
            <w:tcW w:w="780" w:type="dxa"/>
            <w:vAlign w:val="bottom"/>
            <w:gridSpan w:val="2"/>
            <w:shd w:val="clear" w:color="auto" w:fill="CCEEFF"/>
          </w:tcPr>
          <w:p>
            <w:pPr>
              <w:jc w:val="right"/>
              <w:ind w:right="80"/>
              <w:spacing w:after="0" w:line="139" w:lineRule="exact"/>
              <w:rPr>
                <w:sz w:val="20"/>
                <w:szCs w:val="20"/>
                <w:color w:val="auto"/>
              </w:rPr>
            </w:pPr>
            <w:r>
              <w:rPr>
                <w:rFonts w:ascii="Times New Roman" w:cs="Times New Roman" w:eastAsia="Times New Roman" w:hAnsi="Times New Roman"/>
                <w:sz w:val="13"/>
                <w:szCs w:val="13"/>
                <w:color w:val="auto"/>
              </w:rPr>
              <w:t>100.00%</w:t>
            </w:r>
          </w:p>
        </w:tc>
        <w:tc>
          <w:tcPr>
            <w:tcW w:w="780" w:type="dxa"/>
            <w:vAlign w:val="bottom"/>
            <w:gridSpan w:val="2"/>
            <w:shd w:val="clear" w:color="auto" w:fill="CCEEFF"/>
          </w:tcPr>
          <w:p>
            <w:pPr>
              <w:jc w:val="right"/>
              <w:ind w:right="80"/>
              <w:spacing w:after="0" w:line="139" w:lineRule="exact"/>
              <w:rPr>
                <w:sz w:val="20"/>
                <w:szCs w:val="20"/>
                <w:color w:val="auto"/>
              </w:rPr>
            </w:pPr>
            <w:r>
              <w:rPr>
                <w:rFonts w:ascii="Times New Roman" w:cs="Times New Roman" w:eastAsia="Times New Roman" w:hAnsi="Times New Roman"/>
                <w:sz w:val="13"/>
                <w:szCs w:val="13"/>
                <w:color w:val="auto"/>
              </w:rPr>
              <w:t>100.00%</w:t>
            </w:r>
          </w:p>
        </w:tc>
        <w:tc>
          <w:tcPr>
            <w:tcW w:w="760" w:type="dxa"/>
            <w:vAlign w:val="bottom"/>
            <w:gridSpan w:val="2"/>
            <w:shd w:val="clear" w:color="auto" w:fill="CCEEFF"/>
          </w:tcPr>
          <w:p>
            <w:pPr>
              <w:jc w:val="right"/>
              <w:ind w:right="80"/>
              <w:spacing w:after="0" w:line="139" w:lineRule="exact"/>
              <w:rPr>
                <w:sz w:val="20"/>
                <w:szCs w:val="20"/>
                <w:color w:val="auto"/>
              </w:rPr>
            </w:pPr>
            <w:r>
              <w:rPr>
                <w:rFonts w:ascii="Times New Roman" w:cs="Times New Roman" w:eastAsia="Times New Roman" w:hAnsi="Times New Roman"/>
                <w:sz w:val="13"/>
                <w:szCs w:val="13"/>
                <w:color w:val="auto"/>
              </w:rPr>
              <w:t>85.00%</w:t>
            </w:r>
          </w:p>
        </w:tc>
        <w:tc>
          <w:tcPr>
            <w:tcW w:w="780" w:type="dxa"/>
            <w:vAlign w:val="bottom"/>
            <w:gridSpan w:val="2"/>
            <w:shd w:val="clear" w:color="auto" w:fill="CCEEFF"/>
          </w:tcPr>
          <w:p>
            <w:pPr>
              <w:jc w:val="right"/>
              <w:ind w:right="80"/>
              <w:spacing w:after="0" w:line="139" w:lineRule="exact"/>
              <w:rPr>
                <w:sz w:val="20"/>
                <w:szCs w:val="20"/>
                <w:color w:val="auto"/>
              </w:rPr>
            </w:pPr>
            <w:r>
              <w:rPr>
                <w:rFonts w:ascii="Times New Roman" w:cs="Times New Roman" w:eastAsia="Times New Roman" w:hAnsi="Times New Roman"/>
                <w:sz w:val="13"/>
                <w:szCs w:val="13"/>
                <w:color w:val="auto"/>
              </w:rPr>
              <w:t>85.00%</w:t>
            </w:r>
          </w:p>
        </w:tc>
        <w:tc>
          <w:tcPr>
            <w:tcW w:w="780" w:type="dxa"/>
            <w:vAlign w:val="bottom"/>
            <w:gridSpan w:val="2"/>
            <w:shd w:val="clear" w:color="auto" w:fill="CCEEFF"/>
          </w:tcPr>
          <w:p>
            <w:pPr>
              <w:jc w:val="right"/>
              <w:ind w:right="80"/>
              <w:spacing w:after="0" w:line="139" w:lineRule="exact"/>
              <w:rPr>
                <w:sz w:val="20"/>
                <w:szCs w:val="20"/>
                <w:color w:val="auto"/>
              </w:rPr>
            </w:pPr>
            <w:r>
              <w:rPr>
                <w:rFonts w:ascii="Times New Roman" w:cs="Times New Roman" w:eastAsia="Times New Roman" w:hAnsi="Times New Roman"/>
                <w:sz w:val="13"/>
                <w:szCs w:val="13"/>
                <w:color w:val="auto"/>
              </w:rPr>
              <w:t>85.00%</w:t>
            </w:r>
          </w:p>
        </w:tc>
        <w:tc>
          <w:tcPr>
            <w:tcW w:w="760" w:type="dxa"/>
            <w:vAlign w:val="bottom"/>
            <w:gridSpan w:val="2"/>
            <w:shd w:val="clear" w:color="auto" w:fill="CCEEFF"/>
          </w:tcPr>
          <w:p>
            <w:pPr>
              <w:jc w:val="right"/>
              <w:ind w:right="80"/>
              <w:spacing w:after="0" w:line="139" w:lineRule="exact"/>
              <w:rPr>
                <w:sz w:val="20"/>
                <w:szCs w:val="20"/>
                <w:color w:val="auto"/>
              </w:rPr>
            </w:pPr>
            <w:r>
              <w:rPr>
                <w:rFonts w:ascii="Times New Roman" w:cs="Times New Roman" w:eastAsia="Times New Roman" w:hAnsi="Times New Roman"/>
                <w:sz w:val="13"/>
                <w:szCs w:val="13"/>
                <w:color w:val="auto"/>
              </w:rPr>
              <w:t>85.00%</w:t>
            </w:r>
          </w:p>
        </w:tc>
        <w:tc>
          <w:tcPr>
            <w:tcW w:w="780" w:type="dxa"/>
            <w:vAlign w:val="bottom"/>
            <w:gridSpan w:val="2"/>
            <w:shd w:val="clear" w:color="auto" w:fill="CCEEFF"/>
          </w:tcPr>
          <w:p>
            <w:pPr>
              <w:jc w:val="right"/>
              <w:ind w:right="80"/>
              <w:spacing w:after="0" w:line="139" w:lineRule="exact"/>
              <w:rPr>
                <w:sz w:val="20"/>
                <w:szCs w:val="20"/>
                <w:color w:val="auto"/>
              </w:rPr>
            </w:pPr>
            <w:r>
              <w:rPr>
                <w:rFonts w:ascii="Times New Roman" w:cs="Times New Roman" w:eastAsia="Times New Roman" w:hAnsi="Times New Roman"/>
                <w:sz w:val="13"/>
                <w:szCs w:val="13"/>
                <w:color w:val="auto"/>
              </w:rPr>
              <w:t>85.00%</w:t>
            </w:r>
          </w:p>
        </w:tc>
        <w:tc>
          <w:tcPr>
            <w:tcW w:w="780" w:type="dxa"/>
            <w:vAlign w:val="bottom"/>
            <w:gridSpan w:val="2"/>
            <w:shd w:val="clear" w:color="auto" w:fill="CCEEFF"/>
          </w:tcPr>
          <w:p>
            <w:pPr>
              <w:jc w:val="right"/>
              <w:ind w:right="80"/>
              <w:spacing w:after="0" w:line="139" w:lineRule="exact"/>
              <w:rPr>
                <w:sz w:val="20"/>
                <w:szCs w:val="20"/>
                <w:color w:val="auto"/>
              </w:rPr>
            </w:pPr>
            <w:r>
              <w:rPr>
                <w:rFonts w:ascii="Times New Roman" w:cs="Times New Roman" w:eastAsia="Times New Roman" w:hAnsi="Times New Roman"/>
                <w:sz w:val="13"/>
                <w:szCs w:val="13"/>
                <w:color w:val="auto"/>
              </w:rPr>
              <w:t>85.00%</w:t>
            </w:r>
          </w:p>
        </w:tc>
        <w:tc>
          <w:tcPr>
            <w:tcW w:w="720" w:type="dxa"/>
            <w:vAlign w:val="bottom"/>
            <w:gridSpan w:val="2"/>
            <w:shd w:val="clear" w:color="auto" w:fill="CCEEFF"/>
          </w:tcPr>
          <w:p>
            <w:pPr>
              <w:jc w:val="right"/>
              <w:ind w:right="40"/>
              <w:spacing w:after="0" w:line="139" w:lineRule="exact"/>
              <w:rPr>
                <w:sz w:val="20"/>
                <w:szCs w:val="20"/>
                <w:color w:val="auto"/>
              </w:rPr>
            </w:pPr>
            <w:r>
              <w:rPr>
                <w:rFonts w:ascii="Times New Roman" w:cs="Times New Roman" w:eastAsia="Times New Roman" w:hAnsi="Times New Roman"/>
                <w:sz w:val="13"/>
                <w:szCs w:val="13"/>
                <w:color w:val="auto"/>
              </w:rPr>
              <w:t>85.00%</w:t>
            </w: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6-year</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15%</w:t>
            </w:r>
          </w:p>
        </w:tc>
        <w:tc>
          <w:tcPr>
            <w:tcW w:w="800" w:type="dxa"/>
            <w:vAlign w:val="bottom"/>
          </w:tcPr>
          <w:p>
            <w:pPr>
              <w:jc w:val="center"/>
              <w:spacing w:after="0" w:line="159" w:lineRule="exact"/>
              <w:rPr>
                <w:sz w:val="20"/>
                <w:szCs w:val="20"/>
                <w:color w:val="auto"/>
              </w:rPr>
            </w:pPr>
            <w:r>
              <w:rPr>
                <w:rFonts w:ascii="Times New Roman" w:cs="Times New Roman" w:eastAsia="Times New Roman" w:hAnsi="Times New Roman"/>
                <w:sz w:val="13"/>
                <w:szCs w:val="13"/>
                <w:color w:val="auto"/>
                <w:w w:val="99"/>
              </w:rPr>
              <w:t>S&amp;P 500</w:t>
            </w:r>
            <w:r>
              <w:rPr>
                <w:rFonts w:ascii="Times New Roman" w:cs="Times New Roman" w:eastAsia="Times New Roman" w:hAnsi="Times New Roman"/>
                <w:sz w:val="18"/>
                <w:szCs w:val="18"/>
                <w:color w:val="auto"/>
                <w:w w:val="99"/>
                <w:vertAlign w:val="superscript"/>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350.00%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350.00%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350.00%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350.00%</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200.00%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200.00%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200.00%</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175.00%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175.00%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175.00%</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225.00%</w:t>
            </w:r>
          </w:p>
        </w:tc>
        <w:tc>
          <w:tcPr>
            <w:tcW w:w="0" w:type="dxa"/>
            <w:vAlign w:val="bottom"/>
          </w:tcPr>
          <w:p>
            <w:pPr>
              <w:spacing w:after="0"/>
              <w:rPr>
                <w:sz w:val="1"/>
                <w:szCs w:val="1"/>
                <w:color w:val="auto"/>
              </w:rPr>
            </w:pPr>
          </w:p>
        </w:tc>
      </w:tr>
      <w:tr>
        <w:trPr>
          <w:trHeight w:val="159"/>
        </w:trPr>
        <w:tc>
          <w:tcPr>
            <w:tcW w:w="920" w:type="dxa"/>
            <w:vAlign w:val="bottom"/>
            <w:tcBorders>
              <w:right w:val="single" w:sz="8" w:color="CCEEFF"/>
            </w:tcBorders>
            <w:shd w:val="clear" w:color="auto" w:fill="CCEEFF"/>
          </w:tcPr>
          <w:p>
            <w:pPr>
              <w:spacing w:after="0"/>
              <w:rPr>
                <w:sz w:val="13"/>
                <w:szCs w:val="13"/>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6-year</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w:t>
            </w:r>
          </w:p>
        </w:tc>
        <w:tc>
          <w:tcPr>
            <w:tcW w:w="800" w:type="dxa"/>
            <w:vAlign w:val="bottom"/>
            <w:tcBorders>
              <w:right w:val="single" w:sz="8" w:color="CCEEFF"/>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3"/>
                <w:szCs w:val="13"/>
                <w:color w:val="auto"/>
                <w:w w:val="99"/>
              </w:rPr>
              <w:t>S&amp;P 500</w:t>
            </w:r>
            <w:r>
              <w:rPr>
                <w:rFonts w:ascii="Times New Roman" w:cs="Times New Roman" w:eastAsia="Times New Roman" w:hAnsi="Times New Roman"/>
                <w:sz w:val="18"/>
                <w:szCs w:val="18"/>
                <w:color w:val="auto"/>
                <w:w w:val="99"/>
                <w:vertAlign w:val="superscript"/>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Uncapped</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Uncapped</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Uncapped</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Uncapped</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Uncapped</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Uncapped</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Uncapped</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Uncapped</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Uncapped</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Uncapped</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Uncapped</w:t>
            </w: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6-year</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25%</w:t>
            </w:r>
          </w:p>
        </w:tc>
        <w:tc>
          <w:tcPr>
            <w:tcW w:w="800" w:type="dxa"/>
            <w:vAlign w:val="bottom"/>
          </w:tcPr>
          <w:p>
            <w:pPr>
              <w:jc w:val="center"/>
              <w:spacing w:after="0" w:line="159" w:lineRule="exact"/>
              <w:rPr>
                <w:sz w:val="20"/>
                <w:szCs w:val="20"/>
                <w:color w:val="auto"/>
              </w:rPr>
            </w:pPr>
            <w:r>
              <w:rPr>
                <w:rFonts w:ascii="Times New Roman" w:cs="Times New Roman" w:eastAsia="Times New Roman" w:hAnsi="Times New Roman"/>
                <w:sz w:val="13"/>
                <w:szCs w:val="13"/>
                <w:color w:val="auto"/>
                <w:w w:val="99"/>
              </w:rPr>
              <w:t>Russell 2000</w:t>
            </w:r>
            <w:r>
              <w:rPr>
                <w:rFonts w:ascii="Times New Roman" w:cs="Times New Roman" w:eastAsia="Times New Roman" w:hAnsi="Times New Roman"/>
                <w:sz w:val="18"/>
                <w:szCs w:val="18"/>
                <w:color w:val="auto"/>
                <w:w w:val="99"/>
                <w:vertAlign w:val="superscript"/>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75.00%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75.00%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75.00%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75.00%</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75.00%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75.00%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75.00%</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75.00%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75.00%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75.00%</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75.00%</w:t>
            </w:r>
          </w:p>
        </w:tc>
        <w:tc>
          <w:tcPr>
            <w:tcW w:w="0" w:type="dxa"/>
            <w:vAlign w:val="bottom"/>
          </w:tcPr>
          <w:p>
            <w:pPr>
              <w:spacing w:after="0"/>
              <w:rPr>
                <w:sz w:val="1"/>
                <w:szCs w:val="1"/>
                <w:color w:val="auto"/>
              </w:rPr>
            </w:pPr>
          </w:p>
        </w:tc>
      </w:tr>
      <w:tr>
        <w:trPr>
          <w:trHeight w:val="159"/>
        </w:trPr>
        <w:tc>
          <w:tcPr>
            <w:tcW w:w="920" w:type="dxa"/>
            <w:vAlign w:val="bottom"/>
            <w:tcBorders>
              <w:right w:val="single" w:sz="8" w:color="CCEEFF"/>
            </w:tcBorders>
            <w:shd w:val="clear" w:color="auto" w:fill="CCEEFF"/>
          </w:tcPr>
          <w:p>
            <w:pPr>
              <w:spacing w:after="0"/>
              <w:rPr>
                <w:sz w:val="13"/>
                <w:szCs w:val="13"/>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6-year</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w:t>
            </w:r>
          </w:p>
        </w:tc>
        <w:tc>
          <w:tcPr>
            <w:tcW w:w="800" w:type="dxa"/>
            <w:vAlign w:val="bottom"/>
            <w:tcBorders>
              <w:right w:val="single" w:sz="8" w:color="CCEEFF"/>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3"/>
                <w:szCs w:val="13"/>
                <w:color w:val="auto"/>
                <w:w w:val="99"/>
              </w:rPr>
              <w:t>Russell 2000</w:t>
            </w:r>
            <w:r>
              <w:rPr>
                <w:rFonts w:ascii="Times New Roman" w:cs="Times New Roman" w:eastAsia="Times New Roman" w:hAnsi="Times New Roman"/>
                <w:sz w:val="18"/>
                <w:szCs w:val="18"/>
                <w:color w:val="auto"/>
                <w:w w:val="99"/>
                <w:vertAlign w:val="superscript"/>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90.00%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90.00%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90.00%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90.00%</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90.00%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90.00%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90.00%</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90.00%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90.00%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90.00%</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90.00%</w:t>
            </w: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6-year</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w:t>
            </w:r>
          </w:p>
        </w:tc>
        <w:tc>
          <w:tcPr>
            <w:tcW w:w="800" w:type="dxa"/>
            <w:vAlign w:val="bottom"/>
          </w:tcPr>
          <w:p>
            <w:pPr>
              <w:jc w:val="center"/>
              <w:spacing w:after="0" w:line="159" w:lineRule="exact"/>
              <w:rPr>
                <w:sz w:val="20"/>
                <w:szCs w:val="20"/>
                <w:color w:val="auto"/>
              </w:rPr>
            </w:pPr>
            <w:r>
              <w:rPr>
                <w:rFonts w:ascii="Times New Roman" w:cs="Times New Roman" w:eastAsia="Times New Roman" w:hAnsi="Times New Roman"/>
                <w:sz w:val="13"/>
                <w:szCs w:val="13"/>
                <w:color w:val="auto"/>
                <w:w w:val="99"/>
              </w:rPr>
              <w:t>Russell 2000</w:t>
            </w:r>
            <w:r>
              <w:rPr>
                <w:rFonts w:ascii="Times New Roman" w:cs="Times New Roman" w:eastAsia="Times New Roman" w:hAnsi="Times New Roman"/>
                <w:sz w:val="18"/>
                <w:szCs w:val="18"/>
                <w:color w:val="auto"/>
                <w:w w:val="99"/>
                <w:vertAlign w:val="superscript"/>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130.00%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130.00%</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130.00%</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130.00%</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130.00%</w:t>
            </w:r>
          </w:p>
        </w:tc>
        <w:tc>
          <w:tcPr>
            <w:tcW w:w="0" w:type="dxa"/>
            <w:vAlign w:val="bottom"/>
          </w:tcPr>
          <w:p>
            <w:pPr>
              <w:spacing w:after="0"/>
              <w:rPr>
                <w:sz w:val="1"/>
                <w:szCs w:val="1"/>
                <w:color w:val="auto"/>
              </w:rPr>
            </w:pPr>
          </w:p>
        </w:tc>
      </w:tr>
      <w:tr>
        <w:trPr>
          <w:trHeight w:val="159"/>
        </w:trPr>
        <w:tc>
          <w:tcPr>
            <w:tcW w:w="920" w:type="dxa"/>
            <w:vAlign w:val="bottom"/>
            <w:tcBorders>
              <w:right w:val="single" w:sz="8" w:color="CCEEFF"/>
            </w:tcBorders>
            <w:shd w:val="clear" w:color="auto" w:fill="CCEEFF"/>
          </w:tcPr>
          <w:p>
            <w:pPr>
              <w:spacing w:after="0"/>
              <w:rPr>
                <w:sz w:val="13"/>
                <w:szCs w:val="13"/>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6-year</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25%</w:t>
            </w:r>
          </w:p>
        </w:tc>
        <w:tc>
          <w:tcPr>
            <w:tcW w:w="800" w:type="dxa"/>
            <w:vAlign w:val="bottom"/>
            <w:tcBorders>
              <w:right w:val="single" w:sz="8" w:color="CCEEFF"/>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3"/>
                <w:szCs w:val="13"/>
                <w:color w:val="auto"/>
              </w:rPr>
              <w:t>Nasdaq-100</w:t>
            </w:r>
            <w:r>
              <w:rPr>
                <w:rFonts w:ascii="Times New Roman" w:cs="Times New Roman" w:eastAsia="Times New Roman" w:hAnsi="Times New Roman"/>
                <w:sz w:val="18"/>
                <w:szCs w:val="18"/>
                <w:color w:val="auto"/>
                <w:vertAlign w:val="superscript"/>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80.00%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80.00%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80.00%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80.00%</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75.00%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75.00%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75.00%</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75.00%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75.00%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75.00%</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75.00%</w:t>
            </w: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6-year</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15%</w:t>
            </w:r>
          </w:p>
        </w:tc>
        <w:tc>
          <w:tcPr>
            <w:tcW w:w="800" w:type="dxa"/>
            <w:vAlign w:val="bottom"/>
          </w:tcPr>
          <w:p>
            <w:pPr>
              <w:jc w:val="center"/>
              <w:spacing w:after="0" w:line="159" w:lineRule="exact"/>
              <w:rPr>
                <w:sz w:val="20"/>
                <w:szCs w:val="20"/>
                <w:color w:val="auto"/>
              </w:rPr>
            </w:pPr>
            <w:r>
              <w:rPr>
                <w:rFonts w:ascii="Times New Roman" w:cs="Times New Roman" w:eastAsia="Times New Roman" w:hAnsi="Times New Roman"/>
                <w:sz w:val="13"/>
                <w:szCs w:val="13"/>
                <w:color w:val="auto"/>
              </w:rPr>
              <w:t>Nasdaq-100</w:t>
            </w:r>
            <w:r>
              <w:rPr>
                <w:rFonts w:ascii="Times New Roman" w:cs="Times New Roman" w:eastAsia="Times New Roman" w:hAnsi="Times New Roman"/>
                <w:sz w:val="18"/>
                <w:szCs w:val="18"/>
                <w:color w:val="auto"/>
                <w:vertAlign w:val="superscript"/>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100.00%</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90.00%</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90.00%</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100.00%</w:t>
            </w:r>
          </w:p>
        </w:tc>
        <w:tc>
          <w:tcPr>
            <w:tcW w:w="0" w:type="dxa"/>
            <w:vAlign w:val="bottom"/>
          </w:tcPr>
          <w:p>
            <w:pPr>
              <w:spacing w:after="0"/>
              <w:rPr>
                <w:sz w:val="1"/>
                <w:szCs w:val="1"/>
                <w:color w:val="auto"/>
              </w:rPr>
            </w:pPr>
          </w:p>
        </w:tc>
      </w:tr>
      <w:tr>
        <w:trPr>
          <w:trHeight w:val="159"/>
        </w:trPr>
        <w:tc>
          <w:tcPr>
            <w:tcW w:w="920" w:type="dxa"/>
            <w:vAlign w:val="bottom"/>
            <w:tcBorders>
              <w:right w:val="single" w:sz="8" w:color="CCEEFF"/>
            </w:tcBorders>
            <w:shd w:val="clear" w:color="auto" w:fill="CCEEFF"/>
          </w:tcPr>
          <w:p>
            <w:pPr>
              <w:spacing w:after="0"/>
              <w:rPr>
                <w:sz w:val="13"/>
                <w:szCs w:val="13"/>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6-year</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w:t>
            </w:r>
          </w:p>
        </w:tc>
        <w:tc>
          <w:tcPr>
            <w:tcW w:w="800" w:type="dxa"/>
            <w:vAlign w:val="bottom"/>
            <w:tcBorders>
              <w:right w:val="single" w:sz="8" w:color="CCEEFF"/>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3"/>
                <w:szCs w:val="13"/>
                <w:color w:val="auto"/>
              </w:rPr>
              <w:t>Nasdaq-100</w:t>
            </w:r>
            <w:r>
              <w:rPr>
                <w:rFonts w:ascii="Times New Roman" w:cs="Times New Roman" w:eastAsia="Times New Roman" w:hAnsi="Times New Roman"/>
                <w:sz w:val="18"/>
                <w:szCs w:val="18"/>
                <w:color w:val="auto"/>
                <w:vertAlign w:val="superscript"/>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125.00%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125.00%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125.00%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125.00%</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125.00%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125.00%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125.00%</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125.00%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125.00%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125.00%</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125.00%</w:t>
            </w: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6-year</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25%</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MSCI EAFE</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110.00%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110.00%</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110.00%</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110.00%</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110.00%</w:t>
            </w:r>
          </w:p>
        </w:tc>
        <w:tc>
          <w:tcPr>
            <w:tcW w:w="0" w:type="dxa"/>
            <w:vAlign w:val="bottom"/>
          </w:tcPr>
          <w:p>
            <w:pPr>
              <w:spacing w:after="0"/>
              <w:rPr>
                <w:sz w:val="1"/>
                <w:szCs w:val="1"/>
                <w:color w:val="auto"/>
              </w:rPr>
            </w:pPr>
          </w:p>
        </w:tc>
      </w:tr>
      <w:tr>
        <w:trPr>
          <w:trHeight w:val="159"/>
        </w:trPr>
        <w:tc>
          <w:tcPr>
            <w:tcW w:w="920" w:type="dxa"/>
            <w:vAlign w:val="bottom"/>
            <w:tcBorders>
              <w:right w:val="single" w:sz="8" w:color="CCEEFF"/>
            </w:tcBorders>
            <w:shd w:val="clear" w:color="auto" w:fill="CCEEFF"/>
          </w:tcPr>
          <w:p>
            <w:pPr>
              <w:spacing w:after="0"/>
              <w:rPr>
                <w:sz w:val="13"/>
                <w:szCs w:val="13"/>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6-year</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w:t>
            </w:r>
          </w:p>
        </w:tc>
        <w:tc>
          <w:tcPr>
            <w:tcW w:w="8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MSCI EAFE</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200.00%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200.00%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200.00%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200.00%</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200.00%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200.00%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200.00%</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200.00%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200.00%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200.00%</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200.00%</w:t>
            </w: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6-year</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MSCI EAFE</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300.00%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300.00%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300.00%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300.00%</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300.00%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300.00%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300.00%</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300.00%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300.00%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300.00%</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300.00%</w:t>
            </w:r>
          </w:p>
        </w:tc>
        <w:tc>
          <w:tcPr>
            <w:tcW w:w="0" w:type="dxa"/>
            <w:vAlign w:val="bottom"/>
          </w:tcPr>
          <w:p>
            <w:pPr>
              <w:spacing w:after="0"/>
              <w:rPr>
                <w:sz w:val="1"/>
                <w:szCs w:val="1"/>
                <w:color w:val="auto"/>
              </w:rPr>
            </w:pPr>
          </w:p>
        </w:tc>
      </w:tr>
      <w:tr>
        <w:trPr>
          <w:trHeight w:val="159"/>
        </w:trPr>
        <w:tc>
          <w:tcPr>
            <w:tcW w:w="920" w:type="dxa"/>
            <w:vAlign w:val="bottom"/>
            <w:tcBorders>
              <w:right w:val="single" w:sz="8" w:color="CCEEFF"/>
            </w:tcBorders>
            <w:shd w:val="clear" w:color="auto" w:fill="CCEEFF"/>
          </w:tcPr>
          <w:p>
            <w:pPr>
              <w:spacing w:after="0"/>
              <w:rPr>
                <w:sz w:val="13"/>
                <w:szCs w:val="13"/>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3-year</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w:t>
            </w:r>
          </w:p>
        </w:tc>
        <w:tc>
          <w:tcPr>
            <w:tcW w:w="800" w:type="dxa"/>
            <w:vAlign w:val="bottom"/>
            <w:tcBorders>
              <w:right w:val="single" w:sz="8" w:color="CCEEFF"/>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3"/>
                <w:szCs w:val="13"/>
                <w:color w:val="auto"/>
                <w:w w:val="99"/>
              </w:rPr>
              <w:t>S&amp;P 500</w:t>
            </w:r>
            <w:r>
              <w:rPr>
                <w:rFonts w:ascii="Times New Roman" w:cs="Times New Roman" w:eastAsia="Times New Roman" w:hAnsi="Times New Roman"/>
                <w:sz w:val="18"/>
                <w:szCs w:val="18"/>
                <w:color w:val="auto"/>
                <w:w w:val="99"/>
                <w:vertAlign w:val="superscript"/>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70.00%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70.00%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70.00%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70.00%</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55.00%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55.00%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55.00%</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50.00%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50.00%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50.00%</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50.00%</w:t>
            </w: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3-year</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w:t>
            </w:r>
          </w:p>
        </w:tc>
        <w:tc>
          <w:tcPr>
            <w:tcW w:w="800" w:type="dxa"/>
            <w:vAlign w:val="bottom"/>
          </w:tcPr>
          <w:p>
            <w:pPr>
              <w:jc w:val="center"/>
              <w:spacing w:after="0" w:line="159" w:lineRule="exact"/>
              <w:rPr>
                <w:sz w:val="20"/>
                <w:szCs w:val="20"/>
                <w:color w:val="auto"/>
              </w:rPr>
            </w:pPr>
            <w:r>
              <w:rPr>
                <w:rFonts w:ascii="Times New Roman" w:cs="Times New Roman" w:eastAsia="Times New Roman" w:hAnsi="Times New Roman"/>
                <w:sz w:val="13"/>
                <w:szCs w:val="13"/>
                <w:color w:val="auto"/>
                <w:w w:val="99"/>
              </w:rPr>
              <w:t>S&amp;P 500</w:t>
            </w:r>
            <w:r>
              <w:rPr>
                <w:rFonts w:ascii="Times New Roman" w:cs="Times New Roman" w:eastAsia="Times New Roman" w:hAnsi="Times New Roman"/>
                <w:sz w:val="18"/>
                <w:szCs w:val="18"/>
                <w:color w:val="auto"/>
                <w:w w:val="99"/>
                <w:vertAlign w:val="superscript"/>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130.00%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130.00%</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130.00%</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130.00%</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130.00%</w:t>
            </w:r>
          </w:p>
        </w:tc>
        <w:tc>
          <w:tcPr>
            <w:tcW w:w="0" w:type="dxa"/>
            <w:vAlign w:val="bottom"/>
          </w:tcPr>
          <w:p>
            <w:pPr>
              <w:spacing w:after="0"/>
              <w:rPr>
                <w:sz w:val="1"/>
                <w:szCs w:val="1"/>
                <w:color w:val="auto"/>
              </w:rPr>
            </w:pPr>
          </w:p>
        </w:tc>
      </w:tr>
      <w:tr>
        <w:trPr>
          <w:trHeight w:val="159"/>
        </w:trPr>
        <w:tc>
          <w:tcPr>
            <w:tcW w:w="920" w:type="dxa"/>
            <w:vAlign w:val="bottom"/>
            <w:tcBorders>
              <w:right w:val="single" w:sz="8" w:color="CCEEFF"/>
            </w:tcBorders>
            <w:shd w:val="clear" w:color="auto" w:fill="CCEEFF"/>
          </w:tcPr>
          <w:p>
            <w:pPr>
              <w:spacing w:after="0"/>
              <w:rPr>
                <w:sz w:val="13"/>
                <w:szCs w:val="13"/>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3-year</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w:t>
            </w:r>
          </w:p>
        </w:tc>
        <w:tc>
          <w:tcPr>
            <w:tcW w:w="800" w:type="dxa"/>
            <w:vAlign w:val="bottom"/>
            <w:tcBorders>
              <w:right w:val="single" w:sz="8" w:color="CCEEFF"/>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3"/>
                <w:szCs w:val="13"/>
                <w:color w:val="auto"/>
                <w:w w:val="99"/>
              </w:rPr>
              <w:t>Russell 2000</w:t>
            </w:r>
            <w:r>
              <w:rPr>
                <w:rFonts w:ascii="Times New Roman" w:cs="Times New Roman" w:eastAsia="Times New Roman" w:hAnsi="Times New Roman"/>
                <w:sz w:val="18"/>
                <w:szCs w:val="18"/>
                <w:color w:val="auto"/>
                <w:w w:val="99"/>
                <w:vertAlign w:val="superscript"/>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55.00%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55.00%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55.00%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55.00%</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55.00%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55.00%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55.00%</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50.00%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50.00%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50.00%</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50.00%</w:t>
            </w: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3-year</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w:t>
            </w:r>
          </w:p>
        </w:tc>
        <w:tc>
          <w:tcPr>
            <w:tcW w:w="800" w:type="dxa"/>
            <w:vAlign w:val="bottom"/>
          </w:tcPr>
          <w:p>
            <w:pPr>
              <w:jc w:val="center"/>
              <w:spacing w:after="0" w:line="159" w:lineRule="exact"/>
              <w:rPr>
                <w:sz w:val="20"/>
                <w:szCs w:val="20"/>
                <w:color w:val="auto"/>
              </w:rPr>
            </w:pPr>
            <w:r>
              <w:rPr>
                <w:rFonts w:ascii="Times New Roman" w:cs="Times New Roman" w:eastAsia="Times New Roman" w:hAnsi="Times New Roman"/>
                <w:sz w:val="13"/>
                <w:szCs w:val="13"/>
                <w:color w:val="auto"/>
                <w:w w:val="99"/>
              </w:rPr>
              <w:t>Russell 2000</w:t>
            </w:r>
            <w:r>
              <w:rPr>
                <w:rFonts w:ascii="Times New Roman" w:cs="Times New Roman" w:eastAsia="Times New Roman" w:hAnsi="Times New Roman"/>
                <w:sz w:val="18"/>
                <w:szCs w:val="18"/>
                <w:color w:val="auto"/>
                <w:w w:val="99"/>
                <w:vertAlign w:val="superscript"/>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90.00%</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90.00%</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90.00%</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90.00%</w:t>
            </w:r>
          </w:p>
        </w:tc>
        <w:tc>
          <w:tcPr>
            <w:tcW w:w="0" w:type="dxa"/>
            <w:vAlign w:val="bottom"/>
          </w:tcPr>
          <w:p>
            <w:pPr>
              <w:spacing w:after="0"/>
              <w:rPr>
                <w:sz w:val="1"/>
                <w:szCs w:val="1"/>
                <w:color w:val="auto"/>
              </w:rPr>
            </w:pPr>
          </w:p>
        </w:tc>
      </w:tr>
      <w:tr>
        <w:trPr>
          <w:trHeight w:val="159"/>
        </w:trPr>
        <w:tc>
          <w:tcPr>
            <w:tcW w:w="920" w:type="dxa"/>
            <w:vAlign w:val="bottom"/>
            <w:tcBorders>
              <w:right w:val="single" w:sz="8" w:color="CCEEFF"/>
            </w:tcBorders>
            <w:shd w:val="clear" w:color="auto" w:fill="CCEEFF"/>
          </w:tcPr>
          <w:p>
            <w:pPr>
              <w:spacing w:after="0"/>
              <w:rPr>
                <w:sz w:val="13"/>
                <w:szCs w:val="13"/>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3-year</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w:t>
            </w:r>
          </w:p>
        </w:tc>
        <w:tc>
          <w:tcPr>
            <w:tcW w:w="800" w:type="dxa"/>
            <w:vAlign w:val="bottom"/>
            <w:tcBorders>
              <w:right w:val="single" w:sz="8" w:color="CCEEFF"/>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3"/>
                <w:szCs w:val="13"/>
                <w:color w:val="auto"/>
              </w:rPr>
              <w:t>Nasdaq-100</w:t>
            </w:r>
            <w:r>
              <w:rPr>
                <w:rFonts w:ascii="Times New Roman" w:cs="Times New Roman" w:eastAsia="Times New Roman" w:hAnsi="Times New Roman"/>
                <w:sz w:val="18"/>
                <w:szCs w:val="18"/>
                <w:color w:val="auto"/>
                <w:vertAlign w:val="superscript"/>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40.00%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40.00%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40.00%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40.00%</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40.00%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40.00%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40.00%</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40.00%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40.00%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40.00%</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40.00%</w:t>
            </w: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3-year</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w:t>
            </w:r>
          </w:p>
        </w:tc>
        <w:tc>
          <w:tcPr>
            <w:tcW w:w="800" w:type="dxa"/>
            <w:vAlign w:val="bottom"/>
          </w:tcPr>
          <w:p>
            <w:pPr>
              <w:jc w:val="center"/>
              <w:spacing w:after="0" w:line="159" w:lineRule="exact"/>
              <w:rPr>
                <w:sz w:val="20"/>
                <w:szCs w:val="20"/>
                <w:color w:val="auto"/>
              </w:rPr>
            </w:pPr>
            <w:r>
              <w:rPr>
                <w:rFonts w:ascii="Times New Roman" w:cs="Times New Roman" w:eastAsia="Times New Roman" w:hAnsi="Times New Roman"/>
                <w:sz w:val="13"/>
                <w:szCs w:val="13"/>
                <w:color w:val="auto"/>
              </w:rPr>
              <w:t>Nasdaq-100</w:t>
            </w:r>
            <w:r>
              <w:rPr>
                <w:rFonts w:ascii="Times New Roman" w:cs="Times New Roman" w:eastAsia="Times New Roman" w:hAnsi="Times New Roman"/>
                <w:sz w:val="18"/>
                <w:szCs w:val="18"/>
                <w:color w:val="auto"/>
                <w:vertAlign w:val="superscript"/>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55.00%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55.00%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55.00%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55.00%</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50.00%</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50.00%</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50.00%</w:t>
            </w:r>
          </w:p>
        </w:tc>
        <w:tc>
          <w:tcPr>
            <w:tcW w:w="0" w:type="dxa"/>
            <w:vAlign w:val="bottom"/>
          </w:tcPr>
          <w:p>
            <w:pPr>
              <w:spacing w:after="0"/>
              <w:rPr>
                <w:sz w:val="1"/>
                <w:szCs w:val="1"/>
                <w:color w:val="auto"/>
              </w:rPr>
            </w:pPr>
          </w:p>
        </w:tc>
      </w:tr>
      <w:tr>
        <w:trPr>
          <w:trHeight w:val="159"/>
        </w:trPr>
        <w:tc>
          <w:tcPr>
            <w:tcW w:w="920" w:type="dxa"/>
            <w:vAlign w:val="bottom"/>
            <w:tcBorders>
              <w:right w:val="single" w:sz="8" w:color="CCEEFF"/>
            </w:tcBorders>
            <w:shd w:val="clear" w:color="auto" w:fill="CCEEFF"/>
          </w:tcPr>
          <w:p>
            <w:pPr>
              <w:spacing w:after="0"/>
              <w:rPr>
                <w:sz w:val="13"/>
                <w:szCs w:val="13"/>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3-year</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w:t>
            </w:r>
          </w:p>
        </w:tc>
        <w:tc>
          <w:tcPr>
            <w:tcW w:w="8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MSCI EAFE</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80.00%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80.00%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80.00%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80.00%</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80.00%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80.00%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80.00%</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80.00%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80.00%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80.00%</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80.00%</w:t>
            </w: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3-year</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MSCI EAFE</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130.00%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130.00%</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130.00%</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130.00%</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130.00%</w:t>
            </w:r>
          </w:p>
        </w:tc>
        <w:tc>
          <w:tcPr>
            <w:tcW w:w="0" w:type="dxa"/>
            <w:vAlign w:val="bottom"/>
          </w:tcPr>
          <w:p>
            <w:pPr>
              <w:spacing w:after="0"/>
              <w:rPr>
                <w:sz w:val="1"/>
                <w:szCs w:val="1"/>
                <w:color w:val="auto"/>
              </w:rPr>
            </w:pPr>
          </w:p>
        </w:tc>
      </w:tr>
      <w:tr>
        <w:trPr>
          <w:trHeight w:val="159"/>
        </w:trPr>
        <w:tc>
          <w:tcPr>
            <w:tcW w:w="920" w:type="dxa"/>
            <w:vAlign w:val="bottom"/>
            <w:tcBorders>
              <w:right w:val="single" w:sz="8" w:color="CCEEFF"/>
            </w:tcBorders>
            <w:shd w:val="clear" w:color="auto" w:fill="CCEEFF"/>
          </w:tcPr>
          <w:p>
            <w:pPr>
              <w:spacing w:after="0"/>
              <w:rPr>
                <w:sz w:val="13"/>
                <w:szCs w:val="13"/>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1-year</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25%</w:t>
            </w:r>
          </w:p>
        </w:tc>
        <w:tc>
          <w:tcPr>
            <w:tcW w:w="800" w:type="dxa"/>
            <w:vAlign w:val="bottom"/>
            <w:tcBorders>
              <w:right w:val="single" w:sz="8" w:color="CCEEFF"/>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3"/>
                <w:szCs w:val="13"/>
                <w:color w:val="auto"/>
                <w:w w:val="99"/>
              </w:rPr>
              <w:t>S&amp;P 500</w:t>
            </w:r>
            <w:r>
              <w:rPr>
                <w:rFonts w:ascii="Times New Roman" w:cs="Times New Roman" w:eastAsia="Times New Roman" w:hAnsi="Times New Roman"/>
                <w:sz w:val="18"/>
                <w:szCs w:val="18"/>
                <w:color w:val="auto"/>
                <w:w w:val="99"/>
                <w:vertAlign w:val="superscript"/>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7.50%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7.50%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7.50%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7.50%</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7.50%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7.50%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7.50%</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7.50%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7.50%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7.50%</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7.50%</w:t>
            </w: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1-year</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15%</w:t>
            </w:r>
          </w:p>
        </w:tc>
        <w:tc>
          <w:tcPr>
            <w:tcW w:w="800" w:type="dxa"/>
            <w:vAlign w:val="bottom"/>
          </w:tcPr>
          <w:p>
            <w:pPr>
              <w:jc w:val="center"/>
              <w:spacing w:after="0" w:line="159" w:lineRule="exact"/>
              <w:rPr>
                <w:sz w:val="20"/>
                <w:szCs w:val="20"/>
                <w:color w:val="auto"/>
              </w:rPr>
            </w:pPr>
            <w:r>
              <w:rPr>
                <w:rFonts w:ascii="Times New Roman" w:cs="Times New Roman" w:eastAsia="Times New Roman" w:hAnsi="Times New Roman"/>
                <w:sz w:val="13"/>
                <w:szCs w:val="13"/>
                <w:color w:val="auto"/>
                <w:w w:val="99"/>
              </w:rPr>
              <w:t>S&amp;P 500</w:t>
            </w:r>
            <w:r>
              <w:rPr>
                <w:rFonts w:ascii="Times New Roman" w:cs="Times New Roman" w:eastAsia="Times New Roman" w:hAnsi="Times New Roman"/>
                <w:sz w:val="18"/>
                <w:szCs w:val="18"/>
                <w:color w:val="auto"/>
                <w:w w:val="99"/>
                <w:vertAlign w:val="superscript"/>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10.00%</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10.00%</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10.00%</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159"/>
        </w:trPr>
        <w:tc>
          <w:tcPr>
            <w:tcW w:w="920" w:type="dxa"/>
            <w:vAlign w:val="bottom"/>
            <w:tcBorders>
              <w:right w:val="single" w:sz="8" w:color="CCEEFF"/>
            </w:tcBorders>
            <w:shd w:val="clear" w:color="auto" w:fill="CCEEFF"/>
          </w:tcPr>
          <w:p>
            <w:pPr>
              <w:spacing w:after="0"/>
              <w:rPr>
                <w:sz w:val="13"/>
                <w:szCs w:val="13"/>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1-year</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w:t>
            </w:r>
          </w:p>
        </w:tc>
        <w:tc>
          <w:tcPr>
            <w:tcW w:w="800" w:type="dxa"/>
            <w:vAlign w:val="bottom"/>
            <w:tcBorders>
              <w:right w:val="single" w:sz="8" w:color="CCEEFF"/>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3"/>
                <w:szCs w:val="13"/>
                <w:color w:val="auto"/>
                <w:w w:val="99"/>
              </w:rPr>
              <w:t>S&amp;P 500</w:t>
            </w:r>
            <w:r>
              <w:rPr>
                <w:rFonts w:ascii="Times New Roman" w:cs="Times New Roman" w:eastAsia="Times New Roman" w:hAnsi="Times New Roman"/>
                <w:sz w:val="18"/>
                <w:szCs w:val="18"/>
                <w:color w:val="auto"/>
                <w:w w:val="99"/>
                <w:vertAlign w:val="superscript"/>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14.00%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14.00%</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13.00%</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13.00%</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13.00%</w:t>
            </w: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1-year</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25%</w:t>
            </w:r>
          </w:p>
        </w:tc>
        <w:tc>
          <w:tcPr>
            <w:tcW w:w="800" w:type="dxa"/>
            <w:vAlign w:val="bottom"/>
          </w:tcPr>
          <w:p>
            <w:pPr>
              <w:jc w:val="center"/>
              <w:spacing w:after="0" w:line="159" w:lineRule="exact"/>
              <w:rPr>
                <w:sz w:val="20"/>
                <w:szCs w:val="20"/>
                <w:color w:val="auto"/>
              </w:rPr>
            </w:pPr>
            <w:r>
              <w:rPr>
                <w:rFonts w:ascii="Times New Roman" w:cs="Times New Roman" w:eastAsia="Times New Roman" w:hAnsi="Times New Roman"/>
                <w:sz w:val="13"/>
                <w:szCs w:val="13"/>
                <w:color w:val="auto"/>
                <w:w w:val="99"/>
              </w:rPr>
              <w:t>Russell 2000</w:t>
            </w:r>
            <w:r>
              <w:rPr>
                <w:rFonts w:ascii="Times New Roman" w:cs="Times New Roman" w:eastAsia="Times New Roman" w:hAnsi="Times New Roman"/>
                <w:sz w:val="18"/>
                <w:szCs w:val="18"/>
                <w:color w:val="auto"/>
                <w:w w:val="99"/>
                <w:vertAlign w:val="superscript"/>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10.25%</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10.25%</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10.25%</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10.25%</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10.25%</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10.25%</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10.25%</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10.25%</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10.25%</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10.25%</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10.25%</w:t>
            </w:r>
          </w:p>
        </w:tc>
        <w:tc>
          <w:tcPr>
            <w:tcW w:w="0" w:type="dxa"/>
            <w:vAlign w:val="bottom"/>
          </w:tcPr>
          <w:p>
            <w:pPr>
              <w:spacing w:after="0"/>
              <w:rPr>
                <w:sz w:val="1"/>
                <w:szCs w:val="1"/>
                <w:color w:val="auto"/>
              </w:rPr>
            </w:pPr>
          </w:p>
        </w:tc>
      </w:tr>
      <w:tr>
        <w:trPr>
          <w:trHeight w:val="159"/>
        </w:trPr>
        <w:tc>
          <w:tcPr>
            <w:tcW w:w="920" w:type="dxa"/>
            <w:vAlign w:val="bottom"/>
            <w:tcBorders>
              <w:right w:val="single" w:sz="8" w:color="CCEEFF"/>
            </w:tcBorders>
            <w:shd w:val="clear" w:color="auto" w:fill="CCEEFF"/>
          </w:tcPr>
          <w:p>
            <w:pPr>
              <w:spacing w:after="0"/>
              <w:rPr>
                <w:sz w:val="13"/>
                <w:szCs w:val="13"/>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1-year</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w:t>
            </w:r>
          </w:p>
        </w:tc>
        <w:tc>
          <w:tcPr>
            <w:tcW w:w="800" w:type="dxa"/>
            <w:vAlign w:val="bottom"/>
            <w:tcBorders>
              <w:right w:val="single" w:sz="8" w:color="CCEEFF"/>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3"/>
                <w:szCs w:val="13"/>
                <w:color w:val="auto"/>
                <w:w w:val="99"/>
              </w:rPr>
              <w:t>Russell 2000</w:t>
            </w:r>
            <w:r>
              <w:rPr>
                <w:rFonts w:ascii="Times New Roman" w:cs="Times New Roman" w:eastAsia="Times New Roman" w:hAnsi="Times New Roman"/>
                <w:sz w:val="18"/>
                <w:szCs w:val="18"/>
                <w:color w:val="auto"/>
                <w:w w:val="99"/>
                <w:vertAlign w:val="superscript"/>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14.50%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14.50%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14.50%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14.50%</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14.50%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14.50%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14.50%</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14.50%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14.50%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14.50%</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14.50%</w:t>
            </w: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1-year</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w:t>
            </w:r>
          </w:p>
        </w:tc>
        <w:tc>
          <w:tcPr>
            <w:tcW w:w="800" w:type="dxa"/>
            <w:vAlign w:val="bottom"/>
          </w:tcPr>
          <w:p>
            <w:pPr>
              <w:jc w:val="center"/>
              <w:spacing w:after="0" w:line="159" w:lineRule="exact"/>
              <w:rPr>
                <w:sz w:val="20"/>
                <w:szCs w:val="20"/>
                <w:color w:val="auto"/>
              </w:rPr>
            </w:pPr>
            <w:r>
              <w:rPr>
                <w:rFonts w:ascii="Times New Roman" w:cs="Times New Roman" w:eastAsia="Times New Roman" w:hAnsi="Times New Roman"/>
                <w:sz w:val="13"/>
                <w:szCs w:val="13"/>
                <w:color w:val="auto"/>
                <w:w w:val="99"/>
              </w:rPr>
              <w:t>Russell 2000</w:t>
            </w:r>
            <w:r>
              <w:rPr>
                <w:rFonts w:ascii="Times New Roman" w:cs="Times New Roman" w:eastAsia="Times New Roman" w:hAnsi="Times New Roman"/>
                <w:sz w:val="18"/>
                <w:szCs w:val="18"/>
                <w:color w:val="auto"/>
                <w:w w:val="99"/>
                <w:vertAlign w:val="superscript"/>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19.50%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19.50%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19.50%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19.50%</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19.50%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19.50%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19.50%</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19.50%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19.50%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19.50%</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19.50%</w:t>
            </w:r>
          </w:p>
        </w:tc>
        <w:tc>
          <w:tcPr>
            <w:tcW w:w="0" w:type="dxa"/>
            <w:vAlign w:val="bottom"/>
          </w:tcPr>
          <w:p>
            <w:pPr>
              <w:spacing w:after="0"/>
              <w:rPr>
                <w:sz w:val="1"/>
                <w:szCs w:val="1"/>
                <w:color w:val="auto"/>
              </w:rPr>
            </w:pPr>
          </w:p>
        </w:tc>
      </w:tr>
      <w:tr>
        <w:trPr>
          <w:trHeight w:val="159"/>
        </w:trPr>
        <w:tc>
          <w:tcPr>
            <w:tcW w:w="920" w:type="dxa"/>
            <w:vAlign w:val="bottom"/>
            <w:tcBorders>
              <w:right w:val="single" w:sz="8" w:color="CCEEFF"/>
            </w:tcBorders>
            <w:shd w:val="clear" w:color="auto" w:fill="CCEEFF"/>
          </w:tcPr>
          <w:p>
            <w:pPr>
              <w:spacing w:after="0"/>
              <w:rPr>
                <w:sz w:val="13"/>
                <w:szCs w:val="13"/>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1-year</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25%</w:t>
            </w:r>
          </w:p>
        </w:tc>
        <w:tc>
          <w:tcPr>
            <w:tcW w:w="800" w:type="dxa"/>
            <w:vAlign w:val="bottom"/>
            <w:tcBorders>
              <w:right w:val="single" w:sz="8" w:color="CCEEFF"/>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3"/>
                <w:szCs w:val="13"/>
                <w:color w:val="auto"/>
              </w:rPr>
              <w:t>Nasdaq-100</w:t>
            </w:r>
            <w:r>
              <w:rPr>
                <w:rFonts w:ascii="Times New Roman" w:cs="Times New Roman" w:eastAsia="Times New Roman" w:hAnsi="Times New Roman"/>
                <w:sz w:val="18"/>
                <w:szCs w:val="18"/>
                <w:color w:val="auto"/>
                <w:vertAlign w:val="superscript"/>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9.25%</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9.25%</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9.25%</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9.25%</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9.25%</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9.25%</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9.25%</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9.25%</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9.25%</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9.25%</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9.25%</w:t>
            </w: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1-year</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15%</w:t>
            </w:r>
          </w:p>
        </w:tc>
        <w:tc>
          <w:tcPr>
            <w:tcW w:w="800" w:type="dxa"/>
            <w:vAlign w:val="bottom"/>
          </w:tcPr>
          <w:p>
            <w:pPr>
              <w:jc w:val="center"/>
              <w:spacing w:after="0" w:line="159" w:lineRule="exact"/>
              <w:rPr>
                <w:sz w:val="20"/>
                <w:szCs w:val="20"/>
                <w:color w:val="auto"/>
              </w:rPr>
            </w:pPr>
            <w:r>
              <w:rPr>
                <w:rFonts w:ascii="Times New Roman" w:cs="Times New Roman" w:eastAsia="Times New Roman" w:hAnsi="Times New Roman"/>
                <w:sz w:val="13"/>
                <w:szCs w:val="13"/>
                <w:color w:val="auto"/>
              </w:rPr>
              <w:t>Nasdaq-100</w:t>
            </w:r>
            <w:r>
              <w:rPr>
                <w:rFonts w:ascii="Times New Roman" w:cs="Times New Roman" w:eastAsia="Times New Roman" w:hAnsi="Times New Roman"/>
                <w:sz w:val="18"/>
                <w:szCs w:val="18"/>
                <w:color w:val="auto"/>
                <w:vertAlign w:val="superscript"/>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12.50%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12.50%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12.50%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12.50%</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12.50%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12.50%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12.50%</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12.50%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12.50%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12.50%</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12.50%</w:t>
            </w:r>
          </w:p>
        </w:tc>
        <w:tc>
          <w:tcPr>
            <w:tcW w:w="0" w:type="dxa"/>
            <w:vAlign w:val="bottom"/>
          </w:tcPr>
          <w:p>
            <w:pPr>
              <w:spacing w:after="0"/>
              <w:rPr>
                <w:sz w:val="1"/>
                <w:szCs w:val="1"/>
                <w:color w:val="auto"/>
              </w:rPr>
            </w:pPr>
          </w:p>
        </w:tc>
      </w:tr>
      <w:tr>
        <w:trPr>
          <w:trHeight w:val="159"/>
        </w:trPr>
        <w:tc>
          <w:tcPr>
            <w:tcW w:w="920" w:type="dxa"/>
            <w:vAlign w:val="bottom"/>
            <w:tcBorders>
              <w:right w:val="single" w:sz="8" w:color="CCEEFF"/>
            </w:tcBorders>
            <w:shd w:val="clear" w:color="auto" w:fill="CCEEFF"/>
          </w:tcPr>
          <w:p>
            <w:pPr>
              <w:spacing w:after="0"/>
              <w:rPr>
                <w:sz w:val="13"/>
                <w:szCs w:val="13"/>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1-year</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w:t>
            </w:r>
          </w:p>
        </w:tc>
        <w:tc>
          <w:tcPr>
            <w:tcW w:w="800" w:type="dxa"/>
            <w:vAlign w:val="bottom"/>
            <w:tcBorders>
              <w:right w:val="single" w:sz="8" w:color="CCEEFF"/>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3"/>
                <w:szCs w:val="13"/>
                <w:color w:val="auto"/>
              </w:rPr>
              <w:t>Nasdaq-100</w:t>
            </w:r>
            <w:r>
              <w:rPr>
                <w:rFonts w:ascii="Times New Roman" w:cs="Times New Roman" w:eastAsia="Times New Roman" w:hAnsi="Times New Roman"/>
                <w:sz w:val="18"/>
                <w:szCs w:val="18"/>
                <w:color w:val="auto"/>
                <w:vertAlign w:val="superscript"/>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16.00%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16.00%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16.00%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16.00%</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15.50%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15.50%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15.50%</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15.50%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15.50%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15.50%</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15.50%</w:t>
            </w: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1-year</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25%</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MSCI EAFE</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8.25%</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8.25%</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8.25%</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8.25%</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8.25%</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8.25%</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8.25%</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8.25%</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8.25%</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8.25%</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8.25%</w:t>
            </w:r>
          </w:p>
        </w:tc>
        <w:tc>
          <w:tcPr>
            <w:tcW w:w="0" w:type="dxa"/>
            <w:vAlign w:val="bottom"/>
          </w:tcPr>
          <w:p>
            <w:pPr>
              <w:spacing w:after="0"/>
              <w:rPr>
                <w:sz w:val="1"/>
                <w:szCs w:val="1"/>
                <w:color w:val="auto"/>
              </w:rPr>
            </w:pPr>
          </w:p>
        </w:tc>
      </w:tr>
      <w:tr>
        <w:trPr>
          <w:trHeight w:val="159"/>
        </w:trPr>
        <w:tc>
          <w:tcPr>
            <w:tcW w:w="920" w:type="dxa"/>
            <w:vAlign w:val="bottom"/>
            <w:tcBorders>
              <w:right w:val="single" w:sz="8" w:color="CCEEFF"/>
            </w:tcBorders>
            <w:shd w:val="clear" w:color="auto" w:fill="CCEEFF"/>
          </w:tcPr>
          <w:p>
            <w:pPr>
              <w:spacing w:after="0"/>
              <w:rPr>
                <w:sz w:val="13"/>
                <w:szCs w:val="13"/>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1-year</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w:t>
            </w:r>
          </w:p>
        </w:tc>
        <w:tc>
          <w:tcPr>
            <w:tcW w:w="8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MSCI EAFE</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11.50%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11.50%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11.50%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11.50%</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11.50%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11.50%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11.50%</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11.50%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11.50%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11.50%</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11.50%</w:t>
            </w:r>
          </w:p>
        </w:tc>
        <w:tc>
          <w:tcPr>
            <w:tcW w:w="0" w:type="dxa"/>
            <w:vAlign w:val="bottom"/>
          </w:tcPr>
          <w:p>
            <w:pPr>
              <w:spacing w:after="0"/>
              <w:rPr>
                <w:sz w:val="1"/>
                <w:szCs w:val="1"/>
                <w:color w:val="auto"/>
              </w:rPr>
            </w:pPr>
          </w:p>
        </w:tc>
      </w:tr>
      <w:tr>
        <w:trPr>
          <w:trHeight w:val="159"/>
        </w:trPr>
        <w:tc>
          <w:tcPr>
            <w:tcW w:w="9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1-year</w:t>
            </w:r>
          </w:p>
        </w:tc>
        <w:tc>
          <w:tcPr>
            <w:tcW w:w="6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MSCI EAFE</w:t>
            </w:r>
          </w:p>
        </w:tc>
        <w:tc>
          <w:tcPr>
            <w:tcW w:w="7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17.00%</w:t>
            </w:r>
          </w:p>
        </w:tc>
        <w:tc>
          <w:tcPr>
            <w:tcW w:w="7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17.00%</w:t>
            </w:r>
          </w:p>
        </w:tc>
        <w:tc>
          <w:tcPr>
            <w:tcW w:w="7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17.00%</w:t>
            </w:r>
          </w:p>
        </w:tc>
        <w:tc>
          <w:tcPr>
            <w:tcW w:w="7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17.00%</w:t>
            </w:r>
          </w:p>
        </w:tc>
        <w:tc>
          <w:tcPr>
            <w:tcW w:w="7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17.00%</w:t>
            </w:r>
          </w:p>
        </w:tc>
        <w:tc>
          <w:tcPr>
            <w:tcW w:w="7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17.00%</w:t>
            </w:r>
          </w:p>
        </w:tc>
        <w:tc>
          <w:tcPr>
            <w:tcW w:w="7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17.00%</w:t>
            </w:r>
          </w:p>
        </w:tc>
        <w:tc>
          <w:tcPr>
            <w:tcW w:w="7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17.00%</w:t>
            </w:r>
          </w:p>
        </w:tc>
        <w:tc>
          <w:tcPr>
            <w:tcW w:w="7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17.00%</w:t>
            </w:r>
          </w:p>
        </w:tc>
        <w:tc>
          <w:tcPr>
            <w:tcW w:w="7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17.00%</w:t>
            </w:r>
          </w:p>
        </w:tc>
        <w:tc>
          <w:tcPr>
            <w:tcW w:w="7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17.00%</w:t>
            </w:r>
          </w:p>
        </w:tc>
        <w:tc>
          <w:tcPr>
            <w:tcW w:w="0" w:type="dxa"/>
            <w:vAlign w:val="bottom"/>
          </w:tcPr>
          <w:p>
            <w:pPr>
              <w:spacing w:after="0"/>
              <w:rPr>
                <w:sz w:val="1"/>
                <w:szCs w:val="1"/>
                <w:color w:val="auto"/>
              </w:rPr>
            </w:pPr>
          </w:p>
        </w:tc>
      </w:tr>
      <w:tr>
        <w:trPr>
          <w:trHeight w:val="149"/>
        </w:trPr>
        <w:tc>
          <w:tcPr>
            <w:tcW w:w="9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Step Rate Edge</w:t>
            </w: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2-year</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w:t>
            </w:r>
          </w:p>
        </w:tc>
        <w:tc>
          <w:tcPr>
            <w:tcW w:w="800" w:type="dxa"/>
            <w:vAlign w:val="bottom"/>
            <w:tcBorders>
              <w:right w:val="single" w:sz="8" w:color="CCEEFF"/>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2"/>
                <w:szCs w:val="12"/>
                <w:color w:val="auto"/>
              </w:rPr>
              <w:t>S&amp;P 500</w:t>
            </w:r>
            <w:r>
              <w:rPr>
                <w:rFonts w:ascii="Times New Roman" w:cs="Times New Roman" w:eastAsia="Times New Roman" w:hAnsi="Times New Roman"/>
                <w:sz w:val="17"/>
                <w:szCs w:val="17"/>
                <w:color w:val="auto"/>
                <w:vertAlign w:val="superscript"/>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12.50%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12.50%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12.50%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12.50%</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12.25%</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12.25%</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12.25%</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12.25%</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12.25%</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12.25%</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12.25%</w:t>
            </w: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2-year</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w:t>
            </w:r>
          </w:p>
        </w:tc>
        <w:tc>
          <w:tcPr>
            <w:tcW w:w="800" w:type="dxa"/>
            <w:vAlign w:val="bottom"/>
          </w:tcPr>
          <w:p>
            <w:pPr>
              <w:jc w:val="center"/>
              <w:spacing w:after="0" w:line="159" w:lineRule="exact"/>
              <w:rPr>
                <w:sz w:val="20"/>
                <w:szCs w:val="20"/>
                <w:color w:val="auto"/>
              </w:rPr>
            </w:pPr>
            <w:r>
              <w:rPr>
                <w:rFonts w:ascii="Times New Roman" w:cs="Times New Roman" w:eastAsia="Times New Roman" w:hAnsi="Times New Roman"/>
                <w:sz w:val="13"/>
                <w:szCs w:val="13"/>
                <w:color w:val="auto"/>
                <w:w w:val="99"/>
              </w:rPr>
              <w:t>S&amp;P 500</w:t>
            </w:r>
            <w:r>
              <w:rPr>
                <w:rFonts w:ascii="Times New Roman" w:cs="Times New Roman" w:eastAsia="Times New Roman" w:hAnsi="Times New Roman"/>
                <w:sz w:val="18"/>
                <w:szCs w:val="18"/>
                <w:color w:val="auto"/>
                <w:w w:val="99"/>
                <w:vertAlign w:val="superscript"/>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14.50%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14.50%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14.50%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14.50%</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13.75%</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13.75%</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13.75%</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13.75%</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13.75%</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13.75%</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13.75%</w:t>
            </w:r>
          </w:p>
        </w:tc>
        <w:tc>
          <w:tcPr>
            <w:tcW w:w="0" w:type="dxa"/>
            <w:vAlign w:val="bottom"/>
          </w:tcPr>
          <w:p>
            <w:pPr>
              <w:spacing w:after="0"/>
              <w:rPr>
                <w:sz w:val="1"/>
                <w:szCs w:val="1"/>
                <w:color w:val="auto"/>
              </w:rPr>
            </w:pPr>
          </w:p>
        </w:tc>
      </w:tr>
      <w:tr>
        <w:trPr>
          <w:trHeight w:val="159"/>
        </w:trPr>
        <w:tc>
          <w:tcPr>
            <w:tcW w:w="920" w:type="dxa"/>
            <w:vAlign w:val="bottom"/>
            <w:tcBorders>
              <w:right w:val="single" w:sz="8" w:color="CCEEFF"/>
            </w:tcBorders>
            <w:shd w:val="clear" w:color="auto" w:fill="CCEEFF"/>
          </w:tcPr>
          <w:p>
            <w:pPr>
              <w:spacing w:after="0"/>
              <w:rPr>
                <w:sz w:val="13"/>
                <w:szCs w:val="13"/>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2-year</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w:t>
            </w:r>
          </w:p>
        </w:tc>
        <w:tc>
          <w:tcPr>
            <w:tcW w:w="800" w:type="dxa"/>
            <w:vAlign w:val="bottom"/>
            <w:tcBorders>
              <w:right w:val="single" w:sz="8" w:color="CCEEFF"/>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3"/>
                <w:szCs w:val="13"/>
                <w:color w:val="auto"/>
                <w:w w:val="99"/>
              </w:rPr>
              <w:t>Russell 2000</w:t>
            </w:r>
            <w:r>
              <w:rPr>
                <w:rFonts w:ascii="Times New Roman" w:cs="Times New Roman" w:eastAsia="Times New Roman" w:hAnsi="Times New Roman"/>
                <w:sz w:val="18"/>
                <w:szCs w:val="18"/>
                <w:color w:val="auto"/>
                <w:w w:val="99"/>
                <w:vertAlign w:val="superscript"/>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14.50%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14.50%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14.50%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14.50%</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14.25%</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14.25%</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14.25%</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14.25%</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14.25%</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14.25%</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14.25%</w:t>
            </w: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2-year</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w:t>
            </w:r>
          </w:p>
        </w:tc>
        <w:tc>
          <w:tcPr>
            <w:tcW w:w="800" w:type="dxa"/>
            <w:vAlign w:val="bottom"/>
          </w:tcPr>
          <w:p>
            <w:pPr>
              <w:jc w:val="center"/>
              <w:spacing w:after="0" w:line="159" w:lineRule="exact"/>
              <w:rPr>
                <w:sz w:val="20"/>
                <w:szCs w:val="20"/>
                <w:color w:val="auto"/>
              </w:rPr>
            </w:pPr>
            <w:r>
              <w:rPr>
                <w:rFonts w:ascii="Times New Roman" w:cs="Times New Roman" w:eastAsia="Times New Roman" w:hAnsi="Times New Roman"/>
                <w:sz w:val="13"/>
                <w:szCs w:val="13"/>
                <w:color w:val="auto"/>
                <w:w w:val="99"/>
              </w:rPr>
              <w:t>Russell 2000</w:t>
            </w:r>
            <w:r>
              <w:rPr>
                <w:rFonts w:ascii="Times New Roman" w:cs="Times New Roman" w:eastAsia="Times New Roman" w:hAnsi="Times New Roman"/>
                <w:sz w:val="18"/>
                <w:szCs w:val="18"/>
                <w:color w:val="auto"/>
                <w:w w:val="99"/>
                <w:vertAlign w:val="superscript"/>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17.00%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17.00%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17.00%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17.00%</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16.50%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16.50%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16.50%</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16.50%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16.50%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16.50%</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16.50%</w:t>
            </w:r>
          </w:p>
        </w:tc>
        <w:tc>
          <w:tcPr>
            <w:tcW w:w="0" w:type="dxa"/>
            <w:vAlign w:val="bottom"/>
          </w:tcPr>
          <w:p>
            <w:pPr>
              <w:spacing w:after="0"/>
              <w:rPr>
                <w:sz w:val="1"/>
                <w:szCs w:val="1"/>
                <w:color w:val="auto"/>
              </w:rPr>
            </w:pPr>
          </w:p>
        </w:tc>
      </w:tr>
      <w:tr>
        <w:trPr>
          <w:trHeight w:val="159"/>
        </w:trPr>
        <w:tc>
          <w:tcPr>
            <w:tcW w:w="920" w:type="dxa"/>
            <w:vAlign w:val="bottom"/>
            <w:tcBorders>
              <w:right w:val="single" w:sz="8" w:color="CCEEFF"/>
            </w:tcBorders>
            <w:shd w:val="clear" w:color="auto" w:fill="CCEEFF"/>
          </w:tcPr>
          <w:p>
            <w:pPr>
              <w:spacing w:after="0"/>
              <w:rPr>
                <w:sz w:val="13"/>
                <w:szCs w:val="13"/>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2-year</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w:t>
            </w:r>
          </w:p>
        </w:tc>
        <w:tc>
          <w:tcPr>
            <w:tcW w:w="800" w:type="dxa"/>
            <w:vAlign w:val="bottom"/>
            <w:tcBorders>
              <w:right w:val="single" w:sz="8" w:color="CCEEFF"/>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3"/>
                <w:szCs w:val="13"/>
                <w:color w:val="auto"/>
              </w:rPr>
              <w:t>Nasdaq-100</w:t>
            </w:r>
            <w:r>
              <w:rPr>
                <w:rFonts w:ascii="Times New Roman" w:cs="Times New Roman" w:eastAsia="Times New Roman" w:hAnsi="Times New Roman"/>
                <w:sz w:val="18"/>
                <w:szCs w:val="18"/>
                <w:color w:val="auto"/>
                <w:vertAlign w:val="superscript"/>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14.00%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14.00%</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14.00%</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14.00%</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14.00%</w:t>
            </w: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2-year</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w:t>
            </w:r>
          </w:p>
        </w:tc>
        <w:tc>
          <w:tcPr>
            <w:tcW w:w="800" w:type="dxa"/>
            <w:vAlign w:val="bottom"/>
          </w:tcPr>
          <w:p>
            <w:pPr>
              <w:jc w:val="center"/>
              <w:spacing w:after="0" w:line="159" w:lineRule="exact"/>
              <w:rPr>
                <w:sz w:val="20"/>
                <w:szCs w:val="20"/>
                <w:color w:val="auto"/>
              </w:rPr>
            </w:pPr>
            <w:r>
              <w:rPr>
                <w:rFonts w:ascii="Times New Roman" w:cs="Times New Roman" w:eastAsia="Times New Roman" w:hAnsi="Times New Roman"/>
                <w:sz w:val="13"/>
                <w:szCs w:val="13"/>
                <w:color w:val="auto"/>
              </w:rPr>
              <w:t>Nasdaq-100</w:t>
            </w:r>
            <w:r>
              <w:rPr>
                <w:rFonts w:ascii="Times New Roman" w:cs="Times New Roman" w:eastAsia="Times New Roman" w:hAnsi="Times New Roman"/>
                <w:sz w:val="18"/>
                <w:szCs w:val="18"/>
                <w:color w:val="auto"/>
                <w:vertAlign w:val="superscript"/>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16.50%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16.50%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16.50%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16.50%</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16.25%</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16.25%</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16.25%</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16.25%</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16.25%</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16.25%</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16.25%</w:t>
            </w:r>
          </w:p>
        </w:tc>
        <w:tc>
          <w:tcPr>
            <w:tcW w:w="0" w:type="dxa"/>
            <w:vAlign w:val="bottom"/>
          </w:tcPr>
          <w:p>
            <w:pPr>
              <w:spacing w:after="0"/>
              <w:rPr>
                <w:sz w:val="1"/>
                <w:szCs w:val="1"/>
                <w:color w:val="auto"/>
              </w:rPr>
            </w:pPr>
          </w:p>
        </w:tc>
      </w:tr>
      <w:tr>
        <w:trPr>
          <w:trHeight w:val="159"/>
        </w:trPr>
        <w:tc>
          <w:tcPr>
            <w:tcW w:w="920" w:type="dxa"/>
            <w:vAlign w:val="bottom"/>
            <w:tcBorders>
              <w:right w:val="single" w:sz="8" w:color="CCEEFF"/>
            </w:tcBorders>
            <w:shd w:val="clear" w:color="auto" w:fill="CCEEFF"/>
          </w:tcPr>
          <w:p>
            <w:pPr>
              <w:spacing w:after="0"/>
              <w:rPr>
                <w:sz w:val="13"/>
                <w:szCs w:val="13"/>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2-year</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w:t>
            </w:r>
          </w:p>
        </w:tc>
        <w:tc>
          <w:tcPr>
            <w:tcW w:w="8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MSCI EAFE</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11.00%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11.00%</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11.00%</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11.00%</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11.00%</w:t>
            </w: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2-year</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MSCI EAFE</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13.50%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13.50%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13.50%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13.50%</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13.50%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13.50%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13.50%</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13.50%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13.50%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13.50%</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13.50%</w:t>
            </w:r>
          </w:p>
        </w:tc>
        <w:tc>
          <w:tcPr>
            <w:tcW w:w="0" w:type="dxa"/>
            <w:vAlign w:val="bottom"/>
          </w:tcPr>
          <w:p>
            <w:pPr>
              <w:spacing w:after="0"/>
              <w:rPr>
                <w:sz w:val="1"/>
                <w:szCs w:val="1"/>
                <w:color w:val="auto"/>
              </w:rPr>
            </w:pPr>
          </w:p>
        </w:tc>
      </w:tr>
      <w:tr>
        <w:trPr>
          <w:trHeight w:val="159"/>
        </w:trPr>
        <w:tc>
          <w:tcPr>
            <w:tcW w:w="920" w:type="dxa"/>
            <w:vAlign w:val="bottom"/>
            <w:tcBorders>
              <w:right w:val="single" w:sz="8" w:color="CCEEFF"/>
            </w:tcBorders>
            <w:shd w:val="clear" w:color="auto" w:fill="CCEEFF"/>
          </w:tcPr>
          <w:p>
            <w:pPr>
              <w:spacing w:after="0"/>
              <w:rPr>
                <w:sz w:val="13"/>
                <w:szCs w:val="13"/>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1-year</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w:t>
            </w:r>
          </w:p>
        </w:tc>
        <w:tc>
          <w:tcPr>
            <w:tcW w:w="800" w:type="dxa"/>
            <w:vAlign w:val="bottom"/>
            <w:tcBorders>
              <w:right w:val="single" w:sz="8" w:color="CCEEFF"/>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3"/>
                <w:szCs w:val="13"/>
                <w:color w:val="auto"/>
                <w:w w:val="99"/>
              </w:rPr>
              <w:t>S&amp;P 500</w:t>
            </w:r>
            <w:r>
              <w:rPr>
                <w:rFonts w:ascii="Times New Roman" w:cs="Times New Roman" w:eastAsia="Times New Roman" w:hAnsi="Times New Roman"/>
                <w:sz w:val="18"/>
                <w:szCs w:val="18"/>
                <w:color w:val="auto"/>
                <w:w w:val="99"/>
                <w:vertAlign w:val="superscript"/>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6.50%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6.50%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6.50%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6.50%</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6.25%</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6.25%</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6.25%</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6.25%</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6.25%</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6.25%</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6.25%</w:t>
            </w: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1-year</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w:t>
            </w:r>
          </w:p>
        </w:tc>
        <w:tc>
          <w:tcPr>
            <w:tcW w:w="800" w:type="dxa"/>
            <w:vAlign w:val="bottom"/>
          </w:tcPr>
          <w:p>
            <w:pPr>
              <w:jc w:val="center"/>
              <w:spacing w:after="0" w:line="159" w:lineRule="exact"/>
              <w:rPr>
                <w:sz w:val="20"/>
                <w:szCs w:val="20"/>
                <w:color w:val="auto"/>
              </w:rPr>
            </w:pPr>
            <w:r>
              <w:rPr>
                <w:rFonts w:ascii="Times New Roman" w:cs="Times New Roman" w:eastAsia="Times New Roman" w:hAnsi="Times New Roman"/>
                <w:sz w:val="13"/>
                <w:szCs w:val="13"/>
                <w:color w:val="auto"/>
                <w:w w:val="99"/>
              </w:rPr>
              <w:t>S&amp;P 500</w:t>
            </w:r>
            <w:r>
              <w:rPr>
                <w:rFonts w:ascii="Times New Roman" w:cs="Times New Roman" w:eastAsia="Times New Roman" w:hAnsi="Times New Roman"/>
                <w:sz w:val="18"/>
                <w:szCs w:val="18"/>
                <w:color w:val="auto"/>
                <w:w w:val="99"/>
                <w:vertAlign w:val="superscript"/>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7.50%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7.50%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7.50%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7.50%</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7.25%</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7.25%</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7.25%</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7.25%</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7.25%</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7.25%</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7.25%</w:t>
            </w:r>
          </w:p>
        </w:tc>
        <w:tc>
          <w:tcPr>
            <w:tcW w:w="0" w:type="dxa"/>
            <w:vAlign w:val="bottom"/>
          </w:tcPr>
          <w:p>
            <w:pPr>
              <w:spacing w:after="0"/>
              <w:rPr>
                <w:sz w:val="1"/>
                <w:szCs w:val="1"/>
                <w:color w:val="auto"/>
              </w:rPr>
            </w:pPr>
          </w:p>
        </w:tc>
      </w:tr>
      <w:tr>
        <w:trPr>
          <w:trHeight w:val="159"/>
        </w:trPr>
        <w:tc>
          <w:tcPr>
            <w:tcW w:w="920" w:type="dxa"/>
            <w:vAlign w:val="bottom"/>
            <w:tcBorders>
              <w:right w:val="single" w:sz="8" w:color="CCEEFF"/>
            </w:tcBorders>
            <w:shd w:val="clear" w:color="auto" w:fill="CCEEFF"/>
          </w:tcPr>
          <w:p>
            <w:pPr>
              <w:spacing w:after="0"/>
              <w:rPr>
                <w:sz w:val="13"/>
                <w:szCs w:val="13"/>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1-year</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w:t>
            </w:r>
          </w:p>
        </w:tc>
        <w:tc>
          <w:tcPr>
            <w:tcW w:w="800" w:type="dxa"/>
            <w:vAlign w:val="bottom"/>
            <w:tcBorders>
              <w:right w:val="single" w:sz="8" w:color="CCEEFF"/>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3"/>
                <w:szCs w:val="13"/>
                <w:color w:val="auto"/>
                <w:w w:val="99"/>
              </w:rPr>
              <w:t>Russell 2000</w:t>
            </w:r>
            <w:r>
              <w:rPr>
                <w:rFonts w:ascii="Times New Roman" w:cs="Times New Roman" w:eastAsia="Times New Roman" w:hAnsi="Times New Roman"/>
                <w:sz w:val="18"/>
                <w:szCs w:val="18"/>
                <w:color w:val="auto"/>
                <w:w w:val="99"/>
                <w:vertAlign w:val="superscript"/>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7.50%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7.50%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7.50%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7.50%</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7.25%</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7.25%</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7.25%</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7.25%</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7.25%</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7.25%</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7.25%</w:t>
            </w: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1-year</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w:t>
            </w:r>
          </w:p>
        </w:tc>
        <w:tc>
          <w:tcPr>
            <w:tcW w:w="800" w:type="dxa"/>
            <w:vAlign w:val="bottom"/>
          </w:tcPr>
          <w:p>
            <w:pPr>
              <w:jc w:val="center"/>
              <w:spacing w:after="0" w:line="159" w:lineRule="exact"/>
              <w:rPr>
                <w:sz w:val="20"/>
                <w:szCs w:val="20"/>
                <w:color w:val="auto"/>
              </w:rPr>
            </w:pPr>
            <w:r>
              <w:rPr>
                <w:rFonts w:ascii="Times New Roman" w:cs="Times New Roman" w:eastAsia="Times New Roman" w:hAnsi="Times New Roman"/>
                <w:sz w:val="13"/>
                <w:szCs w:val="13"/>
                <w:color w:val="auto"/>
                <w:w w:val="99"/>
              </w:rPr>
              <w:t>Russell 2000</w:t>
            </w:r>
            <w:r>
              <w:rPr>
                <w:rFonts w:ascii="Times New Roman" w:cs="Times New Roman" w:eastAsia="Times New Roman" w:hAnsi="Times New Roman"/>
                <w:sz w:val="18"/>
                <w:szCs w:val="18"/>
                <w:color w:val="auto"/>
                <w:w w:val="99"/>
                <w:vertAlign w:val="superscript"/>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9.00%</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9.00%</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9.00%</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9.00%</w:t>
            </w:r>
          </w:p>
        </w:tc>
        <w:tc>
          <w:tcPr>
            <w:tcW w:w="0" w:type="dxa"/>
            <w:vAlign w:val="bottom"/>
          </w:tcPr>
          <w:p>
            <w:pPr>
              <w:spacing w:after="0"/>
              <w:rPr>
                <w:sz w:val="1"/>
                <w:szCs w:val="1"/>
                <w:color w:val="auto"/>
              </w:rPr>
            </w:pPr>
          </w:p>
        </w:tc>
      </w:tr>
      <w:tr>
        <w:trPr>
          <w:trHeight w:val="159"/>
        </w:trPr>
        <w:tc>
          <w:tcPr>
            <w:tcW w:w="920" w:type="dxa"/>
            <w:vAlign w:val="bottom"/>
            <w:tcBorders>
              <w:right w:val="single" w:sz="8" w:color="CCEEFF"/>
            </w:tcBorders>
            <w:shd w:val="clear" w:color="auto" w:fill="CCEEFF"/>
          </w:tcPr>
          <w:p>
            <w:pPr>
              <w:spacing w:after="0"/>
              <w:rPr>
                <w:sz w:val="13"/>
                <w:szCs w:val="13"/>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1-year</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w:t>
            </w:r>
          </w:p>
        </w:tc>
        <w:tc>
          <w:tcPr>
            <w:tcW w:w="800" w:type="dxa"/>
            <w:vAlign w:val="bottom"/>
            <w:tcBorders>
              <w:right w:val="single" w:sz="8" w:color="CCEEFF"/>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3"/>
                <w:szCs w:val="13"/>
                <w:color w:val="auto"/>
              </w:rPr>
              <w:t>Nasdaq-100</w:t>
            </w:r>
            <w:r>
              <w:rPr>
                <w:rFonts w:ascii="Times New Roman" w:cs="Times New Roman" w:eastAsia="Times New Roman" w:hAnsi="Times New Roman"/>
                <w:sz w:val="18"/>
                <w:szCs w:val="18"/>
                <w:color w:val="auto"/>
                <w:vertAlign w:val="superscript"/>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7.50%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7.50%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7.50%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7.50%</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7.25%</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7.25%</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7.25%</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7.25%</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7.25%</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7.25%</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7.25%</w:t>
            </w: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1-year</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w:t>
            </w:r>
          </w:p>
        </w:tc>
        <w:tc>
          <w:tcPr>
            <w:tcW w:w="800" w:type="dxa"/>
            <w:vAlign w:val="bottom"/>
          </w:tcPr>
          <w:p>
            <w:pPr>
              <w:jc w:val="center"/>
              <w:spacing w:after="0" w:line="159" w:lineRule="exact"/>
              <w:rPr>
                <w:sz w:val="20"/>
                <w:szCs w:val="20"/>
                <w:color w:val="auto"/>
              </w:rPr>
            </w:pPr>
            <w:r>
              <w:rPr>
                <w:rFonts w:ascii="Times New Roman" w:cs="Times New Roman" w:eastAsia="Times New Roman" w:hAnsi="Times New Roman"/>
                <w:sz w:val="13"/>
                <w:szCs w:val="13"/>
                <w:color w:val="auto"/>
              </w:rPr>
              <w:t>Nasdaq-100</w:t>
            </w:r>
            <w:r>
              <w:rPr>
                <w:rFonts w:ascii="Times New Roman" w:cs="Times New Roman" w:eastAsia="Times New Roman" w:hAnsi="Times New Roman"/>
                <w:sz w:val="18"/>
                <w:szCs w:val="18"/>
                <w:color w:val="auto"/>
                <w:vertAlign w:val="superscript"/>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9.50%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9.50%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9.50%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9.50%</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8.75%</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8.75%</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8.75%</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8.75%</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8.75%</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8.75%</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8.75%</w:t>
            </w:r>
          </w:p>
        </w:tc>
        <w:tc>
          <w:tcPr>
            <w:tcW w:w="0" w:type="dxa"/>
            <w:vAlign w:val="bottom"/>
          </w:tcPr>
          <w:p>
            <w:pPr>
              <w:spacing w:after="0"/>
              <w:rPr>
                <w:sz w:val="1"/>
                <w:szCs w:val="1"/>
                <w:color w:val="auto"/>
              </w:rPr>
            </w:pPr>
          </w:p>
        </w:tc>
      </w:tr>
      <w:tr>
        <w:trPr>
          <w:trHeight w:val="159"/>
        </w:trPr>
        <w:tc>
          <w:tcPr>
            <w:tcW w:w="920" w:type="dxa"/>
            <w:vAlign w:val="bottom"/>
            <w:tcBorders>
              <w:right w:val="single" w:sz="8" w:color="CCEEFF"/>
            </w:tcBorders>
            <w:shd w:val="clear" w:color="auto" w:fill="CCEEFF"/>
          </w:tcPr>
          <w:p>
            <w:pPr>
              <w:spacing w:after="0"/>
              <w:rPr>
                <w:sz w:val="13"/>
                <w:szCs w:val="13"/>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1-year</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w:t>
            </w:r>
          </w:p>
        </w:tc>
        <w:tc>
          <w:tcPr>
            <w:tcW w:w="8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MSCI EAFE</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5.75%</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5.75%</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5.75%</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5.75%</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5.75%</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5.75%</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5.75%</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5.75%</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5.75%</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5.75%</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5.75%</w:t>
            </w:r>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1-year</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MSCI EAFE</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7.25%</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7.25%</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7.25%</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7.25%</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7.25%</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7.25%</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7.25%</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7.25%</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7.25%</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7.25%</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7.25%</w:t>
            </w:r>
          </w:p>
        </w:tc>
        <w:tc>
          <w:tcPr>
            <w:tcW w:w="0" w:type="dxa"/>
            <w:vAlign w:val="bottom"/>
          </w:tcPr>
          <w:p>
            <w:pPr>
              <w:spacing w:after="0"/>
              <w:rPr>
                <w:sz w:val="1"/>
                <w:szCs w:val="1"/>
                <w:color w:val="auto"/>
              </w:rPr>
            </w:pPr>
          </w:p>
        </w:tc>
      </w:tr>
    </w:tbl>
    <w:p>
      <w:pPr>
        <w:sectPr>
          <w:pgSz w:w="11900" w:h="16838" w:orient="portrait"/>
          <w:cols w:equalWidth="0" w:num="1">
            <w:col w:w="11360"/>
          </w:cols>
          <w:pgMar w:left="300" w:top="81" w:right="2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9">
                      <a:extLst>
                        <a:ext uri="{28A0092B-C50C-407E-A947-70E740481C1C}"/>
                      </a:extLst>
                    </a:blip>
                    <a:srcRect/>
                    <a:stretch>
                      <a:fillRect/>
                    </a:stretch>
                  </pic:blipFill>
                  <pic:spPr bwMode="auto">
                    <a:xfrm>
                      <a:off x="0" y="0"/>
                      <a:ext cx="7206615" cy="31750"/>
                    </a:xfrm>
                    <a:prstGeom prst="rect">
                      <a:avLst/>
                    </a:prstGeom>
                    <a:noFill/>
                  </pic:spPr>
                </pic:pic>
              </a:graphicData>
            </a:graphic>
          </wp:anchor>
        </w:drawing>
        <w:t>Brighthouse Shield</w:t>
      </w:r>
      <w:r>
        <w:rPr>
          <w:rFonts w:ascii="Times New Roman" w:cs="Times New Roman" w:eastAsia="Times New Roman" w:hAnsi="Times New Roman"/>
          <w:sz w:val="19"/>
          <w:szCs w:val="19"/>
          <w:b w:val="1"/>
          <w:bCs w:val="1"/>
          <w:color w:val="auto"/>
          <w:vertAlign w:val="superscript"/>
        </w:rPr>
        <w:t>®</w:t>
      </w:r>
      <w:r>
        <w:rPr>
          <w:rFonts w:ascii="Times New Roman" w:cs="Times New Roman" w:eastAsia="Times New Roman" w:hAnsi="Times New Roman"/>
          <w:sz w:val="13"/>
          <w:szCs w:val="13"/>
          <w:b w:val="1"/>
          <w:bCs w:val="1"/>
          <w:color w:val="auto"/>
        </w:rPr>
        <w:t xml:space="preserve"> Level II 6-Year Annuity</w:t>
      </w:r>
    </w:p>
    <w:p>
      <w:pPr>
        <w:ind w:right="2299"/>
        <w:spacing w:after="0" w:line="268" w:lineRule="auto"/>
        <w:rPr>
          <w:sz w:val="20"/>
          <w:szCs w:val="20"/>
          <w:color w:val="auto"/>
        </w:rPr>
      </w:pPr>
      <w:r>
        <w:rPr>
          <w:rFonts w:ascii="Times New Roman" w:cs="Times New Roman" w:eastAsia="Times New Roman" w:hAnsi="Times New Roman"/>
          <w:sz w:val="13"/>
          <w:szCs w:val="13"/>
          <w:b w:val="1"/>
          <w:bCs w:val="1"/>
          <w:color w:val="auto"/>
        </w:rPr>
        <w:t>Historical new contract upside crediting rates in effect for each Shield Option offered by the Contract during the period dated July 22, 2024 through December 31, 2024*</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The Contract was not available before July 22, 2024</w:t>
      </w:r>
    </w:p>
    <w:p>
      <w:pPr>
        <w:spacing w:after="0" w:line="168" w:lineRule="exact"/>
        <w:rPr>
          <w:sz w:val="20"/>
          <w:szCs w:val="20"/>
          <w:color w:val="auto"/>
        </w:rPr>
      </w:pPr>
    </w:p>
    <w:p>
      <w:pPr>
        <w:ind w:right="2219"/>
        <w:spacing w:after="0" w:line="290" w:lineRule="auto"/>
        <w:rPr>
          <w:sz w:val="20"/>
          <w:szCs w:val="20"/>
          <w:color w:val="auto"/>
        </w:rPr>
      </w:pPr>
      <w:r>
        <w:rPr>
          <w:rFonts w:ascii="Times New Roman" w:cs="Times New Roman" w:eastAsia="Times New Roman" w:hAnsi="Times New Roman"/>
          <w:sz w:val="13"/>
          <w:szCs w:val="13"/>
          <w:color w:val="auto"/>
        </w:rPr>
        <w:t>The following chart shows the historical new contract Cap Rates, Step Rates, and Edge Rates in effect for each of the Shield Options during the stated time period.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20" w:type="dxa"/>
            <w:vAlign w:val="bottom"/>
          </w:tcPr>
          <w:p>
            <w:pPr>
              <w:spacing w:after="0"/>
              <w:rPr>
                <w:sz w:val="11"/>
                <w:szCs w:val="11"/>
                <w:color w:val="auto"/>
              </w:rPr>
            </w:pPr>
          </w:p>
        </w:tc>
        <w:tc>
          <w:tcPr>
            <w:tcW w:w="1180" w:type="dxa"/>
            <w:vAlign w:val="bottom"/>
            <w:gridSpan w:val="4"/>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Shield Option</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July</w:t>
            </w:r>
          </w:p>
        </w:tc>
        <w:tc>
          <w:tcPr>
            <w:tcW w:w="1140" w:type="dxa"/>
            <w:vAlign w:val="bottom"/>
            <w:gridSpan w:val="4"/>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August</w:t>
            </w:r>
          </w:p>
        </w:tc>
        <w:tc>
          <w:tcPr>
            <w:tcW w:w="1120" w:type="dxa"/>
            <w:vAlign w:val="bottom"/>
            <w:gridSpan w:val="4"/>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September</w:t>
            </w:r>
          </w:p>
        </w:tc>
        <w:tc>
          <w:tcPr>
            <w:tcW w:w="1140" w:type="dxa"/>
            <w:vAlign w:val="bottom"/>
            <w:gridSpan w:val="4"/>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October</w:t>
            </w:r>
          </w:p>
        </w:tc>
        <w:tc>
          <w:tcPr>
            <w:tcW w:w="1120" w:type="dxa"/>
            <w:vAlign w:val="bottom"/>
            <w:gridSpan w:val="4"/>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November</w:t>
            </w:r>
          </w:p>
        </w:tc>
        <w:tc>
          <w:tcPr>
            <w:tcW w:w="1100" w:type="dxa"/>
            <w:vAlign w:val="bottom"/>
            <w:gridSpan w:val="4"/>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December</w:t>
            </w:r>
          </w:p>
        </w:tc>
        <w:tc>
          <w:tcPr>
            <w:tcW w:w="0" w:type="dxa"/>
            <w:vAlign w:val="bottom"/>
          </w:tcPr>
          <w:p>
            <w:pPr>
              <w:spacing w:after="0"/>
              <w:rPr>
                <w:sz w:val="1"/>
                <w:szCs w:val="1"/>
                <w:color w:val="auto"/>
              </w:rPr>
            </w:pPr>
          </w:p>
        </w:tc>
      </w:tr>
      <w:tr>
        <w:trPr>
          <w:trHeight w:val="99"/>
        </w:trPr>
        <w:tc>
          <w:tcPr>
            <w:tcW w:w="920" w:type="dxa"/>
            <w:vAlign w:val="bottom"/>
            <w:tcBorders>
              <w:top w:val="single" w:sz="8" w:color="auto"/>
              <w:bottom w:val="single" w:sz="8" w:color="auto"/>
            </w:tcBorders>
          </w:tcPr>
          <w:p>
            <w:pPr>
              <w:spacing w:after="0" w:line="99" w:lineRule="exact"/>
              <w:rPr>
                <w:sz w:val="20"/>
                <w:szCs w:val="20"/>
                <w:color w:val="auto"/>
              </w:rPr>
            </w:pPr>
            <w:r>
              <w:rPr>
                <w:rFonts w:ascii="Times New Roman" w:cs="Times New Roman" w:eastAsia="Times New Roman" w:hAnsi="Times New Roman"/>
                <w:sz w:val="11"/>
                <w:szCs w:val="11"/>
                <w:i w:val="1"/>
                <w:iCs w:val="1"/>
                <w:color w:val="auto"/>
                <w:w w:val="98"/>
              </w:rPr>
              <w:t>Rate Crediting Type</w:t>
            </w:r>
          </w:p>
        </w:tc>
        <w:tc>
          <w:tcPr>
            <w:tcW w:w="500" w:type="dxa"/>
            <w:vAlign w:val="bottom"/>
            <w:tcBorders>
              <w:top w:val="single" w:sz="8" w:color="auto"/>
            </w:tcBorders>
            <w:gridSpan w:val="2"/>
          </w:tcPr>
          <w:p>
            <w:pPr>
              <w:ind w:left="80"/>
              <w:spacing w:after="0" w:line="99" w:lineRule="exact"/>
              <w:rPr>
                <w:sz w:val="20"/>
                <w:szCs w:val="20"/>
                <w:color w:val="auto"/>
              </w:rPr>
            </w:pPr>
            <w:r>
              <w:rPr>
                <w:rFonts w:ascii="Times New Roman" w:cs="Times New Roman" w:eastAsia="Times New Roman" w:hAnsi="Times New Roman"/>
                <w:sz w:val="11"/>
                <w:szCs w:val="11"/>
                <w:i w:val="1"/>
                <w:iCs w:val="1"/>
                <w:color w:val="auto"/>
              </w:rPr>
              <w:t>Term</w:t>
            </w:r>
          </w:p>
        </w:tc>
        <w:tc>
          <w:tcPr>
            <w:tcW w:w="680" w:type="dxa"/>
            <w:vAlign w:val="bottom"/>
            <w:tcBorders>
              <w:top w:val="single" w:sz="8" w:color="auto"/>
            </w:tcBorders>
            <w:gridSpan w:val="2"/>
          </w:tcPr>
          <w:p>
            <w:pPr>
              <w:jc w:val="right"/>
              <w:ind w:right="200"/>
              <w:spacing w:after="0" w:line="99" w:lineRule="exact"/>
              <w:rPr>
                <w:sz w:val="20"/>
                <w:szCs w:val="20"/>
                <w:color w:val="auto"/>
              </w:rPr>
            </w:pPr>
            <w:r>
              <w:rPr>
                <w:rFonts w:ascii="Times New Roman" w:cs="Times New Roman" w:eastAsia="Times New Roman" w:hAnsi="Times New Roman"/>
                <w:sz w:val="11"/>
                <w:szCs w:val="11"/>
                <w:i w:val="1"/>
                <w:iCs w:val="1"/>
                <w:color w:val="auto"/>
                <w:w w:val="91"/>
              </w:rPr>
              <w:t>Shield Rate</w:t>
            </w:r>
          </w:p>
        </w:tc>
        <w:tc>
          <w:tcPr>
            <w:tcW w:w="820" w:type="dxa"/>
            <w:vAlign w:val="bottom"/>
            <w:tcBorders>
              <w:top w:val="single" w:sz="8" w:color="auto"/>
            </w:tcBorders>
          </w:tcPr>
          <w:p>
            <w:pPr>
              <w:jc w:val="center"/>
              <w:spacing w:after="0" w:line="99" w:lineRule="exact"/>
              <w:rPr>
                <w:sz w:val="20"/>
                <w:szCs w:val="20"/>
                <w:color w:val="auto"/>
              </w:rPr>
            </w:pPr>
            <w:r>
              <w:rPr>
                <w:rFonts w:ascii="Times New Roman" w:cs="Times New Roman" w:eastAsia="Times New Roman" w:hAnsi="Times New Roman"/>
                <w:sz w:val="11"/>
                <w:szCs w:val="11"/>
                <w:i w:val="1"/>
                <w:iCs w:val="1"/>
                <w:color w:val="auto"/>
                <w:w w:val="98"/>
              </w:rPr>
              <w:t>Index</w:t>
            </w:r>
          </w:p>
        </w:tc>
        <w:tc>
          <w:tcPr>
            <w:tcW w:w="80" w:type="dxa"/>
            <w:vAlign w:val="bottom"/>
          </w:tcPr>
          <w:p>
            <w:pPr>
              <w:spacing w:after="0"/>
              <w:rPr>
                <w:sz w:val="8"/>
                <w:szCs w:val="8"/>
                <w:color w:val="auto"/>
              </w:rPr>
            </w:pPr>
          </w:p>
        </w:tc>
        <w:tc>
          <w:tcPr>
            <w:tcW w:w="380" w:type="dxa"/>
            <w:vAlign w:val="bottom"/>
            <w:tcBorders>
              <w:top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w w:val="91"/>
              </w:rPr>
              <w:t>07/22/24</w:t>
            </w:r>
          </w:p>
        </w:tc>
        <w:tc>
          <w:tcPr>
            <w:tcW w:w="180" w:type="dxa"/>
            <w:vAlign w:val="bottom"/>
          </w:tcPr>
          <w:p>
            <w:pPr>
              <w:spacing w:after="0"/>
              <w:rPr>
                <w:sz w:val="8"/>
                <w:szCs w:val="8"/>
                <w:color w:val="auto"/>
              </w:rPr>
            </w:pPr>
          </w:p>
        </w:tc>
        <w:tc>
          <w:tcPr>
            <w:tcW w:w="380" w:type="dxa"/>
            <w:vAlign w:val="bottom"/>
            <w:tcBorders>
              <w:top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w w:val="91"/>
              </w:rPr>
              <w:t>08/01/24</w:t>
            </w:r>
          </w:p>
        </w:tc>
        <w:tc>
          <w:tcPr>
            <w:tcW w:w="1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w w:val="91"/>
              </w:rPr>
              <w:t>08/15/24</w:t>
            </w:r>
          </w:p>
        </w:tc>
        <w:tc>
          <w:tcPr>
            <w:tcW w:w="200" w:type="dxa"/>
            <w:vAlign w:val="bottom"/>
          </w:tcPr>
          <w:p>
            <w:pPr>
              <w:spacing w:after="0"/>
              <w:rPr>
                <w:sz w:val="8"/>
                <w:szCs w:val="8"/>
                <w:color w:val="auto"/>
              </w:rPr>
            </w:pPr>
          </w:p>
        </w:tc>
        <w:tc>
          <w:tcPr>
            <w:tcW w:w="360" w:type="dxa"/>
            <w:vAlign w:val="bottom"/>
            <w:tcBorders>
              <w:top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w w:val="86"/>
              </w:rPr>
              <w:t>09/01/24</w:t>
            </w:r>
          </w:p>
        </w:tc>
        <w:tc>
          <w:tcPr>
            <w:tcW w:w="2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w w:val="91"/>
              </w:rPr>
              <w:t>09/15/24</w:t>
            </w:r>
          </w:p>
        </w:tc>
        <w:tc>
          <w:tcPr>
            <w:tcW w:w="180" w:type="dxa"/>
            <w:vAlign w:val="bottom"/>
          </w:tcPr>
          <w:p>
            <w:pPr>
              <w:spacing w:after="0"/>
              <w:rPr>
                <w:sz w:val="8"/>
                <w:szCs w:val="8"/>
                <w:color w:val="auto"/>
              </w:rPr>
            </w:pPr>
          </w:p>
        </w:tc>
        <w:tc>
          <w:tcPr>
            <w:tcW w:w="380" w:type="dxa"/>
            <w:vAlign w:val="bottom"/>
            <w:tcBorders>
              <w:top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w w:val="91"/>
              </w:rPr>
              <w:t>10/01/24</w:t>
            </w:r>
          </w:p>
        </w:tc>
        <w:tc>
          <w:tcPr>
            <w:tcW w:w="1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w w:val="91"/>
              </w:rPr>
              <w:t>10/15/24</w:t>
            </w:r>
          </w:p>
        </w:tc>
        <w:tc>
          <w:tcPr>
            <w:tcW w:w="200" w:type="dxa"/>
            <w:vAlign w:val="bottom"/>
          </w:tcPr>
          <w:p>
            <w:pPr>
              <w:spacing w:after="0"/>
              <w:rPr>
                <w:sz w:val="8"/>
                <w:szCs w:val="8"/>
                <w:color w:val="auto"/>
              </w:rPr>
            </w:pPr>
          </w:p>
        </w:tc>
        <w:tc>
          <w:tcPr>
            <w:tcW w:w="380" w:type="dxa"/>
            <w:vAlign w:val="bottom"/>
            <w:tcBorders>
              <w:top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w w:val="86"/>
              </w:rPr>
              <w:t>11/01/24</w:t>
            </w:r>
          </w:p>
        </w:tc>
        <w:tc>
          <w:tcPr>
            <w:tcW w:w="1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w w:val="91"/>
              </w:rPr>
              <w:t>11/15/24</w:t>
            </w:r>
          </w:p>
        </w:tc>
        <w:tc>
          <w:tcPr>
            <w:tcW w:w="180" w:type="dxa"/>
            <w:vAlign w:val="bottom"/>
          </w:tcPr>
          <w:p>
            <w:pPr>
              <w:spacing w:after="0"/>
              <w:rPr>
                <w:sz w:val="8"/>
                <w:szCs w:val="8"/>
                <w:color w:val="auto"/>
              </w:rPr>
            </w:pPr>
          </w:p>
        </w:tc>
        <w:tc>
          <w:tcPr>
            <w:tcW w:w="380" w:type="dxa"/>
            <w:vAlign w:val="bottom"/>
            <w:tcBorders>
              <w:top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w w:val="91"/>
              </w:rPr>
              <w:t>12/01/24</w:t>
            </w:r>
          </w:p>
        </w:tc>
        <w:tc>
          <w:tcPr>
            <w:tcW w:w="1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w w:val="91"/>
              </w:rPr>
              <w:t>12/15/24</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Step Rate</w:t>
            </w:r>
          </w:p>
        </w:tc>
        <w:tc>
          <w:tcPr>
            <w:tcW w:w="3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920" w:type="dxa"/>
            <w:vAlign w:val="bottom"/>
            <w:tcBorders>
              <w:right w:val="single" w:sz="8" w:color="CCEEFF"/>
            </w:tcBorders>
            <w:vMerge w:val="continue"/>
            <w:shd w:val="clear" w:color="auto" w:fill="CCEEFF"/>
          </w:tcPr>
          <w:p>
            <w:pPr>
              <w:spacing w:after="0"/>
              <w:rPr>
                <w:sz w:val="12"/>
                <w:szCs w:val="12"/>
                <w:color w:val="auto"/>
              </w:rPr>
            </w:pPr>
          </w:p>
        </w:tc>
        <w:tc>
          <w:tcPr>
            <w:tcW w:w="380" w:type="dxa"/>
            <w:vAlign w:val="bottom"/>
            <w:shd w:val="clear" w:color="auto" w:fill="CCEEFF"/>
          </w:tcPr>
          <w:p>
            <w:pPr>
              <w:ind w:left="60"/>
              <w:spacing w:after="0" w:line="139" w:lineRule="exact"/>
              <w:rPr>
                <w:sz w:val="20"/>
                <w:szCs w:val="20"/>
                <w:color w:val="auto"/>
              </w:rPr>
            </w:pPr>
            <w:r>
              <w:rPr>
                <w:rFonts w:ascii="Times New Roman" w:cs="Times New Roman" w:eastAsia="Times New Roman" w:hAnsi="Times New Roman"/>
                <w:sz w:val="13"/>
                <w:szCs w:val="13"/>
                <w:color w:val="auto"/>
                <w:w w:val="90"/>
              </w:rPr>
              <w:t>2-year</w:t>
            </w:r>
          </w:p>
        </w:tc>
        <w:tc>
          <w:tcPr>
            <w:tcW w:w="120" w:type="dxa"/>
            <w:vAlign w:val="bottom"/>
            <w:vMerge w:val="continue"/>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39" w:lineRule="exact"/>
              <w:rPr>
                <w:sz w:val="20"/>
                <w:szCs w:val="20"/>
                <w:color w:val="auto"/>
              </w:rPr>
            </w:pPr>
            <w:r>
              <w:rPr>
                <w:rFonts w:ascii="Times New Roman" w:cs="Times New Roman" w:eastAsia="Times New Roman" w:hAnsi="Times New Roman"/>
                <w:sz w:val="13"/>
                <w:szCs w:val="13"/>
                <w:color w:val="auto"/>
              </w:rPr>
              <w:t>15%</w:t>
            </w:r>
          </w:p>
        </w:tc>
        <w:tc>
          <w:tcPr>
            <w:tcW w:w="82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1"/>
                <w:szCs w:val="11"/>
                <w:color w:val="auto"/>
              </w:rPr>
              <w:t>S&amp;P 500</w:t>
            </w:r>
            <w:r>
              <w:rPr>
                <w:rFonts w:ascii="Times New Roman" w:cs="Times New Roman" w:eastAsia="Times New Roman" w:hAnsi="Times New Roman"/>
                <w:sz w:val="16"/>
                <w:szCs w:val="16"/>
                <w:color w:val="auto"/>
                <w:vertAlign w:val="superscript"/>
              </w:rPr>
              <w:t>®</w:t>
            </w:r>
          </w:p>
        </w:tc>
        <w:tc>
          <w:tcPr>
            <w:tcW w:w="80" w:type="dxa"/>
            <w:vAlign w:val="bottom"/>
            <w:vMerge w:val="continue"/>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39" w:lineRule="exact"/>
              <w:rPr>
                <w:sz w:val="20"/>
                <w:szCs w:val="20"/>
                <w:color w:val="auto"/>
              </w:rPr>
            </w:pPr>
            <w:r>
              <w:rPr>
                <w:rFonts w:ascii="Times New Roman" w:cs="Times New Roman" w:eastAsia="Times New Roman" w:hAnsi="Times New Roman"/>
                <w:sz w:val="13"/>
                <w:szCs w:val="13"/>
                <w:color w:val="auto"/>
              </w:rPr>
              <w:t>15.50%</w:t>
            </w:r>
          </w:p>
        </w:tc>
        <w:tc>
          <w:tcPr>
            <w:tcW w:w="560" w:type="dxa"/>
            <w:vAlign w:val="bottom"/>
            <w:gridSpan w:val="2"/>
            <w:shd w:val="clear" w:color="auto" w:fill="CCEEFF"/>
          </w:tcPr>
          <w:p>
            <w:pPr>
              <w:jc w:val="right"/>
              <w:ind w:right="80"/>
              <w:spacing w:after="0" w:line="139" w:lineRule="exact"/>
              <w:rPr>
                <w:sz w:val="20"/>
                <w:szCs w:val="20"/>
                <w:color w:val="auto"/>
              </w:rPr>
            </w:pPr>
            <w:r>
              <w:rPr>
                <w:rFonts w:ascii="Times New Roman" w:cs="Times New Roman" w:eastAsia="Times New Roman" w:hAnsi="Times New Roman"/>
                <w:sz w:val="13"/>
                <w:szCs w:val="13"/>
                <w:color w:val="auto"/>
              </w:rPr>
              <w:t>15.50%</w:t>
            </w:r>
          </w:p>
        </w:tc>
        <w:tc>
          <w:tcPr>
            <w:tcW w:w="580" w:type="dxa"/>
            <w:vAlign w:val="bottom"/>
            <w:gridSpan w:val="2"/>
            <w:shd w:val="clear" w:color="auto" w:fill="CCEEFF"/>
          </w:tcPr>
          <w:p>
            <w:pPr>
              <w:jc w:val="right"/>
              <w:ind w:right="80"/>
              <w:spacing w:after="0" w:line="139" w:lineRule="exact"/>
              <w:rPr>
                <w:sz w:val="20"/>
                <w:szCs w:val="20"/>
                <w:color w:val="auto"/>
              </w:rPr>
            </w:pPr>
            <w:r>
              <w:rPr>
                <w:rFonts w:ascii="Times New Roman" w:cs="Times New Roman" w:eastAsia="Times New Roman" w:hAnsi="Times New Roman"/>
                <w:sz w:val="13"/>
                <w:szCs w:val="13"/>
                <w:color w:val="auto"/>
              </w:rPr>
              <w:t>15.50%</w:t>
            </w:r>
          </w:p>
        </w:tc>
        <w:tc>
          <w:tcPr>
            <w:tcW w:w="560" w:type="dxa"/>
            <w:vAlign w:val="bottom"/>
            <w:gridSpan w:val="2"/>
            <w:shd w:val="clear" w:color="auto" w:fill="CCEEFF"/>
          </w:tcPr>
          <w:p>
            <w:pPr>
              <w:jc w:val="right"/>
              <w:ind w:right="80"/>
              <w:spacing w:after="0" w:line="139" w:lineRule="exact"/>
              <w:rPr>
                <w:sz w:val="20"/>
                <w:szCs w:val="20"/>
                <w:color w:val="auto"/>
              </w:rPr>
            </w:pPr>
            <w:r>
              <w:rPr>
                <w:rFonts w:ascii="Times New Roman" w:cs="Times New Roman" w:eastAsia="Times New Roman" w:hAnsi="Times New Roman"/>
                <w:sz w:val="13"/>
                <w:szCs w:val="13"/>
                <w:color w:val="auto"/>
              </w:rPr>
              <w:t>15.50%</w:t>
            </w:r>
          </w:p>
        </w:tc>
        <w:tc>
          <w:tcPr>
            <w:tcW w:w="560" w:type="dxa"/>
            <w:vAlign w:val="bottom"/>
            <w:gridSpan w:val="2"/>
            <w:shd w:val="clear" w:color="auto" w:fill="CCEEFF"/>
          </w:tcPr>
          <w:p>
            <w:pPr>
              <w:jc w:val="right"/>
              <w:ind w:right="80"/>
              <w:spacing w:after="0" w:line="139" w:lineRule="exact"/>
              <w:rPr>
                <w:sz w:val="20"/>
                <w:szCs w:val="20"/>
                <w:color w:val="auto"/>
              </w:rPr>
            </w:pPr>
            <w:r>
              <w:rPr>
                <w:rFonts w:ascii="Times New Roman" w:cs="Times New Roman" w:eastAsia="Times New Roman" w:hAnsi="Times New Roman"/>
                <w:sz w:val="13"/>
                <w:szCs w:val="13"/>
                <w:color w:val="auto"/>
              </w:rPr>
              <w:t>13.50%</w:t>
            </w:r>
          </w:p>
        </w:tc>
        <w:tc>
          <w:tcPr>
            <w:tcW w:w="560" w:type="dxa"/>
            <w:vAlign w:val="bottom"/>
            <w:gridSpan w:val="2"/>
            <w:shd w:val="clear" w:color="auto" w:fill="CCEEFF"/>
          </w:tcPr>
          <w:p>
            <w:pPr>
              <w:jc w:val="right"/>
              <w:ind w:right="80"/>
              <w:spacing w:after="0" w:line="139" w:lineRule="exact"/>
              <w:rPr>
                <w:sz w:val="20"/>
                <w:szCs w:val="20"/>
                <w:color w:val="auto"/>
              </w:rPr>
            </w:pPr>
            <w:r>
              <w:rPr>
                <w:rFonts w:ascii="Times New Roman" w:cs="Times New Roman" w:eastAsia="Times New Roman" w:hAnsi="Times New Roman"/>
                <w:sz w:val="13"/>
                <w:szCs w:val="13"/>
                <w:color w:val="auto"/>
              </w:rPr>
              <w:t>13.50%</w:t>
            </w:r>
          </w:p>
        </w:tc>
        <w:tc>
          <w:tcPr>
            <w:tcW w:w="580" w:type="dxa"/>
            <w:vAlign w:val="bottom"/>
            <w:gridSpan w:val="2"/>
            <w:shd w:val="clear" w:color="auto" w:fill="CCEEFF"/>
          </w:tcPr>
          <w:p>
            <w:pPr>
              <w:jc w:val="right"/>
              <w:ind w:right="80"/>
              <w:spacing w:after="0" w:line="139" w:lineRule="exact"/>
              <w:rPr>
                <w:sz w:val="20"/>
                <w:szCs w:val="20"/>
                <w:color w:val="auto"/>
              </w:rPr>
            </w:pPr>
            <w:r>
              <w:rPr>
                <w:rFonts w:ascii="Times New Roman" w:cs="Times New Roman" w:eastAsia="Times New Roman" w:hAnsi="Times New Roman"/>
                <w:sz w:val="13"/>
                <w:szCs w:val="13"/>
                <w:color w:val="auto"/>
              </w:rPr>
              <w:t>13.50%</w:t>
            </w:r>
          </w:p>
        </w:tc>
        <w:tc>
          <w:tcPr>
            <w:tcW w:w="560" w:type="dxa"/>
            <w:vAlign w:val="bottom"/>
            <w:gridSpan w:val="2"/>
            <w:shd w:val="clear" w:color="auto" w:fill="CCEEFF"/>
          </w:tcPr>
          <w:p>
            <w:pPr>
              <w:jc w:val="right"/>
              <w:ind w:right="80"/>
              <w:spacing w:after="0" w:line="139" w:lineRule="exact"/>
              <w:rPr>
                <w:sz w:val="20"/>
                <w:szCs w:val="20"/>
                <w:color w:val="auto"/>
              </w:rPr>
            </w:pPr>
            <w:r>
              <w:rPr>
                <w:rFonts w:ascii="Times New Roman" w:cs="Times New Roman" w:eastAsia="Times New Roman" w:hAnsi="Times New Roman"/>
                <w:sz w:val="13"/>
                <w:szCs w:val="13"/>
                <w:color w:val="auto"/>
              </w:rPr>
              <w:t>13.50%</w:t>
            </w:r>
          </w:p>
        </w:tc>
        <w:tc>
          <w:tcPr>
            <w:tcW w:w="560" w:type="dxa"/>
            <w:vAlign w:val="bottom"/>
            <w:gridSpan w:val="2"/>
            <w:shd w:val="clear" w:color="auto" w:fill="CCEEFF"/>
          </w:tcPr>
          <w:p>
            <w:pPr>
              <w:jc w:val="right"/>
              <w:ind w:right="80"/>
              <w:spacing w:after="0" w:line="139" w:lineRule="exact"/>
              <w:rPr>
                <w:sz w:val="20"/>
                <w:szCs w:val="20"/>
                <w:color w:val="auto"/>
              </w:rPr>
            </w:pPr>
            <w:r>
              <w:rPr>
                <w:rFonts w:ascii="Times New Roman" w:cs="Times New Roman" w:eastAsia="Times New Roman" w:hAnsi="Times New Roman"/>
                <w:sz w:val="13"/>
                <w:szCs w:val="13"/>
                <w:color w:val="auto"/>
              </w:rPr>
              <w:t>13.50%</w:t>
            </w:r>
          </w:p>
        </w:tc>
        <w:tc>
          <w:tcPr>
            <w:tcW w:w="560" w:type="dxa"/>
            <w:vAlign w:val="bottom"/>
            <w:gridSpan w:val="2"/>
            <w:shd w:val="clear" w:color="auto" w:fill="CCEEFF"/>
          </w:tcPr>
          <w:p>
            <w:pPr>
              <w:jc w:val="right"/>
              <w:ind w:right="60"/>
              <w:spacing w:after="0" w:line="139" w:lineRule="exact"/>
              <w:rPr>
                <w:sz w:val="20"/>
                <w:szCs w:val="20"/>
                <w:color w:val="auto"/>
              </w:rPr>
            </w:pPr>
            <w:r>
              <w:rPr>
                <w:rFonts w:ascii="Times New Roman" w:cs="Times New Roman" w:eastAsia="Times New Roman" w:hAnsi="Times New Roman"/>
                <w:sz w:val="13"/>
                <w:szCs w:val="13"/>
                <w:color w:val="auto"/>
              </w:rPr>
              <w:t>13.50%</w:t>
            </w:r>
          </w:p>
        </w:tc>
        <w:tc>
          <w:tcPr>
            <w:tcW w:w="540" w:type="dxa"/>
            <w:vAlign w:val="bottom"/>
            <w:gridSpan w:val="2"/>
            <w:shd w:val="clear" w:color="auto" w:fill="CCEEFF"/>
          </w:tcPr>
          <w:p>
            <w:pPr>
              <w:jc w:val="right"/>
              <w:ind w:right="40"/>
              <w:spacing w:after="0" w:line="139" w:lineRule="exact"/>
              <w:rPr>
                <w:sz w:val="20"/>
                <w:szCs w:val="20"/>
                <w:color w:val="auto"/>
              </w:rPr>
            </w:pPr>
            <w:r>
              <w:rPr>
                <w:rFonts w:ascii="Times New Roman" w:cs="Times New Roman" w:eastAsia="Times New Roman" w:hAnsi="Times New Roman"/>
                <w:sz w:val="13"/>
                <w:szCs w:val="13"/>
                <w:color w:val="auto"/>
              </w:rPr>
              <w:t>13.50%</w:t>
            </w: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2-year</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w:t>
            </w:r>
          </w:p>
        </w:tc>
        <w:tc>
          <w:tcPr>
            <w:tcW w:w="900" w:type="dxa"/>
            <w:vAlign w:val="bottom"/>
            <w:gridSpan w:val="2"/>
          </w:tcPr>
          <w:p>
            <w:pPr>
              <w:jc w:val="center"/>
              <w:ind w:right="60"/>
              <w:spacing w:after="0" w:line="159" w:lineRule="exact"/>
              <w:rPr>
                <w:sz w:val="20"/>
                <w:szCs w:val="20"/>
                <w:color w:val="auto"/>
              </w:rPr>
            </w:pPr>
            <w:r>
              <w:rPr>
                <w:rFonts w:ascii="Times New Roman" w:cs="Times New Roman" w:eastAsia="Times New Roman" w:hAnsi="Times New Roman"/>
                <w:sz w:val="13"/>
                <w:szCs w:val="13"/>
                <w:color w:val="auto"/>
                <w:w w:val="99"/>
              </w:rPr>
              <w:t>S&amp;P 500</w:t>
            </w:r>
            <w:r>
              <w:rPr>
                <w:rFonts w:ascii="Times New Roman" w:cs="Times New Roman" w:eastAsia="Times New Roman" w:hAnsi="Times New Roman"/>
                <w:sz w:val="18"/>
                <w:szCs w:val="18"/>
                <w:color w:val="auto"/>
                <w:w w:val="99"/>
                <w:vertAlign w:val="superscript"/>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17.00%</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17.00%</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17.00%</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17.00%</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14.75%</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14.75%</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14.75%</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14.75%</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14.75%</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14.75%</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14.75%</w:t>
            </w:r>
          </w:p>
        </w:tc>
        <w:tc>
          <w:tcPr>
            <w:tcW w:w="0" w:type="dxa"/>
            <w:vAlign w:val="bottom"/>
          </w:tcPr>
          <w:p>
            <w:pPr>
              <w:spacing w:after="0"/>
              <w:rPr>
                <w:sz w:val="1"/>
                <w:szCs w:val="1"/>
                <w:color w:val="auto"/>
              </w:rPr>
            </w:pPr>
          </w:p>
        </w:tc>
      </w:tr>
      <w:tr>
        <w:trPr>
          <w:trHeight w:val="159"/>
        </w:trPr>
        <w:tc>
          <w:tcPr>
            <w:tcW w:w="920" w:type="dxa"/>
            <w:vAlign w:val="bottom"/>
            <w:tcBorders>
              <w:right w:val="single" w:sz="8" w:color="CCEEFF"/>
            </w:tcBorders>
            <w:shd w:val="clear" w:color="auto" w:fill="CCEEFF"/>
          </w:tcPr>
          <w:p>
            <w:pPr>
              <w:spacing w:after="0"/>
              <w:rPr>
                <w:sz w:val="13"/>
                <w:szCs w:val="13"/>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2-year</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w:t>
            </w:r>
          </w:p>
        </w:tc>
        <w:tc>
          <w:tcPr>
            <w:tcW w:w="900" w:type="dxa"/>
            <w:vAlign w:val="bottom"/>
            <w:gridSpan w:val="2"/>
            <w:shd w:val="clear" w:color="auto" w:fill="CCEEFF"/>
          </w:tcPr>
          <w:p>
            <w:pPr>
              <w:jc w:val="center"/>
              <w:ind w:right="60"/>
              <w:spacing w:after="0" w:line="159" w:lineRule="exact"/>
              <w:rPr>
                <w:sz w:val="20"/>
                <w:szCs w:val="20"/>
                <w:color w:val="auto"/>
              </w:rPr>
            </w:pPr>
            <w:r>
              <w:rPr>
                <w:rFonts w:ascii="Times New Roman" w:cs="Times New Roman" w:eastAsia="Times New Roman" w:hAnsi="Times New Roman"/>
                <w:sz w:val="13"/>
                <w:szCs w:val="13"/>
                <w:color w:val="auto"/>
                <w:w w:val="99"/>
              </w:rPr>
              <w:t>Russell 2000</w:t>
            </w:r>
            <w:r>
              <w:rPr>
                <w:rFonts w:ascii="Times New Roman" w:cs="Times New Roman" w:eastAsia="Times New Roman" w:hAnsi="Times New Roman"/>
                <w:sz w:val="18"/>
                <w:szCs w:val="18"/>
                <w:color w:val="auto"/>
                <w:w w:val="99"/>
                <w:vertAlign w:val="superscript"/>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18.25%</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18.25%</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18.25%</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18.25%</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16.75%</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16.75%</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16.75%</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16.75%</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16.75%</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16.75%</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16.75%</w:t>
            </w: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2-year</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w:t>
            </w:r>
          </w:p>
        </w:tc>
        <w:tc>
          <w:tcPr>
            <w:tcW w:w="900" w:type="dxa"/>
            <w:vAlign w:val="bottom"/>
            <w:gridSpan w:val="2"/>
          </w:tcPr>
          <w:p>
            <w:pPr>
              <w:jc w:val="center"/>
              <w:ind w:right="60"/>
              <w:spacing w:after="0" w:line="159" w:lineRule="exact"/>
              <w:rPr>
                <w:sz w:val="20"/>
                <w:szCs w:val="20"/>
                <w:color w:val="auto"/>
              </w:rPr>
            </w:pPr>
            <w:r>
              <w:rPr>
                <w:rFonts w:ascii="Times New Roman" w:cs="Times New Roman" w:eastAsia="Times New Roman" w:hAnsi="Times New Roman"/>
                <w:sz w:val="13"/>
                <w:szCs w:val="13"/>
                <w:color w:val="auto"/>
                <w:w w:val="99"/>
              </w:rPr>
              <w:t>Russell 2000</w:t>
            </w:r>
            <w:r>
              <w:rPr>
                <w:rFonts w:ascii="Times New Roman" w:cs="Times New Roman" w:eastAsia="Times New Roman" w:hAnsi="Times New Roman"/>
                <w:sz w:val="18"/>
                <w:szCs w:val="18"/>
                <w:color w:val="auto"/>
                <w:w w:val="99"/>
                <w:vertAlign w:val="superscript"/>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20.00%</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20.00%</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20.00%</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20.00%</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18.25%</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18.25%</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18.25%</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18.25%</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18.25%</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18.25%</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18.25%</w:t>
            </w:r>
          </w:p>
        </w:tc>
        <w:tc>
          <w:tcPr>
            <w:tcW w:w="0" w:type="dxa"/>
            <w:vAlign w:val="bottom"/>
          </w:tcPr>
          <w:p>
            <w:pPr>
              <w:spacing w:after="0"/>
              <w:rPr>
                <w:sz w:val="1"/>
                <w:szCs w:val="1"/>
                <w:color w:val="auto"/>
              </w:rPr>
            </w:pPr>
          </w:p>
        </w:tc>
      </w:tr>
      <w:tr>
        <w:trPr>
          <w:trHeight w:val="159"/>
        </w:trPr>
        <w:tc>
          <w:tcPr>
            <w:tcW w:w="920" w:type="dxa"/>
            <w:vAlign w:val="bottom"/>
            <w:tcBorders>
              <w:right w:val="single" w:sz="8" w:color="CCEEFF"/>
            </w:tcBorders>
            <w:shd w:val="clear" w:color="auto" w:fill="CCEEFF"/>
          </w:tcPr>
          <w:p>
            <w:pPr>
              <w:spacing w:after="0"/>
              <w:rPr>
                <w:sz w:val="13"/>
                <w:szCs w:val="13"/>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2-year</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w:t>
            </w:r>
          </w:p>
        </w:tc>
        <w:tc>
          <w:tcPr>
            <w:tcW w:w="900" w:type="dxa"/>
            <w:vAlign w:val="bottom"/>
            <w:gridSpan w:val="2"/>
            <w:shd w:val="clear" w:color="auto" w:fill="CCEEFF"/>
          </w:tcPr>
          <w:p>
            <w:pPr>
              <w:jc w:val="center"/>
              <w:ind w:right="60"/>
              <w:spacing w:after="0" w:line="159" w:lineRule="exact"/>
              <w:rPr>
                <w:sz w:val="20"/>
                <w:szCs w:val="20"/>
                <w:color w:val="auto"/>
              </w:rPr>
            </w:pPr>
            <w:r>
              <w:rPr>
                <w:rFonts w:ascii="Times New Roman" w:cs="Times New Roman" w:eastAsia="Times New Roman" w:hAnsi="Times New Roman"/>
                <w:sz w:val="13"/>
                <w:szCs w:val="13"/>
                <w:color w:val="auto"/>
              </w:rPr>
              <w:t>Nasdaq-100</w:t>
            </w:r>
            <w:r>
              <w:rPr>
                <w:rFonts w:ascii="Times New Roman" w:cs="Times New Roman" w:eastAsia="Times New Roman" w:hAnsi="Times New Roman"/>
                <w:sz w:val="18"/>
                <w:szCs w:val="18"/>
                <w:color w:val="auto"/>
                <w:vertAlign w:val="superscript"/>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17.50%</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17.50%</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17.50%</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17.50%</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15.50%</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15.50%</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15.50%</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15.50%</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15.50%</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15.50%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15.50%</w:t>
            </w: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2-year</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w:t>
            </w:r>
          </w:p>
        </w:tc>
        <w:tc>
          <w:tcPr>
            <w:tcW w:w="900" w:type="dxa"/>
            <w:vAlign w:val="bottom"/>
            <w:gridSpan w:val="2"/>
          </w:tcPr>
          <w:p>
            <w:pPr>
              <w:jc w:val="center"/>
              <w:ind w:right="60"/>
              <w:spacing w:after="0" w:line="159" w:lineRule="exact"/>
              <w:rPr>
                <w:sz w:val="20"/>
                <w:szCs w:val="20"/>
                <w:color w:val="auto"/>
              </w:rPr>
            </w:pPr>
            <w:r>
              <w:rPr>
                <w:rFonts w:ascii="Times New Roman" w:cs="Times New Roman" w:eastAsia="Times New Roman" w:hAnsi="Times New Roman"/>
                <w:sz w:val="13"/>
                <w:szCs w:val="13"/>
                <w:color w:val="auto"/>
              </w:rPr>
              <w:t>Nasdaq-100</w:t>
            </w:r>
            <w:r>
              <w:rPr>
                <w:rFonts w:ascii="Times New Roman" w:cs="Times New Roman" w:eastAsia="Times New Roman" w:hAnsi="Times New Roman"/>
                <w:sz w:val="18"/>
                <w:szCs w:val="18"/>
                <w:color w:val="auto"/>
                <w:vertAlign w:val="superscript"/>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19.50%</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19.50%</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19.50%</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19.50%</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17.50%</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17.50%</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17.50%</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17.50%</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17.50%</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17.50%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17.50%</w:t>
            </w:r>
          </w:p>
        </w:tc>
        <w:tc>
          <w:tcPr>
            <w:tcW w:w="0" w:type="dxa"/>
            <w:vAlign w:val="bottom"/>
          </w:tcPr>
          <w:p>
            <w:pPr>
              <w:spacing w:after="0"/>
              <w:rPr>
                <w:sz w:val="1"/>
                <w:szCs w:val="1"/>
                <w:color w:val="auto"/>
              </w:rPr>
            </w:pPr>
          </w:p>
        </w:tc>
      </w:tr>
      <w:tr>
        <w:trPr>
          <w:trHeight w:val="159"/>
        </w:trPr>
        <w:tc>
          <w:tcPr>
            <w:tcW w:w="920" w:type="dxa"/>
            <w:vAlign w:val="bottom"/>
            <w:tcBorders>
              <w:right w:val="single" w:sz="8" w:color="CCEEFF"/>
            </w:tcBorders>
            <w:shd w:val="clear" w:color="auto" w:fill="CCEEFF"/>
          </w:tcPr>
          <w:p>
            <w:pPr>
              <w:spacing w:after="0"/>
              <w:rPr>
                <w:sz w:val="13"/>
                <w:szCs w:val="13"/>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2-year</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w:t>
            </w:r>
          </w:p>
        </w:tc>
        <w:tc>
          <w:tcPr>
            <w:tcW w:w="9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rPr>
              <w:t>MSCI EAFE</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13.50%</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13.50%</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13.50%</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13.50%</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13.50%</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13.50%</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13.50%</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13.50%</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13.50%</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13.50%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13.50%</w:t>
            </w: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2-year</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w:t>
            </w: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MSCI EAFE</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15.50%</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15.50%</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15.50%</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15.50%</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15.50%</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15.50%</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15.50%</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15.50%</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15.50%</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15.50%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15.50%</w:t>
            </w:r>
          </w:p>
        </w:tc>
        <w:tc>
          <w:tcPr>
            <w:tcW w:w="0" w:type="dxa"/>
            <w:vAlign w:val="bottom"/>
          </w:tcPr>
          <w:p>
            <w:pPr>
              <w:spacing w:after="0"/>
              <w:rPr>
                <w:sz w:val="1"/>
                <w:szCs w:val="1"/>
                <w:color w:val="auto"/>
              </w:rPr>
            </w:pPr>
          </w:p>
        </w:tc>
      </w:tr>
      <w:tr>
        <w:trPr>
          <w:trHeight w:val="159"/>
        </w:trPr>
        <w:tc>
          <w:tcPr>
            <w:tcW w:w="920" w:type="dxa"/>
            <w:vAlign w:val="bottom"/>
            <w:tcBorders>
              <w:right w:val="single" w:sz="8" w:color="CCEEFF"/>
            </w:tcBorders>
            <w:shd w:val="clear" w:color="auto" w:fill="CCEEFF"/>
          </w:tcPr>
          <w:p>
            <w:pPr>
              <w:spacing w:after="0"/>
              <w:rPr>
                <w:sz w:val="13"/>
                <w:szCs w:val="13"/>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1-year</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w:t>
            </w:r>
          </w:p>
        </w:tc>
        <w:tc>
          <w:tcPr>
            <w:tcW w:w="900" w:type="dxa"/>
            <w:vAlign w:val="bottom"/>
            <w:gridSpan w:val="2"/>
            <w:shd w:val="clear" w:color="auto" w:fill="CCEEFF"/>
          </w:tcPr>
          <w:p>
            <w:pPr>
              <w:jc w:val="center"/>
              <w:ind w:right="60"/>
              <w:spacing w:after="0" w:line="159" w:lineRule="exact"/>
              <w:rPr>
                <w:sz w:val="20"/>
                <w:szCs w:val="20"/>
                <w:color w:val="auto"/>
              </w:rPr>
            </w:pPr>
            <w:r>
              <w:rPr>
                <w:rFonts w:ascii="Times New Roman" w:cs="Times New Roman" w:eastAsia="Times New Roman" w:hAnsi="Times New Roman"/>
                <w:sz w:val="13"/>
                <w:szCs w:val="13"/>
                <w:color w:val="auto"/>
                <w:w w:val="99"/>
              </w:rPr>
              <w:t>S&amp;P 500</w:t>
            </w:r>
            <w:r>
              <w:rPr>
                <w:rFonts w:ascii="Times New Roman" w:cs="Times New Roman" w:eastAsia="Times New Roman" w:hAnsi="Times New Roman"/>
                <w:sz w:val="18"/>
                <w:szCs w:val="18"/>
                <w:color w:val="auto"/>
                <w:w w:val="99"/>
                <w:vertAlign w:val="superscript"/>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8.50%</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8.50%</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8.50%</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8.50%</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8.00%</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8.00%</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8.00%</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8.00%</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8.00%</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8.00%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8.00%</w:t>
            </w: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1-year</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w:t>
            </w:r>
          </w:p>
        </w:tc>
        <w:tc>
          <w:tcPr>
            <w:tcW w:w="900" w:type="dxa"/>
            <w:vAlign w:val="bottom"/>
            <w:gridSpan w:val="2"/>
          </w:tcPr>
          <w:p>
            <w:pPr>
              <w:jc w:val="center"/>
              <w:ind w:right="60"/>
              <w:spacing w:after="0" w:line="159" w:lineRule="exact"/>
              <w:rPr>
                <w:sz w:val="20"/>
                <w:szCs w:val="20"/>
                <w:color w:val="auto"/>
              </w:rPr>
            </w:pPr>
            <w:r>
              <w:rPr>
                <w:rFonts w:ascii="Times New Roman" w:cs="Times New Roman" w:eastAsia="Times New Roman" w:hAnsi="Times New Roman"/>
                <w:sz w:val="13"/>
                <w:szCs w:val="13"/>
                <w:color w:val="auto"/>
                <w:w w:val="99"/>
              </w:rPr>
              <w:t>S&amp;P 500</w:t>
            </w:r>
            <w:r>
              <w:rPr>
                <w:rFonts w:ascii="Times New Roman" w:cs="Times New Roman" w:eastAsia="Times New Roman" w:hAnsi="Times New Roman"/>
                <w:sz w:val="18"/>
                <w:szCs w:val="18"/>
                <w:color w:val="auto"/>
                <w:w w:val="99"/>
                <w:vertAlign w:val="superscript"/>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9.50%</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9.50%</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9.50%</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9.50%</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8.75%</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8.75%</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8.75%</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8.75%</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8.75%</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8.75%</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8.75%</w:t>
            </w:r>
          </w:p>
        </w:tc>
        <w:tc>
          <w:tcPr>
            <w:tcW w:w="0" w:type="dxa"/>
            <w:vAlign w:val="bottom"/>
          </w:tcPr>
          <w:p>
            <w:pPr>
              <w:spacing w:after="0"/>
              <w:rPr>
                <w:sz w:val="1"/>
                <w:szCs w:val="1"/>
                <w:color w:val="auto"/>
              </w:rPr>
            </w:pPr>
          </w:p>
        </w:tc>
      </w:tr>
      <w:tr>
        <w:trPr>
          <w:trHeight w:val="159"/>
        </w:trPr>
        <w:tc>
          <w:tcPr>
            <w:tcW w:w="920" w:type="dxa"/>
            <w:vAlign w:val="bottom"/>
            <w:tcBorders>
              <w:right w:val="single" w:sz="8" w:color="CCEEFF"/>
            </w:tcBorders>
            <w:shd w:val="clear" w:color="auto" w:fill="CCEEFF"/>
          </w:tcPr>
          <w:p>
            <w:pPr>
              <w:spacing w:after="0"/>
              <w:rPr>
                <w:sz w:val="13"/>
                <w:szCs w:val="13"/>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1-year</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w:t>
            </w:r>
          </w:p>
        </w:tc>
        <w:tc>
          <w:tcPr>
            <w:tcW w:w="900" w:type="dxa"/>
            <w:vAlign w:val="bottom"/>
            <w:gridSpan w:val="2"/>
            <w:shd w:val="clear" w:color="auto" w:fill="CCEEFF"/>
          </w:tcPr>
          <w:p>
            <w:pPr>
              <w:jc w:val="center"/>
              <w:ind w:right="60"/>
              <w:spacing w:after="0" w:line="159" w:lineRule="exact"/>
              <w:rPr>
                <w:sz w:val="20"/>
                <w:szCs w:val="20"/>
                <w:color w:val="auto"/>
              </w:rPr>
            </w:pPr>
            <w:r>
              <w:rPr>
                <w:rFonts w:ascii="Times New Roman" w:cs="Times New Roman" w:eastAsia="Times New Roman" w:hAnsi="Times New Roman"/>
                <w:sz w:val="13"/>
                <w:szCs w:val="13"/>
                <w:color w:val="auto"/>
                <w:w w:val="99"/>
              </w:rPr>
              <w:t>Russell 2000</w:t>
            </w:r>
            <w:r>
              <w:rPr>
                <w:rFonts w:ascii="Times New Roman" w:cs="Times New Roman" w:eastAsia="Times New Roman" w:hAnsi="Times New Roman"/>
                <w:sz w:val="18"/>
                <w:szCs w:val="18"/>
                <w:color w:val="auto"/>
                <w:w w:val="99"/>
                <w:vertAlign w:val="superscript"/>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10.25%</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10.25%</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10.25%</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10.25%</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10.00%</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10.00%</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10.00%</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10.00%</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10.00%</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10.00%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1-year</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w:t>
            </w:r>
          </w:p>
        </w:tc>
        <w:tc>
          <w:tcPr>
            <w:tcW w:w="900" w:type="dxa"/>
            <w:vAlign w:val="bottom"/>
            <w:gridSpan w:val="2"/>
          </w:tcPr>
          <w:p>
            <w:pPr>
              <w:jc w:val="center"/>
              <w:ind w:right="60"/>
              <w:spacing w:after="0" w:line="159" w:lineRule="exact"/>
              <w:rPr>
                <w:sz w:val="20"/>
                <w:szCs w:val="20"/>
                <w:color w:val="auto"/>
              </w:rPr>
            </w:pPr>
            <w:r>
              <w:rPr>
                <w:rFonts w:ascii="Times New Roman" w:cs="Times New Roman" w:eastAsia="Times New Roman" w:hAnsi="Times New Roman"/>
                <w:sz w:val="13"/>
                <w:szCs w:val="13"/>
                <w:color w:val="auto"/>
                <w:w w:val="99"/>
              </w:rPr>
              <w:t>Russell 2000</w:t>
            </w:r>
            <w:r>
              <w:rPr>
                <w:rFonts w:ascii="Times New Roman" w:cs="Times New Roman" w:eastAsia="Times New Roman" w:hAnsi="Times New Roman"/>
                <w:sz w:val="18"/>
                <w:szCs w:val="18"/>
                <w:color w:val="auto"/>
                <w:w w:val="99"/>
                <w:vertAlign w:val="superscript"/>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11.75%</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11.75%</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11.75%</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11.75%</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11.25%</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11.25%</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11.25%</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11.25%</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11.25%</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11.25%</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11.25%</w:t>
            </w:r>
          </w:p>
        </w:tc>
        <w:tc>
          <w:tcPr>
            <w:tcW w:w="0" w:type="dxa"/>
            <w:vAlign w:val="bottom"/>
          </w:tcPr>
          <w:p>
            <w:pPr>
              <w:spacing w:after="0"/>
              <w:rPr>
                <w:sz w:val="1"/>
                <w:szCs w:val="1"/>
                <w:color w:val="auto"/>
              </w:rPr>
            </w:pPr>
          </w:p>
        </w:tc>
      </w:tr>
      <w:tr>
        <w:trPr>
          <w:trHeight w:val="159"/>
        </w:trPr>
        <w:tc>
          <w:tcPr>
            <w:tcW w:w="920" w:type="dxa"/>
            <w:vAlign w:val="bottom"/>
            <w:tcBorders>
              <w:right w:val="single" w:sz="8" w:color="CCEEFF"/>
            </w:tcBorders>
            <w:shd w:val="clear" w:color="auto" w:fill="CCEEFF"/>
          </w:tcPr>
          <w:p>
            <w:pPr>
              <w:spacing w:after="0"/>
              <w:rPr>
                <w:sz w:val="13"/>
                <w:szCs w:val="13"/>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1-year</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w:t>
            </w:r>
          </w:p>
        </w:tc>
        <w:tc>
          <w:tcPr>
            <w:tcW w:w="900" w:type="dxa"/>
            <w:vAlign w:val="bottom"/>
            <w:gridSpan w:val="2"/>
            <w:shd w:val="clear" w:color="auto" w:fill="CCEEFF"/>
          </w:tcPr>
          <w:p>
            <w:pPr>
              <w:jc w:val="center"/>
              <w:ind w:right="60"/>
              <w:spacing w:after="0" w:line="159" w:lineRule="exact"/>
              <w:rPr>
                <w:sz w:val="20"/>
                <w:szCs w:val="20"/>
                <w:color w:val="auto"/>
              </w:rPr>
            </w:pPr>
            <w:r>
              <w:rPr>
                <w:rFonts w:ascii="Times New Roman" w:cs="Times New Roman" w:eastAsia="Times New Roman" w:hAnsi="Times New Roman"/>
                <w:sz w:val="13"/>
                <w:szCs w:val="13"/>
                <w:color w:val="auto"/>
              </w:rPr>
              <w:t>Nasdaq-100</w:t>
            </w:r>
            <w:r>
              <w:rPr>
                <w:rFonts w:ascii="Times New Roman" w:cs="Times New Roman" w:eastAsia="Times New Roman" w:hAnsi="Times New Roman"/>
                <w:sz w:val="18"/>
                <w:szCs w:val="18"/>
                <w:color w:val="auto"/>
                <w:vertAlign w:val="superscript"/>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10.00%</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10.00%</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10.00%</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10.00%</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9.00%</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9.00%</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9.00%</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9.00%</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9.00%</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9.00%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9.00%</w:t>
            </w: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1-year</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w:t>
            </w:r>
          </w:p>
        </w:tc>
        <w:tc>
          <w:tcPr>
            <w:tcW w:w="900" w:type="dxa"/>
            <w:vAlign w:val="bottom"/>
            <w:gridSpan w:val="2"/>
          </w:tcPr>
          <w:p>
            <w:pPr>
              <w:jc w:val="center"/>
              <w:ind w:right="60"/>
              <w:spacing w:after="0" w:line="159" w:lineRule="exact"/>
              <w:rPr>
                <w:sz w:val="20"/>
                <w:szCs w:val="20"/>
                <w:color w:val="auto"/>
              </w:rPr>
            </w:pPr>
            <w:r>
              <w:rPr>
                <w:rFonts w:ascii="Times New Roman" w:cs="Times New Roman" w:eastAsia="Times New Roman" w:hAnsi="Times New Roman"/>
                <w:sz w:val="13"/>
                <w:szCs w:val="13"/>
                <w:color w:val="auto"/>
              </w:rPr>
              <w:t>Nasdaq-100</w:t>
            </w:r>
            <w:r>
              <w:rPr>
                <w:rFonts w:ascii="Times New Roman" w:cs="Times New Roman" w:eastAsia="Times New Roman" w:hAnsi="Times New Roman"/>
                <w:sz w:val="18"/>
                <w:szCs w:val="18"/>
                <w:color w:val="auto"/>
                <w:vertAlign w:val="superscript"/>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11.00%</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11.00%</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11.00%</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11.00%</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10.25%</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10.25%</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10.25%</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10.25%</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10.25%</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10.25%</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10.25%</w:t>
            </w:r>
          </w:p>
        </w:tc>
        <w:tc>
          <w:tcPr>
            <w:tcW w:w="0" w:type="dxa"/>
            <w:vAlign w:val="bottom"/>
          </w:tcPr>
          <w:p>
            <w:pPr>
              <w:spacing w:after="0"/>
              <w:rPr>
                <w:sz w:val="1"/>
                <w:szCs w:val="1"/>
                <w:color w:val="auto"/>
              </w:rPr>
            </w:pPr>
          </w:p>
        </w:tc>
      </w:tr>
      <w:tr>
        <w:trPr>
          <w:trHeight w:val="159"/>
        </w:trPr>
        <w:tc>
          <w:tcPr>
            <w:tcW w:w="920" w:type="dxa"/>
            <w:vAlign w:val="bottom"/>
            <w:tcBorders>
              <w:right w:val="single" w:sz="8" w:color="CCEEFF"/>
            </w:tcBorders>
            <w:shd w:val="clear" w:color="auto" w:fill="CCEEFF"/>
          </w:tcPr>
          <w:p>
            <w:pPr>
              <w:spacing w:after="0"/>
              <w:rPr>
                <w:sz w:val="13"/>
                <w:szCs w:val="13"/>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1-year</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w:t>
            </w:r>
          </w:p>
        </w:tc>
        <w:tc>
          <w:tcPr>
            <w:tcW w:w="9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rPr>
              <w:t>MSCI EAFE</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7.75%</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7.75%</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7.75%</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7.75%</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7.75%</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7.75%</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7.75%</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7.75%</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7.75%</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7.75%</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7.75%</w:t>
            </w:r>
          </w:p>
        </w:tc>
        <w:tc>
          <w:tcPr>
            <w:tcW w:w="0" w:type="dxa"/>
            <w:vAlign w:val="bottom"/>
          </w:tcPr>
          <w:p>
            <w:pPr>
              <w:spacing w:after="0"/>
              <w:rPr>
                <w:sz w:val="1"/>
                <w:szCs w:val="1"/>
                <w:color w:val="auto"/>
              </w:rPr>
            </w:pPr>
          </w:p>
        </w:tc>
      </w:tr>
      <w:tr>
        <w:trPr>
          <w:trHeight w:val="159"/>
        </w:trPr>
        <w:tc>
          <w:tcPr>
            <w:tcW w:w="9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1-year</w:t>
            </w:r>
          </w:p>
        </w:tc>
        <w:tc>
          <w:tcPr>
            <w:tcW w:w="6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w:t>
            </w:r>
          </w:p>
        </w:tc>
        <w:tc>
          <w:tcPr>
            <w:tcW w:w="90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MSCI EAFE</w:t>
            </w:r>
          </w:p>
        </w:tc>
        <w:tc>
          <w:tcPr>
            <w:tcW w:w="5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8.50%</w:t>
            </w:r>
          </w:p>
        </w:tc>
        <w:tc>
          <w:tcPr>
            <w:tcW w:w="5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8.50%</w:t>
            </w:r>
          </w:p>
        </w:tc>
        <w:tc>
          <w:tcPr>
            <w:tcW w:w="5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8.50%</w:t>
            </w:r>
          </w:p>
        </w:tc>
        <w:tc>
          <w:tcPr>
            <w:tcW w:w="5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8.50%</w:t>
            </w:r>
          </w:p>
        </w:tc>
        <w:tc>
          <w:tcPr>
            <w:tcW w:w="5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8.50%</w:t>
            </w:r>
          </w:p>
        </w:tc>
        <w:tc>
          <w:tcPr>
            <w:tcW w:w="5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8.50%</w:t>
            </w:r>
          </w:p>
        </w:tc>
        <w:tc>
          <w:tcPr>
            <w:tcW w:w="5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8.50%</w:t>
            </w:r>
          </w:p>
        </w:tc>
        <w:tc>
          <w:tcPr>
            <w:tcW w:w="5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8.50%</w:t>
            </w:r>
          </w:p>
        </w:tc>
        <w:tc>
          <w:tcPr>
            <w:tcW w:w="5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8.50%</w:t>
            </w:r>
          </w:p>
        </w:tc>
        <w:tc>
          <w:tcPr>
            <w:tcW w:w="5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8.50%</w:t>
            </w:r>
          </w:p>
        </w:tc>
        <w:tc>
          <w:tcPr>
            <w:tcW w:w="5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8.50%</w:t>
            </w:r>
          </w:p>
        </w:tc>
        <w:tc>
          <w:tcPr>
            <w:tcW w:w="0" w:type="dxa"/>
            <w:vAlign w:val="bottom"/>
          </w:tcPr>
          <w:p>
            <w:pPr>
              <w:spacing w:after="0"/>
              <w:rPr>
                <w:sz w:val="1"/>
                <w:szCs w:val="1"/>
                <w:color w:val="auto"/>
              </w:rPr>
            </w:pPr>
          </w:p>
        </w:tc>
      </w:tr>
      <w:tr>
        <w:trPr>
          <w:trHeight w:val="149"/>
        </w:trPr>
        <w:tc>
          <w:tcPr>
            <w:tcW w:w="9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Fixed Account</w:t>
            </w: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1-year</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N/A</w:t>
            </w:r>
          </w:p>
        </w:tc>
        <w:tc>
          <w:tcPr>
            <w:tcW w:w="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Fixed Account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3.50%</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3.50%</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3.50%</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3.50%</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3.50%</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3.50%</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3.50%</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3.50%</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3.50%</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3.50%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3.50%</w:t>
            </w:r>
          </w:p>
        </w:tc>
        <w:tc>
          <w:tcPr>
            <w:tcW w:w="0" w:type="dxa"/>
            <w:vAlign w:val="bottom"/>
          </w:tcPr>
          <w:p>
            <w:pPr>
              <w:spacing w:after="0"/>
              <w:rPr>
                <w:sz w:val="1"/>
                <w:szCs w:val="1"/>
                <w:color w:val="auto"/>
              </w:rPr>
            </w:pPr>
          </w:p>
        </w:tc>
      </w:tr>
    </w:tbl>
    <w:p>
      <w:pPr>
        <w:sectPr>
          <w:pgSz w:w="11900" w:h="16838" w:orient="portrait"/>
          <w:cols w:equalWidth="0" w:num="1">
            <w:col w:w="10159"/>
          </w:cols>
          <w:pgMar w:left="300" w:top="190" w:right="1440"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0">
                      <a:extLst>
                        <a:ext uri="{28A0092B-C50C-407E-A947-70E740481C1C}"/>
                      </a:extLst>
                    </a:blip>
                    <a:srcRect/>
                    <a:stretch>
                      <a:fillRect/>
                    </a:stretch>
                  </pic:blipFill>
                  <pic:spPr bwMode="auto">
                    <a:xfrm>
                      <a:off x="0" y="0"/>
                      <a:ext cx="7206615" cy="31750"/>
                    </a:xfrm>
                    <a:prstGeom prst="rect">
                      <a:avLst/>
                    </a:prstGeom>
                    <a:noFill/>
                  </pic:spPr>
                </pic:pic>
              </a:graphicData>
            </a:graphic>
          </wp:anchor>
        </w:drawing>
        <w:t>Brighthouse Shield</w:t>
      </w:r>
      <w:r>
        <w:rPr>
          <w:rFonts w:ascii="Times New Roman" w:cs="Times New Roman" w:eastAsia="Times New Roman" w:hAnsi="Times New Roman"/>
          <w:sz w:val="19"/>
          <w:szCs w:val="19"/>
          <w:b w:val="1"/>
          <w:bCs w:val="1"/>
          <w:color w:val="auto"/>
          <w:vertAlign w:val="superscript"/>
        </w:rPr>
        <w:t>®</w:t>
      </w:r>
      <w:r>
        <w:rPr>
          <w:rFonts w:ascii="Times New Roman" w:cs="Times New Roman" w:eastAsia="Times New Roman" w:hAnsi="Times New Roman"/>
          <w:sz w:val="13"/>
          <w:szCs w:val="13"/>
          <w:b w:val="1"/>
          <w:bCs w:val="1"/>
          <w:color w:val="auto"/>
        </w:rPr>
        <w:t xml:space="preserve"> Level II 6-Year Annuity</w:t>
      </w:r>
    </w:p>
    <w:p>
      <w:pPr>
        <w:ind w:right="2099"/>
        <w:spacing w:after="0" w:line="268" w:lineRule="auto"/>
        <w:rPr>
          <w:sz w:val="20"/>
          <w:szCs w:val="20"/>
          <w:color w:val="auto"/>
        </w:rPr>
      </w:pPr>
      <w:r>
        <w:rPr>
          <w:rFonts w:ascii="Times New Roman" w:cs="Times New Roman" w:eastAsia="Times New Roman" w:hAnsi="Times New Roman"/>
          <w:sz w:val="13"/>
          <w:szCs w:val="13"/>
          <w:b w:val="1"/>
          <w:bCs w:val="1"/>
          <w:color w:val="auto"/>
        </w:rPr>
        <w:t>Historical renewal upside crediting rates in effect for each Shield Option offered by the Contract during the period dated July 22, 2024 through December 31, 2024*</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The Contract was not available before July 22, 2024</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There were no renewal contract rates in effect during the relevant time period.</w:t>
      </w:r>
    </w:p>
    <w:sectPr>
      <w:pgSz w:w="11900" w:h="16838" w:orient="portrait"/>
      <w:cols w:equalWidth="0" w:num="1">
        <w:col w:w="10159"/>
      </w:cols>
      <w:pgMar w:left="300" w:top="1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7398C89"/>
    <w:multiLevelType w:val="hybridMultilevel"/>
    <w:lvl w:ilvl="0">
      <w:lvlJc w:val="left"/>
      <w:lvlText w:val="☒"/>
      <w:numFmt w:val="bullet"/>
      <w:start w:val="1"/>
    </w:lvl>
  </w:abstractNum>
  <w:abstractNum w:abstractNumId="1">
    <w:nsid w:val="354FE9F9"/>
    <w:multiLevelType w:val="hybridMultilevel"/>
    <w:lvl w:ilvl="0">
      <w:lvlJc w:val="left"/>
      <w:lvlText w:val="☐"/>
      <w:numFmt w:val="bullet"/>
      <w:start w:val="1"/>
    </w:lvl>
  </w:abstractNum>
  <w:abstractNum w:abstractNumId="2">
    <w:nsid w:val="15B5AF5C"/>
    <w:multiLevelType w:val="hybridMultilevel"/>
    <w:lvl w:ilvl="0">
      <w:lvlJc w:val="left"/>
      <w:lvlText w:val="(%1)"/>
      <w:numFmt w:val="lowerRoman"/>
      <w:start w:val="2"/>
    </w:lvl>
  </w:abstractNum>
  <w:abstractNum w:abstractNumId="3">
    <w:nsid w:val="741226BB"/>
    <w:multiLevelType w:val="hybridMultilevel"/>
    <w:lvl w:ilvl="0">
      <w:lvlJc w:val="left"/>
      <w:lvlText w:val="•"/>
      <w:numFmt w:val="bullet"/>
      <w:start w:val="1"/>
    </w:lvl>
  </w:abstractNum>
  <w:abstractNum w:abstractNumId="4">
    <w:nsid w:val="D34B6A8"/>
    <w:multiLevelType w:val="hybridMultilevel"/>
    <w:lvl w:ilvl="0">
      <w:lvlJc w:val="left"/>
      <w:lvlText w:val="•"/>
      <w:numFmt w:val="bullet"/>
      <w:start w:val="1"/>
    </w:lvl>
  </w:abstractNum>
  <w:abstractNum w:abstractNumId="5">
    <w:nsid w:val="10233C99"/>
    <w:multiLevelType w:val="hybridMultilevel"/>
    <w:lvl w:ilvl="0">
      <w:lvlJc w:val="left"/>
      <w:lvlText w:val="●"/>
      <w:numFmt w:val="bullet"/>
      <w:start w:val="1"/>
    </w:lvl>
  </w:abstractNum>
  <w:abstractNum w:abstractNumId="6">
    <w:nsid w:val="3F6AB60F"/>
    <w:multiLevelType w:val="hybridMultilevel"/>
    <w:lvl w:ilvl="0">
      <w:lvlJc w:val="left"/>
      <w:lvlText w:val="•"/>
      <w:numFmt w:val="bullet"/>
      <w:start w:val="1"/>
    </w:lvl>
    <w:lvl w:ilvl="1">
      <w:lvlJc w:val="left"/>
      <w:lvlText w:val="○"/>
      <w:numFmt w:val="bullet"/>
      <w:start w:val="1"/>
    </w:lvl>
  </w:abstractNum>
  <w:abstractNum w:abstractNumId="7">
    <w:nsid w:val="61574095"/>
    <w:multiLevelType w:val="hybridMultilevel"/>
    <w:lvl w:ilvl="0">
      <w:lvlJc w:val="left"/>
      <w:lvlText w:val="•"/>
      <w:numFmt w:val="bullet"/>
      <w:start w:val="1"/>
    </w:lvl>
  </w:abstractNum>
  <w:abstractNum w:abstractNumId="8">
    <w:nsid w:val="7E0C57B1"/>
    <w:multiLevelType w:val="hybridMultilevel"/>
    <w:lvl w:ilvl="0">
      <w:lvlJc w:val="left"/>
      <w:lvlText w:val="•"/>
      <w:numFmt w:val="bullet"/>
      <w:start w:val="1"/>
    </w:lvl>
  </w:abstractNum>
  <w:abstractNum w:abstractNumId="9">
    <w:nsid w:val="77AE35EB"/>
    <w:multiLevelType w:val="hybridMultilevel"/>
    <w:lvl w:ilvl="0">
      <w:lvlJc w:val="left"/>
      <w:lvlText w:val="•"/>
      <w:numFmt w:val="bullet"/>
      <w:start w:val="1"/>
    </w:lvl>
  </w:abstractNum>
  <w:abstractNum w:abstractNumId="10">
    <w:nsid w:val="579BE4F1"/>
    <w:multiLevelType w:val="hybridMultilevel"/>
    <w:lvl w:ilvl="0">
      <w:lvlJc w:val="left"/>
      <w:lvlText w:val="%1."/>
      <w:numFmt w:val="decimal"/>
      <w:start w:val="1"/>
    </w:lvl>
  </w:abstractNum>
  <w:abstractNum w:abstractNumId="11">
    <w:nsid w:val="310C50B3"/>
    <w:multiLevelType w:val="hybridMultilevel"/>
    <w:lvl w:ilvl="0">
      <w:lvlJc w:val="left"/>
      <w:lvlText w:val="*"/>
      <w:numFmt w:val="bullet"/>
      <w:start w:val="1"/>
    </w:lvl>
  </w:abstractNum>
  <w:abstractNum w:abstractNumId="12">
    <w:nsid w:val="5FF87E05"/>
    <w:multiLevelType w:val="hybridMultilevel"/>
    <w:lvl w:ilvl="0">
      <w:lvlJc w:val="left"/>
      <w:lvlText w:val="*"/>
      <w:numFmt w:val="bullet"/>
      <w:start w:val="1"/>
    </w:lvl>
  </w:abstractNum>
  <w:abstractNum w:abstractNumId="13">
    <w:nsid w:val="2F305DEF"/>
    <w:multiLevelType w:val="hybridMultilevel"/>
    <w:lvl w:ilvl="0">
      <w:lvlJc w:val="left"/>
      <w:lvlText w:val="*"/>
      <w:numFmt w:val="bullet"/>
      <w:start w:val="1"/>
    </w:lvl>
  </w:abstractNum>
  <w:abstractNum w:abstractNumId="14">
    <w:nsid w:val="25A70BF7"/>
    <w:multiLevelType w:val="hybridMultilevel"/>
    <w:lvl w:ilvl="0">
      <w:lvlJc w:val="left"/>
      <w:lvlText w:val="*"/>
      <w:numFmt w:val="bullet"/>
      <w:start w:val="1"/>
    </w:lvl>
  </w:abstractNum>
  <w:abstractNum w:abstractNumId="15">
    <w:nsid w:val="1DBABF00"/>
    <w:multiLevelType w:val="hybridMultilevel"/>
    <w:lvl w:ilvl="0">
      <w:lvlJc w:val="left"/>
      <w:lvlText w:val="(%1)"/>
      <w:numFmt w:val="decimal"/>
      <w:start w:val="2"/>
    </w:lvl>
    <w:lvl w:ilvl="1">
      <w:lvlJc w:val="left"/>
      <w:lvlText w:val="÷"/>
      <w:numFmt w:val="bullet"/>
      <w:start w:val="1"/>
    </w:lvl>
  </w:abstractNum>
  <w:abstractNum w:abstractNumId="16">
    <w:nsid w:val="4AD084E9"/>
    <w:multiLevelType w:val="hybridMultilevel"/>
    <w:lvl w:ilvl="0">
      <w:lvlJc w:val="left"/>
      <w:lvlText w:val="(%1)"/>
      <w:numFmt w:val="decimal"/>
      <w:start w:val="1"/>
    </w:lvl>
  </w:abstractNum>
  <w:abstractNum w:abstractNumId="17">
    <w:nsid w:val="1F48EAA1"/>
    <w:multiLevelType w:val="hybridMultilevel"/>
    <w:lvl w:ilvl="0">
      <w:lvlJc w:val="left"/>
      <w:lvlText w:val="÷"/>
      <w:numFmt w:val="bullet"/>
      <w:start w:val="1"/>
    </w:lvl>
  </w:abstractNum>
  <w:abstractNum w:abstractNumId="18">
    <w:nsid w:val="1381823A"/>
    <w:multiLevelType w:val="hybridMultilevel"/>
    <w:lvl w:ilvl="0">
      <w:lvlJc w:val="left"/>
      <w:lvlText w:val="(%1)"/>
      <w:numFmt w:val="decimal"/>
      <w:start w:val="4"/>
    </w:lvl>
  </w:abstractNum>
  <w:abstractNum w:abstractNumId="19">
    <w:nsid w:val="5DB70AE5"/>
    <w:multiLevelType w:val="hybridMultilevel"/>
    <w:lvl w:ilvl="0">
      <w:lvlJc w:val="left"/>
      <w:lvlText w:val="(%1)"/>
      <w:numFmt w:val="decimal"/>
      <w:start w:val="5"/>
    </w:lvl>
  </w:abstractNum>
  <w:abstractNum w:abstractNumId="20">
    <w:nsid w:val="100F8FCA"/>
    <w:multiLevelType w:val="hybridMultilevel"/>
    <w:lvl w:ilvl="0">
      <w:lvlJc w:val="left"/>
      <w:lvlText w:val="(%1)"/>
      <w:numFmt w:val="decimal"/>
      <w:start w:val="2"/>
    </w:lvl>
  </w:abstractNum>
  <w:abstractNum w:abstractNumId="21">
    <w:nsid w:val="6590700B"/>
    <w:multiLevelType w:val="hybridMultilevel"/>
    <w:lvl w:ilvl="0">
      <w:lvlJc w:val="left"/>
      <w:lvlText w:val="(%1)"/>
      <w:numFmt w:val="decimal"/>
      <w:start w:val="4"/>
    </w:lvl>
  </w:abstractNum>
  <w:abstractNum w:abstractNumId="22">
    <w:nsid w:val="15014ACB"/>
    <w:multiLevelType w:val="hybridMultilevel"/>
    <w:lvl w:ilvl="0">
      <w:lvlJc w:val="left"/>
      <w:lvlText w:val=" "/>
      <w:numFmt w:val="bullet"/>
      <w:start w:val="1"/>
    </w:lvl>
  </w:abstractNum>
  <w:abstractNum w:abstractNumId="23">
    <w:nsid w:val="5F5E7FD0"/>
    <w:multiLevelType w:val="hybridMultilevel"/>
    <w:lvl w:ilvl="0">
      <w:lvlJc w:val="left"/>
      <w:lvlText w:val="%1."/>
      <w:numFmt w:val="decimal"/>
      <w:start w:val="1"/>
    </w:lvl>
  </w:abstractNum>
  <w:abstractNum w:abstractNumId="24">
    <w:nsid w:val="98A3148"/>
    <w:multiLevelType w:val="hybridMultilevel"/>
    <w:lvl w:ilvl="0">
      <w:lvlJc w:val="left"/>
      <w:lvlText w:val="%1."/>
      <w:numFmt w:val="decimal"/>
      <w:start w:val="2"/>
    </w:lvl>
  </w:abstractNum>
  <w:abstractNum w:abstractNumId="25">
    <w:nsid w:val="799D0247"/>
    <w:multiLevelType w:val="hybridMultilevel"/>
    <w:lvl w:ilvl="0">
      <w:lvlJc w:val="left"/>
      <w:lvlText w:val="(%1)"/>
      <w:numFmt w:val="lowerRoman"/>
      <w:start w:val="1"/>
    </w:lvl>
  </w:abstractNum>
  <w:abstractNum w:abstractNumId="26">
    <w:nsid w:val="6B94764"/>
    <w:multiLevelType w:val="hybridMultilevel"/>
    <w:lvl w:ilvl="0">
      <w:lvlJc w:val="left"/>
      <w:lvlText w:val="(%1)"/>
      <w:numFmt w:val="lowerRoman"/>
      <w:start w:val="5"/>
    </w:lvl>
  </w:abstractNum>
  <w:abstractNum w:abstractNumId="27">
    <w:nsid w:val="42C296BD"/>
    <w:multiLevelType w:val="hybridMultilevel"/>
    <w:lvl w:ilvl="0">
      <w:lvlJc w:val="left"/>
      <w:lvlText w:val="(%1)"/>
      <w:numFmt w:val="lowerRoman"/>
      <w:start w:val="6"/>
    </w:lvl>
  </w:abstractNum>
  <w:abstractNum w:abstractNumId="28">
    <w:nsid w:val="168E121F"/>
    <w:multiLevelType w:val="hybridMultilevel"/>
    <w:lvl w:ilvl="0">
      <w:lvlJc w:val="left"/>
      <w:lvlText w:val="(%1)"/>
      <w:numFmt w:val="lowerRoman"/>
      <w:start w:val="7"/>
    </w:lvl>
  </w:abstractNum>
  <w:abstractNum w:abstractNumId="29">
    <w:nsid w:val="1EBA5D23"/>
    <w:multiLevelType w:val="hybridMultilevel"/>
    <w:lvl w:ilvl="0">
      <w:lvlJc w:val="left"/>
      <w:lvlText w:val="•"/>
      <w:numFmt w:val="bullet"/>
      <w:start w:val="1"/>
    </w:lvl>
  </w:abstractNum>
  <w:abstractNum w:abstractNumId="30">
    <w:nsid w:val="661E3F1E"/>
    <w:multiLevelType w:val="hybridMultilevel"/>
    <w:lvl w:ilvl="0">
      <w:lvlJc w:val="left"/>
      <w:lvlText w:val="+"/>
      <w:numFmt w:val="bullet"/>
      <w:start w:val="1"/>
    </w:lvl>
  </w:abstractNum>
  <w:abstractNum w:abstractNumId="31">
    <w:nsid w:val="5DC79EA8"/>
    <w:multiLevelType w:val="hybridMultilevel"/>
    <w:lvl w:ilvl="0">
      <w:lvlJc w:val="left"/>
      <w:lvlText w:val="(%1)"/>
      <w:numFmt w:val="decimal"/>
      <w:start w:val="4"/>
    </w:lvl>
  </w:abstractNum>
  <w:abstractNum w:abstractNumId="32">
    <w:nsid w:val="540A471C"/>
    <w:multiLevelType w:val="hybridMultilevel"/>
    <w:lvl w:ilvl="0">
      <w:lvlJc w:val="left"/>
      <w:lvlText w:val="(%1)"/>
      <w:numFmt w:val="decimal"/>
      <w:start w:val="6"/>
    </w:lvl>
  </w:abstractNum>
  <w:abstractNum w:abstractNumId="33">
    <w:nsid w:val="7BD3EE7B"/>
    <w:multiLevelType w:val="hybridMultilevel"/>
    <w:lvl w:ilvl="0">
      <w:lvlJc w:val="left"/>
      <w:lvlText w:val="(%1)"/>
      <w:numFmt w:val="decimal"/>
      <w:start w:val="10"/>
    </w:lvl>
  </w:abstractNum>
  <w:abstractNum w:abstractNumId="34">
    <w:nsid w:val="51D9C564"/>
    <w:multiLevelType w:val="hybridMultilevel"/>
    <w:lvl w:ilvl="0">
      <w:lvlJc w:val="left"/>
      <w:lvlText w:val="(%1)"/>
      <w:numFmt w:val="decimal"/>
      <w:start w:val="1"/>
    </w:lvl>
  </w:abstractNum>
  <w:abstractNum w:abstractNumId="35">
    <w:nsid w:val="613EFDC5"/>
    <w:multiLevelType w:val="hybridMultilevel"/>
    <w:lvl w:ilvl="0">
      <w:lvlJc w:val="left"/>
      <w:lvlText w:val="(%1)"/>
      <w:numFmt w:val="decimal"/>
      <w:start w:val="3"/>
    </w:lvl>
  </w:abstractNum>
  <w:abstractNum w:abstractNumId="36">
    <w:nsid w:val="BF72B14"/>
    <w:multiLevelType w:val="hybridMultilevel"/>
    <w:lvl w:ilvl="0">
      <w:lvlJc w:val="left"/>
      <w:lvlText w:val="(%1)"/>
      <w:numFmt w:val="decimal"/>
      <w:start w:val="1"/>
    </w:lvl>
    <w:lvl w:ilvl="1">
      <w:lvlJc w:val="left"/>
      <w:lvlText w:val="÷"/>
      <w:numFmt w:val="bullet"/>
      <w:start w:val="1"/>
    </w:lvl>
  </w:abstractNum>
  <w:abstractNum w:abstractNumId="37">
    <w:nsid w:val="11447B73"/>
    <w:multiLevelType w:val="hybridMultilevel"/>
    <w:lvl w:ilvl="0">
      <w:lvlJc w:val="left"/>
      <w:lvlText w:val="(%1)"/>
      <w:numFmt w:val="decimal"/>
      <w:start w:val="4"/>
    </w:lvl>
  </w:abstractNum>
  <w:abstractNum w:abstractNumId="38">
    <w:nsid w:val="42963E5A"/>
    <w:multiLevelType w:val="hybridMultilevel"/>
    <w:lvl w:ilvl="0">
      <w:lvlJc w:val="left"/>
      <w:lvlText w:val="="/>
      <w:numFmt w:val="bullet"/>
      <w:start w:val="1"/>
    </w:lvl>
  </w:abstractNum>
  <w:abstractNum w:abstractNumId="39">
    <w:nsid w:val="A0382C5"/>
    <w:multiLevelType w:val="hybridMultilevel"/>
    <w:lvl w:ilvl="0">
      <w:lvlJc w:val="left"/>
      <w:lvlText w:val="(%1)"/>
      <w:numFmt w:val="decimal"/>
      <w:start w:val="1"/>
    </w:lvl>
  </w:abstractNum>
  <w:abstractNum w:abstractNumId="40">
    <w:nsid w:val="8F2B15E"/>
    <w:multiLevelType w:val="hybridMultilevel"/>
    <w:lvl w:ilvl="0">
      <w:lvlJc w:val="left"/>
      <w:lvlText w:val="(%1)"/>
      <w:numFmt w:val="lowerLetter"/>
      <w:start w:val="1"/>
    </w:lvl>
  </w:abstractNum>
  <w:abstractNum w:abstractNumId="41">
    <w:nsid w:val="1A32234B"/>
    <w:multiLevelType w:val="hybridMultilevel"/>
    <w:lvl w:ilvl="0">
      <w:lvlJc w:val="left"/>
      <w:lvlText w:val="(%1)"/>
      <w:numFmt w:val="lowerLetter"/>
      <w:start w:val="1"/>
    </w:lvl>
  </w:abstractNum>
  <w:abstractNum w:abstractNumId="42">
    <w:nsid w:val="3B0FD379"/>
    <w:multiLevelType w:val="hybridMultilevel"/>
    <w:lvl w:ilvl="0">
      <w:lvlJc w:val="left"/>
      <w:lvlText w:val="(%1)"/>
      <w:numFmt w:val="lowerLetter"/>
      <w:start w:val="3"/>
    </w:lvl>
  </w:abstractNum>
  <w:abstractNum w:abstractNumId="43">
    <w:nsid w:val="68EB2F63"/>
    <w:multiLevelType w:val="hybridMultilevel"/>
    <w:lvl w:ilvl="0">
      <w:lvlJc w:val="left"/>
      <w:lvlText w:val="(%1)"/>
      <w:numFmt w:val="decimal"/>
      <w:start w:val="5"/>
    </w:lvl>
  </w:abstractNum>
  <w:abstractNum w:abstractNumId="44">
    <w:nsid w:val="4962813B"/>
    <w:multiLevelType w:val="hybridMultilevel"/>
    <w:lvl w:ilvl="0">
      <w:lvlJc w:val="left"/>
      <w:lvlText w:val="(%1)"/>
      <w:numFmt w:val="decimal"/>
      <w:start w:val="1"/>
    </w:lvl>
  </w:abstractNum>
  <w:abstractNum w:abstractNumId="45">
    <w:nsid w:val="60B6DF70"/>
    <w:multiLevelType w:val="hybridMultilevel"/>
    <w:lvl w:ilvl="0">
      <w:lvlJc w:val="left"/>
      <w:lvlText w:val="(%1)"/>
      <w:numFmt w:val="decimal"/>
      <w:start w:val="2"/>
    </w:lvl>
  </w:abstractNum>
  <w:abstractNum w:abstractNumId="46">
    <w:nsid w:val="6A5EE64"/>
    <w:multiLevelType w:val="hybridMultilevel"/>
    <w:lvl w:ilvl="0">
      <w:lvlJc w:val="left"/>
      <w:lvlText w:val="(%1)"/>
      <w:numFmt w:val="lowerLetter"/>
      <w:start w:val="1"/>
    </w:lvl>
  </w:abstractNum>
  <w:abstractNum w:abstractNumId="47">
    <w:nsid w:val="14330624"/>
    <w:multiLevelType w:val="hybridMultilevel"/>
    <w:lvl w:ilvl="0">
      <w:lvlJc w:val="left"/>
      <w:lvlText w:val="(%1)"/>
      <w:numFmt w:val="lowerLetter"/>
      <w:start w:val="2"/>
    </w:lvl>
  </w:abstractNum>
  <w:abstractNum w:abstractNumId="48">
    <w:nsid w:val="7FFFCA11"/>
    <w:multiLevelType w:val="hybridMultilevel"/>
    <w:lvl w:ilvl="0">
      <w:lvlJc w:val="left"/>
      <w:lvlText w:val="(%1)"/>
      <w:numFmt w:val="lowerLetter"/>
      <w:start w:val="3"/>
    </w:lvl>
  </w:abstractNum>
  <w:abstractNum w:abstractNumId="49">
    <w:nsid w:val="1A27709E"/>
    <w:multiLevelType w:val="hybridMultilevel"/>
    <w:lvl w:ilvl="0">
      <w:lvlJc w:val="left"/>
      <w:lvlText w:val="(%1)"/>
      <w:numFmt w:val="lowerLetter"/>
      <w:start w:val="5"/>
    </w:lvl>
  </w:abstractNum>
  <w:abstractNum w:abstractNumId="50">
    <w:nsid w:val="71EA1109"/>
    <w:multiLevelType w:val="hybridMultilevel"/>
    <w:lvl w:ilvl="0">
      <w:lvlJc w:val="left"/>
      <w:lvlText w:val="(%1)"/>
      <w:numFmt w:val="lowerLetter"/>
      <w:start w:val="1"/>
    </w:lvl>
  </w:abstractNum>
  <w:abstractNum w:abstractNumId="51">
    <w:nsid w:val="100F59DC"/>
    <w:multiLevelType w:val="hybridMultilevel"/>
    <w:lvl w:ilvl="0">
      <w:lvlJc w:val="left"/>
      <w:lvlText w:val="(%1)"/>
      <w:numFmt w:val="lowerLetter"/>
      <w:start w:val="1"/>
    </w:lvl>
  </w:abstractNum>
  <w:abstractNum w:abstractNumId="52">
    <w:nsid w:val="7FB7E0AA"/>
    <w:multiLevelType w:val="hybridMultilevel"/>
    <w:lvl w:ilvl="0">
      <w:lvlJc w:val="left"/>
      <w:lvlText w:val="%1."/>
      <w:numFmt w:val="decimal"/>
      <w:start w:val="63"/>
    </w:lvl>
  </w:abstractNum>
  <w:abstractNum w:abstractNumId="53">
    <w:nsid w:val="6EB5BD4"/>
    <w:multiLevelType w:val="hybridMultilevel"/>
    <w:lvl w:ilvl="0">
      <w:lvlJc w:val="left"/>
      <w:lvlText w:val="(%1)"/>
      <w:numFmt w:val="lowerLetter"/>
      <w:start w:val="1"/>
    </w:lvl>
  </w:abstractNum>
  <w:abstractNum w:abstractNumId="54">
    <w:nsid w:val="6F6DD9AC"/>
    <w:multiLevelType w:val="hybridMultilevel"/>
    <w:lvl w:ilvl="0">
      <w:lvlJc w:val="left"/>
      <w:lvlText w:val="(%1)"/>
      <w:numFmt w:val="lowerRoman"/>
      <w:start w:val="1"/>
    </w:lvl>
  </w:abstractNum>
  <w:abstractNum w:abstractNumId="55">
    <w:nsid w:val="94211F2"/>
    <w:multiLevelType w:val="hybridMultilevel"/>
    <w:lvl w:ilvl="0">
      <w:lvlJc w:val="left"/>
      <w:lvlText w:val="(%1)"/>
      <w:numFmt w:val="lowerRoman"/>
      <w:start w:val="1"/>
    </w:lvl>
  </w:abstractNum>
  <w:abstractNum w:abstractNumId="56">
    <w:nsid w:val="885E1B"/>
    <w:multiLevelType w:val="hybridMultilevel"/>
    <w:lvl w:ilvl="0">
      <w:lvlJc w:val="left"/>
      <w:lvlText w:val="1"/>
      <w:numFmt w:val="bullet"/>
      <w:start w:val="1"/>
    </w:lvl>
  </w:abstractNum>
  <w:abstractNum w:abstractNumId="57">
    <w:nsid w:val="76272110"/>
    <w:multiLevelType w:val="hybridMultilevel"/>
    <w:lvl w:ilvl="0">
      <w:lvlJc w:val="left"/>
      <w:lvlText w:val="2"/>
      <w:numFmt w:val="bullet"/>
      <w:start w:val="1"/>
    </w:lvl>
  </w:abstractNum>
  <w:abstractNum w:abstractNumId="58">
    <w:nsid w:val="4C04A8AF"/>
    <w:multiLevelType w:val="hybridMultilevel"/>
    <w:lvl w:ilvl="0">
      <w:lvlJc w:val="left"/>
      <w:lvlText w:val="(%1)"/>
      <w:numFmt w:val="decimal"/>
      <w:start w:val="1"/>
    </w:lvl>
  </w:abstractNum>
  <w:abstractNum w:abstractNumId="59">
    <w:nsid w:val="1716703B"/>
    <w:multiLevelType w:val="hybridMultilevel"/>
    <w:lvl w:ilvl="0">
      <w:lvlJc w:val="left"/>
      <w:lvlText w:val="(%1)"/>
      <w:numFmt w:val="decimal"/>
      <w:start w:val="2"/>
    </w:lvl>
    <w:lvl w:ilvl="1">
      <w:lvlJc w:val="left"/>
      <w:lvlText w:val="÷"/>
      <w:numFmt w:val="bullet"/>
      <w:start w:val="1"/>
    </w:lvl>
  </w:abstractNum>
  <w:abstractNum w:abstractNumId="60">
    <w:nsid w:val="14E17E33"/>
    <w:multiLevelType w:val="hybridMultilevel"/>
    <w:lvl w:ilvl="0">
      <w:lvlJc w:val="left"/>
      <w:lvlText w:val="(%1)"/>
      <w:numFmt w:val="decimal"/>
      <w:start w:val="888"/>
    </w:lvl>
  </w:abstractNum>
  <w:abstractNum w:abstractNumId="61">
    <w:nsid w:val="3222E7CD"/>
    <w:multiLevelType w:val="hybridMultilevel"/>
    <w:lvl w:ilvl="0">
      <w:lvlJc w:val="left"/>
      <w:lvlText w:val="(%1)"/>
      <w:numFmt w:val="decimal"/>
      <w:start w:val="1"/>
    </w:lvl>
    <w:lvl w:ilvl="1">
      <w:lvlJc w:val="left"/>
      <w:lvlText w:val="%2."/>
      <w:numFmt w:val="upperLetter"/>
      <w:start w:val="1"/>
    </w:lvl>
  </w:abstractNum>
  <w:abstractNum w:abstractNumId="62">
    <w:nsid w:val="74DE0EE3"/>
    <w:multiLevelType w:val="hybridMultilevel"/>
    <w:lvl w:ilvl="0">
      <w:lvlJc w:val="left"/>
      <w:lvlText w:val="•"/>
      <w:numFmt w:val="bullet"/>
      <w:start w:val="1"/>
    </w:lvl>
  </w:abstractNum>
  <w:abstractNum w:abstractNumId="63">
    <w:nsid w:val="68EBC550"/>
    <w:multiLevelType w:val="hybridMultilevel"/>
    <w:lvl w:ilvl="0">
      <w:lvlJc w:val="left"/>
      <w:lvlText w:val="%1)"/>
      <w:numFmt w:val="decimal"/>
      <w:start w:val="1"/>
    </w:lvl>
  </w:abstractNum>
  <w:abstractNum w:abstractNumId="64">
    <w:nsid w:val="2DF6D648"/>
    <w:multiLevelType w:val="hybridMultilevel"/>
    <w:lvl w:ilvl="0">
      <w:lvlJc w:val="left"/>
      <w:lvlText w:val="*"/>
      <w:numFmt w:val="bullet"/>
      <w:start w:val="1"/>
    </w:lvl>
  </w:abstractNum>
  <w:abstractNum w:abstractNumId="65">
    <w:nsid w:val="46B7D447"/>
    <w:multiLevelType w:val="hybridMultilevel"/>
    <w:lvl w:ilvl="0">
      <w:lvlJc w:val="left"/>
      <w:lvlText w:val="(%1)"/>
      <w:numFmt w:val="lowerRoman"/>
      <w:start w:val="1"/>
    </w:lvl>
  </w:abstractNum>
  <w:abstractNum w:abstractNumId="66">
    <w:nsid w:val="4A2AC315"/>
    <w:multiLevelType w:val="hybridMultilevel"/>
    <w:lvl w:ilvl="0">
      <w:lvlJc w:val="left"/>
      <w:lvlText w:val="(%1)"/>
      <w:numFmt w:val="lowerLetter"/>
      <w:start w:val="2"/>
    </w:lvl>
  </w:abstractNum>
  <w:abstractNum w:abstractNumId="67">
    <w:nsid w:val="39EE015C"/>
    <w:multiLevelType w:val="hybridMultilevel"/>
    <w:lvl w:ilvl="0">
      <w:lvlJc w:val="left"/>
      <w:lvlText w:val="(%1)"/>
      <w:numFmt w:val="lowerLetter"/>
      <w:start w:val="4"/>
    </w:lvl>
  </w:abstractNum>
  <w:abstractNum w:abstractNumId="68">
    <w:nsid w:val="57FC4FBB"/>
    <w:multiLevelType w:val="hybridMultilevel"/>
    <w:lvl w:ilvl="0">
      <w:lvlJc w:val="left"/>
      <w:lvlText w:val="(%1)"/>
      <w:numFmt w:val="lowerRoman"/>
      <w:start w:val="2"/>
    </w:lvl>
  </w:abstractNum>
  <w:abstractNum w:abstractNumId="69">
    <w:nsid w:val="CC1016F"/>
    <w:multiLevelType w:val="hybridMultilevel"/>
    <w:lvl w:ilvl="0">
      <w:lvlJc w:val="left"/>
      <w:lvlText w:val="(%1)"/>
      <w:numFmt w:val="lowerLetter"/>
      <w:start w:val="5"/>
    </w:lvl>
  </w:abstractNum>
  <w:abstractNum w:abstractNumId="70">
    <w:nsid w:val="43F18422"/>
    <w:multiLevelType w:val="hybridMultilevel"/>
    <w:lvl w:ilvl="0">
      <w:lvlJc w:val="left"/>
      <w:lvlText w:val="(%1)"/>
      <w:numFmt w:val="lowerLetter"/>
      <w:start w:val="6"/>
    </w:lvl>
  </w:abstractNum>
  <w:abstractNum w:abstractNumId="71">
    <w:nsid w:val="60EF0119"/>
    <w:multiLevelType w:val="hybridMultilevel"/>
    <w:lvl w:ilvl="0">
      <w:lvlJc w:val="left"/>
      <w:lvlText w:val=" "/>
      <w:numFmt w:val="bullet"/>
      <w:start w:val="1"/>
    </w:lvl>
  </w:abstractNum>
  <w:abstractNum w:abstractNumId="72">
    <w:nsid w:val="26F324BA"/>
    <w:multiLevelType w:val="hybridMultilevel"/>
    <w:lvl w:ilvl="0">
      <w:lvlJc w:val="left"/>
      <w:lvlText w:val=" "/>
      <w:numFmt w:val="bullet"/>
      <w:start w:val="1"/>
    </w:lvl>
  </w:abstractNum>
  <w:abstractNum w:abstractNumId="73">
    <w:nsid w:val="7F01579B"/>
    <w:multiLevelType w:val="hybridMultilevel"/>
    <w:lvl w:ilvl="0">
      <w:lvlJc w:val="left"/>
      <w:lvlText w:val="(%1)"/>
      <w:numFmt w:val="lowerLetter"/>
      <w:start w:val="7"/>
    </w:lvl>
  </w:abstractNum>
  <w:abstractNum w:abstractNumId="74">
    <w:nsid w:val="49DA307D"/>
    <w:multiLevelType w:val="hybridMultilevel"/>
    <w:lvl w:ilvl="0">
      <w:lvlJc w:val="left"/>
      <w:lvlText w:val="%1."/>
      <w:numFmt w:val="upperLetter"/>
      <w:start w:val="1"/>
    </w:lvl>
    <w:lvl w:ilvl="1">
      <w:lvlJc w:val="left"/>
      <w:lvlText w:val="%2."/>
      <w:numFmt w:val="decimal"/>
      <w:start w:val="1"/>
    </w:lvl>
  </w:abstractNum>
  <w:abstractNum w:abstractNumId="75">
    <w:nsid w:val="7055A5F5"/>
    <w:multiLevelType w:val="hybridMultilevel"/>
    <w:lvl w:ilvl="0">
      <w:lvlJc w:val="left"/>
      <w:lvlText w:val="%1."/>
      <w:numFmt w:val="lowerLetter"/>
      <w:start w:val="2"/>
    </w:lvl>
  </w:abstractNum>
  <w:abstractNum w:abstractNumId="76">
    <w:nsid w:val="5FB8370B"/>
    <w:multiLevelType w:val="hybridMultilevel"/>
    <w:lvl w:ilvl="0">
      <w:lvlJc w:val="left"/>
      <w:lvlText w:val="%1."/>
      <w:numFmt w:val="lowerLetter"/>
      <w:start w:val="4"/>
    </w:lvl>
  </w:abstractNum>
  <w:abstractNum w:abstractNumId="77">
    <w:nsid w:val="50801EE1"/>
    <w:multiLevelType w:val="hybridMultilevel"/>
    <w:lvl w:ilvl="0">
      <w:lvlJc w:val="left"/>
      <w:lvlText w:val="%1."/>
      <w:numFmt w:val="decimal"/>
      <w:start w:val="3"/>
    </w:lvl>
  </w:abstractNum>
  <w:abstractNum w:abstractNumId="78">
    <w:nsid w:val="488AC1A"/>
    <w:multiLevelType w:val="hybridMultilevel"/>
    <w:lvl w:ilvl="0">
      <w:lvlJc w:val="left"/>
      <w:lvlText w:val="(%1)"/>
      <w:numFmt w:val="lowerLetter"/>
      <w:start w:val="1"/>
    </w:lvl>
  </w:abstractNum>
  <w:abstractNum w:abstractNumId="79">
    <w:nsid w:val="5FB8011C"/>
    <w:multiLevelType w:val="hybridMultilevel"/>
    <w:lvl w:ilvl="0">
      <w:lvlJc w:val="left"/>
      <w:lvlText w:val="(%1)"/>
      <w:numFmt w:val="lowerLetter"/>
      <w:start w:val="2"/>
    </w:lvl>
  </w:abstractNum>
  <w:abstractNum w:abstractNumId="80">
    <w:nsid w:val="6AA78F7F"/>
    <w:multiLevelType w:val="hybridMultilevel"/>
    <w:lvl w:ilvl="0">
      <w:lvlJc w:val="left"/>
      <w:lvlText w:val="(%1)"/>
      <w:numFmt w:val="lowerLetter"/>
      <w:start w:val="3"/>
    </w:lvl>
  </w:abstractNum>
  <w:abstractNum w:abstractNumId="81">
    <w:nsid w:val="7672BD23"/>
    <w:multiLevelType w:val="hybridMultilevel"/>
    <w:lvl w:ilvl="0">
      <w:lvlJc w:val="left"/>
      <w:lvlText w:val="(%1)"/>
      <w:numFmt w:val="lowerLetter"/>
      <w:start w:val="1"/>
    </w:lvl>
  </w:abstractNum>
  <w:abstractNum w:abstractNumId="82">
    <w:nsid w:val="6FC75AF8"/>
    <w:multiLevelType w:val="hybridMultilevel"/>
    <w:lvl w:ilvl="0">
      <w:lvlJc w:val="left"/>
      <w:lvlText w:val=" "/>
      <w:numFmt w:val="bullet"/>
      <w:start w:val="1"/>
    </w:lvl>
  </w:abstractNum>
  <w:abstractNum w:abstractNumId="83">
    <w:nsid w:val="6A5F7029"/>
    <w:multiLevelType w:val="hybridMultilevel"/>
    <w:lvl w:ilvl="0">
      <w:lvlJc w:val="left"/>
      <w:lvlText w:val="(%1)"/>
      <w:numFmt w:val="lowerLetter"/>
      <w:start w:val="5"/>
    </w:lvl>
  </w:abstractNum>
  <w:abstractNum w:abstractNumId="84">
    <w:nsid w:val="7D5E18F8"/>
    <w:multiLevelType w:val="hybridMultilevel"/>
    <w:lvl w:ilvl="0">
      <w:lvlJc w:val="left"/>
      <w:lvlText w:val="(%1)"/>
      <w:numFmt w:val="lowerLetter"/>
      <w:start w:val="11"/>
    </w:lvl>
  </w:abstractNum>
  <w:abstractNum w:abstractNumId="85">
    <w:nsid w:val="5F3534A4"/>
    <w:multiLevelType w:val="hybridMultilevel"/>
    <w:lvl w:ilvl="0">
      <w:lvlJc w:val="left"/>
      <w:lvlText w:val="(%1)"/>
      <w:numFmt w:val="lowerLetter"/>
      <w:start w:val="15"/>
    </w:lvl>
  </w:abstractNum>
  <w:abstractNum w:abstractNumId="86">
    <w:nsid w:val="73A1821B"/>
    <w:multiLevelType w:val="hybridMultilevel"/>
    <w:lvl w:ilvl="0">
      <w:lvlJc w:val="left"/>
      <w:lvlText w:val="(%1)"/>
      <w:numFmt w:val="lowerLetter"/>
      <w:start w:val="18"/>
    </w:lvl>
  </w:abstractNum>
  <w:abstractNum w:abstractNumId="87">
    <w:nsid w:val="7DE67713"/>
    <w:multiLevelType w:val="hybridMultilevel"/>
    <w:lvl w:ilvl="0">
      <w:lvlJc w:val="left"/>
      <w:lvlText w:val="%1."/>
      <w:numFmt w:val="decimal"/>
      <w:start w:val="1"/>
    </w:lvl>
  </w:abstractNum>
  <w:abstractNum w:abstractNumId="88">
    <w:nsid w:val="555C55B5"/>
    <w:multiLevelType w:val="hybridMultilevel"/>
    <w:lvl w:ilvl="0">
      <w:lvlJc w:val="left"/>
      <w:lvlText w:val="•"/>
      <w:numFmt w:val="bullet"/>
      <w:start w:val="1"/>
    </w:lvl>
    <w:lvl w:ilvl="1">
      <w:lvlJc w:val="left"/>
      <w:lvlText w:val="%2."/>
      <w:numFmt w:val="decimal"/>
      <w:start w:val="2"/>
    </w:lvl>
  </w:abstractNum>
  <w:abstractNum w:abstractNumId="89">
    <w:nsid w:val="3FA62ACA"/>
    <w:multiLevelType w:val="hybridMultilevel"/>
    <w:lvl w:ilvl="0">
      <w:lvlJc w:val="left"/>
      <w:lvlText w:val="%1."/>
      <w:numFmt w:val="decimal"/>
      <w:start w:val="3"/>
    </w:lvl>
  </w:abstractNum>
  <w:abstractNum w:abstractNumId="90">
    <w:nsid w:val="14FCE74E"/>
    <w:multiLevelType w:val="hybridMultilevel"/>
    <w:lvl w:ilvl="0">
      <w:lvlJc w:val="left"/>
      <w:lvlText w:val="☐"/>
      <w:numFmt w:val="bullet"/>
      <w:start w:val="1"/>
    </w:lvl>
    <w:lvl w:ilvl="1">
      <w:lvlJc w:val="left"/>
      <w:lvlText w:val="•"/>
      <w:numFmt w:val="bullet"/>
      <w:start w:val="1"/>
    </w:lvl>
    <w:lvl w:ilvl="2">
      <w:lvlJc w:val="left"/>
      <w:lvlText w:val="%3."/>
      <w:numFmt w:val="decimal"/>
      <w:start w:val="4"/>
    </w:lvl>
  </w:abstractNum>
  <w:abstractNum w:abstractNumId="91">
    <w:nsid w:val="6A3DD3E8"/>
    <w:multiLevelType w:val="hybridMultilevel"/>
    <w:lvl w:ilvl="0">
      <w:lvlJc w:val="left"/>
      <w:lvlText w:val="%1."/>
      <w:numFmt w:val="decimal"/>
      <w:start w:val="5"/>
    </w:lvl>
  </w:abstractNum>
  <w:abstractNum w:abstractNumId="92">
    <w:nsid w:val="71C91298"/>
    <w:multiLevelType w:val="hybridMultilevel"/>
    <w:lvl w:ilvl="0">
      <w:lvlJc w:val="left"/>
      <w:lvlText w:val="•"/>
      <w:numFmt w:val="bullet"/>
      <w:start w:val="1"/>
    </w:lvl>
    <w:lvl w:ilvl="1">
      <w:lvlJc w:val="left"/>
      <w:lvlText w:val="%2."/>
      <w:numFmt w:val="decimal"/>
      <w:start w:val="7"/>
    </w:lvl>
  </w:abstractNum>
  <w:abstractNum w:abstractNumId="93">
    <w:nsid w:val="9DAF632"/>
    <w:multiLevelType w:val="hybridMultilevel"/>
    <w:lvl w:ilvl="0">
      <w:lvlJc w:val="left"/>
      <w:lvlText w:val=" "/>
      <w:numFmt w:val="bullet"/>
      <w:start w:val="1"/>
    </w:lvl>
  </w:abstractNum>
  <w:abstractNum w:abstractNumId="94">
    <w:nsid w:val="53299938"/>
    <w:multiLevelType w:val="hybridMultilevel"/>
    <w:lvl w:ilvl="0">
      <w:lvlJc w:val="left"/>
      <w:lvlText w:val="•"/>
      <w:numFmt w:val="bullet"/>
      <w:start w:val="1"/>
    </w:lvl>
    <w:lvl w:ilvl="1">
      <w:lvlJc w:val="left"/>
      <w:lvlText w:val="%2."/>
      <w:numFmt w:val="decimal"/>
      <w:start w:val="8"/>
    </w:lvl>
  </w:abstractNum>
  <w:abstractNum w:abstractNumId="95">
    <w:nsid w:val="1FBFE8E0"/>
    <w:multiLevelType w:val="hybridMultilevel"/>
    <w:lvl w:ilvl="0">
      <w:lvlJc w:val="left"/>
      <w:lvlText w:val="*"/>
      <w:numFmt w:val="bullet"/>
      <w:start w:val="1"/>
    </w:lvl>
  </w:abstractNum>
  <w:abstractNum w:abstractNumId="96">
    <w:nsid w:val="5092CA79"/>
    <w:multiLevelType w:val="hybridMultilevel"/>
    <w:lvl w:ilvl="0">
      <w:lvlJc w:val="left"/>
      <w:lvlText w:val="•"/>
      <w:numFmt w:val="bullet"/>
      <w:start w:val="1"/>
    </w:lvl>
  </w:abstractNum>
  <w:abstractNum w:abstractNumId="97">
    <w:nsid w:val="1D545C4D"/>
    <w:multiLevelType w:val="hybridMultilevel"/>
    <w:lvl w:ilvl="0">
      <w:lvlJc w:val="left"/>
      <w:lvlText w:val="•"/>
      <w:numFmt w:val="bullet"/>
      <w:start w:val="1"/>
    </w:lvl>
  </w:abstractNum>
  <w:abstractNum w:abstractNumId="98">
    <w:nsid w:val="59ADEA3D"/>
    <w:multiLevelType w:val="hybridMultilevel"/>
    <w:lvl w:ilvl="0">
      <w:lvlJc w:val="left"/>
      <w:lvlText w:val="•"/>
      <w:numFmt w:val="bullet"/>
      <w:start w:val="1"/>
    </w:lvl>
  </w:abstractNum>
  <w:abstractNum w:abstractNumId="99">
    <w:nsid w:val="288F1A34"/>
    <w:multiLevelType w:val="hybridMultilevel"/>
    <w:lvl w:ilvl="0">
      <w:lvlJc w:val="left"/>
      <w:lvlText w:val=" "/>
      <w:numFmt w:val="bullet"/>
      <w:start w:val="1"/>
    </w:lvl>
  </w:abstractNum>
  <w:abstractNum w:abstractNumId="100">
    <w:nsid w:val="2A155DBC"/>
    <w:multiLevelType w:val="hybridMultilevel"/>
    <w:lvl w:ilvl="0">
      <w:lvlJc w:val="left"/>
      <w:lvlText w:val="(%1)"/>
      <w:numFmt w:val="decimal"/>
      <w:start w:val="888"/>
    </w:lvl>
    <w:lvl w:ilvl="1">
      <w:lvlJc w:val="left"/>
      <w:lvlText w:val="*"/>
      <w:numFmt w:val="bullet"/>
      <w:start w:val="1"/>
    </w:lvl>
  </w:abstractNum>
  <w:abstractNum w:abstractNumId="101">
    <w:nsid w:val="1D9F6E5F"/>
    <w:multiLevelType w:val="hybridMultilevel"/>
    <w:lvl w:ilvl="0">
      <w:lvlJc w:val="left"/>
      <w:lvlText w:val="•"/>
      <w:numFmt w:val="bullet"/>
      <w:start w:val="1"/>
    </w:lvl>
  </w:abstractNum>
  <w:abstractNum w:abstractNumId="102">
    <w:nsid w:val="97E1B4E"/>
    <w:multiLevelType w:val="hybridMultilevel"/>
    <w:lvl w:ilvl="0">
      <w:lvlJc w:val="left"/>
      <w:lvlText w:val="•"/>
      <w:numFmt w:val="bullet"/>
      <w:start w:val="1"/>
    </w:lvl>
  </w:abstractNum>
  <w:abstractNum w:abstractNumId="103">
    <w:nsid w:val="51088277"/>
    <w:multiLevelType w:val="hybridMultilevel"/>
    <w:lvl w:ilvl="0">
      <w:lvlJc w:val="left"/>
      <w:lvlText w:val="●"/>
      <w:numFmt w:val="bullet"/>
      <w:start w:val="1"/>
    </w:lvl>
  </w:abstractNum>
  <w:abstractNum w:abstractNumId="104">
    <w:nsid w:val="1CA0C5FA"/>
    <w:multiLevelType w:val="hybridMultilevel"/>
    <w:lvl w:ilvl="0">
      <w:lvlJc w:val="left"/>
      <w:lvlText w:val="•"/>
      <w:numFmt w:val="bullet"/>
      <w:start w:val="1"/>
    </w:lvl>
  </w:abstractNum>
  <w:abstractNum w:abstractNumId="105">
    <w:nsid w:val="53584BCB"/>
    <w:multiLevelType w:val="hybridMultilevel"/>
    <w:lvl w:ilvl="0">
      <w:lvlJc w:val="left"/>
      <w:lvlText w:val="1"/>
      <w:numFmt w:val="bullet"/>
      <w:start w:val="1"/>
    </w:lvl>
  </w:abstractNum>
  <w:abstractNum w:abstractNumId="106">
    <w:nsid w:val="415E286C"/>
    <w:multiLevelType w:val="hybridMultilevel"/>
    <w:lvl w:ilvl="0">
      <w:lvlJc w:val="left"/>
      <w:lvlText w:val="2"/>
      <w:numFmt w:val="bullet"/>
      <w:start w:val="1"/>
    </w:lvl>
  </w:abstractNum>
  <w:abstractNum w:abstractNumId="107">
    <w:nsid w:val="7C58FD05"/>
    <w:multiLevelType w:val="hybridMultilevel"/>
    <w:lvl w:ilvl="0">
      <w:lvlJc w:val="left"/>
      <w:lvlText w:val="·"/>
      <w:numFmt w:val="bullet"/>
      <w:start w:val="1"/>
    </w:lvl>
  </w:abstractNum>
  <w:abstractNum w:abstractNumId="108">
    <w:nsid w:val="23D86AAC"/>
    <w:multiLevelType w:val="hybridMultilevel"/>
    <w:lvl w:ilvl="0">
      <w:lvlJc w:val="left"/>
      <w:lvlText w:val="·"/>
      <w:numFmt w:val="bullet"/>
      <w:start w:val="1"/>
    </w:lvl>
  </w:abstractNum>
  <w:abstractNum w:abstractNumId="109">
    <w:nsid w:val="45E6D486"/>
    <w:multiLevelType w:val="hybridMultilevel"/>
    <w:lvl w:ilvl="0">
      <w:lvlJc w:val="left"/>
      <w:lvlText w:val="·"/>
      <w:numFmt w:val="bullet"/>
      <w:start w:val="1"/>
    </w:lvl>
  </w:abstractNum>
  <w:abstractNum w:abstractNumId="110">
    <w:nsid w:val="5C10FE21"/>
    <w:multiLevelType w:val="hybridMultilevel"/>
    <w:lvl w:ilvl="0">
      <w:lvlJc w:val="left"/>
      <w:lvlText w:val="·"/>
      <w:numFmt w:val="bullet"/>
      <w:start w:val="1"/>
    </w:lvl>
  </w:abstractNum>
  <w:abstractNum w:abstractNumId="111">
    <w:nsid w:val="E7FFA2B"/>
    <w:multiLevelType w:val="hybridMultilevel"/>
    <w:lvl w:ilvl="0">
      <w:lvlJc w:val="left"/>
      <w:lvlText w:val="·"/>
      <w:numFmt w:val="bullet"/>
      <w:start w:val="1"/>
    </w:lvl>
  </w:abstractNum>
  <w:abstractNum w:abstractNumId="112">
    <w:nsid w:val="3C5991AA"/>
    <w:multiLevelType w:val="hybridMultilevel"/>
    <w:lvl w:ilvl="0">
      <w:lvlJc w:val="left"/>
      <w:lvlText w:val="·"/>
      <w:numFmt w:val="bullet"/>
      <w:start w:val="1"/>
    </w:lvl>
  </w:abstractNum>
  <w:abstractNum w:abstractNumId="113">
    <w:nsid w:val="4BD8591A"/>
    <w:multiLevelType w:val="hybridMultilevel"/>
    <w:lvl w:ilvl="0">
      <w:lvlJc w:val="left"/>
      <w:lvlText w:val="·"/>
      <w:numFmt w:val="bullet"/>
      <w:start w:val="1"/>
    </w:lvl>
  </w:abstractNum>
  <w:abstractNum w:abstractNumId="114">
    <w:nsid w:val="78DF6A55"/>
    <w:multiLevelType w:val="hybridMultilevel"/>
    <w:lvl w:ilvl="0">
      <w:lvlJc w:val="left"/>
      <w:lvlText w:val="·"/>
      <w:numFmt w:val="bullet"/>
      <w:start w:val="1"/>
    </w:lvl>
  </w:abstractNum>
  <w:abstractNum w:abstractNumId="115">
    <w:nsid w:val="39B7AAA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6" Type="http://schemas.openxmlformats.org/officeDocument/2006/relationships/image" Target="media/image298.png"/><Relationship Id="rId308" Type="http://schemas.openxmlformats.org/officeDocument/2006/relationships/image" Target="media/image299.png"/><Relationship Id="rId322" Type="http://schemas.openxmlformats.org/officeDocument/2006/relationships/image" Target="media/image300.png"/><Relationship Id="rId325" Type="http://schemas.openxmlformats.org/officeDocument/2006/relationships/image" Target="media/image301.png"/><Relationship Id="rId326" Type="http://schemas.openxmlformats.org/officeDocument/2006/relationships/image" Target="media/image302.png"/><Relationship Id="rId327" Type="http://schemas.openxmlformats.org/officeDocument/2006/relationships/image" Target="media/image303.png"/><Relationship Id="rId328" Type="http://schemas.openxmlformats.org/officeDocument/2006/relationships/image" Target="media/image304.png"/><Relationship Id="rId329" Type="http://schemas.openxmlformats.org/officeDocument/2006/relationships/image" Target="media/image305.png"/><Relationship Id="rId330" Type="http://schemas.openxmlformats.org/officeDocument/2006/relationships/image" Target="media/image306.png"/><Relationship Id="rId331" Type="http://schemas.openxmlformats.org/officeDocument/2006/relationships/image" Target="media/image307.png"/><Relationship Id="rId332" Type="http://schemas.openxmlformats.org/officeDocument/2006/relationships/image" Target="media/image308.png"/><Relationship Id="rId333" Type="http://schemas.openxmlformats.org/officeDocument/2006/relationships/image" Target="media/image309.png"/><Relationship Id="rId334" Type="http://schemas.openxmlformats.org/officeDocument/2006/relationships/image" Target="media/image310.png"/><Relationship Id="rId335" Type="http://schemas.openxmlformats.org/officeDocument/2006/relationships/image" Target="media/image311.png"/><Relationship Id="rId336" Type="http://schemas.openxmlformats.org/officeDocument/2006/relationships/image" Target="media/image312.png"/><Relationship Id="rId337" Type="http://schemas.openxmlformats.org/officeDocument/2006/relationships/image" Target="media/image313.png"/><Relationship Id="rId338" Type="http://schemas.openxmlformats.org/officeDocument/2006/relationships/image" Target="media/image314.png"/><Relationship Id="rId339" Type="http://schemas.openxmlformats.org/officeDocument/2006/relationships/image" Target="media/image315.png"/><Relationship Id="rId340" Type="http://schemas.openxmlformats.org/officeDocument/2006/relationships/image" Target="media/image316.png"/><Relationship Id="rId341" Type="http://schemas.openxmlformats.org/officeDocument/2006/relationships/image" Target="media/image317.png"/><Relationship Id="rId342" Type="http://schemas.openxmlformats.org/officeDocument/2006/relationships/image" Target="media/image318.png"/><Relationship Id="rId343" Type="http://schemas.openxmlformats.org/officeDocument/2006/relationships/image" Target="media/image319.png"/><Relationship Id="rId344" Type="http://schemas.openxmlformats.org/officeDocument/2006/relationships/image" Target="media/image320.png"/><Relationship Id="rId345" Type="http://schemas.openxmlformats.org/officeDocument/2006/relationships/image" Target="media/image321.png"/><Relationship Id="rId346" Type="http://schemas.openxmlformats.org/officeDocument/2006/relationships/image" Target="media/image322.png"/><Relationship Id="rId347" Type="http://schemas.openxmlformats.org/officeDocument/2006/relationships/image" Target="media/image323.png"/><Relationship Id="rId348" Type="http://schemas.openxmlformats.org/officeDocument/2006/relationships/image" Target="media/image324.png"/><Relationship Id="rId349" Type="http://schemas.openxmlformats.org/officeDocument/2006/relationships/image" Target="media/image325.jpeg"/><Relationship Id="rId350" Type="http://schemas.openxmlformats.org/officeDocument/2006/relationships/image" Target="media/image326.png"/><Relationship Id="rId351" Type="http://schemas.openxmlformats.org/officeDocument/2006/relationships/image" Target="media/image327.png"/><Relationship Id="rId352" Type="http://schemas.openxmlformats.org/officeDocument/2006/relationships/image" Target="media/image328.png"/><Relationship Id="rId353" Type="http://schemas.openxmlformats.org/officeDocument/2006/relationships/image" Target="media/image329.png"/><Relationship Id="rId354" Type="http://schemas.openxmlformats.org/officeDocument/2006/relationships/image" Target="media/image330.png"/><Relationship Id="rId355" Type="http://schemas.openxmlformats.org/officeDocument/2006/relationships/image" Target="media/image331.png"/><Relationship Id="rId356" Type="http://schemas.openxmlformats.org/officeDocument/2006/relationships/image" Target="media/image332.png"/><Relationship Id="rId357" Type="http://schemas.openxmlformats.org/officeDocument/2006/relationships/image" Target="media/image333.png"/><Relationship Id="rId358" Type="http://schemas.openxmlformats.org/officeDocument/2006/relationships/image" Target="media/image334.png"/><Relationship Id="rId359" Type="http://schemas.openxmlformats.org/officeDocument/2006/relationships/image" Target="media/image335.png"/><Relationship Id="rId360" Type="http://schemas.openxmlformats.org/officeDocument/2006/relationships/image" Target="media/image336.png"/><Relationship Id="rId361" Type="http://schemas.openxmlformats.org/officeDocument/2006/relationships/image" Target="media/image337.png"/><Relationship Id="rId362" Type="http://schemas.openxmlformats.org/officeDocument/2006/relationships/image" Target="media/image338.png"/><Relationship Id="rId363" Type="http://schemas.openxmlformats.org/officeDocument/2006/relationships/image" Target="media/image339.png"/><Relationship Id="rId364" Type="http://schemas.openxmlformats.org/officeDocument/2006/relationships/image" Target="media/image340.png"/><Relationship Id="rId365" Type="http://schemas.openxmlformats.org/officeDocument/2006/relationships/image" Target="media/image341.png"/><Relationship Id="rId366" Type="http://schemas.openxmlformats.org/officeDocument/2006/relationships/image" Target="media/image342.png"/><Relationship Id="rId367" Type="http://schemas.openxmlformats.org/officeDocument/2006/relationships/image" Target="media/image343.png"/><Relationship Id="rId368" Type="http://schemas.openxmlformats.org/officeDocument/2006/relationships/image" Target="media/image344.png"/><Relationship Id="rId369" Type="http://schemas.openxmlformats.org/officeDocument/2006/relationships/image" Target="media/image345.jpeg"/><Relationship Id="rId370" Type="http://schemas.openxmlformats.org/officeDocument/2006/relationships/image" Target="media/image346.png"/><Relationship Id="rId371" Type="http://schemas.openxmlformats.org/officeDocument/2006/relationships/image" Target="media/image347.png"/><Relationship Id="rId372" Type="http://schemas.openxmlformats.org/officeDocument/2006/relationships/image" Target="media/image348.png"/><Relationship Id="rId373" Type="http://schemas.openxmlformats.org/officeDocument/2006/relationships/image" Target="media/image349.jpeg"/><Relationship Id="rId374" Type="http://schemas.openxmlformats.org/officeDocument/2006/relationships/image" Target="media/image350.png"/><Relationship Id="rId375" Type="http://schemas.openxmlformats.org/officeDocument/2006/relationships/image" Target="media/image351.jpeg"/><Relationship Id="rId376" Type="http://schemas.openxmlformats.org/officeDocument/2006/relationships/image" Target="media/image352.jpeg"/><Relationship Id="rId377" Type="http://schemas.openxmlformats.org/officeDocument/2006/relationships/image" Target="media/image353.png"/><Relationship Id="rId378" Type="http://schemas.openxmlformats.org/officeDocument/2006/relationships/image" Target="media/image354.png"/><Relationship Id="rId379" Type="http://schemas.openxmlformats.org/officeDocument/2006/relationships/image" Target="media/image355.jpeg"/><Relationship Id="rId380" Type="http://schemas.openxmlformats.org/officeDocument/2006/relationships/image" Target="media/image356.png"/><Relationship Id="rId381" Type="http://schemas.openxmlformats.org/officeDocument/2006/relationships/image" Target="media/image357.png"/><Relationship Id="rId382" Type="http://schemas.openxmlformats.org/officeDocument/2006/relationships/image" Target="media/image358.png"/><Relationship Id="rId383" Type="http://schemas.openxmlformats.org/officeDocument/2006/relationships/image" Target="media/image359.png"/><Relationship Id="rId384" Type="http://schemas.openxmlformats.org/officeDocument/2006/relationships/image" Target="media/image360.png"/><Relationship Id="rId385" Type="http://schemas.openxmlformats.org/officeDocument/2006/relationships/image" Target="media/image361.png"/><Relationship Id="rId386" Type="http://schemas.openxmlformats.org/officeDocument/2006/relationships/image" Target="media/image362.png"/><Relationship Id="rId387" Type="http://schemas.openxmlformats.org/officeDocument/2006/relationships/image" Target="media/image363.png"/><Relationship Id="rId388" Type="http://schemas.openxmlformats.org/officeDocument/2006/relationships/image" Target="media/image364.png"/><Relationship Id="rId389" Type="http://schemas.openxmlformats.org/officeDocument/2006/relationships/image" Target="media/image365.png"/><Relationship Id="rId390" Type="http://schemas.openxmlformats.org/officeDocument/2006/relationships/image" Target="media/image366.png"/><Relationship Id="rId391" Type="http://schemas.openxmlformats.org/officeDocument/2006/relationships/image" Target="media/image367.png"/><Relationship Id="rId392" Type="http://schemas.openxmlformats.org/officeDocument/2006/relationships/image" Target="media/image368.png"/><Relationship Id="rId393" Type="http://schemas.openxmlformats.org/officeDocument/2006/relationships/image" Target="media/image369.png"/><Relationship Id="rId394" Type="http://schemas.openxmlformats.org/officeDocument/2006/relationships/image" Target="media/image370.png"/><Relationship Id="rId395" Type="http://schemas.openxmlformats.org/officeDocument/2006/relationships/image" Target="media/image371.png"/><Relationship Id="rId396" Type="http://schemas.openxmlformats.org/officeDocument/2006/relationships/image" Target="media/image372.png"/><Relationship Id="rId397" Type="http://schemas.openxmlformats.org/officeDocument/2006/relationships/image" Target="media/image373.png"/><Relationship Id="rId398" Type="http://schemas.openxmlformats.org/officeDocument/2006/relationships/image" Target="media/image374.png"/><Relationship Id="rId399" Type="http://schemas.openxmlformats.org/officeDocument/2006/relationships/image" Target="media/image375.png"/><Relationship Id="rId400" Type="http://schemas.openxmlformats.org/officeDocument/2006/relationships/image" Target="media/image376.png"/><Relationship Id="rId401" Type="http://schemas.openxmlformats.org/officeDocument/2006/relationships/image" Target="media/image377.png"/><Relationship Id="rId402" Type="http://schemas.openxmlformats.org/officeDocument/2006/relationships/image" Target="media/image378.png"/><Relationship Id="rId403" Type="http://schemas.openxmlformats.org/officeDocument/2006/relationships/image" Target="media/image379.png"/><Relationship Id="rId404" Type="http://schemas.openxmlformats.org/officeDocument/2006/relationships/image" Target="media/image380.png"/><Relationship Id="rId405" Type="http://schemas.openxmlformats.org/officeDocument/2006/relationships/image" Target="media/image381.png"/><Relationship Id="rId406" Type="http://schemas.openxmlformats.org/officeDocument/2006/relationships/image" Target="media/image382.png"/><Relationship Id="rId407" Type="http://schemas.openxmlformats.org/officeDocument/2006/relationships/image" Target="media/image383.png"/><Relationship Id="rId408" Type="http://schemas.openxmlformats.org/officeDocument/2006/relationships/image" Target="media/image384.png"/><Relationship Id="rId409" Type="http://schemas.openxmlformats.org/officeDocument/2006/relationships/image" Target="media/image385.png"/><Relationship Id="rId410" Type="http://schemas.openxmlformats.org/officeDocument/2006/relationships/image" Target="media/image386.png"/><Relationship Id="rId411" Type="http://schemas.openxmlformats.org/officeDocument/2006/relationships/image" Target="media/image387.png"/><Relationship Id="rId412" Type="http://schemas.openxmlformats.org/officeDocument/2006/relationships/image" Target="media/image388.png"/><Relationship Id="rId413" Type="http://schemas.openxmlformats.org/officeDocument/2006/relationships/image" Target="media/image389.png"/><Relationship Id="rId414" Type="http://schemas.openxmlformats.org/officeDocument/2006/relationships/image" Target="media/image390.png"/><Relationship Id="rId415" Type="http://schemas.openxmlformats.org/officeDocument/2006/relationships/image" Target="media/image391.png"/><Relationship Id="rId416" Type="http://schemas.openxmlformats.org/officeDocument/2006/relationships/image" Target="media/image392.png"/><Relationship Id="rId417" Type="http://schemas.openxmlformats.org/officeDocument/2006/relationships/image" Target="media/image393.png"/><Relationship Id="rId418" Type="http://schemas.openxmlformats.org/officeDocument/2006/relationships/image" Target="media/image394.png"/><Relationship Id="rId419" Type="http://schemas.openxmlformats.org/officeDocument/2006/relationships/image" Target="media/image395.png"/><Relationship Id="rId420" Type="http://schemas.openxmlformats.org/officeDocument/2006/relationships/image" Target="media/image396.png"/><Relationship Id="rId421" Type="http://schemas.openxmlformats.org/officeDocument/2006/relationships/image" Target="media/image397.png"/><Relationship Id="rId422" Type="http://schemas.openxmlformats.org/officeDocument/2006/relationships/image" Target="media/image398.png"/><Relationship Id="rId423" Type="http://schemas.openxmlformats.org/officeDocument/2006/relationships/image" Target="media/image399.png"/><Relationship Id="rId424" Type="http://schemas.openxmlformats.org/officeDocument/2006/relationships/image" Target="media/image400.png"/><Relationship Id="rId425" Type="http://schemas.openxmlformats.org/officeDocument/2006/relationships/image" Target="media/image401.png"/><Relationship Id="rId426" Type="http://schemas.openxmlformats.org/officeDocument/2006/relationships/image" Target="media/image402.png"/><Relationship Id="rId427" Type="http://schemas.openxmlformats.org/officeDocument/2006/relationships/image" Target="media/image403.png"/><Relationship Id="rId428" Type="http://schemas.openxmlformats.org/officeDocument/2006/relationships/image" Target="media/image404.png"/><Relationship Id="rId429" Type="http://schemas.openxmlformats.org/officeDocument/2006/relationships/image" Target="media/image405.png"/><Relationship Id="rId430" Type="http://schemas.openxmlformats.org/officeDocument/2006/relationships/image" Target="media/image406.png"/><Relationship Id="rId431" Type="http://schemas.openxmlformats.org/officeDocument/2006/relationships/image" Target="media/image407.png"/><Relationship Id="rId432" Type="http://schemas.openxmlformats.org/officeDocument/2006/relationships/image" Target="media/image408.png"/><Relationship Id="rId433" Type="http://schemas.openxmlformats.org/officeDocument/2006/relationships/image" Target="media/image409.png"/><Relationship Id="rId434" Type="http://schemas.openxmlformats.org/officeDocument/2006/relationships/image" Target="media/image410.png"/><Relationship Id="rId435" Type="http://schemas.openxmlformats.org/officeDocument/2006/relationships/image" Target="media/image411.png"/><Relationship Id="rId436" Type="http://schemas.openxmlformats.org/officeDocument/2006/relationships/image" Target="media/image412.png"/><Relationship Id="rId437" Type="http://schemas.openxmlformats.org/officeDocument/2006/relationships/image" Target="media/image413.png"/><Relationship Id="rId438" Type="http://schemas.openxmlformats.org/officeDocument/2006/relationships/image" Target="media/image414.png"/><Relationship Id="rId439" Type="http://schemas.openxmlformats.org/officeDocument/2006/relationships/image" Target="media/image415.png"/><Relationship Id="rId440" Type="http://schemas.openxmlformats.org/officeDocument/2006/relationships/image" Target="media/image416.png"/><Relationship Id="rId441" Type="http://schemas.openxmlformats.org/officeDocument/2006/relationships/image" Target="media/image417.png"/><Relationship Id="rId442" Type="http://schemas.openxmlformats.org/officeDocument/2006/relationships/image" Target="media/image418.png"/><Relationship Id="rId443" Type="http://schemas.openxmlformats.org/officeDocument/2006/relationships/image" Target="media/image419.png"/><Relationship Id="rId444" Type="http://schemas.openxmlformats.org/officeDocument/2006/relationships/image" Target="media/image420.png"/><Relationship Id="rId445" Type="http://schemas.openxmlformats.org/officeDocument/2006/relationships/image" Target="media/image421.png"/><Relationship Id="rId446" Type="http://schemas.openxmlformats.org/officeDocument/2006/relationships/image" Target="media/image422.png"/><Relationship Id="rId447" Type="http://schemas.openxmlformats.org/officeDocument/2006/relationships/image" Target="media/image423.png"/><Relationship Id="rId448" Type="http://schemas.openxmlformats.org/officeDocument/2006/relationships/image" Target="media/image424.png"/><Relationship Id="rId449" Type="http://schemas.openxmlformats.org/officeDocument/2006/relationships/image" Target="media/image425.png"/><Relationship Id="rId450" Type="http://schemas.openxmlformats.org/officeDocument/2006/relationships/image" Target="media/image426.png"/><Relationship Id="rId451" Type="http://schemas.openxmlformats.org/officeDocument/2006/relationships/image" Target="media/image427.png"/><Relationship Id="rId452" Type="http://schemas.openxmlformats.org/officeDocument/2006/relationships/image" Target="media/image428.png"/><Relationship Id="rId453" Type="http://schemas.openxmlformats.org/officeDocument/2006/relationships/image" Target="media/image429.png"/><Relationship Id="rId454" Type="http://schemas.openxmlformats.org/officeDocument/2006/relationships/image" Target="media/image430.png"/><Relationship Id="rId455" Type="http://schemas.openxmlformats.org/officeDocument/2006/relationships/image" Target="media/image431.png"/><Relationship Id="rId456" Type="http://schemas.openxmlformats.org/officeDocument/2006/relationships/image" Target="media/image432.png"/><Relationship Id="rId457" Type="http://schemas.openxmlformats.org/officeDocument/2006/relationships/image" Target="media/image433.png"/><Relationship Id="rId458" Type="http://schemas.openxmlformats.org/officeDocument/2006/relationships/image" Target="media/image434.png"/><Relationship Id="rId459" Type="http://schemas.openxmlformats.org/officeDocument/2006/relationships/image" Target="media/image435.png"/><Relationship Id="rId460" Type="http://schemas.openxmlformats.org/officeDocument/2006/relationships/image" Target="media/image436.png"/><Relationship Id="rId461" Type="http://schemas.openxmlformats.org/officeDocument/2006/relationships/image" Target="media/image437.png"/><Relationship Id="rId462" Type="http://schemas.openxmlformats.org/officeDocument/2006/relationships/image" Target="media/image438.png"/><Relationship Id="rId463" Type="http://schemas.openxmlformats.org/officeDocument/2006/relationships/image" Target="media/image439.png"/><Relationship Id="rId464" Type="http://schemas.openxmlformats.org/officeDocument/2006/relationships/image" Target="media/image440.png"/><Relationship Id="rId465" Type="http://schemas.openxmlformats.org/officeDocument/2006/relationships/image" Target="media/image441.png"/><Relationship Id="rId466" Type="http://schemas.openxmlformats.org/officeDocument/2006/relationships/image" Target="media/image442.png"/><Relationship Id="rId467" Type="http://schemas.openxmlformats.org/officeDocument/2006/relationships/image" Target="media/image443.png"/><Relationship Id="rId468" Type="http://schemas.openxmlformats.org/officeDocument/2006/relationships/image" Target="media/image444.png"/><Relationship Id="rId469" Type="http://schemas.openxmlformats.org/officeDocument/2006/relationships/image" Target="media/image445.png"/><Relationship Id="rId470" Type="http://schemas.openxmlformats.org/officeDocument/2006/relationships/image" Target="media/image446.png"/><Relationship Id="rId471" Type="http://schemas.openxmlformats.org/officeDocument/2006/relationships/image" Target="media/image447.png"/><Relationship Id="rId472" Type="http://schemas.openxmlformats.org/officeDocument/2006/relationships/image" Target="media/image448.png"/><Relationship Id="rId473" Type="http://schemas.openxmlformats.org/officeDocument/2006/relationships/image" Target="media/image449.png"/><Relationship Id="rId474" Type="http://schemas.openxmlformats.org/officeDocument/2006/relationships/image" Target="media/image450.png"/><Relationship Id="rId475" Type="http://schemas.openxmlformats.org/officeDocument/2006/relationships/image" Target="media/image451.png"/><Relationship Id="rId476" Type="http://schemas.openxmlformats.org/officeDocument/2006/relationships/image" Target="media/image452.png"/><Relationship Id="rId477" Type="http://schemas.openxmlformats.org/officeDocument/2006/relationships/image" Target="media/image453.png"/><Relationship Id="rId478" Type="http://schemas.openxmlformats.org/officeDocument/2006/relationships/image" Target="media/image454.png"/><Relationship Id="rId479" Type="http://schemas.openxmlformats.org/officeDocument/2006/relationships/image" Target="media/image455.png"/><Relationship Id="rId480" Type="http://schemas.openxmlformats.org/officeDocument/2006/relationships/image" Target="media/image456.png"/><Relationship Id="rId481" Type="http://schemas.openxmlformats.org/officeDocument/2006/relationships/image" Target="media/image457.png"/><Relationship Id="rId482" Type="http://schemas.openxmlformats.org/officeDocument/2006/relationships/image" Target="media/image458.png"/><Relationship Id="rId483" Type="http://schemas.openxmlformats.org/officeDocument/2006/relationships/image" Target="media/image459.png"/><Relationship Id="rId484" Type="http://schemas.openxmlformats.org/officeDocument/2006/relationships/image" Target="media/image460.png"/><Relationship Id="rId485" Type="http://schemas.openxmlformats.org/officeDocument/2006/relationships/image" Target="media/image461.png"/><Relationship Id="rId486" Type="http://schemas.openxmlformats.org/officeDocument/2006/relationships/image" Target="media/image462.png"/><Relationship Id="rId487" Type="http://schemas.openxmlformats.org/officeDocument/2006/relationships/image" Target="media/image463.png"/><Relationship Id="rId488" Type="http://schemas.openxmlformats.org/officeDocument/2006/relationships/image" Target="media/image464.png"/><Relationship Id="rId489" Type="http://schemas.openxmlformats.org/officeDocument/2006/relationships/image" Target="media/image465.png"/><Relationship Id="rId490" Type="http://schemas.openxmlformats.org/officeDocument/2006/relationships/image" Target="media/image466.jpeg"/><Relationship Id="rId491" Type="http://schemas.openxmlformats.org/officeDocument/2006/relationships/image" Target="media/image467.png"/><Relationship Id="rId492" Type="http://schemas.openxmlformats.org/officeDocument/2006/relationships/image" Target="media/image468.png"/><Relationship Id="rId493" Type="http://schemas.openxmlformats.org/officeDocument/2006/relationships/image" Target="media/image469.png"/><Relationship Id="rId494" Type="http://schemas.openxmlformats.org/officeDocument/2006/relationships/image" Target="media/image470.png"/><Relationship Id="rId495" Type="http://schemas.openxmlformats.org/officeDocument/2006/relationships/image" Target="media/image471.png"/><Relationship Id="rId496" Type="http://schemas.openxmlformats.org/officeDocument/2006/relationships/image" Target="media/image472.png"/><Relationship Id="rId497" Type="http://schemas.openxmlformats.org/officeDocument/2006/relationships/image" Target="media/image473.png"/><Relationship Id="rId498" Type="http://schemas.openxmlformats.org/officeDocument/2006/relationships/image" Target="media/image474.png"/><Relationship Id="rId499" Type="http://schemas.openxmlformats.org/officeDocument/2006/relationships/image" Target="media/image475.png"/><Relationship Id="rId500" Type="http://schemas.openxmlformats.org/officeDocument/2006/relationships/image" Target="media/image476.png"/><Relationship Id="rId501" Type="http://schemas.openxmlformats.org/officeDocument/2006/relationships/image" Target="media/image477.png"/><Relationship Id="rId502" Type="http://schemas.openxmlformats.org/officeDocument/2006/relationships/image" Target="media/image478.png"/><Relationship Id="rId503" Type="http://schemas.openxmlformats.org/officeDocument/2006/relationships/image" Target="media/image479.png"/><Relationship Id="rId504" Type="http://schemas.openxmlformats.org/officeDocument/2006/relationships/image" Target="media/image480.png"/><Relationship Id="rId505" Type="http://schemas.openxmlformats.org/officeDocument/2006/relationships/image" Target="media/image481.png"/><Relationship Id="rId506" Type="http://schemas.openxmlformats.org/officeDocument/2006/relationships/image" Target="media/image482.png"/><Relationship Id="rId507" Type="http://schemas.openxmlformats.org/officeDocument/2006/relationships/image" Target="media/image483.png"/><Relationship Id="rId508" Type="http://schemas.openxmlformats.org/officeDocument/2006/relationships/image" Target="media/image484.png"/><Relationship Id="rId509" Type="http://schemas.openxmlformats.org/officeDocument/2006/relationships/image" Target="media/image485.png"/><Relationship Id="rId510" Type="http://schemas.openxmlformats.org/officeDocument/2006/relationships/image" Target="media/image486.png"/><Relationship Id="rId305" Type="http://schemas.openxmlformats.org/officeDocument/2006/relationships/hyperlink" Target="https://www.sec.gov/Archives/edgar/data/1167609/000110465925032924/tm251593d11_nvpfs.htm" TargetMode="External"/><Relationship Id="rId307" Type="http://schemas.openxmlformats.org/officeDocument/2006/relationships/hyperlink" Target="https://www.sec.gov/Archives/edgar/data/1167609/000119312517143398/d360947dex1a.htm" TargetMode="External"/><Relationship Id="rId309" Type="http://schemas.openxmlformats.org/officeDocument/2006/relationships/hyperlink" Target="https://www.sec.gov/Archives/edgar/data/1167609/000119312523095549/d422492dex991bii.htm" TargetMode="External"/><Relationship Id="rId310" Type="http://schemas.openxmlformats.org/officeDocument/2006/relationships/hyperlink" Target="https://www.sec.gov/Archives/edgar/data/1167609/000119312524136095/d725623dex994a.htm" TargetMode="External"/><Relationship Id="rId311" Type="http://schemas.openxmlformats.org/officeDocument/2006/relationships/hyperlink" Target="https://www.sec.gov/Archives/edgar/data/1167609/000119312524136095/d725623dex994b.htm" TargetMode="External"/><Relationship Id="rId312" Type="http://schemas.openxmlformats.org/officeDocument/2006/relationships/hyperlink" Target="https://www.sec.gov/Archives/edgar/data/1167609/000119312524136095/d725623dex994c.htm" TargetMode="External"/><Relationship Id="rId313" Type="http://schemas.openxmlformats.org/officeDocument/2006/relationships/hyperlink" Target="https://www.sec.gov/Archives/edgar/data/1167609/000119312517143398/d360947dex4d.htm" TargetMode="External"/><Relationship Id="rId314" Type="http://schemas.openxmlformats.org/officeDocument/2006/relationships/hyperlink" Target="https://www.sec.gov/Archives/edgar/data/1167609/000119312517143398/d360947dex4e.htm" TargetMode="External"/><Relationship Id="rId315" Type="http://schemas.openxmlformats.org/officeDocument/2006/relationships/hyperlink" Target="https://www.sec.gov/Archives/edgar/data/1167609/000119312524136095/d725623dex994f.htm" TargetMode="External"/><Relationship Id="rId316" Type="http://schemas.openxmlformats.org/officeDocument/2006/relationships/hyperlink" Target="https://www.sec.gov/Archives/edgar/data/1167609/000119312524136095/d725623dex994g.htm" TargetMode="External"/><Relationship Id="rId317" Type="http://schemas.openxmlformats.org/officeDocument/2006/relationships/hyperlink" Target="https://www.sec.gov/Archives/edgar/data/1167609/000119312517143398/d360947dex4h.htm" TargetMode="External"/><Relationship Id="rId318" Type="http://schemas.openxmlformats.org/officeDocument/2006/relationships/hyperlink" Target="https://www.sec.gov/Archives/edgar/data/1167609/000119312517143398/d360947dex4i.htm" TargetMode="External"/><Relationship Id="rId319" Type="http://schemas.openxmlformats.org/officeDocument/2006/relationships/hyperlink" Target="https://www.sec.gov/Archives/edgar/data/1167609/000119312524136095/d725623dex994j.htm" TargetMode="External"/><Relationship Id="rId320" Type="http://schemas.openxmlformats.org/officeDocument/2006/relationships/hyperlink" Target="https://www.sec.gov/Archives/edgar/data/1167609/000119312524136095/d725623dex994k.htm" TargetMode="External"/><Relationship Id="rId321" Type="http://schemas.openxmlformats.org/officeDocument/2006/relationships/hyperlink" Target="https://www.sec.gov/Archives/edgar/data/1167609/000119312524136095/d725623dex994l.htm" TargetMode="External"/><Relationship Id="rId323" Type="http://schemas.openxmlformats.org/officeDocument/2006/relationships/hyperlink" Target="http://www.sec.gov/Archives/edgar/data/1167609/000119312517071686/d353762dex31.htm" TargetMode="External"/><Relationship Id="rId324" Type="http://schemas.openxmlformats.org/officeDocument/2006/relationships/hyperlink" Target="http://www.sec.gov/Archives/edgar/data/1167609/000119312517071686/d353762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2025-04-21T12:11:31Z</dcterms:created>
  <dcterms:modified xsi:type="dcterms:W3CDTF">2025-04-21T12:11:31Z</dcterms:modified>
</cp:coreProperties>
</file>