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160"/>
        <w:ind w:left="0" w:right="0" w:firstLine="36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9026" w:type="dxa"/>
        <w:jc w:val="center"/>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June 30, 2024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 to 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001-37905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drawing>
          <wp:inline distT="0" distB="0" distL="0" distR="0">
            <wp:extent cx="23336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3625" cy="533400"/>
                    </a:xfrm>
                    <a:prstGeom prst="rect">
                      <a:avLst/>
                    </a:prstGeom>
                  </pic:spPr>
                </pic:pic>
              </a:graphicData>
            </a:graphic>
          </wp:inline>
        </w:drawing>
      </w:r>
    </w:p>
    <w:p>
      <w:pPr>
        <w:pStyle w:val="TextBody"/>
        <w:bidi w:val="0"/>
        <w:spacing w:lineRule="auto" w:line="216"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Brighthouse Financial, Inc. </w:t>
      </w:r>
    </w:p>
    <w:p>
      <w:pPr>
        <w:pStyle w:val="TextBody"/>
        <w:bidi w:val="0"/>
        <w:spacing w:lineRule="auto" w:line="288" w:before="60" w:after="283"/>
        <w:ind w:left="0" w:right="0" w:firstLine="360"/>
        <w:jc w:val="center"/>
        <w:rPr>
          <w:rFonts w:ascii="Times New Roman;sans-serif" w:hAnsi="Times New Roman;sans-serif"/>
          <w:b w:val="false"/>
          <w:i/>
          <w:color w:val="000000"/>
          <w:sz w:val="16"/>
        </w:rPr>
      </w:pPr>
      <w:r>
        <w:rPr>
          <w:rFonts w:ascii="Times New Roman;sans-serif" w:hAnsi="Times New Roman;sans-serif"/>
          <w:b w:val="false"/>
          <w:i/>
          <w:color w:val="000000"/>
          <w:sz w:val="16"/>
        </w:rPr>
        <w:t>(Exact name of registrant as specified in its charter)</w:t>
      </w:r>
    </w:p>
    <w:tbl>
      <w:tblPr>
        <w:tblW w:w="7836" w:type="dxa"/>
        <w:jc w:val="center"/>
        <w:tblInd w:w="0" w:type="dxa"/>
        <w:tblLayout w:type="fixed"/>
        <w:tblCellMar>
          <w:top w:w="28" w:type="dxa"/>
          <w:left w:w="28" w:type="dxa"/>
          <w:bottom w:w="28" w:type="dxa"/>
          <w:right w:w="28" w:type="dxa"/>
        </w:tblCellMar>
      </w:tblPr>
      <w:tblGrid>
        <w:gridCol w:w="606"/>
        <w:gridCol w:w="533"/>
        <w:gridCol w:w="533"/>
        <w:gridCol w:w="533"/>
        <w:gridCol w:w="533"/>
        <w:gridCol w:w="533"/>
        <w:gridCol w:w="533"/>
        <w:gridCol w:w="533"/>
        <w:gridCol w:w="547"/>
        <w:gridCol w:w="109"/>
        <w:gridCol w:w="109"/>
        <w:gridCol w:w="109"/>
        <w:gridCol w:w="765"/>
        <w:gridCol w:w="765"/>
        <w:gridCol w:w="1095"/>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81-3846992</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(I.R.S. Employer Identification No.)</w:t>
            </w:r>
          </w:p>
        </w:tc>
      </w:tr>
      <w:tr>
        <w:trPr/>
        <w:tc>
          <w:tcPr>
            <w:tcW w:w="488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11225 North Community House Road, Charlotte, 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ans-serif" w:hAnsi="Times New Roman;sans-serif"/>
                <w:b/>
                <w:color w:val="000000"/>
                <w:sz w:val="16"/>
              </w:rPr>
            </w:pPr>
            <w:r>
              <w:rPr>
                <w:rFonts w:ascii="Times New Roman;sans-serif" w:hAnsi="Times New Roman;sans-serif"/>
                <w:b/>
                <w:color w:val="000000"/>
                <w:sz w:val="16"/>
              </w:rPr>
              <w:t>28277</w:t>
            </w:r>
          </w:p>
        </w:tc>
      </w:tr>
      <w:tr>
        <w:trPr/>
        <w:tc>
          <w:tcPr>
            <w:tcW w:w="4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(Zip Code)</w:t>
            </w:r>
          </w:p>
        </w:tc>
      </w:tr>
    </w:tbl>
    <w:p>
      <w:pPr>
        <w:pStyle w:val="TextBody"/>
        <w:bidi w:val="0"/>
        <w:spacing w:lineRule="auto" w:line="288" w:before="2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 xml:space="preserve">(980) 365-7100 </w:t>
      </w:r>
    </w:p>
    <w:p>
      <w:pPr>
        <w:pStyle w:val="TextBody"/>
        <w:bidi w:val="0"/>
        <w:spacing w:lineRule="auto" w:line="288" w:before="0" w:after="0"/>
        <w:jc w:val="center"/>
        <w:rPr>
          <w:rFonts w:ascii="Times New Roman;sans-serif" w:hAnsi="Times New Roman;sans-serif"/>
          <w:b w:val="false"/>
          <w:i/>
          <w:color w:val="000000"/>
          <w:sz w:val="14"/>
        </w:rPr>
      </w:pPr>
      <w:r>
        <w:rPr>
          <w:rFonts w:ascii="Times New Roman;sans-serif" w:hAnsi="Times New Roman;sans-serif"/>
          <w:b w:val="false"/>
          <w:i/>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442"/>
        <w:gridCol w:w="2094"/>
        <w:gridCol w:w="2112"/>
        <w:gridCol w:w="370"/>
        <w:gridCol w:w="370"/>
        <w:gridCol w:w="372"/>
        <w:gridCol w:w="714"/>
        <w:gridCol w:w="714"/>
        <w:gridCol w:w="1017"/>
      </w:tblGrid>
      <w:tr>
        <w:trPr/>
        <w:tc>
          <w:tcPr>
            <w:tcW w:w="244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Title of each class</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Trading symbol(s)</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u w:val="single"/>
              </w:rPr>
            </w:pPr>
            <w:r>
              <w:rPr>
                <w:rFonts w:ascii="Times New Roman;sans-serif" w:hAnsi="Times New Roman;sans-serif"/>
                <w:b w:val="false"/>
                <w:color w:val="000000"/>
                <w:sz w:val="14"/>
                <w:u w:val="single"/>
              </w:rPr>
              <w:t>Name of each exchange on which registered</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 par value $0.01 per share</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6.600% Non-Cumulative Preferred Stock, Series A</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BHFAP</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6.750% Non-Cumulative Preferred Stock, Series B</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BHFAO</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5.375% Non-Cumulative Preferred Stock, Series C</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Depositary Shares, each representing a 1/1,000th interest in a share of 4.625% Non-Cumulative Preferred Stock, Series D</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BHFAM</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r>
        <w:trPr/>
        <w:tc>
          <w:tcPr>
            <w:tcW w:w="6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6.250% Junior Subordinated Debentures due 2058</w:t>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BHFAL</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The Nasdaq Stock Market LLC</w:t>
            </w:r>
          </w:p>
        </w:tc>
      </w:tr>
    </w:tbl>
    <w:p>
      <w:pPr>
        <w:pStyle w:val="TextBody"/>
        <w:bidi w:val="0"/>
        <w:spacing w:lineRule="auto" w:line="288" w:before="20" w:after="283"/>
        <w:jc w:val="both"/>
        <w:rPr/>
      </w:pPr>
      <w:r>
        <w:rPr>
          <w:rFonts w:ascii="Times New Roman;sans-serif" w:hAnsi="Times New Roman;sans-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4"/>
        </w:rPr>
        <w:t xml:space="preserve">No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054" w:type="dxa"/>
        <w:jc w:val="center"/>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421"/>
        <w:gridCol w:w="421"/>
        <w:gridCol w:w="423"/>
        <w:gridCol w:w="133"/>
        <w:gridCol w:w="133"/>
        <w:gridCol w:w="133"/>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Accelerated filer</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4"/>
              </w:rPr>
            </w:pPr>
            <w:r>
              <w:rPr>
                <w:rFonts w:ascii="Times New Roman;sans-serif" w:hAnsi="Times New Roman;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Times New Roman;sans-serif" w:hAnsi="Times New Roman;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both"/>
        <w:rPr/>
      </w:pPr>
      <w:r>
        <w:rPr>
          <w:rFonts w:ascii="Times New Roman;sans-serif" w:hAnsi="Times New Roman;sans-serif"/>
          <w:b w:val="false"/>
          <w:color w:val="000000"/>
          <w:sz w:val="14"/>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4"/>
        </w:rPr>
        <w:t>No </w:t>
      </w:r>
      <w:r>
        <w:rPr>
          <w:color w:val="000000"/>
        </w:rPr>
        <w:t>☑</w:t>
      </w:r>
    </w:p>
    <w:p>
      <w:pPr>
        <w:pStyle w:val="TextBody"/>
        <w:bidi w:val="0"/>
        <w:spacing w:lineRule="auto" w:line="288" w:before="120" w:after="283"/>
        <w:jc w:val="both"/>
        <w:rPr>
          <w:rFonts w:ascii="Times New Roman;sans-serif" w:hAnsi="Times New Roman;sans-serif"/>
          <w:b w:val="false"/>
          <w:color w:val="000000"/>
          <w:sz w:val="14"/>
        </w:rPr>
      </w:pPr>
      <w:r>
        <w:rPr>
          <w:rFonts w:ascii="Times New Roman;sans-serif" w:hAnsi="Times New Roman;sans-serif"/>
          <w:b w:val="false"/>
          <w:color w:val="000000"/>
          <w:sz w:val="14"/>
        </w:rPr>
        <w:t>As of August 2, 2024, 60,755,949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before="180" w:after="160"/>
        <w:ind w:left="0" w:right="0" w:firstLine="36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76"/>
        <w:gridCol w:w="328"/>
        <w:gridCol w:w="328"/>
        <w:gridCol w:w="3179"/>
        <w:gridCol w:w="2727"/>
        <w:gridCol w:w="2692"/>
        <w:gridCol w:w="167"/>
        <w:gridCol w:w="167"/>
        <w:gridCol w:w="241"/>
      </w:tblGrid>
      <w:tr>
        <w:trPr/>
        <w:tc>
          <w:tcPr>
            <w:tcW w:w="3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10">
              <w:r>
                <w:rPr>
                  <w:rStyle w:val="InternetLink"/>
                  <w:rFonts w:ascii="Times New Roman;sans-serif" w:hAnsi="Times New Roman;sans-serif"/>
                  <w:b/>
                  <w:color w:val="0000FF"/>
                  <w:sz w:val="20"/>
                  <w:u w:val="single"/>
                </w:rPr>
                <w:t>Part I —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(at June 30, 2024 (Unaudited) and December 31, 2023 and for the Three Months and Six Months Ended June 30, 2024 and 2023 (Unaudited)):</w:t>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bd44759c482d44cf89a39fac776337ae_16">
              <w:r>
                <w:rPr>
                  <w:rStyle w:val="InternetLink"/>
                  <w:rFonts w:ascii="Times New Roman;sans-serif" w:hAnsi="Times New Roman;sans-serif"/>
                  <w:b w:val="false"/>
                  <w:color w:val="0000FF"/>
                  <w:sz w:val="20"/>
                  <w:u w:val="single"/>
                </w:rPr>
                <w:t>Interim 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16">
              <w:r>
                <w:rPr>
                  <w:rStyle w:val="InternetLink"/>
                  <w:rFonts w:ascii="Times New Roman;sans-serif" w:hAnsi="Times New Roman;sans-serif"/>
                  <w:b w:val="false"/>
                  <w:color w:val="0000FF"/>
                  <w:sz w:val="20"/>
                  <w:u w:val="single"/>
                </w:rPr>
                <w:t>2</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bd44759c482d44cf89a39fac776337ae_19">
              <w:r>
                <w:rPr>
                  <w:rStyle w:val="InternetLink"/>
                  <w:rFonts w:ascii="Times New Roman;sans-serif" w:hAnsi="Times New Roman;sans-serif"/>
                  <w:b w:val="false"/>
                  <w:color w:val="0000FF"/>
                  <w:sz w:val="20"/>
                  <w:u w:val="single"/>
                </w:rPr>
                <w:t>Interim Condensed Consolidated Statements of Operations and Comprehensive Income (Loss)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19">
              <w:r>
                <w:rPr>
                  <w:rStyle w:val="InternetLink"/>
                  <w:rFonts w:ascii="Times New Roman;sans-serif" w:hAnsi="Times New Roman;sans-serif"/>
                  <w:b w:val="false"/>
                  <w:color w:val="0000FF"/>
                  <w:sz w:val="20"/>
                  <w:u w:val="single"/>
                </w:rPr>
                <w:t>3</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bd44759c482d44cf89a39fac776337ae_25">
              <w:r>
                <w:rPr>
                  <w:rStyle w:val="InternetLink"/>
                  <w:rFonts w:ascii="Times New Roman;sans-serif" w:hAnsi="Times New Roman;sans-serif"/>
                  <w:b w:val="false"/>
                  <w:color w:val="0000FF"/>
                  <w:sz w:val="20"/>
                  <w:u w:val="single"/>
                </w:rPr>
                <w:t>Interim Condensed Consolidated Statements of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5">
              <w:r>
                <w:rPr>
                  <w:rStyle w:val="InternetLink"/>
                  <w:rFonts w:ascii="Times New Roman;sans-serif" w:hAnsi="Times New Roman;sans-serif"/>
                  <w:b w:val="false"/>
                  <w:color w:val="0000FF"/>
                  <w:sz w:val="20"/>
                  <w:u w:val="single"/>
                </w:rPr>
                <w:t>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bd44759c482d44cf89a39fac776337ae_28">
              <w:r>
                <w:rPr>
                  <w:rStyle w:val="InternetLink"/>
                  <w:rFonts w:ascii="Times New Roman;sans-serif" w:hAnsi="Times New Roman;sans-serif"/>
                  <w:b w:val="false"/>
                  <w:color w:val="0000FF"/>
                  <w:sz w:val="20"/>
                  <w:u w:val="single"/>
                </w:rPr>
                <w:t>Interim 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8">
              <w:r>
                <w:rPr>
                  <w:rStyle w:val="InternetLink"/>
                  <w:rFonts w:ascii="Times New Roman;sans-serif" w:hAnsi="Times New Roman;sans-serif"/>
                  <w:b w:val="false"/>
                  <w:color w:val="0000FF"/>
                  <w:sz w:val="20"/>
                  <w:u w:val="single"/>
                </w:rPr>
                <w:t>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ibd44759c482d44cf89a39fac776337ae_31">
              <w:r>
                <w:rPr>
                  <w:rStyle w:val="InternetLink"/>
                  <w:rFonts w:ascii="Times New Roman;sans-serif" w:hAnsi="Times New Roman;sans-serif"/>
                  <w:b w:val="false"/>
                  <w:color w:val="0000FF"/>
                  <w:sz w:val="20"/>
                  <w:u w:val="single"/>
                </w:rPr>
                <w:t>Notes to the Interim Condensed Consolidated Financial Statements (Unaudited):</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31">
              <w:r>
                <w:rPr>
                  <w:rStyle w:val="InternetLink"/>
                  <w:rFonts w:ascii="Times New Roman;sans-serif" w:hAnsi="Times New Roman;sans-serif"/>
                  <w:b w:val="false"/>
                  <w:color w:val="0000FF"/>
                  <w:sz w:val="20"/>
                  <w:u w:val="single"/>
                </w:rPr>
                <w:t>Note 1 — Business, Basis of Presentation and Summary of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1">
              <w:r>
                <w:rPr>
                  <w:rStyle w:val="InternetLink"/>
                  <w:rFonts w:ascii="Times New Roman;sans-serif" w:hAnsi="Times New Roman;sans-serif"/>
                  <w:b w:val="false"/>
                  <w:color w:val="0000FF"/>
                  <w:sz w:val="20"/>
                  <w:u w:val="single"/>
                </w:rPr>
                <w:t>6</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37">
              <w:r>
                <w:rPr>
                  <w:rStyle w:val="InternetLink"/>
                  <w:rFonts w:ascii="Times New Roman;sans-serif" w:hAnsi="Times New Roman;sans-serif"/>
                  <w:b w:val="false"/>
                  <w:color w:val="0000FF"/>
                  <w:sz w:val="20"/>
                  <w:u w:val="single"/>
                </w:rPr>
                <w:t>Note 2 — 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7">
              <w:r>
                <w:rPr>
                  <w:rStyle w:val="InternetLink"/>
                  <w:rFonts w:ascii="Times New Roman;sans-serif" w:hAnsi="Times New Roman;sans-serif"/>
                  <w:b w:val="false"/>
                  <w:color w:val="0000FF"/>
                  <w:sz w:val="20"/>
                  <w:u w:val="single"/>
                </w:rPr>
                <w:t>7</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49">
              <w:r>
                <w:rPr>
                  <w:rStyle w:val="InternetLink"/>
                  <w:rFonts w:ascii="Times New Roman;sans-serif" w:hAnsi="Times New Roman;sans-serif"/>
                  <w:b w:val="false"/>
                  <w:color w:val="0000FF"/>
                  <w:sz w:val="20"/>
                  <w:u w:val="single"/>
                </w:rPr>
                <w:t>Note 3 — Insurance Liabilities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49">
              <w:r>
                <w:rPr>
                  <w:rStyle w:val="InternetLink"/>
                  <w:rFonts w:ascii="Times New Roman;sans-serif" w:hAnsi="Times New Roman;sans-serif"/>
                  <w:b w:val="false"/>
                  <w:color w:val="0000FF"/>
                  <w:sz w:val="20"/>
                  <w:u w:val="single"/>
                </w:rPr>
                <w:t>11</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70">
              <w:r>
                <w:rPr>
                  <w:rStyle w:val="InternetLink"/>
                  <w:rFonts w:ascii="Times New Roman;sans-serif" w:hAnsi="Times New Roman;sans-serif"/>
                  <w:b w:val="false"/>
                  <w:color w:val="0000FF"/>
                  <w:sz w:val="20"/>
                  <w:u w:val="single"/>
                </w:rPr>
                <w:t>Note 4 — Market Risk Benefits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70">
              <w:r>
                <w:rPr>
                  <w:rStyle w:val="InternetLink"/>
                  <w:rFonts w:ascii="Times New Roman;sans-serif" w:hAnsi="Times New Roman;sans-serif"/>
                  <w:b w:val="false"/>
                  <w:color w:val="0000FF"/>
                  <w:sz w:val="20"/>
                  <w:u w:val="single"/>
                </w:rPr>
                <w:t>15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79">
              <w:r>
                <w:rPr>
                  <w:rStyle w:val="InternetLink"/>
                  <w:rFonts w:ascii="Times New Roman;sans-serif" w:hAnsi="Times New Roman;sans-serif"/>
                  <w:b w:val="false"/>
                  <w:color w:val="0000FF"/>
                  <w:sz w:val="20"/>
                  <w:u w:val="single"/>
                </w:rPr>
                <w:t>Note 5 — Separate Accounts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79">
              <w:r>
                <w:rPr>
                  <w:rStyle w:val="InternetLink"/>
                  <w:rFonts w:ascii="Times New Roman;sans-serif" w:hAnsi="Times New Roman;sans-serif"/>
                  <w:b w:val="false"/>
                  <w:color w:val="0000FF"/>
                  <w:sz w:val="20"/>
                  <w:u w:val="single"/>
                </w:rPr>
                <w:t>15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88">
              <w:r>
                <w:rPr>
                  <w:rStyle w:val="InternetLink"/>
                  <w:rFonts w:ascii="Times New Roman;sans-serif" w:hAnsi="Times New Roman;sans-serif"/>
                  <w:b w:val="false"/>
                  <w:color w:val="0000FF"/>
                  <w:sz w:val="20"/>
                  <w:u w:val="single"/>
                </w:rPr>
                <w:t>Note 6 — Deferred Policy Acquisition Costs, Value of Business Acquired and Other Intangibles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88">
              <w:r>
                <w:rPr>
                  <w:rStyle w:val="InternetLink"/>
                  <w:rFonts w:ascii="Times New Roman;sans-serif" w:hAnsi="Times New Roman;sans-serif"/>
                  <w:b w:val="false"/>
                  <w:color w:val="0000FF"/>
                  <w:sz w:val="20"/>
                  <w:u w:val="single"/>
                </w:rPr>
                <w:t>17</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100">
              <w:r>
                <w:rPr>
                  <w:rStyle w:val="InternetLink"/>
                  <w:rFonts w:ascii="Times New Roman;sans-serif" w:hAnsi="Times New Roman;sans-serif"/>
                  <w:b w:val="false"/>
                  <w:color w:val="0000FF"/>
                  <w:sz w:val="20"/>
                  <w:u w:val="single"/>
                </w:rPr>
                <w:t>Note 7 — Investments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100">
              <w:r>
                <w:rPr>
                  <w:rStyle w:val="InternetLink"/>
                  <w:rFonts w:ascii="Times New Roman;sans-serif" w:hAnsi="Times New Roman;sans-serif"/>
                  <w:b w:val="false"/>
                  <w:color w:val="0000FF"/>
                  <w:sz w:val="20"/>
                  <w:u w:val="single"/>
                </w:rPr>
                <w:t>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163">
              <w:r>
                <w:rPr>
                  <w:rStyle w:val="InternetLink"/>
                  <w:rFonts w:ascii="Times New Roman;sans-serif" w:hAnsi="Times New Roman;sans-serif"/>
                  <w:b w:val="false"/>
                  <w:color w:val="0000FF"/>
                  <w:sz w:val="20"/>
                  <w:u w:val="single"/>
                </w:rPr>
                <w:t>Note 8 — Derivatives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163">
              <w:r>
                <w:rPr>
                  <w:rStyle w:val="InternetLink"/>
                  <w:rFonts w:ascii="Times New Roman;sans-serif" w:hAnsi="Times New Roman;sans-serif"/>
                  <w:b w:val="false"/>
                  <w:color w:val="0000FF"/>
                  <w:sz w:val="20"/>
                  <w:u w:val="single"/>
                </w:rPr>
                <w:t>30</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190">
              <w:r>
                <w:rPr>
                  <w:rStyle w:val="InternetLink"/>
                  <w:rFonts w:ascii="Times New Roman;sans-serif" w:hAnsi="Times New Roman;sans-serif"/>
                  <w:b w:val="false"/>
                  <w:color w:val="0000FF"/>
                  <w:sz w:val="20"/>
                  <w:u w:val="single"/>
                </w:rPr>
                <w:t>Note 9 — Fair Value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190">
              <w:r>
                <w:rPr>
                  <w:rStyle w:val="InternetLink"/>
                  <w:rFonts w:ascii="Times New Roman;sans-serif" w:hAnsi="Times New Roman;sans-serif"/>
                  <w:b w:val="false"/>
                  <w:color w:val="0000FF"/>
                  <w:sz w:val="20"/>
                  <w:u w:val="single"/>
                </w:rPr>
                <w:t>36</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226">
              <w:r>
                <w:rPr>
                  <w:rStyle w:val="InternetLink"/>
                  <w:rFonts w:ascii="Times New Roman;sans-serif" w:hAnsi="Times New Roman;sans-serif"/>
                  <w:b w:val="false"/>
                  <w:color w:val="0000FF"/>
                  <w:sz w:val="20"/>
                  <w:u w:val="single"/>
                </w:rPr>
                <w:t>Note 10 —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26">
              <w:r>
                <w:rPr>
                  <w:rStyle w:val="InternetLink"/>
                  <w:rFonts w:ascii="Times New Roman;sans-serif" w:hAnsi="Times New Roman;sans-serif"/>
                  <w:b w:val="false"/>
                  <w:color w:val="0000FF"/>
                  <w:sz w:val="20"/>
                  <w:u w:val="single"/>
                </w:rPr>
                <w:t>46</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244">
              <w:r>
                <w:rPr>
                  <w:rStyle w:val="InternetLink"/>
                  <w:rFonts w:ascii="Times New Roman;sans-serif" w:hAnsi="Times New Roman;sans-serif"/>
                  <w:b w:val="false"/>
                  <w:color w:val="0000FF"/>
                  <w:sz w:val="20"/>
                  <w:u w:val="single"/>
                </w:rPr>
                <w:t>Note 11 — Other Revenues and Other Expenses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44">
              <w:r>
                <w:rPr>
                  <w:rStyle w:val="InternetLink"/>
                  <w:rFonts w:ascii="Times New Roman;sans-serif" w:hAnsi="Times New Roman;sans-serif"/>
                  <w:b w:val="false"/>
                  <w:color w:val="0000FF"/>
                  <w:sz w:val="20"/>
                  <w:u w:val="single"/>
                </w:rPr>
                <w:t>49</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253">
              <w:r>
                <w:rPr>
                  <w:rStyle w:val="InternetLink"/>
                  <w:rFonts w:ascii="Times New Roman;sans-serif" w:hAnsi="Times New Roman;sans-serif"/>
                  <w:b w:val="false"/>
                  <w:color w:val="0000FF"/>
                  <w:sz w:val="20"/>
                  <w:u w:val="single"/>
                </w:rPr>
                <w:t>Note 12 — Earnings Per Common Share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53">
              <w:r>
                <w:rPr>
                  <w:rStyle w:val="InternetLink"/>
                  <w:rFonts w:ascii="Times New Roman;sans-serif" w:hAnsi="Times New Roman;sans-serif"/>
                  <w:b w:val="false"/>
                  <w:color w:val="0000FF"/>
                  <w:sz w:val="20"/>
                  <w:u w:val="single"/>
                </w:rPr>
                <w:t>50</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hyperlink w:anchor="ibd44759c482d44cf89a39fac776337ae_259">
              <w:r>
                <w:rPr>
                  <w:rStyle w:val="InternetLink"/>
                  <w:rFonts w:ascii="Times New Roman;sans-serif" w:hAnsi="Times New Roman;sans-serif"/>
                  <w:b w:val="false"/>
                  <w:color w:val="0000FF"/>
                  <w:sz w:val="20"/>
                  <w:u w:val="single"/>
                </w:rPr>
                <w:t>Note 13 — Contingencies, Commitments and Guarantees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59">
              <w:r>
                <w:rPr>
                  <w:rStyle w:val="InternetLink"/>
                  <w:rFonts w:ascii="Times New Roman;sans-serif" w:hAnsi="Times New Roman;sans-serif"/>
                  <w:b w:val="false"/>
                  <w:color w:val="0000FF"/>
                  <w:sz w:val="20"/>
                  <w:u w:val="single"/>
                </w:rPr>
                <w:t>50</w:t>
              </w:r>
            </w:hyperlink>
          </w:p>
        </w:tc>
      </w:tr>
      <w:tr>
        <w:trPr/>
        <w:tc>
          <w:tcPr>
            <w:tcW w:w="1032" w:type="dxa"/>
            <w:gridSpan w:val="3"/>
            <w:tcBorders/>
            <w:vAlign w:val="center"/>
          </w:tcPr>
          <w:p>
            <w:pPr>
              <w:pStyle w:val="TableContents"/>
              <w:bidi w:val="0"/>
              <w:spacing w:before="0" w:after="283"/>
              <w:jc w:val="left"/>
              <w:rPr>
                <w:sz w:val="4"/>
                <w:szCs w:val="4"/>
              </w:rPr>
            </w:pPr>
            <w:r>
              <w:rPr>
                <w:sz w:val="4"/>
                <w:szCs w:val="4"/>
              </w:rPr>
            </w:r>
          </w:p>
        </w:tc>
        <w:tc>
          <w:tcPr>
            <w:tcW w:w="8598"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274">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d44759c482d44cf89a39fac776337ae_274">
              <w:r>
                <w:rPr>
                  <w:rStyle w:val="InternetLink"/>
                  <w:rFonts w:ascii="Times New Roman;sans-serif" w:hAnsi="Times New Roman;sans-serif"/>
                  <w:b w:val="false"/>
                  <w:color w:val="0000FF"/>
                  <w:sz w:val="20"/>
                  <w:u w:val="single"/>
                </w:rPr>
                <w:t>54</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487">
              <w:r>
                <w:rPr>
                  <w:rStyle w:val="InternetLink"/>
                  <w:rFonts w:ascii="Times New Roman;sans-serif" w:hAnsi="Times New Roman;sans-serif"/>
                  <w:b/>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d44759c482d44cf89a39fac776337ae_487">
              <w:r>
                <w:rPr>
                  <w:rStyle w:val="InternetLink"/>
                  <w:rFonts w:ascii="Times New Roman;sans-serif" w:hAnsi="Times New Roman;sans-serif"/>
                  <w:b w:val="false"/>
                  <w:color w:val="0000FF"/>
                  <w:sz w:val="20"/>
                  <w:u w:val="single"/>
                </w:rPr>
                <w:t>94</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02">
              <w:r>
                <w:rPr>
                  <w:rStyle w:val="InternetLink"/>
                  <w:rFonts w:ascii="Times New Roman;sans-serif" w:hAnsi="Times New Roman;sans-serif"/>
                  <w:b/>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502">
              <w:r>
                <w:rPr>
                  <w:rStyle w:val="InternetLink"/>
                  <w:rFonts w:ascii="Times New Roman;sans-serif" w:hAnsi="Times New Roman;sans-serif"/>
                  <w:b w:val="false"/>
                  <w:color w:val="0000FF"/>
                  <w:sz w:val="20"/>
                  <w:u w:val="single"/>
                </w:rPr>
                <w:t>95</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05">
              <w:r>
                <w:rPr>
                  <w:rStyle w:val="InternetLink"/>
                  <w:rFonts w:ascii="Times New Roman;sans-serif" w:hAnsi="Times New Roman;sans-serif"/>
                  <w:b/>
                  <w:color w:val="0000FF"/>
                  <w:sz w:val="20"/>
                  <w:u w:val="single"/>
                </w:rPr>
                <w:t>Part II —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08">
              <w:r>
                <w:rPr>
                  <w:rStyle w:val="InternetLink"/>
                  <w:rFonts w:ascii="Times New Roman;sans-serif" w:hAnsi="Times New Roman;sans-serif"/>
                  <w:b/>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d44759c482d44cf89a39fac776337ae_508">
              <w:r>
                <w:rPr>
                  <w:rStyle w:val="InternetLink"/>
                  <w:rFonts w:ascii="Times New Roman;sans-serif" w:hAnsi="Times New Roman;sans-serif"/>
                  <w:b w:val="false"/>
                  <w:color w:val="0000FF"/>
                  <w:sz w:val="20"/>
                  <w:u w:val="single"/>
                </w:rPr>
                <w:t>95</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11">
              <w:r>
                <w:rPr>
                  <w:rStyle w:val="InternetLink"/>
                  <w:rFonts w:ascii="Times New Roman;sans-serif" w:hAnsi="Times New Roman;sans-serif"/>
                  <w:b/>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d44759c482d44cf89a39fac776337ae_511">
              <w:r>
                <w:rPr>
                  <w:rStyle w:val="InternetLink"/>
                  <w:rFonts w:ascii="Times New Roman;sans-serif" w:hAnsi="Times New Roman;sans-serif"/>
                  <w:b w:val="false"/>
                  <w:color w:val="0000FF"/>
                  <w:sz w:val="20"/>
                  <w:u w:val="single"/>
                </w:rPr>
                <w:t>95</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14">
              <w:r>
                <w:rPr>
                  <w:rStyle w:val="InternetLink"/>
                  <w:rFonts w:ascii="Times New Roman;sans-serif" w:hAnsi="Times New Roman;sans-serif"/>
                  <w:b/>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514">
              <w:r>
                <w:rPr>
                  <w:rStyle w:val="InternetLink"/>
                  <w:rFonts w:ascii="Times New Roman;sans-serif" w:hAnsi="Times New Roman;sans-serif"/>
                  <w:b w:val="false"/>
                  <w:color w:val="0000FF"/>
                  <w:sz w:val="20"/>
                  <w:u w:val="single"/>
                </w:rPr>
                <w:t>95</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20">
              <w:r>
                <w:rPr>
                  <w:rStyle w:val="InternetLink"/>
                  <w:rFonts w:ascii="Times New Roman;sans-serif" w:hAnsi="Times New Roman;sans-serif"/>
                  <w:b/>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bd44759c482d44cf89a39fac776337ae_520">
              <w:r>
                <w:rPr>
                  <w:rStyle w:val="InternetLink"/>
                  <w:rFonts w:ascii="Times New Roman;sans-serif" w:hAnsi="Times New Roman;sans-serif"/>
                  <w:b w:val="false"/>
                  <w:color w:val="0000FF"/>
                  <w:sz w:val="20"/>
                  <w:u w:val="single"/>
                </w:rPr>
                <w:t>95</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w:t>
            </w:r>
          </w:p>
        </w:tc>
        <w:tc>
          <w:tcPr>
            <w:tcW w:w="85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29">
              <w:r>
                <w:rPr>
                  <w:rStyle w:val="InternetLink"/>
                  <w:rFonts w:ascii="Times New Roman;sans-serif" w:hAnsi="Times New Roman;sans-serif"/>
                  <w:b/>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529">
              <w:r>
                <w:rPr>
                  <w:rStyle w:val="InternetLink"/>
                  <w:rFonts w:ascii="Times New Roman;sans-serif" w:hAnsi="Times New Roman;sans-serif"/>
                  <w:b w:val="false"/>
                  <w:color w:val="0000FF"/>
                  <w:sz w:val="20"/>
                  <w:u w:val="single"/>
                </w:rPr>
                <w:t>96</w:t>
              </w:r>
            </w:hyperlink>
          </w:p>
        </w:tc>
      </w:tr>
      <w:tr>
        <w:trPr/>
        <w:tc>
          <w:tcPr>
            <w:tcW w:w="9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532">
              <w:r>
                <w:rPr>
                  <w:rStyle w:val="InternetLink"/>
                  <w:rFonts w:ascii="Times New Roman;sans-serif" w:hAnsi="Times New Roman;sans-serif"/>
                  <w:b/>
                  <w:color w:val="0000FF"/>
                  <w:sz w:val="20"/>
                  <w:u w:val="single"/>
                </w:rPr>
                <w:t>Signature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532">
              <w:r>
                <w:rPr>
                  <w:rStyle w:val="InternetLink"/>
                  <w:rFonts w:ascii="Times New Roman;sans-serif" w:hAnsi="Times New Roman;sans-serif"/>
                  <w:b w:val="false"/>
                  <w:color w:val="0000FF"/>
                  <w:sz w:val="20"/>
                  <w:u w:val="single"/>
                </w:rPr>
                <w:t>97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36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360"/>
                        <w:jc w:val="center"/>
                        <w:rPr/>
                      </w:pPr>
                      <w:r>
                        <w:rPr/>
                      </w:r>
                    </w:p>
                  </w:txbxContent>
                </v:textbox>
                <w10:wrap type="none"/>
              </v:rect>
            </w:pict>
          </mc:Fallback>
        </mc:AlternateContent>
      </w:r>
    </w:p>
    <w:p>
      <w:pPr>
        <w:pStyle w:val="TextBody"/>
        <w:bidi w:val="0"/>
        <w:spacing w:lineRule="auto" w:line="288" w:before="0" w:after="0"/>
        <w:jc w:val="both"/>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 (Unaudited) and December 31, 2023</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share and per share data)</w:t>
      </w:r>
    </w:p>
    <w:tbl>
      <w:tblPr>
        <w:tblW w:w="10205" w:type="dxa"/>
        <w:jc w:val="center"/>
        <w:tblInd w:w="0" w:type="dxa"/>
        <w:tblLayout w:type="fixed"/>
        <w:tblCellMar>
          <w:top w:w="28" w:type="dxa"/>
          <w:left w:w="28" w:type="dxa"/>
          <w:bottom w:w="28" w:type="dxa"/>
          <w:right w:w="28" w:type="dxa"/>
        </w:tblCellMar>
      </w:tblPr>
      <w:tblGrid>
        <w:gridCol w:w="2551"/>
        <w:gridCol w:w="2252"/>
        <w:gridCol w:w="2282"/>
        <w:gridCol w:w="109"/>
        <w:gridCol w:w="109"/>
        <w:gridCol w:w="109"/>
        <w:gridCol w:w="203"/>
        <w:gridCol w:w="764"/>
        <w:gridCol w:w="112"/>
        <w:gridCol w:w="109"/>
        <w:gridCol w:w="109"/>
        <w:gridCol w:w="109"/>
        <w:gridCol w:w="218"/>
        <w:gridCol w:w="819"/>
        <w:gridCol w:w="350"/>
      </w:tblGrid>
      <w:tr>
        <w:trPr/>
        <w:tc>
          <w:tcPr>
            <w:tcW w:w="2551"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7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 available-for-sale, at estimated fair value (amortized cost: $88,176 and $87,131, respectively; allowance for credit losses of $45 and $21,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 (net of allowance for credit losses of $155 and $137,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 principally at 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invested assets, principally at estimated fair value (net of allowance for credit losses of $12 and $13,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4,409 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115,456 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Premiums, reinsurance and other receivables (net of allowance for credit losses of $3 and $3,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policy acquisition costs and value of business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income tax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50"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81,068 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 risk benefit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policy-related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Payables for collateral under securities loaned and other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8,439 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88,271 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233,232 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231,332 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Contingencies, Commitments and Guarantees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Brighthouse Financial, Inc.’s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par value $0.01 per share; $1,753 aggregate liquidation preference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$0.01 per share; 1,000,000,000 shares authorized; 123,434,240 and 122,818,568 shares issued, respectively; 61,243,957 and 63,503,355 shares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14,004 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62,190,283 and 59,315,213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(2,309)</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Brighthouse Financial, Inc.’s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237,438 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236,340 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and Six Months Ended June 30,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 millions, except per share data)</w:t>
      </w:r>
    </w:p>
    <w:tbl>
      <w:tblPr>
        <w:tblW w:w="10205" w:type="dxa"/>
        <w:jc w:val="center"/>
        <w:tblInd w:w="0" w:type="dxa"/>
        <w:tblLayout w:type="fixed"/>
        <w:tblCellMar>
          <w:top w:w="28" w:type="dxa"/>
          <w:left w:w="28" w:type="dxa"/>
          <w:bottom w:w="28" w:type="dxa"/>
          <w:right w:w="28" w:type="dxa"/>
        </w:tblCellMar>
      </w:tblPr>
      <w:tblGrid>
        <w:gridCol w:w="2178"/>
        <w:gridCol w:w="1907"/>
        <w:gridCol w:w="1931"/>
        <w:gridCol w:w="196"/>
        <w:gridCol w:w="421"/>
        <w:gridCol w:w="109"/>
        <w:gridCol w:w="109"/>
        <w:gridCol w:w="109"/>
        <w:gridCol w:w="109"/>
        <w:gridCol w:w="196"/>
        <w:gridCol w:w="476"/>
        <w:gridCol w:w="109"/>
        <w:gridCol w:w="109"/>
        <w:gridCol w:w="109"/>
        <w:gridCol w:w="109"/>
        <w:gridCol w:w="205"/>
        <w:gridCol w:w="499"/>
        <w:gridCol w:w="113"/>
        <w:gridCol w:w="113"/>
        <w:gridCol w:w="113"/>
        <w:gridCol w:w="113"/>
        <w:gridCol w:w="205"/>
        <w:gridCol w:w="499"/>
        <w:gridCol w:w="168"/>
      </w:tblGrid>
      <w:tr>
        <w:trPr/>
        <w:tc>
          <w:tcPr>
            <w:tcW w:w="217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$0, $0 and $0, respectively)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policy acquisition costs and value of business acquired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(loss) attributable to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Brighthouse Financial, Inc.</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20" w:type="dxa"/>
        <w:jc w:val="center"/>
        <w:tblInd w:w="0" w:type="dxa"/>
        <w:tblLayout w:type="fixed"/>
        <w:tblCellMar>
          <w:top w:w="28" w:type="dxa"/>
          <w:left w:w="28" w:type="dxa"/>
          <w:bottom w:w="28" w:type="dxa"/>
          <w:right w:w="28" w:type="dxa"/>
        </w:tblCellMar>
      </w:tblPr>
      <w:tblGrid>
        <w:gridCol w:w="831"/>
        <w:gridCol w:w="731"/>
        <w:gridCol w:w="733"/>
        <w:gridCol w:w="196"/>
        <w:gridCol w:w="466"/>
        <w:gridCol w:w="109"/>
        <w:gridCol w:w="109"/>
        <w:gridCol w:w="109"/>
        <w:gridCol w:w="109"/>
        <w:gridCol w:w="196"/>
        <w:gridCol w:w="541"/>
        <w:gridCol w:w="109"/>
        <w:gridCol w:w="109"/>
        <w:gridCol w:w="109"/>
        <w:gridCol w:w="109"/>
        <w:gridCol w:w="196"/>
        <w:gridCol w:w="541"/>
        <w:gridCol w:w="109"/>
        <w:gridCol w:w="109"/>
        <w:gridCol w:w="109"/>
        <w:gridCol w:w="109"/>
        <w:gridCol w:w="196"/>
        <w:gridCol w:w="63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per common share</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and Six Months Ended June 30, 2024 and 2023 (Unaudited)</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 millions) </w:t>
      </w:r>
    </w:p>
    <w:tbl>
      <w:tblPr>
        <w:tblW w:w="11243" w:type="dxa"/>
        <w:jc w:val="center"/>
        <w:tblInd w:w="0" w:type="dxa"/>
        <w:tblLayout w:type="fixed"/>
        <w:tblCellMar>
          <w:top w:w="28" w:type="dxa"/>
          <w:left w:w="28" w:type="dxa"/>
          <w:bottom w:w="28" w:type="dxa"/>
          <w:right w:w="28" w:type="dxa"/>
        </w:tblCellMar>
      </w:tblPr>
      <w:tblGrid>
        <w:gridCol w:w="39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39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4,943 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(5,413)</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4,195 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(5,419)</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4,141 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23" w:type="dxa"/>
        <w:jc w:val="center"/>
        <w:tblInd w:w="0" w:type="dxa"/>
        <w:tblLayout w:type="fixed"/>
        <w:tblCellMar>
          <w:top w:w="28" w:type="dxa"/>
          <w:left w:w="28" w:type="dxa"/>
          <w:bottom w:w="28" w:type="dxa"/>
          <w:right w:w="28" w:type="dxa"/>
        </w:tblCellMar>
      </w:tblPr>
      <w:tblGrid>
        <w:gridCol w:w="575"/>
        <w:gridCol w:w="215"/>
        <w:gridCol w:w="216"/>
        <w:gridCol w:w="109"/>
        <w:gridCol w:w="109"/>
        <w:gridCol w:w="109"/>
        <w:gridCol w:w="181"/>
        <w:gridCol w:w="406"/>
        <w:gridCol w:w="109"/>
        <w:gridCol w:w="109"/>
        <w:gridCol w:w="109"/>
        <w:gridCol w:w="109"/>
        <w:gridCol w:w="227"/>
        <w:gridCol w:w="265"/>
        <w:gridCol w:w="13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239"/>
        <w:gridCol w:w="636"/>
        <w:gridCol w:w="146"/>
        <w:gridCol w:w="109"/>
        <w:gridCol w:w="109"/>
        <w:gridCol w:w="109"/>
        <w:gridCol w:w="222"/>
        <w:gridCol w:w="573"/>
        <w:gridCol w:w="136"/>
        <w:gridCol w:w="109"/>
        <w:gridCol w:w="109"/>
        <w:gridCol w:w="109"/>
        <w:gridCol w:w="320"/>
        <w:gridCol w:w="506"/>
        <w:gridCol w:w="195"/>
        <w:gridCol w:w="109"/>
        <w:gridCol w:w="109"/>
        <w:gridCol w:w="109"/>
        <w:gridCol w:w="181"/>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Brighthouse Financial, Inc.’s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Equity</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Treasury stock acquired in connection with 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Dividends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comprehensive income (loss),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(5,881)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4,907 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Interim 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2024 and 2023 (Unaudited)</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903" w:type="dxa"/>
        <w:jc w:val="center"/>
        <w:tblInd w:w="0" w:type="dxa"/>
        <w:tblLayout w:type="fixed"/>
        <w:tblCellMar>
          <w:top w:w="28" w:type="dxa"/>
          <w:left w:w="28" w:type="dxa"/>
          <w:bottom w:w="28" w:type="dxa"/>
          <w:right w:w="28" w:type="dxa"/>
        </w:tblCellMar>
      </w:tblPr>
      <w:tblGrid>
        <w:gridCol w:w="2462"/>
        <w:gridCol w:w="2169"/>
        <w:gridCol w:w="2178"/>
        <w:gridCol w:w="196"/>
        <w:gridCol w:w="556"/>
        <w:gridCol w:w="109"/>
        <w:gridCol w:w="109"/>
        <w:gridCol w:w="109"/>
        <w:gridCol w:w="109"/>
        <w:gridCol w:w="196"/>
        <w:gridCol w:w="556"/>
        <w:gridCol w:w="154"/>
      </w:tblGrid>
      <w:tr>
        <w:trPr/>
        <w:tc>
          <w:tcPr>
            <w:tcW w:w="2462"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maturities and repayments of:</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Fixed maturity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Mortgage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Limited partnerships and limited liability companies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in connection with freestanding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in connection with freestanding derivatives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other invested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Policyholder account balances: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Withdrawals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payables for collateral under securities loaned and other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repaid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preferred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 in connection with 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element on certain derivative instruments and other derivative related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paid (received) for:</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accompanying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Consolidation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2023 consolidated balance sheet data was derived from audited consolidated financial statements included in Brighthouse Financial, Inc.’s Annual Report on Form 10-K for the year ended December 31, 2023 (the “2023 Annual Report”), which include all disclosures required by GAAP. Therefore, these interim condensed consolidated financial statements should be read in conjunction with the consolidated financial statements of the Company included in the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Pronouncements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June 30, 2024.</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Future Adoption of New Accounting Pronouncements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In December 2023, the FASB issued new guidance on Income Tax Disclosures (ASU 2023-09,</w:t>
      </w:r>
      <w:r>
        <w:rPr>
          <w:color w:val="000000"/>
        </w:rPr>
        <w:t xml:space="preserve">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ASU updates the required income tax disclosures to include disclosure of income taxes paid disaggregated by jurisdiction and greater disaggregation of information in the required rate reconciliation. This ASU is effective for fiscal years starting January 1, 2025, and will be applied on a prospective basis. The Company is currently evaluating the impact of this guidance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Business, Basis of Presentation and Summary of Significant Accounting Policies (continued)</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 xml:space="preserve">In November 2023, the FASB issued new guidance on Segment Reporting Disclosures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This ASU updates reportable segment disclosures primarily through enhanced disclosures about significant segment expenses. This ASU does not change how a company identifies its operating segments, aggregates those operating segments, or applies the quantitative thresholds to determine its reportable segments. This ASU is effective for fiscal years starting January 1, 2024, and for interim periods starting January 1, 2025, and will be applied on a retrospective basis. The Company is currently evaluating the impact of this guidance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three segments: Annuities; Life; and Run-off. In addition, the Company reports certain of its results of operations in Corporate &amp; Other.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Annuities segment consists of a variety of variable, fixed, index-linked and income annuities designed to address contract holders’ needs for protected wealth accumulation on a tax-deferred basis, wealth transfer and income security.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Life segment consists of insurance products, including term, universal, whole and variable life products designed to address policyholders’ needs for financial security and protected wealth transfer, which may be on a tax-advantaged basis.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business reinsured through 100% quota share reinsurance agreements and activities related to funding agreements associated with the Company’s institutional spread margin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Measures and Segment Accounting Policies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the Company’s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market risk benefits (“MRB”);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by segment, as well as Corporate &amp; Other,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40"/>
        <w:gridCol w:w="1306"/>
        <w:gridCol w:w="1317"/>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51"/>
        <w:gridCol w:w="754"/>
        <w:gridCol w:w="195"/>
        <w:gridCol w:w="109"/>
        <w:gridCol w:w="109"/>
        <w:gridCol w:w="109"/>
        <w:gridCol w:w="196"/>
        <w:gridCol w:w="421"/>
        <w:gridCol w:w="157"/>
      </w:tblGrid>
      <w:tr>
        <w:trPr/>
        <w:tc>
          <w:tcPr>
            <w:tcW w:w="164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68"/>
        <w:gridCol w:w="1271"/>
        <w:gridCol w:w="1278"/>
        <w:gridCol w:w="109"/>
        <w:gridCol w:w="109"/>
        <w:gridCol w:w="109"/>
        <w:gridCol w:w="210"/>
        <w:gridCol w:w="452"/>
        <w:gridCol w:w="119"/>
        <w:gridCol w:w="109"/>
        <w:gridCol w:w="109"/>
        <w:gridCol w:w="109"/>
        <w:gridCol w:w="196"/>
        <w:gridCol w:w="421"/>
        <w:gridCol w:w="109"/>
        <w:gridCol w:w="109"/>
        <w:gridCol w:w="109"/>
        <w:gridCol w:w="109"/>
        <w:gridCol w:w="196"/>
        <w:gridCol w:w="421"/>
        <w:gridCol w:w="109"/>
        <w:gridCol w:w="109"/>
        <w:gridCol w:w="109"/>
        <w:gridCol w:w="109"/>
        <w:gridCol w:w="349"/>
        <w:gridCol w:w="750"/>
        <w:gridCol w:w="194"/>
        <w:gridCol w:w="109"/>
        <w:gridCol w:w="109"/>
        <w:gridCol w:w="109"/>
        <w:gridCol w:w="196"/>
        <w:gridCol w:w="474"/>
        <w:gridCol w:w="157"/>
      </w:tblGrid>
      <w:tr>
        <w:trPr/>
        <w:tc>
          <w:tcPr>
            <w:tcW w:w="16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6"/>
        <w:gridCol w:w="1230"/>
        <w:gridCol w:w="1236"/>
        <w:gridCol w:w="109"/>
        <w:gridCol w:w="109"/>
        <w:gridCol w:w="109"/>
        <w:gridCol w:w="196"/>
        <w:gridCol w:w="556"/>
        <w:gridCol w:w="109"/>
        <w:gridCol w:w="109"/>
        <w:gridCol w:w="109"/>
        <w:gridCol w:w="109"/>
        <w:gridCol w:w="196"/>
        <w:gridCol w:w="421"/>
        <w:gridCol w:w="109"/>
        <w:gridCol w:w="109"/>
        <w:gridCol w:w="109"/>
        <w:gridCol w:w="109"/>
        <w:gridCol w:w="196"/>
        <w:gridCol w:w="473"/>
        <w:gridCol w:w="109"/>
        <w:gridCol w:w="109"/>
        <w:gridCol w:w="109"/>
        <w:gridCol w:w="109"/>
        <w:gridCol w:w="345"/>
        <w:gridCol w:w="741"/>
        <w:gridCol w:w="192"/>
        <w:gridCol w:w="109"/>
        <w:gridCol w:w="109"/>
        <w:gridCol w:w="109"/>
        <w:gridCol w:w="196"/>
        <w:gridCol w:w="473"/>
        <w:gridCol w:w="156"/>
      </w:tblGrid>
      <w:tr>
        <w:trPr/>
        <w:tc>
          <w:tcPr>
            <w:tcW w:w="163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Segment Information (continued)</w:t>
      </w:r>
    </w:p>
    <w:tbl>
      <w:tblPr>
        <w:tblW w:w="10205" w:type="dxa"/>
        <w:jc w:val="left"/>
        <w:tblInd w:w="0" w:type="dxa"/>
        <w:tblLayout w:type="fixed"/>
        <w:tblCellMar>
          <w:top w:w="28" w:type="dxa"/>
          <w:left w:w="28" w:type="dxa"/>
          <w:bottom w:w="28" w:type="dxa"/>
          <w:right w:w="28" w:type="dxa"/>
        </w:tblCellMar>
      </w:tblPr>
      <w:tblGrid>
        <w:gridCol w:w="1636"/>
        <w:gridCol w:w="1230"/>
        <w:gridCol w:w="1236"/>
        <w:gridCol w:w="109"/>
        <w:gridCol w:w="109"/>
        <w:gridCol w:w="109"/>
        <w:gridCol w:w="196"/>
        <w:gridCol w:w="556"/>
        <w:gridCol w:w="109"/>
        <w:gridCol w:w="109"/>
        <w:gridCol w:w="109"/>
        <w:gridCol w:w="109"/>
        <w:gridCol w:w="196"/>
        <w:gridCol w:w="421"/>
        <w:gridCol w:w="109"/>
        <w:gridCol w:w="109"/>
        <w:gridCol w:w="109"/>
        <w:gridCol w:w="109"/>
        <w:gridCol w:w="196"/>
        <w:gridCol w:w="473"/>
        <w:gridCol w:w="109"/>
        <w:gridCol w:w="109"/>
        <w:gridCol w:w="109"/>
        <w:gridCol w:w="109"/>
        <w:gridCol w:w="345"/>
        <w:gridCol w:w="741"/>
        <w:gridCol w:w="192"/>
        <w:gridCol w:w="109"/>
        <w:gridCol w:w="109"/>
        <w:gridCol w:w="109"/>
        <w:gridCol w:w="196"/>
        <w:gridCol w:w="473"/>
        <w:gridCol w:w="156"/>
      </w:tblGrid>
      <w:tr>
        <w:trPr/>
        <w:tc>
          <w:tcPr>
            <w:tcW w:w="163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Post-tax 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Less: Preferred stock dividends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 of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by segment, as well as Corporate &amp; Other, were as follows:</w:t>
      </w:r>
    </w:p>
    <w:tbl>
      <w:tblPr>
        <w:tblW w:w="6252"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by segment, as well as Corporate &amp; Other, were as follows at:</w:t>
      </w:r>
    </w:p>
    <w:tbl>
      <w:tblPr>
        <w:tblW w:w="4779" w:type="dxa"/>
        <w:jc w:val="left"/>
        <w:tblInd w:w="0" w:type="dxa"/>
        <w:tblLayout w:type="fixed"/>
        <w:tblCellMar>
          <w:top w:w="28" w:type="dxa"/>
          <w:left w:w="28" w:type="dxa"/>
          <w:bottom w:w="28" w:type="dxa"/>
          <w:right w:w="28" w:type="dxa"/>
        </w:tblCellMar>
      </w:tblPr>
      <w:tblGrid>
        <w:gridCol w:w="527"/>
        <w:gridCol w:w="461"/>
        <w:gridCol w:w="467"/>
        <w:gridCol w:w="109"/>
        <w:gridCol w:w="109"/>
        <w:gridCol w:w="109"/>
        <w:gridCol w:w="212"/>
        <w:gridCol w:w="796"/>
        <w:gridCol w:w="117"/>
        <w:gridCol w:w="109"/>
        <w:gridCol w:w="109"/>
        <w:gridCol w:w="109"/>
        <w:gridCol w:w="279"/>
        <w:gridCol w:w="1047"/>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160,775 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Run-off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237,438 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236,340 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Liability for 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liability for future policy benefits (“LFPB”) for non-participating traditional and limited-payment contracts was as follows: </w:t>
      </w:r>
    </w:p>
    <w:tbl>
      <w:tblPr>
        <w:tblW w:w="10205" w:type="dxa"/>
        <w:jc w:val="left"/>
        <w:tblInd w:w="0" w:type="dxa"/>
        <w:tblLayout w:type="fixed"/>
        <w:tblCellMar>
          <w:top w:w="28" w:type="dxa"/>
          <w:left w:w="28" w:type="dxa"/>
          <w:bottom w:w="28" w:type="dxa"/>
          <w:right w:w="28" w:type="dxa"/>
        </w:tblCellMar>
      </w:tblPr>
      <w:tblGrid>
        <w:gridCol w:w="910"/>
        <w:gridCol w:w="343"/>
        <w:gridCol w:w="344"/>
        <w:gridCol w:w="109"/>
        <w:gridCol w:w="109"/>
        <w:gridCol w:w="109"/>
        <w:gridCol w:w="208"/>
        <w:gridCol w:w="591"/>
        <w:gridCol w:w="256"/>
        <w:gridCol w:w="109"/>
        <w:gridCol w:w="109"/>
        <w:gridCol w:w="109"/>
        <w:gridCol w:w="197"/>
        <w:gridCol w:w="561"/>
        <w:gridCol w:w="243"/>
        <w:gridCol w:w="109"/>
        <w:gridCol w:w="109"/>
        <w:gridCol w:w="109"/>
        <w:gridCol w:w="224"/>
        <w:gridCol w:w="740"/>
        <w:gridCol w:w="276"/>
        <w:gridCol w:w="109"/>
        <w:gridCol w:w="109"/>
        <w:gridCol w:w="109"/>
        <w:gridCol w:w="208"/>
        <w:gridCol w:w="591"/>
        <w:gridCol w:w="256"/>
        <w:gridCol w:w="109"/>
        <w:gridCol w:w="109"/>
        <w:gridCol w:w="109"/>
        <w:gridCol w:w="197"/>
        <w:gridCol w:w="561"/>
        <w:gridCol w:w="243"/>
        <w:gridCol w:w="109"/>
        <w:gridCol w:w="109"/>
        <w:gridCol w:w="109"/>
        <w:gridCol w:w="223"/>
        <w:gridCol w:w="736"/>
        <w:gridCol w:w="335"/>
      </w:tblGrid>
      <w:tr>
        <w:trPr/>
        <w:tc>
          <w:tcPr>
            <w:tcW w:w="91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Term and Whole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Income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Settlement and Pension Risk Transfer Annuities</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net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premiums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Present value of expected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balance at original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model refinements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7,373 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Ending balance at original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7,230 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changes in discount rate assumptions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6,225 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6,711 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6,225 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3,600 </w:t>
            </w:r>
          </w:p>
        </w:tc>
        <w:tc>
          <w:tcPr>
            <w:tcW w:w="24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6,711 </w:t>
            </w:r>
          </w:p>
        </w:tc>
        <w:tc>
          <w:tcPr>
            <w:tcW w:w="3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Reinsurance recoverable,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liability for future policy benefits, after reinsurance recoverable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duration of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years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years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interest accretion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3.92 </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5.19 </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premiums or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gross premiums,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14,062 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Expected future benefit payments, discounted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the additional insurance liabilities for universal life-type contracts with secondary guarantees was as follows:</w:t>
      </w:r>
    </w:p>
    <w:tbl>
      <w:tblPr>
        <w:tblW w:w="7485" w:type="dxa"/>
        <w:jc w:val="center"/>
        <w:tblInd w:w="0" w:type="dxa"/>
        <w:tblLayout w:type="fixed"/>
        <w:tblCellMar>
          <w:top w:w="28" w:type="dxa"/>
          <w:left w:w="28" w:type="dxa"/>
          <w:bottom w:w="28" w:type="dxa"/>
          <w:right w:w="28" w:type="dxa"/>
        </w:tblCellMar>
      </w:tblPr>
      <w:tblGrid>
        <w:gridCol w:w="1727"/>
        <w:gridCol w:w="1515"/>
        <w:gridCol w:w="1528"/>
        <w:gridCol w:w="109"/>
        <w:gridCol w:w="109"/>
        <w:gridCol w:w="109"/>
        <w:gridCol w:w="196"/>
        <w:gridCol w:w="556"/>
        <w:gridCol w:w="256"/>
        <w:gridCol w:w="109"/>
        <w:gridCol w:w="109"/>
        <w:gridCol w:w="109"/>
        <w:gridCol w:w="196"/>
        <w:gridCol w:w="556"/>
        <w:gridCol w:w="301"/>
      </w:tblGrid>
      <w:tr>
        <w:trPr/>
        <w:tc>
          <w:tcPr>
            <w:tcW w:w="172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variances from expected experience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assessments collected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before the effect of unrealized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unrealized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additional liability, after reinsurance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duration of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6.7 years</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interest accretion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Gross assessments recognized during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tbl>
      <w:tblPr>
        <w:tblW w:w="7340" w:type="dxa"/>
        <w:jc w:val="center"/>
        <w:tblInd w:w="0" w:type="dxa"/>
        <w:tblLayout w:type="fixed"/>
        <w:tblCellMar>
          <w:top w:w="28" w:type="dxa"/>
          <w:left w:w="28" w:type="dxa"/>
          <w:bottom w:w="28" w:type="dxa"/>
          <w:right w:w="28" w:type="dxa"/>
        </w:tblCellMar>
      </w:tblPr>
      <w:tblGrid>
        <w:gridCol w:w="1715"/>
        <w:gridCol w:w="1507"/>
        <w:gridCol w:w="1517"/>
        <w:gridCol w:w="109"/>
        <w:gridCol w:w="109"/>
        <w:gridCol w:w="109"/>
        <w:gridCol w:w="196"/>
        <w:gridCol w:w="646"/>
        <w:gridCol w:w="109"/>
        <w:gridCol w:w="109"/>
        <w:gridCol w:w="109"/>
        <w:gridCol w:w="109"/>
        <w:gridCol w:w="196"/>
        <w:gridCol w:w="64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care 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ULSG liabilities, including liability for profits followed by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Participating whole life insurance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profit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liability for future policy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fully reinsured individual long-term care insurance. See Note 2.</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June 30, 2024 and 2023, and 41% of gross traditional life insurance premiums for both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policyholder account balances was as follows:</w:t>
      </w:r>
    </w:p>
    <w:tbl>
      <w:tblPr>
        <w:tblW w:w="10205" w:type="dxa"/>
        <w:jc w:val="left"/>
        <w:tblInd w:w="0" w:type="dxa"/>
        <w:tblLayout w:type="fixed"/>
        <w:tblCellMar>
          <w:top w:w="28" w:type="dxa"/>
          <w:left w:w="28" w:type="dxa"/>
          <w:bottom w:w="28" w:type="dxa"/>
          <w:right w:w="28" w:type="dxa"/>
        </w:tblCellMar>
      </w:tblPr>
      <w:tblGrid>
        <w:gridCol w:w="972"/>
        <w:gridCol w:w="301"/>
        <w:gridCol w:w="304"/>
        <w:gridCol w:w="109"/>
        <w:gridCol w:w="109"/>
        <w:gridCol w:w="109"/>
        <w:gridCol w:w="210"/>
        <w:gridCol w:w="598"/>
        <w:gridCol w:w="259"/>
        <w:gridCol w:w="109"/>
        <w:gridCol w:w="109"/>
        <w:gridCol w:w="109"/>
        <w:gridCol w:w="206"/>
        <w:gridCol w:w="586"/>
        <w:gridCol w:w="254"/>
        <w:gridCol w:w="109"/>
        <w:gridCol w:w="109"/>
        <w:gridCol w:w="109"/>
        <w:gridCol w:w="204"/>
        <w:gridCol w:w="675"/>
        <w:gridCol w:w="251"/>
        <w:gridCol w:w="109"/>
        <w:gridCol w:w="109"/>
        <w:gridCol w:w="109"/>
        <w:gridCol w:w="201"/>
        <w:gridCol w:w="664"/>
        <w:gridCol w:w="248"/>
        <w:gridCol w:w="109"/>
        <w:gridCol w:w="109"/>
        <w:gridCol w:w="109"/>
        <w:gridCol w:w="196"/>
        <w:gridCol w:w="556"/>
        <w:gridCol w:w="241"/>
        <w:gridCol w:w="109"/>
        <w:gridCol w:w="109"/>
        <w:gridCol w:w="109"/>
        <w:gridCol w:w="283"/>
        <w:gridCol w:w="609"/>
        <w:gridCol w:w="425"/>
      </w:tblGrid>
      <w:tr>
        <w:trPr/>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 (1)</w:t>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(Dollars in millions)</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4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2,566 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46,089 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14,726 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0.85 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2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2.49 </w:t>
            </w:r>
          </w:p>
        </w:tc>
        <w:tc>
          <w:tcPr>
            <w:tcW w:w="4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33,897 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14,274 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transfers from (to) separate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credited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Policy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related to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4,639 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38,549 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14,905 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crediting rate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0.31 </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2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0.66 </w:t>
            </w:r>
          </w:p>
        </w:tc>
        <w:tc>
          <w:tcPr>
            <w:tcW w:w="2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1.57 </w:t>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4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liabilities related to separate account products where the contract holder elected a general account investment option.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(2)Excludes the effects of embedded derivatives related to index-linked crediting rates. </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policyholder account balances reported in the preceding rollforward table to the liability for policyholder account balances on the consolidated balance sheets was as follows at:</w:t>
      </w:r>
    </w:p>
    <w:tbl>
      <w:tblPr>
        <w:tblW w:w="7881" w:type="dxa"/>
        <w:jc w:val="center"/>
        <w:tblInd w:w="0" w:type="dxa"/>
        <w:tblLayout w:type="fixed"/>
        <w:tblCellMar>
          <w:top w:w="28" w:type="dxa"/>
          <w:left w:w="28" w:type="dxa"/>
          <w:bottom w:w="28" w:type="dxa"/>
          <w:right w:w="28" w:type="dxa"/>
        </w:tblCellMar>
      </w:tblPr>
      <w:tblGrid>
        <w:gridCol w:w="1913"/>
        <w:gridCol w:w="1681"/>
        <w:gridCol w:w="1686"/>
        <w:gridCol w:w="109"/>
        <w:gridCol w:w="109"/>
        <w:gridCol w:w="109"/>
        <w:gridCol w:w="196"/>
        <w:gridCol w:w="646"/>
        <w:gridCol w:w="109"/>
        <w:gridCol w:w="109"/>
        <w:gridCol w:w="109"/>
        <w:gridCol w:w="109"/>
        <w:gridCol w:w="196"/>
        <w:gridCol w:w="646"/>
        <w:gridCol w:w="154"/>
      </w:tblGrid>
      <w:tr>
        <w:trPr/>
        <w:tc>
          <w:tcPr>
            <w:tcW w:w="1913"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Funding agreements classified as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Institutional group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3. Insurance Liabilities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account values by range of guaranteed minimum crediting rates and the related range of difference, in basis points, between rates being credited to policyholders and the respective guaranteed minimums was as follows at:</w:t>
      </w:r>
    </w:p>
    <w:tbl>
      <w:tblPr>
        <w:tblW w:w="10205" w:type="dxa"/>
        <w:jc w:val="left"/>
        <w:tblInd w:w="0" w:type="dxa"/>
        <w:tblLayout w:type="fixed"/>
        <w:tblCellMar>
          <w:top w:w="28" w:type="dxa"/>
          <w:left w:w="28" w:type="dxa"/>
          <w:bottom w:w="28" w:type="dxa"/>
          <w:right w:w="28" w:type="dxa"/>
        </w:tblCellMar>
      </w:tblPr>
      <w:tblGrid>
        <w:gridCol w:w="711"/>
        <w:gridCol w:w="624"/>
        <w:gridCol w:w="628"/>
        <w:gridCol w:w="109"/>
        <w:gridCol w:w="109"/>
        <w:gridCol w:w="109"/>
        <w:gridCol w:w="275"/>
        <w:gridCol w:w="909"/>
        <w:gridCol w:w="155"/>
        <w:gridCol w:w="109"/>
        <w:gridCol w:w="109"/>
        <w:gridCol w:w="109"/>
        <w:gridCol w:w="296"/>
        <w:gridCol w:w="841"/>
        <w:gridCol w:w="164"/>
        <w:gridCol w:w="109"/>
        <w:gridCol w:w="109"/>
        <w:gridCol w:w="109"/>
        <w:gridCol w:w="312"/>
        <w:gridCol w:w="885"/>
        <w:gridCol w:w="173"/>
        <w:gridCol w:w="109"/>
        <w:gridCol w:w="109"/>
        <w:gridCol w:w="109"/>
        <w:gridCol w:w="362"/>
        <w:gridCol w:w="1029"/>
        <w:gridCol w:w="201"/>
        <w:gridCol w:w="109"/>
        <w:gridCol w:w="109"/>
        <w:gridCol w:w="109"/>
        <w:gridCol w:w="196"/>
        <w:gridCol w:w="646"/>
        <w:gridCol w:w="163"/>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Range of Guaranteed Minimum Crediting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At Guaranteed 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 to 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51 to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Greater than 150 Basis Points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19,224 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Annuities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Life insurance (2)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ULSG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 to 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policyholder account balances for fixed rate annuities and the fixed account portion of variable annuities.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policyholder account balances for retained asset accounts, universal life policies and the fixed account portion of universal variable life insurance policies.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(3)Amounts are gross of policy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5 for information regarding net amount at risk and cash surrender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Market Risk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MRB assets and liabilities associated with variable annuities was as follows:</w:t>
      </w:r>
    </w:p>
    <w:tbl>
      <w:tblPr>
        <w:tblW w:w="9488" w:type="dxa"/>
        <w:jc w:val="center"/>
        <w:tblInd w:w="0" w:type="dxa"/>
        <w:tblLayout w:type="fixed"/>
        <w:tblCellMar>
          <w:top w:w="28" w:type="dxa"/>
          <w:left w:w="28" w:type="dxa"/>
          <w:bottom w:w="28" w:type="dxa"/>
          <w:right w:w="28" w:type="dxa"/>
        </w:tblCellMar>
      </w:tblPr>
      <w:tblGrid>
        <w:gridCol w:w="2042"/>
        <w:gridCol w:w="1791"/>
        <w:gridCol w:w="1807"/>
        <w:gridCol w:w="109"/>
        <w:gridCol w:w="109"/>
        <w:gridCol w:w="109"/>
        <w:gridCol w:w="109"/>
        <w:gridCol w:w="109"/>
        <w:gridCol w:w="209"/>
        <w:gridCol w:w="209"/>
        <w:gridCol w:w="376"/>
        <w:gridCol w:w="1067"/>
        <w:gridCol w:w="209"/>
        <w:gridCol w:w="109"/>
        <w:gridCol w:w="109"/>
        <w:gridCol w:w="109"/>
        <w:gridCol w:w="196"/>
        <w:gridCol w:w="556"/>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233" w:type="dxa"/>
            <w:gridSpan w:val="6"/>
            <w:tcBorders/>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8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actual different from expected experience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interest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fund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risk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Aging of the block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before effect of changes in nonperformance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changes in nonperformance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Reinsurance recoverable,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 net of reinsurance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attained age of contract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(1)Amounts represent the sum of MRB assets and MRB liabilities presented on the consolidated balance sheets at June 30, 2024 and 2023, with the exception of $0 and $3 million, respectively, of index-linked annuities not included in this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Separate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Separate Accounts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separate account liabilities was as follows:</w:t>
      </w:r>
    </w:p>
    <w:tbl>
      <w:tblPr>
        <w:tblW w:w="10205" w:type="dxa"/>
        <w:jc w:val="left"/>
        <w:tblInd w:w="0" w:type="dxa"/>
        <w:tblLayout w:type="fixed"/>
        <w:tblCellMar>
          <w:top w:w="28" w:type="dxa"/>
          <w:left w:w="28" w:type="dxa"/>
          <w:bottom w:w="28" w:type="dxa"/>
          <w:right w:w="28" w:type="dxa"/>
        </w:tblCellMar>
      </w:tblPr>
      <w:tblGrid>
        <w:gridCol w:w="602"/>
        <w:gridCol w:w="306"/>
        <w:gridCol w:w="309"/>
        <w:gridCol w:w="109"/>
        <w:gridCol w:w="109"/>
        <w:gridCol w:w="109"/>
        <w:gridCol w:w="207"/>
        <w:gridCol w:w="685"/>
        <w:gridCol w:w="115"/>
        <w:gridCol w:w="109"/>
        <w:gridCol w:w="109"/>
        <w:gridCol w:w="109"/>
        <w:gridCol w:w="222"/>
        <w:gridCol w:w="630"/>
        <w:gridCol w:w="123"/>
        <w:gridCol w:w="109"/>
        <w:gridCol w:w="109"/>
        <w:gridCol w:w="109"/>
        <w:gridCol w:w="342"/>
        <w:gridCol w:w="970"/>
        <w:gridCol w:w="191"/>
        <w:gridCol w:w="109"/>
        <w:gridCol w:w="109"/>
        <w:gridCol w:w="109"/>
        <w:gridCol w:w="207"/>
        <w:gridCol w:w="685"/>
        <w:gridCol w:w="115"/>
        <w:gridCol w:w="109"/>
        <w:gridCol w:w="109"/>
        <w:gridCol w:w="109"/>
        <w:gridCol w:w="222"/>
        <w:gridCol w:w="630"/>
        <w:gridCol w:w="123"/>
        <w:gridCol w:w="109"/>
        <w:gridCol w:w="109"/>
        <w:gridCol w:w="109"/>
        <w:gridCol w:w="334"/>
        <w:gridCol w:w="950"/>
        <w:gridCol w:w="275"/>
      </w:tblGrid>
      <w:tr>
        <w:trPr/>
        <w:tc>
          <w:tcPr>
            <w:tcW w:w="60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Company-Owned Life Insurance</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and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Surrenders and withdrawals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performance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from (to) general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4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5. Separate Accounts (continued)</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separate account liabilities reported in the preceding rollforward table to the separate account liabilities balance on the consolidated balance sheets was as follows at:</w:t>
      </w:r>
    </w:p>
    <w:tbl>
      <w:tblPr>
        <w:tblW w:w="7610" w:type="dxa"/>
        <w:jc w:val="center"/>
        <w:tblInd w:w="0" w:type="dxa"/>
        <w:tblLayout w:type="fixed"/>
        <w:tblCellMar>
          <w:top w:w="28" w:type="dxa"/>
          <w:left w:w="28" w:type="dxa"/>
          <w:bottom w:w="28" w:type="dxa"/>
          <w:right w:w="28" w:type="dxa"/>
        </w:tblCellMar>
      </w:tblPr>
      <w:tblGrid>
        <w:gridCol w:w="1813"/>
        <w:gridCol w:w="1593"/>
        <w:gridCol w:w="1603"/>
        <w:gridCol w:w="109"/>
        <w:gridCol w:w="109"/>
        <w:gridCol w:w="109"/>
        <w:gridCol w:w="196"/>
        <w:gridCol w:w="646"/>
        <w:gridCol w:w="109"/>
        <w:gridCol w:w="109"/>
        <w:gridCol w:w="109"/>
        <w:gridCol w:w="109"/>
        <w:gridCol w:w="196"/>
        <w:gridCol w:w="646"/>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 reported in the preceding rollforward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income annuities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risk transfer annuities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separate account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88,392 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 of assets, by major investment asset category, supporting separate accounts was as follows at:</w:t>
      </w:r>
    </w:p>
    <w:tbl>
      <w:tblPr>
        <w:tblW w:w="6593" w:type="dxa"/>
        <w:jc w:val="center"/>
        <w:tblInd w:w="0" w:type="dxa"/>
        <w:tblLayout w:type="fixed"/>
        <w:tblCellMar>
          <w:top w:w="28" w:type="dxa"/>
          <w:left w:w="28" w:type="dxa"/>
          <w:bottom w:w="28" w:type="dxa"/>
          <w:right w:w="28" w:type="dxa"/>
        </w:tblCellMar>
      </w:tblPr>
      <w:tblGrid>
        <w:gridCol w:w="1181"/>
        <w:gridCol w:w="1039"/>
        <w:gridCol w:w="1049"/>
        <w:gridCol w:w="109"/>
        <w:gridCol w:w="109"/>
        <w:gridCol w:w="109"/>
        <w:gridCol w:w="232"/>
        <w:gridCol w:w="764"/>
        <w:gridCol w:w="129"/>
        <w:gridCol w:w="109"/>
        <w:gridCol w:w="109"/>
        <w:gridCol w:w="109"/>
        <w:gridCol w:w="304"/>
        <w:gridCol w:w="1002"/>
        <w:gridCol w:w="239"/>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87,999 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aggregate estimated fair value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 and Cash Surrender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net amount at risk and cash surrender value for insurance products was as follows at: </w:t>
      </w:r>
    </w:p>
    <w:tbl>
      <w:tblPr>
        <w:tblW w:w="10205" w:type="dxa"/>
        <w:jc w:val="left"/>
        <w:tblInd w:w="0" w:type="dxa"/>
        <w:tblLayout w:type="fixed"/>
        <w:tblCellMar>
          <w:top w:w="28" w:type="dxa"/>
          <w:left w:w="28" w:type="dxa"/>
          <w:bottom w:w="28" w:type="dxa"/>
          <w:right w:w="28" w:type="dxa"/>
        </w:tblCellMar>
      </w:tblPr>
      <w:tblGrid>
        <w:gridCol w:w="744"/>
        <w:gridCol w:w="577"/>
        <w:gridCol w:w="427"/>
        <w:gridCol w:w="109"/>
        <w:gridCol w:w="109"/>
        <w:gridCol w:w="109"/>
        <w:gridCol w:w="223"/>
        <w:gridCol w:w="736"/>
        <w:gridCol w:w="124"/>
        <w:gridCol w:w="109"/>
        <w:gridCol w:w="109"/>
        <w:gridCol w:w="109"/>
        <w:gridCol w:w="207"/>
        <w:gridCol w:w="685"/>
        <w:gridCol w:w="115"/>
        <w:gridCol w:w="109"/>
        <w:gridCol w:w="109"/>
        <w:gridCol w:w="109"/>
        <w:gridCol w:w="218"/>
        <w:gridCol w:w="719"/>
        <w:gridCol w:w="121"/>
        <w:gridCol w:w="109"/>
        <w:gridCol w:w="109"/>
        <w:gridCol w:w="109"/>
        <w:gridCol w:w="212"/>
        <w:gridCol w:w="700"/>
        <w:gridCol w:w="118"/>
        <w:gridCol w:w="109"/>
        <w:gridCol w:w="109"/>
        <w:gridCol w:w="109"/>
        <w:gridCol w:w="196"/>
        <w:gridCol w:w="646"/>
        <w:gridCol w:w="109"/>
        <w:gridCol w:w="109"/>
        <w:gridCol w:w="109"/>
        <w:gridCol w:w="109"/>
        <w:gridCol w:w="260"/>
        <w:gridCol w:w="741"/>
        <w:gridCol w:w="365"/>
      </w:tblGrid>
      <w:tr>
        <w:trPr/>
        <w:tc>
          <w:tcPr>
            <w:tcW w:w="7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Universal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ULSG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Company-Owned Life Insurance</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365" w:type="dxa"/>
            <w:tcBorders/>
            <w:shd w:fill="FFFF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34,485 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12,642 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 balances reported in the preceding rollforward tables: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2,093 </w:t>
            </w:r>
          </w:p>
        </w:tc>
        <w:tc>
          <w:tcPr>
            <w:tcW w:w="365" w:type="dxa"/>
            <w:tcBorders/>
            <w:shd w:fill="CCEEFF" w:val="clear"/>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 balances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amount at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36,753 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69,602 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2,647 </w:t>
            </w:r>
          </w:p>
        </w:tc>
        <w:tc>
          <w:tcPr>
            <w:tcW w:w="3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surrender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Products may contain both separate account and general account fund options; accordingly, net amount at risk and cash surrender value reported in the table above relate to the total account balance for each respective product grouping.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before="18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Policy Acquisition Costs and Value of Business Acquired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policy acquisition costs (“DAC”) and value of business acquired (“VOBA”) was as follows:</w:t>
      </w:r>
    </w:p>
    <w:tbl>
      <w:tblPr>
        <w:tblW w:w="10205" w:type="dxa"/>
        <w:jc w:val="center"/>
        <w:tblInd w:w="0" w:type="dxa"/>
        <w:tblLayout w:type="fixed"/>
        <w:tblCellMar>
          <w:top w:w="28" w:type="dxa"/>
          <w:left w:w="28" w:type="dxa"/>
          <w:bottom w:w="28" w:type="dxa"/>
          <w:right w:w="28" w:type="dxa"/>
        </w:tblCellMar>
      </w:tblPr>
      <w:tblGrid>
        <w:gridCol w:w="790"/>
        <w:gridCol w:w="534"/>
        <w:gridCol w:w="539"/>
        <w:gridCol w:w="109"/>
        <w:gridCol w:w="109"/>
        <w:gridCol w:w="109"/>
        <w:gridCol w:w="263"/>
        <w:gridCol w:w="747"/>
        <w:gridCol w:w="146"/>
        <w:gridCol w:w="109"/>
        <w:gridCol w:w="109"/>
        <w:gridCol w:w="109"/>
        <w:gridCol w:w="322"/>
        <w:gridCol w:w="693"/>
        <w:gridCol w:w="182"/>
        <w:gridCol w:w="109"/>
        <w:gridCol w:w="109"/>
        <w:gridCol w:w="109"/>
        <w:gridCol w:w="310"/>
        <w:gridCol w:w="880"/>
        <w:gridCol w:w="173"/>
        <w:gridCol w:w="109"/>
        <w:gridCol w:w="109"/>
        <w:gridCol w:w="109"/>
        <w:gridCol w:w="430"/>
        <w:gridCol w:w="928"/>
        <w:gridCol w:w="242"/>
        <w:gridCol w:w="109"/>
        <w:gridCol w:w="109"/>
        <w:gridCol w:w="109"/>
        <w:gridCol w:w="350"/>
        <w:gridCol w:w="756"/>
        <w:gridCol w:w="285"/>
      </w:tblGrid>
      <w:tr>
        <w:trPr/>
        <w:tc>
          <w:tcPr>
            <w:tcW w:w="79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Index-linked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Term and Whole Life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r>
      <w:tr>
        <w:trPr/>
        <w:tc>
          <w:tcPr>
            <w:tcW w:w="1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DAC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2,727 </w:t>
            </w:r>
          </w:p>
        </w:tc>
        <w:tc>
          <w:tcPr>
            <w:tcW w:w="1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1,267 </w:t>
            </w:r>
          </w:p>
        </w:tc>
        <w:tc>
          <w:tcPr>
            <w:tcW w:w="1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420 </w:t>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Deferred Sales Inducements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deferred sales inducements, included in other assets, was as follows:</w:t>
      </w:r>
    </w:p>
    <w:tbl>
      <w:tblPr>
        <w:tblW w:w="9659"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391"/>
        <w:gridCol w:w="842"/>
        <w:gridCol w:w="221"/>
        <w:gridCol w:w="109"/>
        <w:gridCol w:w="109"/>
        <w:gridCol w:w="109"/>
        <w:gridCol w:w="581"/>
        <w:gridCol w:w="713"/>
        <w:gridCol w:w="325"/>
        <w:gridCol w:w="109"/>
        <w:gridCol w:w="109"/>
        <w:gridCol w:w="109"/>
        <w:gridCol w:w="391"/>
        <w:gridCol w:w="842"/>
        <w:gridCol w:w="221"/>
        <w:gridCol w:w="109"/>
        <w:gridCol w:w="109"/>
        <w:gridCol w:w="109"/>
        <w:gridCol w:w="550"/>
        <w:gridCol w:w="677"/>
        <w:gridCol w:w="437"/>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Fixed Rate Annuities</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Deferred Policy Acquisition Costs, Value of Business Acquired and Other Intangibles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Unearned Revenue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unearned revenue, included in other policy-related balances, was as follows:</w:t>
      </w:r>
    </w:p>
    <w:tbl>
      <w:tblPr>
        <w:tblW w:w="10205" w:type="dxa"/>
        <w:jc w:val="center"/>
        <w:tblInd w:w="0" w:type="dxa"/>
        <w:tblLayout w:type="fixed"/>
        <w:tblCellMar>
          <w:top w:w="28" w:type="dxa"/>
          <w:left w:w="28" w:type="dxa"/>
          <w:bottom w:w="28" w:type="dxa"/>
          <w:right w:w="28" w:type="dxa"/>
        </w:tblCellMar>
      </w:tblPr>
      <w:tblGrid>
        <w:gridCol w:w="708"/>
        <w:gridCol w:w="478"/>
        <w:gridCol w:w="482"/>
        <w:gridCol w:w="109"/>
        <w:gridCol w:w="109"/>
        <w:gridCol w:w="109"/>
        <w:gridCol w:w="373"/>
        <w:gridCol w:w="806"/>
        <w:gridCol w:w="210"/>
        <w:gridCol w:w="109"/>
        <w:gridCol w:w="109"/>
        <w:gridCol w:w="109"/>
        <w:gridCol w:w="196"/>
        <w:gridCol w:w="421"/>
        <w:gridCol w:w="109"/>
        <w:gridCol w:w="109"/>
        <w:gridCol w:w="109"/>
        <w:gridCol w:w="109"/>
        <w:gridCol w:w="352"/>
        <w:gridCol w:w="596"/>
        <w:gridCol w:w="198"/>
        <w:gridCol w:w="109"/>
        <w:gridCol w:w="109"/>
        <w:gridCol w:w="109"/>
        <w:gridCol w:w="373"/>
        <w:gridCol w:w="806"/>
        <w:gridCol w:w="210"/>
        <w:gridCol w:w="109"/>
        <w:gridCol w:w="109"/>
        <w:gridCol w:w="109"/>
        <w:gridCol w:w="196"/>
        <w:gridCol w:w="421"/>
        <w:gridCol w:w="109"/>
        <w:gridCol w:w="109"/>
        <w:gridCol w:w="109"/>
        <w:gridCol w:w="109"/>
        <w:gridCol w:w="342"/>
        <w:gridCol w:w="579"/>
        <w:gridCol w:w="278"/>
      </w:tblGrid>
      <w:tr>
        <w:trPr/>
        <w:tc>
          <w:tcPr>
            <w:tcW w:w="7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Universal Life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ULSG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Variable Annuities</w:t>
            </w:r>
          </w:p>
        </w:tc>
      </w:tr>
      <w:tr>
        <w:trPr/>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0"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investments and the fair value hierarchy for investments and the related valuation methodologies.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by sector were as follows at:</w:t>
      </w:r>
    </w:p>
    <w:tbl>
      <w:tblPr>
        <w:tblW w:w="12699" w:type="dxa"/>
        <w:jc w:val="left"/>
        <w:tblInd w:w="0" w:type="dxa"/>
        <w:tblLayout w:type="fixed"/>
        <w:tblCellMar>
          <w:top w:w="28" w:type="dxa"/>
          <w:left w:w="28" w:type="dxa"/>
          <w:bottom w:w="28" w:type="dxa"/>
          <w:right w:w="28" w:type="dxa"/>
        </w:tblCellMar>
      </w:tblPr>
      <w:tblGrid>
        <w:gridCol w:w="658"/>
        <w:gridCol w:w="248"/>
        <w:gridCol w:w="250"/>
        <w:gridCol w:w="196"/>
        <w:gridCol w:w="646"/>
        <w:gridCol w:w="109"/>
        <w:gridCol w:w="109"/>
        <w:gridCol w:w="109"/>
        <w:gridCol w:w="109"/>
        <w:gridCol w:w="222"/>
        <w:gridCol w:w="375"/>
        <w:gridCol w:w="124"/>
        <w:gridCol w:w="109"/>
        <w:gridCol w:w="109"/>
        <w:gridCol w:w="109"/>
        <w:gridCol w:w="196"/>
        <w:gridCol w:w="421"/>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222"/>
        <w:gridCol w:w="375"/>
        <w:gridCol w:w="124"/>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Amortized</w:t>
              <w:br/>
              <w:t>Cost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Allowance for Credit Losses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w:t>
              <w:br/>
              <w:t>Fair</w:t>
              <w:br/>
              <w:t>Value</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5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3"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Residential mortgage-backed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Commercial mortgage-backed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Asset-backed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non-income producing fixed maturity securities with an estimated fair value of $45 million and $52 million at June 30, 2024 and December 31,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Maturities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estimated fair value of fixed maturity securities, by contractual maturity date, were as follows at June 30, 2024:</w:t>
      </w:r>
    </w:p>
    <w:tbl>
      <w:tblPr>
        <w:tblW w:w="9723" w:type="dxa"/>
        <w:jc w:val="left"/>
        <w:tblInd w:w="0" w:type="dxa"/>
        <w:tblLayout w:type="fixed"/>
        <w:tblCellMar>
          <w:top w:w="28" w:type="dxa"/>
          <w:left w:w="28" w:type="dxa"/>
          <w:bottom w:w="28" w:type="dxa"/>
          <w:right w:w="28" w:type="dxa"/>
        </w:tblCellMar>
      </w:tblPr>
      <w:tblGrid>
        <w:gridCol w:w="548"/>
        <w:gridCol w:w="481"/>
        <w:gridCol w:w="485"/>
        <w:gridCol w:w="232"/>
        <w:gridCol w:w="659"/>
        <w:gridCol w:w="129"/>
        <w:gridCol w:w="109"/>
        <w:gridCol w:w="109"/>
        <w:gridCol w:w="109"/>
        <w:gridCol w:w="241"/>
        <w:gridCol w:w="795"/>
        <w:gridCol w:w="134"/>
        <w:gridCol w:w="109"/>
        <w:gridCol w:w="109"/>
        <w:gridCol w:w="109"/>
        <w:gridCol w:w="247"/>
        <w:gridCol w:w="815"/>
        <w:gridCol w:w="137"/>
        <w:gridCol w:w="109"/>
        <w:gridCol w:w="109"/>
        <w:gridCol w:w="109"/>
        <w:gridCol w:w="235"/>
        <w:gridCol w:w="775"/>
        <w:gridCol w:w="130"/>
        <w:gridCol w:w="109"/>
        <w:gridCol w:w="109"/>
        <w:gridCol w:w="109"/>
        <w:gridCol w:w="216"/>
        <w:gridCol w:w="713"/>
        <w:gridCol w:w="120"/>
        <w:gridCol w:w="109"/>
        <w:gridCol w:w="109"/>
        <w:gridCol w:w="109"/>
        <w:gridCol w:w="196"/>
        <w:gridCol w:w="64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Due in One </w:t>
              <w:br/>
              <w:t>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One</w:t>
              <w:br/>
              <w:t>Year Through</w:t>
              <w:b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Five</w:t>
              <w:br/>
              <w:t>Years Through</w:t>
              <w:br/>
              <w:t>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Due After Ten</w:t>
              <w:b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Structured</w:t>
              <w:br/>
              <w:t>Securities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Fixed</w:t>
              <w:br/>
              <w:t>Maturity</w:t>
              <w:br/>
              <w:t>Securities</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(1)Structured securities include residential mortgage-backed securities (“RMBS”), commercial mortgage-backed securities (“CMBS”) and asset-backed securities (“ABS”) (collectively,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Continuous Gross Unrealized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and gross unrealized losses of fixed maturity securities in an unrealized loss position, by sector and by length of time that the securities have been in a continuous unrealized loss position, were as follows at:</w:t>
      </w:r>
    </w:p>
    <w:tbl>
      <w:tblPr>
        <w:tblW w:w="10553" w:type="dxa"/>
        <w:jc w:val="center"/>
        <w:tblInd w:w="0" w:type="dxa"/>
        <w:tblLayout w:type="fixed"/>
        <w:tblCellMar>
          <w:top w:w="28" w:type="dxa"/>
          <w:left w:w="28" w:type="dxa"/>
          <w:bottom w:w="28" w:type="dxa"/>
          <w:right w:w="28" w:type="dxa"/>
        </w:tblCellMar>
      </w:tblPr>
      <w:tblGrid>
        <w:gridCol w:w="463"/>
        <w:gridCol w:w="248"/>
        <w:gridCol w:w="250"/>
        <w:gridCol w:w="196"/>
        <w:gridCol w:w="646"/>
        <w:gridCol w:w="109"/>
        <w:gridCol w:w="109"/>
        <w:gridCol w:w="109"/>
        <w:gridCol w:w="109"/>
        <w:gridCol w:w="239"/>
        <w:gridCol w:w="513"/>
        <w:gridCol w:w="134"/>
        <w:gridCol w:w="109"/>
        <w:gridCol w:w="109"/>
        <w:gridCol w:w="109"/>
        <w:gridCol w:w="196"/>
        <w:gridCol w:w="646"/>
        <w:gridCol w:w="109"/>
        <w:gridCol w:w="109"/>
        <w:gridCol w:w="109"/>
        <w:gridCol w:w="109"/>
        <w:gridCol w:w="201"/>
        <w:gridCol w:w="572"/>
        <w:gridCol w:w="113"/>
        <w:gridCol w:w="109"/>
        <w:gridCol w:w="109"/>
        <w:gridCol w:w="109"/>
        <w:gridCol w:w="196"/>
        <w:gridCol w:w="556"/>
        <w:gridCol w:w="109"/>
        <w:gridCol w:w="109"/>
        <w:gridCol w:w="109"/>
        <w:gridCol w:w="109"/>
        <w:gridCol w:w="239"/>
        <w:gridCol w:w="513"/>
        <w:gridCol w:w="134"/>
        <w:gridCol w:w="109"/>
        <w:gridCol w:w="109"/>
        <w:gridCol w:w="109"/>
        <w:gridCol w:w="196"/>
        <w:gridCol w:w="646"/>
        <w:gridCol w:w="109"/>
        <w:gridCol w:w="109"/>
        <w:gridCol w:w="109"/>
        <w:gridCol w:w="109"/>
        <w:gridCol w:w="201"/>
        <w:gridCol w:w="571"/>
        <w:gridCol w:w="159"/>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corporate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U.S. government and agency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RMBS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CMBS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ABS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State and political subdivision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government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fixed maturity securities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number of securities in an unrealized loss position</w:t>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1,347 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7,038 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$673 million and $655 million at June 30, 2024 and December 31, 2023, respectively, and is included in accrued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Current Period Evaluation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Company’s current evaluation of its fixed maturity securities in an unrealized loss position and the current intent or requirement to sell, the Company recorded an allowance for credit losses of $45 million, relating to 27 securities, at June 30, 2024.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Fixed Maturity Securities by Sector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for fixed maturity securities by sector were as follows:</w:t>
      </w:r>
    </w:p>
    <w:tbl>
      <w:tblPr>
        <w:tblW w:w="10205" w:type="dxa"/>
        <w:jc w:val="left"/>
        <w:tblInd w:w="0" w:type="dxa"/>
        <w:tblLayout w:type="fixed"/>
        <w:tblCellMar>
          <w:top w:w="28" w:type="dxa"/>
          <w:left w:w="28" w:type="dxa"/>
          <w:bottom w:w="28" w:type="dxa"/>
          <w:right w:w="28" w:type="dxa"/>
        </w:tblCellMar>
      </w:tblPr>
      <w:tblGrid>
        <w:gridCol w:w="1368"/>
        <w:gridCol w:w="1120"/>
        <w:gridCol w:w="1130"/>
        <w:gridCol w:w="109"/>
        <w:gridCol w:w="109"/>
        <w:gridCol w:w="109"/>
        <w:gridCol w:w="324"/>
        <w:gridCol w:w="549"/>
        <w:gridCol w:w="181"/>
        <w:gridCol w:w="109"/>
        <w:gridCol w:w="109"/>
        <w:gridCol w:w="109"/>
        <w:gridCol w:w="109"/>
        <w:gridCol w:w="109"/>
        <w:gridCol w:w="330"/>
        <w:gridCol w:w="684"/>
        <w:gridCol w:w="184"/>
        <w:gridCol w:w="109"/>
        <w:gridCol w:w="109"/>
        <w:gridCol w:w="109"/>
        <w:gridCol w:w="204"/>
        <w:gridCol w:w="252"/>
        <w:gridCol w:w="115"/>
        <w:gridCol w:w="109"/>
        <w:gridCol w:w="109"/>
        <w:gridCol w:w="109"/>
        <w:gridCol w:w="204"/>
        <w:gridCol w:w="252"/>
        <w:gridCol w:w="115"/>
        <w:gridCol w:w="109"/>
        <w:gridCol w:w="109"/>
        <w:gridCol w:w="109"/>
        <w:gridCol w:w="109"/>
        <w:gridCol w:w="109"/>
        <w:gridCol w:w="109"/>
        <w:gridCol w:w="109"/>
        <w:gridCol w:w="109"/>
        <w:gridCol w:w="109"/>
        <w:gridCol w:w="196"/>
        <w:gridCol w:w="331"/>
        <w:gridCol w:w="159"/>
      </w:tblGrid>
      <w:tr>
        <w:trPr/>
        <w:tc>
          <w:tcPr>
            <w:tcW w:w="136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667" w:type="dxa"/>
            <w:gridSpan w:val="12"/>
            <w:tcBorders/>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on securities where credit losses were not previously recorded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Reductions for securities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allowance on securities with an allowance recorded in a previous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charged against allowance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 recorded total write-offs of $1 million and $7 million for the six months ended June 30,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Mortgage Loans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summarized as follows at:</w:t>
      </w:r>
    </w:p>
    <w:tbl>
      <w:tblPr>
        <w:tblW w:w="6640" w:type="dxa"/>
        <w:jc w:val="left"/>
        <w:tblInd w:w="0" w:type="dxa"/>
        <w:tblLayout w:type="fixed"/>
        <w:tblCellMar>
          <w:top w:w="28" w:type="dxa"/>
          <w:left w:w="28" w:type="dxa"/>
          <w:bottom w:w="28" w:type="dxa"/>
          <w:right w:w="28" w:type="dxa"/>
        </w:tblCellMar>
      </w:tblPr>
      <w:tblGrid>
        <w:gridCol w:w="743"/>
        <w:gridCol w:w="655"/>
        <w:gridCol w:w="656"/>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23"/>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of </w:t>
              <w:br/>
              <w:t>Total</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(1)</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 loans,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(1)Purchases of mortgage loans from third parties were $188 million and $349 million for the three months and six months ended June 30, 2024, respectively, and $0 and $32 million for the three months and six months ended June 30, 2023, respectively, and were primarily comprised of residential mortgage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Allowance for Credit Losses for Mortgage Loans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and Measurement Methodologies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$122 million and $123 million at June 30,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Rollforward of the Allowance for Credit Losses for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allowance for credit losses by portfolio segment were as follows:</w:t>
      </w:r>
    </w:p>
    <w:tbl>
      <w:tblPr>
        <w:tblW w:w="7304" w:type="dxa"/>
        <w:jc w:val="left"/>
        <w:tblInd w:w="0" w:type="dxa"/>
        <w:tblLayout w:type="fixed"/>
        <w:tblCellMar>
          <w:top w:w="28" w:type="dxa"/>
          <w:left w:w="28" w:type="dxa"/>
          <w:bottom w:w="28" w:type="dxa"/>
          <w:right w:w="28" w:type="dxa"/>
        </w:tblCellMar>
      </w:tblPr>
      <w:tblGrid>
        <w:gridCol w:w="961"/>
        <w:gridCol w:w="843"/>
        <w:gridCol w:w="850"/>
        <w:gridCol w:w="305"/>
        <w:gridCol w:w="515"/>
        <w:gridCol w:w="171"/>
        <w:gridCol w:w="109"/>
        <w:gridCol w:w="109"/>
        <w:gridCol w:w="109"/>
        <w:gridCol w:w="310"/>
        <w:gridCol w:w="523"/>
        <w:gridCol w:w="173"/>
        <w:gridCol w:w="109"/>
        <w:gridCol w:w="109"/>
        <w:gridCol w:w="109"/>
        <w:gridCol w:w="277"/>
        <w:gridCol w:w="468"/>
        <w:gridCol w:w="156"/>
        <w:gridCol w:w="109"/>
        <w:gridCol w:w="109"/>
        <w:gridCol w:w="109"/>
        <w:gridCol w:w="196"/>
        <w:gridCol w:w="4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 net of recoveries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period</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period provision</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Charge-offs, net of recoveries</w:t>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period</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Credit Quality of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by year of origination and credit quality indicator was as follows at:</w:t>
      </w:r>
    </w:p>
    <w:tbl>
      <w:tblPr>
        <w:tblW w:w="10205" w:type="dxa"/>
        <w:jc w:val="left"/>
        <w:tblInd w:w="0" w:type="dxa"/>
        <w:tblLayout w:type="fixed"/>
        <w:tblCellMar>
          <w:top w:w="28" w:type="dxa"/>
          <w:left w:w="28" w:type="dxa"/>
          <w:bottom w:w="28" w:type="dxa"/>
          <w:right w:w="28" w:type="dxa"/>
        </w:tblCellMar>
      </w:tblPr>
      <w:tblGrid>
        <w:gridCol w:w="841"/>
        <w:gridCol w:w="717"/>
        <w:gridCol w:w="702"/>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84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26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tbl>
      <w:tblPr>
        <w:tblW w:w="10205" w:type="dxa"/>
        <w:jc w:val="left"/>
        <w:tblInd w:w="0" w:type="dxa"/>
        <w:tblLayout w:type="fixed"/>
        <w:tblCellMar>
          <w:top w:w="28" w:type="dxa"/>
          <w:left w:w="28" w:type="dxa"/>
          <w:bottom w:w="28" w:type="dxa"/>
          <w:right w:w="28" w:type="dxa"/>
        </w:tblCellMar>
      </w:tblPr>
      <w:tblGrid>
        <w:gridCol w:w="847"/>
        <w:gridCol w:w="683"/>
        <w:gridCol w:w="685"/>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84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mortgage loans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76% to 80%</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80%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commercial mortgage loans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Agricultural mortgage loans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Loan-to-value ratios: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65%</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65% to 75%</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2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agricultural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mortgage loans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Performing</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Nonperforming</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residential mortgage loans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commercial mortgage loans by debt-service coverage ratio was as follows at:</w:t>
      </w:r>
    </w:p>
    <w:tbl>
      <w:tblPr>
        <w:tblW w:w="7338" w:type="dxa"/>
        <w:jc w:val="left"/>
        <w:tblInd w:w="0" w:type="dxa"/>
        <w:tblLayout w:type="fixed"/>
        <w:tblCellMar>
          <w:top w:w="28" w:type="dxa"/>
          <w:left w:w="28" w:type="dxa"/>
          <w:bottom w:w="28" w:type="dxa"/>
          <w:right w:w="28" w:type="dxa"/>
        </w:tblCellMar>
      </w:tblPr>
      <w:tblGrid>
        <w:gridCol w:w="788"/>
        <w:gridCol w:w="692"/>
        <w:gridCol w:w="694"/>
        <w:gridCol w:w="256"/>
        <w:gridCol w:w="846"/>
        <w:gridCol w:w="142"/>
        <w:gridCol w:w="109"/>
        <w:gridCol w:w="109"/>
        <w:gridCol w:w="109"/>
        <w:gridCol w:w="278"/>
        <w:gridCol w:w="278"/>
        <w:gridCol w:w="268"/>
        <w:gridCol w:w="109"/>
        <w:gridCol w:w="109"/>
        <w:gridCol w:w="109"/>
        <w:gridCol w:w="256"/>
        <w:gridCol w:w="846"/>
        <w:gridCol w:w="142"/>
        <w:gridCol w:w="109"/>
        <w:gridCol w:w="109"/>
        <w:gridCol w:w="109"/>
        <w:gridCol w:w="278"/>
        <w:gridCol w:w="278"/>
        <w:gridCol w:w="315"/>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Debt-service coverage ratios: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Greater than 1.20x</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1.00x - 1.20x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than 1.00x</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Past Due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high-quality, well-performing mortgage loan portfolio, with over 99% of all mortgage loans classified as performing at both June 30, 2024 and December 31, 2023. Delinquency is defined consistent with industry practice, when mortgage loans are past due as follows: commercial and residential mortgage loans — 60 days; and agricultural mortgage loans — 90 days.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aging of the amortized cost of past due mortgage loans by portfolio segment was as follows at:</w:t>
      </w:r>
    </w:p>
    <w:tbl>
      <w:tblPr>
        <w:tblW w:w="10693" w:type="dxa"/>
        <w:jc w:val="left"/>
        <w:tblInd w:w="0" w:type="dxa"/>
        <w:tblLayout w:type="fixed"/>
        <w:tblCellMar>
          <w:top w:w="28" w:type="dxa"/>
          <w:left w:w="28" w:type="dxa"/>
          <w:bottom w:w="28" w:type="dxa"/>
          <w:right w:w="28" w:type="dxa"/>
        </w:tblCellMar>
      </w:tblPr>
      <w:tblGrid>
        <w:gridCol w:w="239"/>
        <w:gridCol w:w="210"/>
        <w:gridCol w:w="212"/>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09"/>
        <w:gridCol w:w="109"/>
        <w:gridCol w:w="109"/>
        <w:gridCol w:w="109"/>
        <w:gridCol w:w="204"/>
        <w:gridCol w:w="673"/>
        <w:gridCol w:w="114"/>
        <w:gridCol w:w="109"/>
        <w:gridCol w:w="109"/>
        <w:gridCol w:w="109"/>
        <w:gridCol w:w="229"/>
        <w:gridCol w:w="649"/>
        <w:gridCol w:w="128"/>
        <w:gridCol w:w="109"/>
        <w:gridCol w:w="109"/>
        <w:gridCol w:w="109"/>
        <w:gridCol w:w="205"/>
        <w:gridCol w:w="581"/>
        <w:gridCol w:w="115"/>
        <w:gridCol w:w="109"/>
        <w:gridCol w:w="109"/>
        <w:gridCol w:w="109"/>
        <w:gridCol w:w="196"/>
        <w:gridCol w:w="646"/>
        <w:gridCol w:w="154"/>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2"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30-59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60-89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90-179 days past due</w:t>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180+ days past due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Loans in Nonaccrual Status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Mortgage loans are placed in a nonaccrual status if there are concerns regarding collectability of future payments or the loan is past due, unless the past due loan is well collateralized.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of mortgage loans in a nonaccrual status by portfolio segment was as follows at:</w:t>
      </w:r>
    </w:p>
    <w:tbl>
      <w:tblPr>
        <w:tblW w:w="6418" w:type="dxa"/>
        <w:jc w:val="left"/>
        <w:tblInd w:w="0" w:type="dxa"/>
        <w:tblLayout w:type="fixed"/>
        <w:tblCellMar>
          <w:top w:w="28" w:type="dxa"/>
          <w:left w:w="28" w:type="dxa"/>
          <w:bottom w:w="28" w:type="dxa"/>
          <w:right w:w="28" w:type="dxa"/>
        </w:tblCellMar>
      </w:tblPr>
      <w:tblGrid>
        <w:gridCol w:w="548"/>
        <w:gridCol w:w="481"/>
        <w:gridCol w:w="485"/>
        <w:gridCol w:w="305"/>
        <w:gridCol w:w="515"/>
        <w:gridCol w:w="171"/>
        <w:gridCol w:w="109"/>
        <w:gridCol w:w="109"/>
        <w:gridCol w:w="109"/>
        <w:gridCol w:w="277"/>
        <w:gridCol w:w="574"/>
        <w:gridCol w:w="155"/>
        <w:gridCol w:w="109"/>
        <w:gridCol w:w="109"/>
        <w:gridCol w:w="109"/>
        <w:gridCol w:w="355"/>
        <w:gridCol w:w="600"/>
        <w:gridCol w:w="200"/>
        <w:gridCol w:w="109"/>
        <w:gridCol w:w="109"/>
        <w:gridCol w:w="109"/>
        <w:gridCol w:w="196"/>
        <w:gridCol w:w="42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Agricultural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Residential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June 30, 2024</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2023</w:t>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Company had $30 million of mortgage loans in nonaccrual status for which there was no related allowance for credit losses at June 30, 2024. The Company had no mortgage loans in nonaccrual status for which there was no related allowance for credit losses at December 31,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Current period investment income on mortgage loans in nonaccrual status was $1 million and less than $1 million for the six months ended June 30, 2024 and 2023,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Modified Mortgage Loans by Portfolio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modifications are granted to nonperforming mortgage loans. Generally, the types of concessions may include interest rate reduction, term extension, principal forgiveness, or a combination of all three. The Company did not have a significant amount of mortgage loans modified during both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Invested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75%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tax credit and renewable energy partnerships and leveraged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Unrealized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unrealized investment gains (losses), included in AOCI, were as follows at:</w:t>
      </w:r>
    </w:p>
    <w:tbl>
      <w:tblPr>
        <w:tblW w:w="5965" w:type="dxa"/>
        <w:jc w:val="left"/>
        <w:tblInd w:w="0" w:type="dxa"/>
        <w:tblLayout w:type="fixed"/>
        <w:tblCellMar>
          <w:top w:w="28" w:type="dxa"/>
          <w:left w:w="28" w:type="dxa"/>
          <w:bottom w:w="28" w:type="dxa"/>
          <w:right w:w="28" w:type="dxa"/>
        </w:tblCellMar>
      </w:tblPr>
      <w:tblGrid>
        <w:gridCol w:w="1077"/>
        <w:gridCol w:w="942"/>
        <w:gridCol w:w="950"/>
        <w:gridCol w:w="235"/>
        <w:gridCol w:w="759"/>
        <w:gridCol w:w="131"/>
        <w:gridCol w:w="109"/>
        <w:gridCol w:w="109"/>
        <w:gridCol w:w="109"/>
        <w:gridCol w:w="308"/>
        <w:gridCol w:w="994"/>
        <w:gridCol w:w="242"/>
      </w:tblGrid>
      <w:tr>
        <w:trPr/>
        <w:tc>
          <w:tcPr>
            <w:tcW w:w="107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(5,766)</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allocated from:</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investment gains (losses)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net unrealized investment gains (losses) were as follows:</w:t>
      </w:r>
    </w:p>
    <w:tbl>
      <w:tblPr>
        <w:tblW w:w="6493" w:type="dxa"/>
        <w:jc w:val="left"/>
        <w:tblInd w:w="0" w:type="dxa"/>
        <w:tblLayout w:type="fixed"/>
        <w:tblCellMar>
          <w:top w:w="28" w:type="dxa"/>
          <w:left w:w="28" w:type="dxa"/>
          <w:bottom w:w="28" w:type="dxa"/>
          <w:right w:w="28" w:type="dxa"/>
        </w:tblCellMar>
      </w:tblPr>
      <w:tblGrid>
        <w:gridCol w:w="1437"/>
        <w:gridCol w:w="1266"/>
        <w:gridCol w:w="1271"/>
        <w:gridCol w:w="503"/>
        <w:gridCol w:w="1621"/>
        <w:gridCol w:w="395"/>
      </w:tblGrid>
      <w:tr>
        <w:trPr/>
        <w:tc>
          <w:tcPr>
            <w:tcW w:w="1437"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(4,040)</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during the period</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investment gains (losses) relating to:</w:t>
            </w:r>
          </w:p>
        </w:tc>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Future policy benefits</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 (expense)</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w:t>
            </w:r>
          </w:p>
        </w:tc>
        <w:tc>
          <w:tcPr>
            <w:tcW w:w="3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investment gains (losses)</w:t>
            </w:r>
          </w:p>
        </w:tc>
        <w:tc>
          <w:tcPr>
            <w:tcW w:w="5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w:t>
            </w:r>
          </w:p>
        </w:tc>
        <w:tc>
          <w:tcPr>
            <w:tcW w:w="39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investments in any counterparty that were greater than 10% of the Company’s equity, other than the U.S. government and its agencies, at both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Elements of the securities lending program are presented below at:</w:t>
      </w:r>
    </w:p>
    <w:tbl>
      <w:tblPr>
        <w:tblW w:w="6461" w:type="dxa"/>
        <w:jc w:val="left"/>
        <w:tblInd w:w="0" w:type="dxa"/>
        <w:tblLayout w:type="fixed"/>
        <w:tblCellMar>
          <w:top w:w="28" w:type="dxa"/>
          <w:left w:w="28" w:type="dxa"/>
          <w:bottom w:w="28" w:type="dxa"/>
          <w:right w:w="28" w:type="dxa"/>
        </w:tblCellMar>
      </w:tblPr>
      <w:tblGrid>
        <w:gridCol w:w="1257"/>
        <w:gridCol w:w="1102"/>
        <w:gridCol w:w="1106"/>
        <w:gridCol w:w="256"/>
        <w:gridCol w:w="727"/>
        <w:gridCol w:w="142"/>
        <w:gridCol w:w="109"/>
        <w:gridCol w:w="109"/>
        <w:gridCol w:w="109"/>
        <w:gridCol w:w="334"/>
        <w:gridCol w:w="948"/>
        <w:gridCol w:w="262"/>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on loan: (1)</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cost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collateral received from counterparties (2)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Reinvestment portfolio — estimated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(1)Included in fixed maturity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(2)Included in payables for collateral under securities loaned and other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cash collateral liability by loaned security type and remaining tenor of the agreements were as follows at:</w:t>
      </w:r>
    </w:p>
    <w:tbl>
      <w:tblPr>
        <w:tblW w:w="10785" w:type="dxa"/>
        <w:jc w:val="left"/>
        <w:tblInd w:w="0" w:type="dxa"/>
        <w:tblLayout w:type="fixed"/>
        <w:tblCellMar>
          <w:top w:w="28" w:type="dxa"/>
          <w:left w:w="28" w:type="dxa"/>
          <w:bottom w:w="28" w:type="dxa"/>
          <w:right w:w="28" w:type="dxa"/>
        </w:tblCellMar>
      </w:tblPr>
      <w:tblGrid>
        <w:gridCol w:w="348"/>
        <w:gridCol w:w="306"/>
        <w:gridCol w:w="307"/>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Open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Month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6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7" w:type="dxa"/>
            <w:gridSpan w:val="3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2857" w:type="dxa"/>
            <w:gridSpan w:val="16"/>
            <w:tcBorders/>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related loaned security could be returned to the Company on the next business day which would require the Company to immediately return the cash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June 30, 2024 was $606 million, primarily comprised of U.S. government and agency securities which, if put back to the Company, could be immediately sold to satisfy the cash requirement.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reinvestment portfolio acquired with the cash collateral consisted principally of fixed maturity securities (including agency RMBS, ABS, U.S. and foreign corporate securities, U.S. government and agency securities, non-agency RMBS and CMBS) with 53% invested in agency RMBS, U.S. government and agency securities and cash and cash equivalents at June 30, 2024. If the securities on loan or the reinvestment portfolio become less liquid, the Company has the liquidity resources of most of its general account available to meet any potential cash demands when securities on loan are put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Invested Assets on Deposit, Held in Trust and Pledged as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Invested assets on deposit, held in trust and pledged as collateral at estimated fair value were as follows at:</w:t>
      </w:r>
    </w:p>
    <w:tbl>
      <w:tblPr>
        <w:tblW w:w="8052" w:type="dxa"/>
        <w:jc w:val="left"/>
        <w:tblInd w:w="0" w:type="dxa"/>
        <w:tblLayout w:type="fixed"/>
        <w:tblCellMar>
          <w:top w:w="28" w:type="dxa"/>
          <w:left w:w="28" w:type="dxa"/>
          <w:bottom w:w="28" w:type="dxa"/>
          <w:right w:w="28" w:type="dxa"/>
        </w:tblCellMar>
      </w:tblPr>
      <w:tblGrid>
        <w:gridCol w:w="1828"/>
        <w:gridCol w:w="1611"/>
        <w:gridCol w:w="1616"/>
        <w:gridCol w:w="232"/>
        <w:gridCol w:w="764"/>
        <w:gridCol w:w="129"/>
        <w:gridCol w:w="109"/>
        <w:gridCol w:w="109"/>
        <w:gridCol w:w="109"/>
        <w:gridCol w:w="304"/>
        <w:gridCol w:w="1002"/>
        <w:gridCol w:w="239"/>
      </w:tblGrid>
      <w:tr>
        <w:trPr/>
        <w:tc>
          <w:tcPr>
            <w:tcW w:w="182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on deposit (regulatory deposits) (1)</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held in trust (reinsurance agreements) (2)</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Invested assets pledged as collateral (3)</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invested assets on deposit, held in trust and pledged as collateral</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assets, primarily fixed maturity securities, on deposit with governmental authorities relating to certain policyholder liabilities, of which $50 million and $102 million of the assets on deposit represents restricted cash and cash equivalents at June 30,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Company has assets, primarily fixed maturity securities, held in trust relating to certain reinsurance transactions, of which $199 million and $120 million of the assets held in trust balance represents restricted cash and cash equivalents at June 30, 2024 and December 31, 2023, respectively.</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Company has pledged invested assets in connection with various agreements and transactions, including funding agreements (see Note 4 of the Notes to the Consolidated Financial Statements included in the 2023 Annual Report) and derivative transactions (see Note 8).</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Securities Lending” for information regarding securities on loan. In addition, the Company’s investment in FHLB common stock, which is considered restricted until redeemed by the issuer, was $238 million and $245 million at redemption value at June 30, 2024 and December 31,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Variable Interest Entities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VIEs for which the Company has concluded that it is the primary beneficiary at either June 30, 2024 or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amount and maximum exposure to loss related to the VIEs for which the Company has concluded that it holds a variable interest, but is not the primary beneficiary, were as follows at:</w:t>
      </w:r>
    </w:p>
    <w:tbl>
      <w:tblPr>
        <w:tblW w:w="7155" w:type="dxa"/>
        <w:jc w:val="left"/>
        <w:tblInd w:w="0" w:type="dxa"/>
        <w:tblLayout w:type="fixed"/>
        <w:tblCellMar>
          <w:top w:w="28" w:type="dxa"/>
          <w:left w:w="28" w:type="dxa"/>
          <w:bottom w:w="28" w:type="dxa"/>
          <w:right w:w="28" w:type="dxa"/>
        </w:tblCellMar>
      </w:tblPr>
      <w:tblGrid>
        <w:gridCol w:w="843"/>
        <w:gridCol w:w="738"/>
        <w:gridCol w:w="74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 xml:space="preserve">Exposure </w:t>
              <w:br/>
              <w:t>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Maximum </w:t>
              <w:br/>
              <w:t>Exposure</w:t>
              <w:br/>
              <w:t>to Loss</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8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unconsolidated VIEs are described below.</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Limited Partnerships and LLCs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income were as follows:</w:t>
      </w:r>
    </w:p>
    <w:tbl>
      <w:tblPr>
        <w:tblW w:w="8160" w:type="dxa"/>
        <w:jc w:val="left"/>
        <w:tblInd w:w="0" w:type="dxa"/>
        <w:tblLayout w:type="fixed"/>
        <w:tblCellMar>
          <w:top w:w="28" w:type="dxa"/>
          <w:left w:w="28" w:type="dxa"/>
          <w:bottom w:w="28" w:type="dxa"/>
          <w:right w:w="28" w:type="dxa"/>
        </w:tblCellMar>
      </w:tblPr>
      <w:tblGrid>
        <w:gridCol w:w="1335"/>
        <w:gridCol w:w="1176"/>
        <w:gridCol w:w="117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 (1)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 income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net investment income pertaining to other limited partnership interests of $102 million and $195 million for the three months and six months ended June 30, 2024, respectively, and $93 million and $92 million for the three months and six months ended June 30, 2023,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Investment Gains (Losses)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Components of Net Investment Gains (Losses)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investment gains (losses) were as follows:</w:t>
      </w:r>
    </w:p>
    <w:tbl>
      <w:tblPr>
        <w:tblW w:w="6705" w:type="dxa"/>
        <w:jc w:val="left"/>
        <w:tblInd w:w="0" w:type="dxa"/>
        <w:tblLayout w:type="fixed"/>
        <w:tblCellMar>
          <w:top w:w="28" w:type="dxa"/>
          <w:left w:w="28" w:type="dxa"/>
          <w:bottom w:w="28" w:type="dxa"/>
          <w:right w:w="28" w:type="dxa"/>
        </w:tblCellMar>
      </w:tblPr>
      <w:tblGrid>
        <w:gridCol w:w="928"/>
        <w:gridCol w:w="817"/>
        <w:gridCol w:w="820"/>
        <w:gridCol w:w="196"/>
        <w:gridCol w:w="496"/>
        <w:gridCol w:w="109"/>
        <w:gridCol w:w="109"/>
        <w:gridCol w:w="109"/>
        <w:gridCol w:w="109"/>
        <w:gridCol w:w="196"/>
        <w:gridCol w:w="406"/>
        <w:gridCol w:w="109"/>
        <w:gridCol w:w="109"/>
        <w:gridCol w:w="109"/>
        <w:gridCol w:w="109"/>
        <w:gridCol w:w="196"/>
        <w:gridCol w:w="496"/>
        <w:gridCol w:w="109"/>
        <w:gridCol w:w="109"/>
        <w:gridCol w:w="109"/>
        <w:gridCol w:w="109"/>
        <w:gridCol w:w="196"/>
        <w:gridCol w:w="49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Limited partnerships and LLCs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investment gains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Gains (losses) from foreign currency transactions included within net investment gains (losses) were not significant for the three months and six months ended June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Investments (continued)</w:t>
      </w: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Sales or Disposals of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gains and losses on sales of securities are determined on a specific identification basis. Proceeds from sales or disposals of fixed maturity securities and the components of fixed maturity securities net investment gains (losses) were as follows:</w:t>
      </w:r>
    </w:p>
    <w:tbl>
      <w:tblPr>
        <w:tblW w:w="6539" w:type="dxa"/>
        <w:jc w:val="left"/>
        <w:tblInd w:w="0" w:type="dxa"/>
        <w:tblLayout w:type="fixed"/>
        <w:tblCellMar>
          <w:top w:w="28" w:type="dxa"/>
          <w:left w:w="28" w:type="dxa"/>
          <w:bottom w:w="28" w:type="dxa"/>
          <w:right w:w="28" w:type="dxa"/>
        </w:tblCellMar>
      </w:tblPr>
      <w:tblGrid>
        <w:gridCol w:w="797"/>
        <w:gridCol w:w="701"/>
        <w:gridCol w:w="706"/>
        <w:gridCol w:w="196"/>
        <w:gridCol w:w="556"/>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gains</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investment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8.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Accounting for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8 of the Notes to the Consolidated Financial Statements included in the 2023 Annual Report for a description of the Company’s accounting policies for derivatives and the fair value hierarchy for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Types of Derivative Instruments and Derivative Strategies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an overall risk management strategy that incorporates the use of derivative instruments to minimize its exposure to various market risks. Commonly used derivative instruments include, but are not necessarily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Interest rate derivatives: swaps, floors, caps, futures, swaptions and forwards;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Foreign currency exchange rate derivatives: forwards and swaps;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Equity market derivatives: options, total return swaps and hybrid options;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Credit derivatives: single and index reference credit default swaps.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detailed information on these contracts and the related strategies, see Note 7 of the Notes to the Consolidated Financial Statements included in the 2023 Annual Report. In the second quarter of 2024, the Company utilized interest rate futures to manage risk related to policyholder liabilities for institutional group annuities. These interest rate futures are non-qualified hedges. In the first quarter of 2024, the Company entered into interest rate swaps to manage the interest rate risk in funding agreement liabilities. These interest rate swaps are qualifying hedges. </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Primary Risks Managed by Derivatives</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primary underlying risk exposure, gross notional amount and estimated fair value</w:t>
      </w:r>
      <w:r>
        <w:rPr>
          <w:color w:val="000000"/>
        </w:rPr>
        <w:t xml:space="preserve"> </w:t>
      </w:r>
      <w:r>
        <w:rPr>
          <w:rFonts w:ascii="Times New Roman;sans-serif" w:hAnsi="Times New Roman;sans-serif"/>
          <w:b w:val="false"/>
          <w:color w:val="000000"/>
          <w:sz w:val="20"/>
        </w:rPr>
        <w:t>of derivatives, excluding embedded derivatives, held were as follows at:</w:t>
      </w:r>
    </w:p>
    <w:tbl>
      <w:tblPr>
        <w:tblW w:w="11030" w:type="dxa"/>
        <w:jc w:val="left"/>
        <w:tblInd w:w="0" w:type="dxa"/>
        <w:tblLayout w:type="fixed"/>
        <w:tblCellMar>
          <w:top w:w="28" w:type="dxa"/>
          <w:left w:w="28" w:type="dxa"/>
          <w:bottom w:w="28" w:type="dxa"/>
          <w:right w:w="28" w:type="dxa"/>
        </w:tblCellMar>
      </w:tblPr>
      <w:tblGrid>
        <w:gridCol w:w="802"/>
        <w:gridCol w:w="191"/>
        <w:gridCol w:w="193"/>
        <w:gridCol w:w="840"/>
        <w:gridCol w:w="735"/>
        <w:gridCol w:w="736"/>
        <w:gridCol w:w="109"/>
        <w:gridCol w:w="109"/>
        <w:gridCol w:w="109"/>
        <w:gridCol w:w="196"/>
        <w:gridCol w:w="736"/>
        <w:gridCol w:w="109"/>
        <w:gridCol w:w="109"/>
        <w:gridCol w:w="109"/>
        <w:gridCol w:w="109"/>
        <w:gridCol w:w="196"/>
        <w:gridCol w:w="556"/>
        <w:gridCol w:w="109"/>
        <w:gridCol w:w="109"/>
        <w:gridCol w:w="109"/>
        <w:gridCol w:w="109"/>
        <w:gridCol w:w="196"/>
        <w:gridCol w:w="556"/>
        <w:gridCol w:w="109"/>
        <w:gridCol w:w="109"/>
        <w:gridCol w:w="109"/>
        <w:gridCol w:w="109"/>
        <w:gridCol w:w="196"/>
        <w:gridCol w:w="736"/>
        <w:gridCol w:w="109"/>
        <w:gridCol w:w="109"/>
        <w:gridCol w:w="109"/>
        <w:gridCol w:w="109"/>
        <w:gridCol w:w="196"/>
        <w:gridCol w:w="556"/>
        <w:gridCol w:w="109"/>
        <w:gridCol w:w="109"/>
        <w:gridCol w:w="109"/>
        <w:gridCol w:w="109"/>
        <w:gridCol w:w="196"/>
        <w:gridCol w:w="55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Primary Underlying Risk Exposure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Gross</w:t>
              <w:br/>
              <w:t>Notional</w:t>
              <w:br/>
              <w:t>Amount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Estimated Fair Value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Liabilities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349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flow hedges:</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qualifying hedges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or Not Qualifying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floors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caps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futures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options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Interest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forwards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exchange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 default swaps — written</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index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2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total return swaps</w:t>
            </w:r>
          </w:p>
        </w:tc>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Hybrid options</w:t>
            </w:r>
          </w:p>
        </w:tc>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Equity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non-designated or non-qualifying derivatives</w:t>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gross notional amounts, a substantial portion of the Company’s derivatives was not designated or did not qualify as part of a hedging relationship at both June 30, 2024 and December 31, 2023. The Company’s use of derivatives includes (i) derivatives that serve as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(losses), including earned income, recognized for derivatives and gains (losses) pertaining to hedged items reported in net derivative gains (losses) were as follows:</w:t>
      </w:r>
    </w:p>
    <w:tbl>
      <w:tblPr>
        <w:tblW w:w="10205" w:type="dxa"/>
        <w:jc w:val="left"/>
        <w:tblInd w:w="0" w:type="dxa"/>
        <w:tblLayout w:type="fixed"/>
        <w:tblCellMar>
          <w:top w:w="28" w:type="dxa"/>
          <w:left w:w="28" w:type="dxa"/>
          <w:bottom w:w="28" w:type="dxa"/>
          <w:right w:w="28" w:type="dxa"/>
        </w:tblCellMar>
      </w:tblPr>
      <w:tblGrid>
        <w:gridCol w:w="973"/>
        <w:gridCol w:w="538"/>
        <w:gridCol w:w="543"/>
        <w:gridCol w:w="336"/>
        <w:gridCol w:w="1077"/>
        <w:gridCol w:w="186"/>
        <w:gridCol w:w="109"/>
        <w:gridCol w:w="109"/>
        <w:gridCol w:w="109"/>
        <w:gridCol w:w="436"/>
        <w:gridCol w:w="904"/>
        <w:gridCol w:w="243"/>
        <w:gridCol w:w="109"/>
        <w:gridCol w:w="109"/>
        <w:gridCol w:w="109"/>
        <w:gridCol w:w="330"/>
        <w:gridCol w:w="558"/>
        <w:gridCol w:w="186"/>
        <w:gridCol w:w="109"/>
        <w:gridCol w:w="109"/>
        <w:gridCol w:w="109"/>
        <w:gridCol w:w="362"/>
        <w:gridCol w:w="751"/>
        <w:gridCol w:w="202"/>
        <w:gridCol w:w="109"/>
        <w:gridCol w:w="109"/>
        <w:gridCol w:w="109"/>
        <w:gridCol w:w="331"/>
        <w:gridCol w:w="671"/>
        <w:gridCol w:w="270"/>
      </w:tblGrid>
      <w:tr>
        <w:trPr/>
        <w:tc>
          <w:tcPr>
            <w:tcW w:w="9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2024</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tbl>
      <w:tblPr>
        <w:tblW w:w="10205" w:type="dxa"/>
        <w:jc w:val="left"/>
        <w:tblInd w:w="0" w:type="dxa"/>
        <w:tblLayout w:type="fixed"/>
        <w:tblCellMar>
          <w:top w:w="28" w:type="dxa"/>
          <w:left w:w="28" w:type="dxa"/>
          <w:bottom w:w="28" w:type="dxa"/>
          <w:right w:w="28" w:type="dxa"/>
        </w:tblCellMar>
      </w:tblPr>
      <w:tblGrid>
        <w:gridCol w:w="973"/>
        <w:gridCol w:w="538"/>
        <w:gridCol w:w="543"/>
        <w:gridCol w:w="336"/>
        <w:gridCol w:w="1077"/>
        <w:gridCol w:w="186"/>
        <w:gridCol w:w="109"/>
        <w:gridCol w:w="109"/>
        <w:gridCol w:w="109"/>
        <w:gridCol w:w="436"/>
        <w:gridCol w:w="904"/>
        <w:gridCol w:w="243"/>
        <w:gridCol w:w="109"/>
        <w:gridCol w:w="109"/>
        <w:gridCol w:w="109"/>
        <w:gridCol w:w="330"/>
        <w:gridCol w:w="558"/>
        <w:gridCol w:w="186"/>
        <w:gridCol w:w="109"/>
        <w:gridCol w:w="109"/>
        <w:gridCol w:w="109"/>
        <w:gridCol w:w="362"/>
        <w:gridCol w:w="751"/>
        <w:gridCol w:w="202"/>
        <w:gridCol w:w="109"/>
        <w:gridCol w:w="109"/>
        <w:gridCol w:w="109"/>
        <w:gridCol w:w="331"/>
        <w:gridCol w:w="671"/>
        <w:gridCol w:w="270"/>
      </w:tblGrid>
      <w:tr>
        <w:trPr/>
        <w:tc>
          <w:tcPr>
            <w:tcW w:w="97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Derivative Gains (Losses) Recognized for Hedged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Policyholder Benefits and Claims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Gains (Losses) Deferred in AOCI</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2024</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Six Months Ended June 30, 2023</w:t>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Derivatives Designated as Hedging Instruments: </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hedges:</w:t>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flow hedges</w:t>
            </w:r>
          </w:p>
        </w:tc>
        <w:tc>
          <w:tcPr>
            <w:tcW w:w="14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Derivatives Not Designated or Not Qualifying as Hedging Instruments:</w:t>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1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w:t>
            </w:r>
          </w:p>
        </w:tc>
        <w:tc>
          <w:tcPr>
            <w:tcW w:w="14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non-qualifying hedges</w:t>
            </w:r>
          </w:p>
        </w:tc>
        <w:tc>
          <w:tcPr>
            <w:tcW w:w="1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the Company held no qualified derivatives hedging exposure to future cash flows for forecasted asset purchases.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the balance in AOCI associated with cash flow hedges was $443 million and $351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Credit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maximum amount of future payments and weighted average years to maturity of written credit default swaps were as follows at:</w:t>
      </w:r>
    </w:p>
    <w:tbl>
      <w:tblPr>
        <w:tblW w:w="10205"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258"/>
        <w:gridCol w:w="437"/>
        <w:gridCol w:w="145"/>
        <w:gridCol w:w="109"/>
        <w:gridCol w:w="109"/>
        <w:gridCol w:w="109"/>
        <w:gridCol w:w="290"/>
        <w:gridCol w:w="823"/>
        <w:gridCol w:w="163"/>
        <w:gridCol w:w="109"/>
        <w:gridCol w:w="109"/>
        <w:gridCol w:w="109"/>
        <w:gridCol w:w="324"/>
        <w:gridCol w:w="324"/>
        <w:gridCol w:w="326"/>
        <w:gridCol w:w="109"/>
        <w:gridCol w:w="109"/>
        <w:gridCol w:w="109"/>
        <w:gridCol w:w="273"/>
        <w:gridCol w:w="461"/>
        <w:gridCol w:w="152"/>
        <w:gridCol w:w="109"/>
        <w:gridCol w:w="109"/>
        <w:gridCol w:w="109"/>
        <w:gridCol w:w="290"/>
        <w:gridCol w:w="823"/>
        <w:gridCol w:w="163"/>
        <w:gridCol w:w="109"/>
        <w:gridCol w:w="109"/>
        <w:gridCol w:w="109"/>
        <w:gridCol w:w="298"/>
        <w:gridCol w:w="298"/>
        <w:gridCol w:w="430"/>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Rating Agency Designation of Referenced Credit Obligations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of Credit</w:t>
              <w:br/>
              <w:t>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Amount of</w:t>
              <w:br/>
              <w:t>Future</w:t>
              <w:br/>
              <w:t>Payments under</w:t>
              <w:br/>
              <w:t>Credit Default</w:t>
              <w:br/>
              <w:t>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Years to</w:t>
              <w:br/>
              <w:t>Maturity (2)</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Caa and Lower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weighted average years to maturity of the credit default swaps is calculated based on weighted average gross notional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be exposed to credit-related losses in the event of counterparty nonperformance on derivative instruments. Generally, the credit exposure is the fair value at the reporting date less any collateral received from the counterparty.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for a description of the impact of credit risk on the valuation of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net derivative assets and net derivative liabilities after the application of master netting agreements and collateral were as follows at:</w:t>
      </w:r>
    </w:p>
    <w:tbl>
      <w:tblPr>
        <w:tblW w:w="10205" w:type="dxa"/>
        <w:jc w:val="left"/>
        <w:tblInd w:w="0" w:type="dxa"/>
        <w:tblLayout w:type="fixed"/>
        <w:tblCellMar>
          <w:top w:w="28" w:type="dxa"/>
          <w:left w:w="28" w:type="dxa"/>
          <w:bottom w:w="28" w:type="dxa"/>
          <w:right w:w="28" w:type="dxa"/>
        </w:tblCellMar>
      </w:tblPr>
      <w:tblGrid>
        <w:gridCol w:w="476"/>
        <w:gridCol w:w="323"/>
        <w:gridCol w:w="232"/>
        <w:gridCol w:w="109"/>
        <w:gridCol w:w="109"/>
        <w:gridCol w:w="109"/>
        <w:gridCol w:w="264"/>
        <w:gridCol w:w="751"/>
        <w:gridCol w:w="148"/>
        <w:gridCol w:w="109"/>
        <w:gridCol w:w="109"/>
        <w:gridCol w:w="109"/>
        <w:gridCol w:w="314"/>
        <w:gridCol w:w="750"/>
        <w:gridCol w:w="137"/>
        <w:gridCol w:w="137"/>
        <w:gridCol w:w="137"/>
        <w:gridCol w:w="137"/>
        <w:gridCol w:w="357"/>
        <w:gridCol w:w="660"/>
        <w:gridCol w:w="155"/>
        <w:gridCol w:w="109"/>
        <w:gridCol w:w="109"/>
        <w:gridCol w:w="109"/>
        <w:gridCol w:w="202"/>
        <w:gridCol w:w="573"/>
        <w:gridCol w:w="112"/>
        <w:gridCol w:w="109"/>
        <w:gridCol w:w="109"/>
        <w:gridCol w:w="109"/>
        <w:gridCol w:w="294"/>
        <w:gridCol w:w="900"/>
        <w:gridCol w:w="163"/>
        <w:gridCol w:w="109"/>
        <w:gridCol w:w="109"/>
        <w:gridCol w:w="109"/>
        <w:gridCol w:w="344"/>
        <w:gridCol w:w="715"/>
        <w:gridCol w:w="289"/>
      </w:tblGrid>
      <w:tr>
        <w:trPr/>
        <w:tc>
          <w:tcPr>
            <w:tcW w:w="47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Amounts Not Offset on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Amount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Instruments (1)</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Collateral Received/Pledged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Collateral Received/Pledged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Amount After Securities Collateral</w:t>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Derivative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(1)Represents amounts subject to an enforceable master netting agreement or similar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Derivatives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amount of cash collateral offset in the table above is limited to the net estimated fair value of derivatives after application of netting agreement.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(3)Securities collateral received from counterparties is not reported on the consolidated balance sheets and may not be sold or re-pledged unless the counterparty is in default. Amounts do not include excess of collateral pledged or received.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estimated fair values of derivatives in a net liability position containing such credit-contingent provisions and the aggregate estimated fair value of assets posted as collateral for such instruments were as follows at:</w:t>
      </w:r>
    </w:p>
    <w:tbl>
      <w:tblPr>
        <w:tblW w:w="7838" w:type="dxa"/>
        <w:jc w:val="left"/>
        <w:tblInd w:w="0" w:type="dxa"/>
        <w:tblLayout w:type="fixed"/>
        <w:tblCellMar>
          <w:top w:w="28" w:type="dxa"/>
          <w:left w:w="28" w:type="dxa"/>
          <w:bottom w:w="28" w:type="dxa"/>
          <w:right w:w="28" w:type="dxa"/>
        </w:tblCellMar>
      </w:tblPr>
      <w:tblGrid>
        <w:gridCol w:w="1636"/>
        <w:gridCol w:w="1437"/>
        <w:gridCol w:w="1442"/>
        <w:gridCol w:w="109"/>
        <w:gridCol w:w="109"/>
        <w:gridCol w:w="109"/>
        <w:gridCol w:w="256"/>
        <w:gridCol w:w="727"/>
        <w:gridCol w:w="142"/>
        <w:gridCol w:w="109"/>
        <w:gridCol w:w="109"/>
        <w:gridCol w:w="109"/>
        <w:gridCol w:w="334"/>
        <w:gridCol w:w="948"/>
        <w:gridCol w:w="262"/>
      </w:tblGrid>
      <w:tr>
        <w:trPr/>
        <w:tc>
          <w:tcPr>
            <w:tcW w:w="16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derivatives in a net liability position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collateral provided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(1)After taking into consideration the existence of netting agreements.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Considerable judgment is often required in interpreting market data to develop estimates of fair value, and the use of different assumptions or valuation methodologies may have a material effect on the estimated fair value amounts.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174,576 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8903" w:type="dxa"/>
        <w:jc w:val="left"/>
        <w:tblInd w:w="0" w:type="dxa"/>
        <w:tblLayout w:type="fixed"/>
        <w:tblCellMar>
          <w:top w:w="28" w:type="dxa"/>
          <w:left w:w="28" w:type="dxa"/>
          <w:bottom w:w="28" w:type="dxa"/>
          <w:right w:w="28" w:type="dxa"/>
        </w:tblCellMar>
      </w:tblPr>
      <w:tblGrid>
        <w:gridCol w:w="1359"/>
        <w:gridCol w:w="1195"/>
        <w:gridCol w:w="1210"/>
        <w:gridCol w:w="196"/>
        <w:gridCol w:w="556"/>
        <w:gridCol w:w="109"/>
        <w:gridCol w:w="109"/>
        <w:gridCol w:w="109"/>
        <w:gridCol w:w="109"/>
        <w:gridCol w:w="196"/>
        <w:gridCol w:w="736"/>
        <w:gridCol w:w="109"/>
        <w:gridCol w:w="109"/>
        <w:gridCol w:w="109"/>
        <w:gridCol w:w="109"/>
        <w:gridCol w:w="196"/>
        <w:gridCol w:w="646"/>
        <w:gridCol w:w="109"/>
        <w:gridCol w:w="109"/>
        <w:gridCol w:w="109"/>
        <w:gridCol w:w="109"/>
        <w:gridCol w:w="235"/>
        <w:gridCol w:w="885"/>
        <w:gridCol w:w="185"/>
      </w:tblGrid>
      <w:tr>
        <w:trPr/>
        <w:tc>
          <w:tcPr>
            <w:tcW w:w="135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Estimated</w:t>
              <w:br/>
              <w:t>Fair Value</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maturity securities: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securities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174,903 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(1)</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market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derivative liabilities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Embedded derivatives on index-linked annuities (2)</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23,597 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(1)Derivative assets are reported in other invested assets and derivative liabilities are reported in other liabilities. The amounts are presented gross in the tables above to reflect the presentation on the consolidated balance sheets.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(2)Embedded derivative assets on index-linked annuities are reported in premiums and other receivables. Embedded derivative liabilities on index-linked annuities are reported in policyholder account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Valuation Controls and Procedures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 Inc.’s Board of Directors regarding compliance with fair value accounting standards.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2024.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Determination of Fair Value</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corporate and foreign corporate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U.S. government and agency, state and political subdivision and foreign government securities: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Structured Securities:</w:t>
      </w:r>
      <w:r>
        <w:rPr>
          <w:color w:val="000000"/>
        </w:rPr>
        <w:t xml:space="preserve"> </w:t>
      </w:r>
      <w:r>
        <w:rPr>
          <w:rFonts w:ascii="Times New Roman;sans-serif" w:hAnsi="Times New Roman;sans-serif"/>
          <w:b w:val="false"/>
          <w:color w:val="000000"/>
          <w:sz w:val="20"/>
        </w:rPr>
        <w:t xml:space="preserve">Fair value is determined using third-party commercial pricing services, with the primary inputs being quoted prices in 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Securities and Short-term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Equity securities and short-term investments:</w:t>
      </w:r>
      <w:r>
        <w:rPr>
          <w:color w:val="000000"/>
        </w:rPr>
        <w:t xml:space="preserve"> </w:t>
      </w:r>
      <w:r>
        <w:rPr>
          <w:rFonts w:ascii="Times New Roman;sans-serif" w:hAnsi="Times New Roman;sans-serif"/>
          <w:b w:val="false"/>
          <w:color w:val="000000"/>
          <w:sz w:val="20"/>
        </w:rPr>
        <w:t>Fair value is determined using third-party commercial pricing services, with the primary input being quoted prices in markets that are not active.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MRBs principally include guaranteed minimum benefits on variable annuity contracts including benefits reinsured related to these guarantees.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Embedded derivatives include crediting rates associated with index-linked annuity contracts. Embedded derivatives are recorded at estimated fair value with changes in estimated fair value reported in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Transfers Into or Out of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Assets and Liabilities Measured at Fair Value Using Significant Unobservable Inputs (Level 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 </w:t>
      </w:r>
    </w:p>
    <w:tbl>
      <w:tblPr>
        <w:tblW w:w="10205" w:type="dxa"/>
        <w:jc w:val="left"/>
        <w:tblInd w:w="0" w:type="dxa"/>
        <w:tblLayout w:type="fixed"/>
        <w:tblCellMar>
          <w:top w:w="28" w:type="dxa"/>
          <w:left w:w="28" w:type="dxa"/>
          <w:bottom w:w="28" w:type="dxa"/>
          <w:right w:w="28" w:type="dxa"/>
        </w:tblCellMar>
      </w:tblPr>
      <w:tblGrid>
        <w:gridCol w:w="623"/>
        <w:gridCol w:w="480"/>
        <w:gridCol w:w="482"/>
        <w:gridCol w:w="168"/>
        <w:gridCol w:w="168"/>
        <w:gridCol w:w="168"/>
        <w:gridCol w:w="351"/>
        <w:gridCol w:w="351"/>
        <w:gridCol w:w="357"/>
        <w:gridCol w:w="109"/>
        <w:gridCol w:w="109"/>
        <w:gridCol w:w="109"/>
        <w:gridCol w:w="225"/>
        <w:gridCol w:w="225"/>
        <w:gridCol w:w="225"/>
        <w:gridCol w:w="594"/>
        <w:gridCol w:w="364"/>
        <w:gridCol w:w="362"/>
        <w:gridCol w:w="109"/>
        <w:gridCol w:w="109"/>
        <w:gridCol w:w="109"/>
        <w:gridCol w:w="163"/>
        <w:gridCol w:w="163"/>
        <w:gridCol w:w="147"/>
        <w:gridCol w:w="109"/>
        <w:gridCol w:w="109"/>
        <w:gridCol w:w="109"/>
        <w:gridCol w:w="157"/>
        <w:gridCol w:w="157"/>
        <w:gridCol w:w="158"/>
        <w:gridCol w:w="109"/>
        <w:gridCol w:w="109"/>
        <w:gridCol w:w="109"/>
        <w:gridCol w:w="164"/>
        <w:gridCol w:w="164"/>
        <w:gridCol w:w="145"/>
        <w:gridCol w:w="118"/>
        <w:gridCol w:w="118"/>
        <w:gridCol w:w="118"/>
        <w:gridCol w:w="157"/>
        <w:gridCol w:w="157"/>
        <w:gridCol w:w="158"/>
        <w:gridCol w:w="109"/>
        <w:gridCol w:w="109"/>
        <w:gridCol w:w="109"/>
        <w:gridCol w:w="343"/>
        <w:gridCol w:w="343"/>
        <w:gridCol w:w="497"/>
      </w:tblGrid>
      <w:tr>
        <w:trPr/>
        <w:tc>
          <w:tcPr>
            <w:tcW w:w="6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Impact of </w:t>
              <w:br/>
              <w:t>Increase in Input</w:t>
              <w:br/>
              <w:t xml:space="preserve">on Estimated </w:t>
              <w:br/>
              <w:t>Fair Value</w:t>
            </w:r>
          </w:p>
        </w:tc>
      </w:tr>
      <w:tr>
        <w:trPr/>
        <w:tc>
          <w:tcPr>
            <w:tcW w:w="1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Significant</w:t>
              <w:b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70"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Variable annuity guaranteed minimum benefits</w:t>
            </w:r>
          </w:p>
        </w:tc>
        <w:tc>
          <w:tcPr>
            <w:tcW w:w="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0.04%</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Utilization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(3)</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Long-term equity volatilities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11.83%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12.59%</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Increase (5)</w:t>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0.76%</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r>
        <w:trPr/>
        <w:tc>
          <w:tcPr>
            <w:tcW w:w="5470"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Index-linked annuity crediting rates</w:t>
            </w:r>
          </w:p>
        </w:tc>
        <w:tc>
          <w:tcPr>
            <w:tcW w:w="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Option pricing techniques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Mortality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0.03%</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(1)</w:t>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Lapse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1.00%</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(2)</w:t>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Withdrawal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0.50%</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r>
      <w:tr>
        <w:trPr/>
        <w:tc>
          <w:tcPr>
            <w:tcW w:w="1585"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Nonperformance risk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0.45%</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Decrease (6)</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 </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(6)Nonperformance risk spread varies by duration. For any given contract, multiple nonperformance risk spreads will apply, depending on the duration of the cash flow being discounted for purposes of valuing the MRB or embedded derivative.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assets and (liabilities) measured at estimated fair value on a recurring basis using significant unobservable inputs (excluding MRBs disclosed in Note 4) were summarized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946"/>
        <w:gridCol w:w="550"/>
        <w:gridCol w:w="559"/>
        <w:gridCol w:w="109"/>
        <w:gridCol w:w="109"/>
        <w:gridCol w:w="109"/>
        <w:gridCol w:w="210"/>
        <w:gridCol w:w="541"/>
        <w:gridCol w:w="128"/>
        <w:gridCol w:w="109"/>
        <w:gridCol w:w="109"/>
        <w:gridCol w:w="109"/>
        <w:gridCol w:w="224"/>
        <w:gridCol w:w="504"/>
        <w:gridCol w:w="136"/>
        <w:gridCol w:w="109"/>
        <w:gridCol w:w="109"/>
        <w:gridCol w:w="109"/>
        <w:gridCol w:w="109"/>
        <w:gridCol w:w="109"/>
        <w:gridCol w:w="218"/>
        <w:gridCol w:w="490"/>
        <w:gridCol w:w="133"/>
        <w:gridCol w:w="109"/>
        <w:gridCol w:w="109"/>
        <w:gridCol w:w="109"/>
        <w:gridCol w:w="181"/>
        <w:gridCol w:w="406"/>
        <w:gridCol w:w="109"/>
        <w:gridCol w:w="109"/>
        <w:gridCol w:w="109"/>
        <w:gridCol w:w="109"/>
        <w:gridCol w:w="109"/>
        <w:gridCol w:w="109"/>
        <w:gridCol w:w="217"/>
        <w:gridCol w:w="487"/>
        <w:gridCol w:w="131"/>
        <w:gridCol w:w="109"/>
        <w:gridCol w:w="109"/>
        <w:gridCol w:w="109"/>
        <w:gridCol w:w="291"/>
        <w:gridCol w:w="898"/>
        <w:gridCol w:w="177"/>
        <w:gridCol w:w="109"/>
        <w:gridCol w:w="162"/>
      </w:tblGrid>
      <w:tr>
        <w:trPr/>
        <w:tc>
          <w:tcPr>
            <w:tcW w:w="94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2908" w:type="dxa"/>
            <w:gridSpan w:val="12"/>
            <w:tcBorders/>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908" w:type="dxa"/>
            <w:gridSpan w:val="12"/>
            <w:tcBorders/>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Three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(1,703)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June 30,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June 30,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June 30,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(1,802)</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June 30,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10205" w:type="dxa"/>
        <w:jc w:val="left"/>
        <w:tblInd w:w="0" w:type="dxa"/>
        <w:tblLayout w:type="fixed"/>
        <w:tblCellMar>
          <w:top w:w="28" w:type="dxa"/>
          <w:left w:w="28" w:type="dxa"/>
          <w:bottom w:w="28" w:type="dxa"/>
          <w:right w:w="28" w:type="dxa"/>
        </w:tblCellMar>
      </w:tblPr>
      <w:tblGrid>
        <w:gridCol w:w="946"/>
        <w:gridCol w:w="551"/>
        <w:gridCol w:w="559"/>
        <w:gridCol w:w="109"/>
        <w:gridCol w:w="109"/>
        <w:gridCol w:w="109"/>
        <w:gridCol w:w="210"/>
        <w:gridCol w:w="541"/>
        <w:gridCol w:w="128"/>
        <w:gridCol w:w="109"/>
        <w:gridCol w:w="109"/>
        <w:gridCol w:w="109"/>
        <w:gridCol w:w="224"/>
        <w:gridCol w:w="504"/>
        <w:gridCol w:w="136"/>
        <w:gridCol w:w="109"/>
        <w:gridCol w:w="109"/>
        <w:gridCol w:w="109"/>
        <w:gridCol w:w="109"/>
        <w:gridCol w:w="109"/>
        <w:gridCol w:w="218"/>
        <w:gridCol w:w="490"/>
        <w:gridCol w:w="133"/>
        <w:gridCol w:w="109"/>
        <w:gridCol w:w="109"/>
        <w:gridCol w:w="109"/>
        <w:gridCol w:w="181"/>
        <w:gridCol w:w="406"/>
        <w:gridCol w:w="109"/>
        <w:gridCol w:w="109"/>
        <w:gridCol w:w="109"/>
        <w:gridCol w:w="109"/>
        <w:gridCol w:w="109"/>
        <w:gridCol w:w="109"/>
        <w:gridCol w:w="217"/>
        <w:gridCol w:w="487"/>
        <w:gridCol w:w="131"/>
        <w:gridCol w:w="109"/>
        <w:gridCol w:w="109"/>
        <w:gridCol w:w="109"/>
        <w:gridCol w:w="291"/>
        <w:gridCol w:w="898"/>
        <w:gridCol w:w="177"/>
        <w:gridCol w:w="109"/>
        <w:gridCol w:w="161"/>
      </w:tblGrid>
      <w:tr>
        <w:trPr/>
        <w:tc>
          <w:tcPr>
            <w:tcW w:w="9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Fair Value Measurements Using Significant Unobservable Inputs (Level 3)</w:t>
            </w:r>
          </w:p>
        </w:tc>
        <w:tc>
          <w:tcPr>
            <w:tcW w:w="2907" w:type="dxa"/>
            <w:gridSpan w:val="12"/>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Fixed Maturity 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Corporate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Structured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Foreign</w:t>
              <w:br/>
              <w:t>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Equity</w:t>
              <w:b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w:t>
              <w:br/>
              <w:t>Derivatives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Embedded Derivatives on Index-Linked Annuities</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907" w:type="dxa"/>
            <w:gridSpan w:val="12"/>
            <w:tcBorders/>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Six Months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(8,186)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1,365 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(10,583)</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14"/>
              </w:rPr>
            </w:pPr>
            <w:r>
              <w:rPr>
                <w:rFonts w:ascii="Times New Roman;sans-serif" w:hAnsi="Times New Roman;sans-serif"/>
                <w:b/>
                <w:color w:val="000000"/>
                <w:sz w:val="14"/>
              </w:rPr>
              <w:t>Six Months Ended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net income (loss) (3)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Total realized/unrealized gains (losses)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Purchases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Sales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Issuances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Settlements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into Level 3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Transfers out of Level 3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(6,886)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June 30, 2024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(2,921)</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June 30, 2024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net income (loss) for the instruments still held at June 30, 2023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(2,968)</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Changes in unrealized gains (losses) included in OCI for the instruments still held as of June 30, 2023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9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(1)Comprised of U.S. and foreign corporate securities.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(2)Freestanding derivative assets and liabilities are reported net for purposes of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(4)Interest and dividend accruals, as well as cash interest coupons and dividends received,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(5)Items purchased/issued and then sold/settled in the same period are excluded from the rollforward. Fees attributed to embedded derivatives are included in settlements.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(6)Gains and losses, in net income (loss) and OCI, are calculated assuming transfers into and/or out of Level 3 occurred at the beginning of the period. Items transferred into and out of Level 3 in the same period are excluded from the rollforward.</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of Financial Instruments Carried at Other Than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for such financial instruments, and their corresponding placement in the fair value hierarchy, are summarized as follows at:</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Fair Value (continued)</w:t>
      </w:r>
    </w:p>
    <w:tbl>
      <w:tblPr>
        <w:tblW w:w="9047" w:type="dxa"/>
        <w:jc w:val="left"/>
        <w:tblInd w:w="0" w:type="dxa"/>
        <w:tblLayout w:type="fixed"/>
        <w:tblCellMar>
          <w:top w:w="28" w:type="dxa"/>
          <w:left w:w="28" w:type="dxa"/>
          <w:bottom w:w="28" w:type="dxa"/>
          <w:right w:w="28" w:type="dxa"/>
        </w:tblCellMar>
      </w:tblPr>
      <w:tblGrid>
        <w:gridCol w:w="1181"/>
        <w:gridCol w:w="1040"/>
        <w:gridCol w:w="1048"/>
        <w:gridCol w:w="196"/>
        <w:gridCol w:w="646"/>
        <w:gridCol w:w="109"/>
        <w:gridCol w:w="109"/>
        <w:gridCol w:w="109"/>
        <w:gridCol w:w="109"/>
        <w:gridCol w:w="196"/>
        <w:gridCol w:w="40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4"/>
      </w:tblGrid>
      <w:tr>
        <w:trPr/>
        <w:tc>
          <w:tcPr>
            <w:tcW w:w="118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Mortgage loans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 loans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invested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reinsurance and other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account balances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Preferred stock shares authorized, issued and outstanding were as follows at both June 30, 2024 and December 31, 2023:</w:t>
      </w:r>
    </w:p>
    <w:tbl>
      <w:tblPr>
        <w:tblW w:w="8916" w:type="dxa"/>
        <w:jc w:val="left"/>
        <w:tblInd w:w="0" w:type="dxa"/>
        <w:tblLayout w:type="fixed"/>
        <w:tblCellMar>
          <w:top w:w="28" w:type="dxa"/>
          <w:left w:w="28" w:type="dxa"/>
          <w:bottom w:w="28" w:type="dxa"/>
          <w:right w:w="28" w:type="dxa"/>
        </w:tblCellMar>
      </w:tblPr>
      <w:tblGrid>
        <w:gridCol w:w="1364"/>
        <w:gridCol w:w="1195"/>
        <w:gridCol w:w="1205"/>
        <w:gridCol w:w="109"/>
        <w:gridCol w:w="109"/>
        <w:gridCol w:w="109"/>
        <w:gridCol w:w="554"/>
        <w:gridCol w:w="497"/>
        <w:gridCol w:w="481"/>
        <w:gridCol w:w="109"/>
        <w:gridCol w:w="109"/>
        <w:gridCol w:w="109"/>
        <w:gridCol w:w="354"/>
        <w:gridCol w:w="354"/>
        <w:gridCol w:w="356"/>
        <w:gridCol w:w="109"/>
        <w:gridCol w:w="109"/>
        <w:gridCol w:w="109"/>
        <w:gridCol w:w="460"/>
        <w:gridCol w:w="460"/>
        <w:gridCol w:w="655"/>
      </w:tblGrid>
      <w:tr>
        <w:trPr/>
        <w:tc>
          <w:tcPr>
            <w:tcW w:w="1364"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Outstanding</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6.600% Non-Cumulative Preferred Stock,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6.750% Non-Cumulative Preferred Stock,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5.375% Non-Cumulative Preferred Stock,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4.625% Non-Cumulative Preferred Stock, Series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99,929,900 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70,100 </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per share and aggregate dividends declared for BHF’s preferred stock by series were as follows:</w:t>
      </w:r>
    </w:p>
    <w:tbl>
      <w:tblPr>
        <w:tblW w:w="10490"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8"/>
        <w:gridCol w:w="453"/>
        <w:gridCol w:w="150"/>
        <w:gridCol w:w="109"/>
        <w:gridCol w:w="109"/>
        <w:gridCol w:w="109"/>
        <w:gridCol w:w="196"/>
        <w:gridCol w:w="646"/>
        <w:gridCol w:w="109"/>
        <w:gridCol w:w="109"/>
        <w:gridCol w:w="109"/>
        <w:gridCol w:w="109"/>
        <w:gridCol w:w="263"/>
        <w:gridCol w:w="445"/>
        <w:gridCol w:w="20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 Share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tc>
      </w:tr>
      <w:tr>
        <w:trPr/>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Repurchase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BHF repurchased 2,634,041 and 2,684,792 shares, respectively, of its common stock through open market purchases pursuant to Rule 10b5-1 plans for $126 million for both periods. At June 30, 2024, BHF had $667 million remaining under its common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Accumulated Other Comprehensive Income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changes in the balances of each component of AOCI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55"/>
        <w:gridCol w:w="409"/>
        <w:gridCol w:w="363"/>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3"/>
      </w:tblGrid>
      <w:tr>
        <w:trPr/>
        <w:tc>
          <w:tcPr>
            <w:tcW w:w="85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2024</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60"/>
        <w:gridCol w:w="418"/>
        <w:gridCol w:w="373"/>
        <w:gridCol w:w="109"/>
        <w:gridCol w:w="109"/>
        <w:gridCol w:w="109"/>
        <w:gridCol w:w="297"/>
        <w:gridCol w:w="909"/>
        <w:gridCol w:w="165"/>
        <w:gridCol w:w="109"/>
        <w:gridCol w:w="109"/>
        <w:gridCol w:w="109"/>
        <w:gridCol w:w="222"/>
        <w:gridCol w:w="479"/>
        <w:gridCol w:w="125"/>
        <w:gridCol w:w="109"/>
        <w:gridCol w:w="109"/>
        <w:gridCol w:w="109"/>
        <w:gridCol w:w="335"/>
        <w:gridCol w:w="977"/>
        <w:gridCol w:w="187"/>
        <w:gridCol w:w="109"/>
        <w:gridCol w:w="109"/>
        <w:gridCol w:w="109"/>
        <w:gridCol w:w="350"/>
        <w:gridCol w:w="752"/>
        <w:gridCol w:w="194"/>
        <w:gridCol w:w="109"/>
        <w:gridCol w:w="109"/>
        <w:gridCol w:w="109"/>
        <w:gridCol w:w="196"/>
        <w:gridCol w:w="355"/>
        <w:gridCol w:w="109"/>
        <w:gridCol w:w="109"/>
        <w:gridCol w:w="109"/>
        <w:gridCol w:w="109"/>
        <w:gridCol w:w="196"/>
        <w:gridCol w:w="580"/>
        <w:gridCol w:w="164"/>
      </w:tblGrid>
      <w:tr>
        <w:trPr/>
        <w:tc>
          <w:tcPr>
            <w:tcW w:w="86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 June 30, 2023</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670"/>
        <w:gridCol w:w="478"/>
        <w:gridCol w:w="479"/>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3"/>
      </w:tblGrid>
      <w:tr>
        <w:trPr/>
        <w:tc>
          <w:tcPr>
            <w:tcW w:w="6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2024</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(5,419)</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8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Equity (continued)</w:t>
      </w:r>
    </w:p>
    <w:tbl>
      <w:tblPr>
        <w:tblW w:w="10205" w:type="dxa"/>
        <w:jc w:val="left"/>
        <w:tblInd w:w="0" w:type="dxa"/>
        <w:tblLayout w:type="fixed"/>
        <w:tblCellMar>
          <w:top w:w="28" w:type="dxa"/>
          <w:left w:w="28" w:type="dxa"/>
          <w:bottom w:w="28" w:type="dxa"/>
          <w:right w:w="28" w:type="dxa"/>
        </w:tblCellMar>
      </w:tblPr>
      <w:tblGrid>
        <w:gridCol w:w="670"/>
        <w:gridCol w:w="478"/>
        <w:gridCol w:w="479"/>
        <w:gridCol w:w="109"/>
        <w:gridCol w:w="109"/>
        <w:gridCol w:w="109"/>
        <w:gridCol w:w="291"/>
        <w:gridCol w:w="889"/>
        <w:gridCol w:w="162"/>
        <w:gridCol w:w="109"/>
        <w:gridCol w:w="109"/>
        <w:gridCol w:w="109"/>
        <w:gridCol w:w="222"/>
        <w:gridCol w:w="478"/>
        <w:gridCol w:w="125"/>
        <w:gridCol w:w="109"/>
        <w:gridCol w:w="109"/>
        <w:gridCol w:w="109"/>
        <w:gridCol w:w="329"/>
        <w:gridCol w:w="961"/>
        <w:gridCol w:w="184"/>
        <w:gridCol w:w="109"/>
        <w:gridCol w:w="109"/>
        <w:gridCol w:w="109"/>
        <w:gridCol w:w="313"/>
        <w:gridCol w:w="889"/>
        <w:gridCol w:w="174"/>
        <w:gridCol w:w="109"/>
        <w:gridCol w:w="109"/>
        <w:gridCol w:w="109"/>
        <w:gridCol w:w="196"/>
        <w:gridCol w:w="355"/>
        <w:gridCol w:w="109"/>
        <w:gridCol w:w="109"/>
        <w:gridCol w:w="109"/>
        <w:gridCol w:w="109"/>
        <w:gridCol w:w="196"/>
        <w:gridCol w:w="580"/>
        <w:gridCol w:w="163"/>
      </w:tblGrid>
      <w:tr>
        <w:trPr/>
        <w:tc>
          <w:tcPr>
            <w:tcW w:w="67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June 30, 2023</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 Investment Gains (Losses), Net of Related Offsets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 (Losses)</w:t>
              <w:br/>
              <w:t>on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Nonperformance Risk on Market Risk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Changes in Discount Rates on the Liability for Future Policy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Other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(6,106)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OCI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AOCI before reclassifications,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(5,977)</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benefit (expense)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reclassified from AOCI,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(5,689)</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(1)See Note 7 for information on offsets to investments related to future policy benefits.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(2)Includes OCI related to foreign currency translation and defined benefit plan gains and losses.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(3)The effects of income taxes on amounts recorded to AOCI are also recognized in AOCI. These income tax effects are released from AOCI when the related activity is reclassified into results from operations.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amounts reclassified out of each component of AOCI was as follows:</w:t>
      </w:r>
    </w:p>
    <w:tbl>
      <w:tblPr>
        <w:tblW w:w="10205" w:type="dxa"/>
        <w:jc w:val="left"/>
        <w:tblInd w:w="0" w:type="dxa"/>
        <w:tblLayout w:type="fixed"/>
        <w:tblCellMar>
          <w:top w:w="28" w:type="dxa"/>
          <w:left w:w="28" w:type="dxa"/>
          <w:bottom w:w="28" w:type="dxa"/>
          <w:right w:w="28" w:type="dxa"/>
        </w:tblCellMar>
      </w:tblPr>
      <w:tblGrid>
        <w:gridCol w:w="1022"/>
        <w:gridCol w:w="689"/>
        <w:gridCol w:w="694"/>
        <w:gridCol w:w="109"/>
        <w:gridCol w:w="109"/>
        <w:gridCol w:w="109"/>
        <w:gridCol w:w="196"/>
        <w:gridCol w:w="369"/>
        <w:gridCol w:w="109"/>
        <w:gridCol w:w="109"/>
        <w:gridCol w:w="109"/>
        <w:gridCol w:w="109"/>
        <w:gridCol w:w="196"/>
        <w:gridCol w:w="369"/>
        <w:gridCol w:w="109"/>
        <w:gridCol w:w="109"/>
        <w:gridCol w:w="109"/>
        <w:gridCol w:w="109"/>
        <w:gridCol w:w="196"/>
        <w:gridCol w:w="459"/>
        <w:gridCol w:w="109"/>
        <w:gridCol w:w="109"/>
        <w:gridCol w:w="109"/>
        <w:gridCol w:w="109"/>
        <w:gridCol w:w="196"/>
        <w:gridCol w:w="459"/>
        <w:gridCol w:w="109"/>
        <w:gridCol w:w="109"/>
        <w:gridCol w:w="109"/>
        <w:gridCol w:w="109"/>
        <w:gridCol w:w="1201"/>
        <w:gridCol w:w="862"/>
        <w:gridCol w:w="1226"/>
      </w:tblGrid>
      <w:tr>
        <w:trPr/>
        <w:tc>
          <w:tcPr>
            <w:tcW w:w="102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Amounts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Consolidated Statements of Operations and Comprehensive Income (Loss) Locations</w:t>
            </w:r>
          </w:p>
        </w:tc>
      </w:tr>
      <w:tr>
        <w:trPr/>
        <w:tc>
          <w:tcPr>
            <w:tcW w:w="2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gains (losses)</w:t>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investment gains (losses),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gains (losses) on derivatives -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89"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derivative gains (losses)</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Gains (losses) on cash flow hedges,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Defined benefit plans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net actuarial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defined benefit plans, net of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reclassifications, net of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Other Revenues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Revenues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revenues consisted primarily of 12b-1 fees of $69 million and $136 million for the three months and six months ended June 30, 2024, respectively, and $66 million and $133 million for the three months and six months ended June 30, 2023, respectively, of which substantially all were reported in the Annuities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other expenses was as follows:</w:t>
      </w:r>
    </w:p>
    <w:tbl>
      <w:tblPr>
        <w:tblW w:w="9225" w:type="dxa"/>
        <w:jc w:val="left"/>
        <w:tblInd w:w="0" w:type="dxa"/>
        <w:tblLayout w:type="fixed"/>
        <w:tblCellMar>
          <w:top w:w="28" w:type="dxa"/>
          <w:left w:w="28" w:type="dxa"/>
          <w:bottom w:w="28" w:type="dxa"/>
          <w:right w:w="28" w:type="dxa"/>
        </w:tblCellMar>
      </w:tblPr>
      <w:tblGrid>
        <w:gridCol w:w="1917"/>
        <w:gridCol w:w="1685"/>
        <w:gridCol w:w="1693"/>
        <w:gridCol w:w="196"/>
        <w:gridCol w:w="421"/>
        <w:gridCol w:w="109"/>
        <w:gridCol w:w="109"/>
        <w:gridCol w:w="109"/>
        <w:gridCol w:w="109"/>
        <w:gridCol w:w="196"/>
        <w:gridCol w:w="421"/>
        <w:gridCol w:w="109"/>
        <w:gridCol w:w="109"/>
        <w:gridCol w:w="109"/>
        <w:gridCol w:w="109"/>
        <w:gridCol w:w="196"/>
        <w:gridCol w:w="421"/>
        <w:gridCol w:w="109"/>
        <w:gridCol w:w="109"/>
        <w:gridCol w:w="109"/>
        <w:gridCol w:w="109"/>
        <w:gridCol w:w="196"/>
        <w:gridCol w:w="421"/>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Contracted services and other labor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services agreements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and other taxes, licenses and fees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Separate account fees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related costs, excluding compensation, net of DAC capitalization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Capitalization of DAC</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6 for additional information on the capitalization of DAC.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12. Earnings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calculation of earnings per common share was as follows:</w:t>
      </w:r>
    </w:p>
    <w:tbl>
      <w:tblPr>
        <w:tblW w:w="10205" w:type="dxa"/>
        <w:jc w:val="left"/>
        <w:tblInd w:w="0" w:type="dxa"/>
        <w:tblLayout w:type="fixed"/>
        <w:tblCellMar>
          <w:top w:w="28" w:type="dxa"/>
          <w:left w:w="28" w:type="dxa"/>
          <w:bottom w:w="28" w:type="dxa"/>
          <w:right w:w="28" w:type="dxa"/>
        </w:tblCellMar>
      </w:tblPr>
      <w:tblGrid>
        <w:gridCol w:w="1656"/>
        <w:gridCol w:w="1455"/>
        <w:gridCol w:w="1459"/>
        <w:gridCol w:w="109"/>
        <w:gridCol w:w="109"/>
        <w:gridCol w:w="109"/>
        <w:gridCol w:w="284"/>
        <w:gridCol w:w="677"/>
        <w:gridCol w:w="109"/>
        <w:gridCol w:w="109"/>
        <w:gridCol w:w="109"/>
        <w:gridCol w:w="109"/>
        <w:gridCol w:w="278"/>
        <w:gridCol w:w="683"/>
        <w:gridCol w:w="109"/>
        <w:gridCol w:w="109"/>
        <w:gridCol w:w="109"/>
        <w:gridCol w:w="109"/>
        <w:gridCol w:w="278"/>
        <w:gridCol w:w="683"/>
        <w:gridCol w:w="109"/>
        <w:gridCol w:w="109"/>
        <w:gridCol w:w="109"/>
        <w:gridCol w:w="109"/>
        <w:gridCol w:w="245"/>
        <w:gridCol w:w="716"/>
        <w:gridCol w:w="156"/>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5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share and per share data)</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61,956,829 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67,294,437 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62,255,330 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67,294,437 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weighted average shares used for calculating diluted earnings per common share excludes 187,371 shares underlying out-of-the-money stock options, as the inclusion of such shares would be antidilutive under the treasury stock method to the earnings per common share calculation due to the average share price for the three months ended June 30,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the three months and six months ended June 30, 2023, basic loss per common share equaled diluted loss per common share. The diluted shares were not included in the per share calculation for these periods as the inclusion of such shares would have an antidilutive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Contingencies </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Litigation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2024.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June 30, 2024, the Company estimates the aggregate range of reasonably possible losses to be up to approximately $10 million.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Matters as to Which an Estimate Cannot Be Made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u w:val="single"/>
        </w:rPr>
        <w:t>Sales Practices Claims</w:t>
      </w:r>
      <w:r>
        <w:rPr>
          <w:color w:val="000000"/>
        </w:rPr>
        <w:t xml:space="preserve">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 of Insurance Class Actions</w:t>
      </w:r>
    </w:p>
    <w:p>
      <w:pPr>
        <w:pStyle w:val="TextBody"/>
        <w:bidi w:val="0"/>
        <w:spacing w:lineRule="auto" w:line="268" w:before="120" w:after="283"/>
        <w:ind w:left="0" w:right="0" w:firstLine="360"/>
        <w:jc w:val="both"/>
        <w:rPr/>
      </w:pPr>
      <w:r>
        <w:rPr>
          <w:rFonts w:ascii="Times New Roman;sans-serif" w:hAnsi="Times New Roman;sans-serif"/>
          <w:b w:val="false"/>
          <w:i/>
          <w:color w:val="000000"/>
          <w:sz w:val="20"/>
        </w:rPr>
        <w:t xml:space="preserve">Richard A. Newton v. Brighthouse Life Insurance Company </w:t>
      </w:r>
      <w:r>
        <w:rPr>
          <w:rFonts w:ascii="Times New Roman;sans-serif" w:hAnsi="Times New Roman;sans-serif"/>
          <w:b w:val="false"/>
          <w:color w:val="000000"/>
          <w:sz w:val="20"/>
        </w:rPr>
        <w:t>(U.S. District Court, Northern District of Georgia, Atlanta Division, filed May 8, 2020). Plaintiff has filed a purported class action lawsuit against Brighthouse Life Insurance Company, a subsidiary of Brighthouse Financial, Inc.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 were based on improper factors and should have decreased over time due to improving mortality but did not</w:t>
      </w:r>
      <w:r>
        <w:rPr>
          <w:rFonts w:ascii="Times New Roman;sans-serif" w:hAnsi="Times New Roman;sans-serif"/>
          <w:b w:val="false"/>
          <w:color w:val="0000FF"/>
          <w:sz w:val="24"/>
        </w:rPr>
        <w:t xml:space="preserve">. </w:t>
      </w:r>
      <w:r>
        <w:rPr>
          <w:rFonts w:ascii="Times New Roman;sans-serif" w:hAnsi="Times New Roman;sans-serif"/>
          <w:b w:val="false"/>
          <w:color w:val="000000"/>
          <w:sz w:val="20"/>
        </w:rPr>
        <w:t>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persons who own or owned life insurance policies issued in Georgia. The motion was granted on January 23, 2023, and the third amended class action complaint was filed on January 23, 2023. The Company intends to vigorously defend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Lawrence Martin v. Brighthouse Life Insurance Company</w:t>
      </w:r>
      <w:r>
        <w:rPr>
          <w:color w:val="000000"/>
        </w:rPr>
        <w:t xml:space="preserve"> </w:t>
      </w:r>
      <w:r>
        <w:rPr>
          <w:rFonts w:ascii="Times New Roman;sans-serif" w:hAnsi="Times New Roman;sans-serif"/>
          <w:b w:val="false"/>
          <w:color w:val="000000"/>
          <w:sz w:val="20"/>
        </w:rPr>
        <w:t>(U.S. District Court, Southern District of New York, filed April 6, 2021). Plaintiff has filed 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a subsidiary of Brighthouse Life Insurance Company, was initially named as a defendant when the lawsuit was filed, but was dismissed as a defendant, without prejudice, in April 2022. The Company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MOVEit Data Security Incident Litigation</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Kennedy v. Progress Software Corporation, et al</w:t>
      </w:r>
      <w:r>
        <w:rPr>
          <w:rFonts w:ascii="Times New Roman;sans-serif" w:hAnsi="Times New Roman;sans-serif"/>
          <w:b w:val="false"/>
          <w:color w:val="000000"/>
          <w:sz w:val="20"/>
        </w:rPr>
        <w:t>. (U.S. District Court, District of Massachusetts, filed October 3, 2023). BHF has been named as a 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connection with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Company intends to vigorously defend this matter.</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Other Loss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bd44759c482d44cf89a39fac776337ae_7">
        <w:r>
          <w:rPr>
            <w:rStyle w:val="InternetLink"/>
            <w:rFonts w:ascii="Times New Roman;sans-serif" w:hAnsi="Times New Roman;sans-serif"/>
            <w:b/>
            <w:color w:val="0000FF"/>
            <w:sz w:val="18"/>
            <w:u w:val="single"/>
          </w:rPr>
          <w:t>Table of Contents</w:t>
        </w:r>
      </w:hyperlink>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Brighthouse Financial, Inc.</w:t>
      </w:r>
    </w:p>
    <w:p>
      <w:pPr>
        <w:pStyle w:val="TextBody"/>
        <w:bidi w:val="0"/>
        <w:spacing w:lineRule="auto" w:line="288" w:before="120" w:after="283"/>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Notes to the Interim Condensed Consolidated Financial Statements (Unaudited) (continued)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Contingencies, Commitments and Guarantees (continued)</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June 30, 2024, the Company estimates the range of reasonably possible losses in excess of the amounts accrued for certain other loss contingencies to be from zero up to approximately</w:t>
      </w:r>
      <w:r>
        <w:rPr>
          <w:color w:val="000000"/>
          <w:shd w:fill="FFFFFF" w:val="clear"/>
        </w:rPr>
        <w:t xml:space="preserve"> </w:t>
      </w:r>
      <w:r>
        <w:rPr>
          <w:rFonts w:ascii="Times New Roman;sans-serif" w:hAnsi="Times New Roman;sans-serif"/>
          <w:b w:val="false"/>
          <w:color w:val="000000"/>
          <w:sz w:val="20"/>
        </w:rPr>
        <w:t>$75 million relating to certain tax matters, as described above. For certain other matters, the Company may not currently be able to estimate the reasonably possible loss or estimated range of loss until developments in such matters have provided sufficient information to support an assessment of such loss. 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Mortgage Loan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lend funds under mortgage loan commitments. The amounts of these mortgage loan commitments were $307 million and $377 million at June 30, 2024 and December 31, 2023, respectively.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Commitments to Fund Partnership Investments, Bank Credit Facilities and Private Corporate Bond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commits to fund partnership investments and to lend funds under bank credit facilities and private corporate bond investments. The amounts of these unfunded commitments were $1.4 billion at both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up to $87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recorded liabilities were $1 million at both June 30, 2024 and December 31, 2023 for indemnities, guarantees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Index to Management’s Discussion and Analysis of Financial Condition and Results of Operations</w:t>
      </w:r>
    </w:p>
    <w:tbl>
      <w:tblPr>
        <w:tblW w:w="4381" w:type="dxa"/>
        <w:jc w:val="center"/>
        <w:tblInd w:w="0" w:type="dxa"/>
        <w:tblLayout w:type="fixed"/>
        <w:tblCellMar>
          <w:top w:w="28" w:type="dxa"/>
          <w:left w:w="28" w:type="dxa"/>
          <w:bottom w:w="28" w:type="dxa"/>
          <w:right w:w="28" w:type="dxa"/>
        </w:tblCellMar>
      </w:tblPr>
      <w:tblGrid>
        <w:gridCol w:w="1380"/>
        <w:gridCol w:w="1212"/>
        <w:gridCol w:w="1218"/>
        <w:gridCol w:w="167"/>
        <w:gridCol w:w="167"/>
        <w:gridCol w:w="237"/>
      </w:tblGrid>
      <w:tr>
        <w:trPr/>
        <w:tc>
          <w:tcPr>
            <w:tcW w:w="138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277">
              <w:r>
                <w:rPr>
                  <w:rStyle w:val="InternetLink"/>
                  <w:rFonts w:ascii="Times New Roman;sans-serif" w:hAnsi="Times New Roman;sans-serif"/>
                  <w:b w:val="false"/>
                  <w:color w:val="0000FF"/>
                  <w:sz w:val="20"/>
                  <w:u w:val="single"/>
                </w:rPr>
                <w:t>Introduction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77">
              <w:r>
                <w:rPr>
                  <w:rStyle w:val="InternetLink"/>
                  <w:rFonts w:ascii="Times New Roman;sans-serif" w:hAnsi="Times New Roman;sans-serif"/>
                  <w:b w:val="false"/>
                  <w:color w:val="0000FF"/>
                  <w:sz w:val="20"/>
                  <w:u w:val="single"/>
                </w:rPr>
                <w:t>55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280">
              <w:r>
                <w:rPr>
                  <w:rStyle w:val="InternetLink"/>
                  <w:rFonts w:ascii="Times New Roman;sans-serif" w:hAnsi="Times New Roman;sans-serif"/>
                  <w:b w:val="false"/>
                  <w:color w:val="0000FF"/>
                  <w:sz w:val="20"/>
                  <w:u w:val="single"/>
                </w:rPr>
                <w:t>Executive Summary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80">
              <w:r>
                <w:rPr>
                  <w:rStyle w:val="InternetLink"/>
                  <w:rFonts w:ascii="Times New Roman;sans-serif" w:hAnsi="Times New Roman;sans-serif"/>
                  <w:b w:val="false"/>
                  <w:color w:val="0000FF"/>
                  <w:sz w:val="20"/>
                  <w:u w:val="single"/>
                </w:rPr>
                <w:t>55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292">
              <w:r>
                <w:rPr>
                  <w:rStyle w:val="InternetLink"/>
                  <w:rFonts w:ascii="Times New Roman;sans-serif" w:hAnsi="Times New Roman;sans-serif"/>
                  <w:b w:val="false"/>
                  <w:color w:val="0000FF"/>
                  <w:sz w:val="20"/>
                  <w:u w:val="single"/>
                </w:rPr>
                <w:t>Industry Trends and Uncertainties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292">
              <w:r>
                <w:rPr>
                  <w:rStyle w:val="InternetLink"/>
                  <w:rFonts w:ascii="Times New Roman;sans-serif" w:hAnsi="Times New Roman;sans-serif"/>
                  <w:b w:val="false"/>
                  <w:color w:val="0000FF"/>
                  <w:sz w:val="20"/>
                  <w:u w:val="single"/>
                </w:rPr>
                <w:t>56</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301">
              <w:r>
                <w:rPr>
                  <w:rStyle w:val="InternetLink"/>
                  <w:rFonts w:ascii="Times New Roman;sans-serif" w:hAnsi="Times New Roman;sans-serif"/>
                  <w:b w:val="false"/>
                  <w:color w:val="0000FF"/>
                  <w:sz w:val="20"/>
                  <w:u w:val="single"/>
                </w:rPr>
                <w:t>Summary of Critical Accounting Estimates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01">
              <w:r>
                <w:rPr>
                  <w:rStyle w:val="InternetLink"/>
                  <w:rFonts w:ascii="Times New Roman;sans-serif" w:hAnsi="Times New Roman;sans-serif"/>
                  <w:b w:val="false"/>
                  <w:color w:val="0000FF"/>
                  <w:sz w:val="20"/>
                  <w:u w:val="single"/>
                </w:rPr>
                <w:t>58</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304">
              <w:r>
                <w:rPr>
                  <w:rStyle w:val="InternetLink"/>
                  <w:rFonts w:ascii="Times New Roman;sans-serif" w:hAnsi="Times New Roman;sans-serif"/>
                  <w:b w:val="false"/>
                  <w:color w:val="0000FF"/>
                  <w:sz w:val="20"/>
                  <w:u w:val="single"/>
                </w:rPr>
                <w:t>Non-GAAP Financial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04">
              <w:r>
                <w:rPr>
                  <w:rStyle w:val="InternetLink"/>
                  <w:rFonts w:ascii="Times New Roman;sans-serif" w:hAnsi="Times New Roman;sans-serif"/>
                  <w:b w:val="false"/>
                  <w:color w:val="0000FF"/>
                  <w:sz w:val="20"/>
                  <w:u w:val="single"/>
                </w:rPr>
                <w:t>59</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307">
              <w:r>
                <w:rPr>
                  <w:rStyle w:val="InternetLink"/>
                  <w:rFonts w:ascii="Times New Roman;sans-serif" w:hAnsi="Times New Roman;sans-serif"/>
                  <w:b w:val="false"/>
                  <w:color w:val="0000FF"/>
                  <w:sz w:val="20"/>
                  <w:u w:val="single"/>
                </w:rPr>
                <w:t>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07">
              <w:r>
                <w:rPr>
                  <w:rStyle w:val="InternetLink"/>
                  <w:rFonts w:ascii="Times New Roman;sans-serif" w:hAnsi="Times New Roman;sans-serif"/>
                  <w:b w:val="false"/>
                  <w:color w:val="0000FF"/>
                  <w:sz w:val="20"/>
                  <w:u w:val="single"/>
                </w:rPr>
                <w:t>61</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385">
              <w:r>
                <w:rPr>
                  <w:rStyle w:val="InternetLink"/>
                  <w:rFonts w:ascii="Times New Roman;sans-serif" w:hAnsi="Times New Roman;sans-serif"/>
                  <w:b w:val="false"/>
                  <w:color w:val="0000FF"/>
                  <w:sz w:val="20"/>
                  <w:u w:val="single"/>
                </w:rPr>
                <w:t>Investments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385">
              <w:r>
                <w:rPr>
                  <w:rStyle w:val="InternetLink"/>
                  <w:rFonts w:ascii="Times New Roman;sans-serif" w:hAnsi="Times New Roman;sans-serif"/>
                  <w:b w:val="false"/>
                  <w:color w:val="0000FF"/>
                  <w:sz w:val="20"/>
                  <w:u w:val="single"/>
                </w:rPr>
                <w:t>72</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436">
              <w:r>
                <w:rPr>
                  <w:rStyle w:val="InternetLink"/>
                  <w:rFonts w:ascii="Times New Roman;sans-serif" w:hAnsi="Times New Roman;sans-serif"/>
                  <w:b w:val="false"/>
                  <w:color w:val="0000FF"/>
                  <w:sz w:val="20"/>
                  <w:u w:val="single"/>
                </w:rPr>
                <w:t>Derivatives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436">
              <w:r>
                <w:rPr>
                  <w:rStyle w:val="InternetLink"/>
                  <w:rFonts w:ascii="Times New Roman;sans-serif" w:hAnsi="Times New Roman;sans-serif"/>
                  <w:b w:val="false"/>
                  <w:color w:val="0000FF"/>
                  <w:sz w:val="20"/>
                  <w:u w:val="single"/>
                </w:rPr>
                <w:t>81</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454">
              <w:r>
                <w:rPr>
                  <w:rStyle w:val="InternetLink"/>
                  <w:rFonts w:ascii="Times New Roman;sans-serif" w:hAnsi="Times New Roman;sans-serif"/>
                  <w:b w:val="false"/>
                  <w:color w:val="0000FF"/>
                  <w:sz w:val="20"/>
                  <w:u w:val="single"/>
                </w:rPr>
                <w:t>Policyholder Liabilities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454">
              <w:r>
                <w:rPr>
                  <w:rStyle w:val="InternetLink"/>
                  <w:rFonts w:ascii="Times New Roman;sans-serif" w:hAnsi="Times New Roman;sans-serif"/>
                  <w:b w:val="false"/>
                  <w:color w:val="0000FF"/>
                  <w:sz w:val="20"/>
                  <w:u w:val="single"/>
                </w:rPr>
                <w:t>82</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475">
              <w:r>
                <w:rPr>
                  <w:rStyle w:val="InternetLink"/>
                  <w:rFonts w:ascii="Times New Roman;sans-serif" w:hAnsi="Times New Roman;sans-serif"/>
                  <w:b w:val="false"/>
                  <w:color w:val="0000FF"/>
                  <w:sz w:val="20"/>
                  <w:u w:val="single"/>
                </w:rPr>
                <w:t>Liquidity and Capital Resources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475">
              <w:r>
                <w:rPr>
                  <w:rStyle w:val="InternetLink"/>
                  <w:rFonts w:ascii="Times New Roman;sans-serif" w:hAnsi="Times New Roman;sans-serif"/>
                  <w:b w:val="false"/>
                  <w:color w:val="0000FF"/>
                  <w:sz w:val="20"/>
                  <w:u w:val="single"/>
                </w:rPr>
                <w:t>85</w:t>
              </w:r>
            </w:hyperlink>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d44759c482d44cf89a39fac776337ae_484">
              <w:r>
                <w:rPr>
                  <w:rStyle w:val="InternetLink"/>
                  <w:rFonts w:ascii="Times New Roman;sans-serif" w:hAnsi="Times New Roman;sans-serif"/>
                  <w:b w:val="false"/>
                  <w:color w:val="0000FF"/>
                  <w:sz w:val="20"/>
                  <w:u w:val="single"/>
                </w:rPr>
                <w:t>Note Regarding Forward-Looking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d44759c482d44cf89a39fac776337ae_484">
              <w:r>
                <w:rPr>
                  <w:rStyle w:val="InternetLink"/>
                  <w:rFonts w:ascii="Times New Roman;sans-serif" w:hAnsi="Times New Roman;sans-serif"/>
                  <w:b w:val="false"/>
                  <w:color w:val="0000FF"/>
                  <w:sz w:val="20"/>
                  <w:u w:val="singl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2023 (the “2023 Annual Report”) filed with the U.S. Securities and Exchange Commission (“SEC”) on February 22, 2024; (iii) our Quarterly Report on Form 10-Q for the quarter ended March 31, 2024 (the “First Quarter Form 10-Q”) filed with the SEC on May 8, 2024; and (iv) our current reports on Form 8-K filed in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Executive Summary” provides summarized information regarding our business, segments and financial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Industry Trends and Uncertainties” discusses updates and changes to a number of trends and uncertainties included in our 2023 Annual Report that we believe may materially affect our future financial condition, results of operations or cash flows.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Summary of Critical Accounting Estimates” explains the most critical estimates and judgments applied in determining our results in accordance with accounting principles generally accepted in the United States of America (“GAAP”).</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discussion and analysis presents a review for the three months and six months ended June 30, 2024 and 2023 and period-over-period, as well as year-over-year, comparisons between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primarily of products that are no longer actively sold and are separately managed. In addition, we report certain of our results of operations in Corporate &amp; Other. See “Business — Segments and Corporate &amp; Other” and “Management’s Discussion and Analysis of Financial Condition and Results of Operations — Executive Summary” included in our 2023 Annual Report, as well as Note 2 of the Notes to the Interim Condensed Consolidated Financial Statements for further information regarding our segments and Corporate &amp;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available to shareholders and adjusted earnings, a non-GAAP financial measure, were as follows:</w:t>
      </w:r>
    </w:p>
    <w:tbl>
      <w:tblPr>
        <w:tblW w:w="10205" w:type="dxa"/>
        <w:jc w:val="left"/>
        <w:tblInd w:w="0" w:type="dxa"/>
        <w:tblLayout w:type="fixed"/>
        <w:tblCellMar>
          <w:top w:w="28" w:type="dxa"/>
          <w:left w:w="28" w:type="dxa"/>
          <w:bottom w:w="28" w:type="dxa"/>
          <w:right w:w="28" w:type="dxa"/>
        </w:tblCellMar>
      </w:tblPr>
      <w:tblGrid>
        <w:gridCol w:w="2142"/>
        <w:gridCol w:w="1823"/>
        <w:gridCol w:w="1830"/>
        <w:gridCol w:w="109"/>
        <w:gridCol w:w="109"/>
        <w:gridCol w:w="109"/>
        <w:gridCol w:w="196"/>
        <w:gridCol w:w="421"/>
        <w:gridCol w:w="109"/>
        <w:gridCol w:w="109"/>
        <w:gridCol w:w="109"/>
        <w:gridCol w:w="109"/>
        <w:gridCol w:w="196"/>
        <w:gridCol w:w="471"/>
        <w:gridCol w:w="109"/>
        <w:gridCol w:w="109"/>
        <w:gridCol w:w="109"/>
        <w:gridCol w:w="109"/>
        <w:gridCol w:w="196"/>
        <w:gridCol w:w="471"/>
        <w:gridCol w:w="109"/>
        <w:gridCol w:w="109"/>
        <w:gridCol w:w="109"/>
        <w:gridCol w:w="109"/>
        <w:gridCol w:w="196"/>
        <w:gridCol w:w="471"/>
        <w:gridCol w:w="157"/>
      </w:tblGrid>
      <w:tr>
        <w:trPr/>
        <w:tc>
          <w:tcPr>
            <w:tcW w:w="2142"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(1)We use the term “net income (loss) available to shareholders” to refer to “net income (loss) available to Brighthouse Financial, Inc.’s common shareholders” and “adjusted loss” to refer to negative adjusted earnings values throughout the results of operations discussions.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we had net income available to shareholders of $9 million and adjusted earnings of $346 million compared to net loss available to shareholders of $200 million and adjusted earnings of $271 million for the three months ended June 30, 2023. Net income available to shareholders for the three months ended June 30, 2024 primarily reflects favorable pre-tax adjusted earnings. The favorable impact was partially offset by net unfavorable changes in the estimated fair value of our variable annuity guaranteed benefit riders due to market factors, net investment losses on sales of fixed maturity securities, net investment losses on mortgage loans and an unfavorable change in the estimated fair value of freestanding interest rate derivatives we use to hedge our universal life with secondary guarantees (“ULSG”) business resulting from increasing long-term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we had net loss available to shareholders of $510 million and adjusted earnings of $248 million compared to net loss available to shareholders of $725 million and adjusted earnings of $466 million for the six months ended June 30, 2023. Net loss available to shareholders for the six months ended June 30, 2024 primarily reflects net unfavorable changes in the estimated fair value of our variable annuity guaranteed benefit riders due to market factors, an unfavorable change in the estimated fair value of freestanding interest rate derivatives we use to hedge our ULSG business resulting from increasing long-term interest rates, net investment losses on sales of fixed maturity securities and net investment losses on mortgage loans. These unfavorable impacts were partially offset by favorable pre-tax adjusted earnings, net of an unfavorable impact due to a reinsurance premium rate increase retroactive to September 2019, which resulted from the conclusion of a reinsurance arbitration, and the related impacts.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Non-GAAP Financial Disclosures.” See “— Results of Operations” for a detailed discussion of our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Industry Trends and Uncertainties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2023 Annual Report, as amended or supplemented by our First Quarter Form 10-Q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closely monitor political and economic conditions that might contribute to market volatility and their impact on our business operations, investment portfolio and derivatives, such as global inflation,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—Investments” included in our 2023 Annual Report for a detailed discussion of financial and economic impacts on our business, including the potential impacts of interest rate risk and inflation risk on our investments and overall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Regulatory Developments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2023 Annual Report, as amended or supplemented by our First Quarter Form 10-Q under the heading “Management’s Discussion and Analysis of Financial Condition and Results of Operations — Industry Trends and Uncertainties — Regulatory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Department of Labor Fiduciary Advice Rule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regulatory action by the Department of Labor (“DOL”) (the “Fiduciary Advice Rule”), which became effective on February 16, 2021, reinstated the text of the DOL’s 1975 investment advice regulation defining what constitutes fiduciary “investment advice” to Employee Retirement Income Security Act (“ERISA”) Plans and Individual Retirement Accounts (“IRA”) and provides guidance interpreting such regulation. Under the Fiduciary Advice Rule, individuals or entities providing investment advice would be considered fiduciaries under ERISA or the Internal Revenue Code of 1986, as amended,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23, 2024, the DOL issued a final Fiduciary Advice Rule, which was originally proposed in October 2023, that updates the definition of an “investment advice fiduciary” under ERISA and amends related administrative Prohibited Transaction Exemptions (each, a “PTE”), including PTE 2020-02 (which allows fiduciaries to receive compensation in connection with providing investment advice, including advice with respect to roll overs, that would otherwise be prohibited as a result of their fiduciary relationship to the ERISA Plan or IRA) (the “PTE 2020-02 Amendment”) and PTE 84-24 (which, as amended by the final Fiduciary Advice Rule, is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their fiduciary relationship to an ERISA plan or IRA) (the “PTE 84-24 Amendment” and, together with the PTE 2020-02 Amendment, the “PTE Amendments”).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2024, the U.S. District Court for the Eastern District of Texas and, on July 26, 2024, the U.S. District Court for the Northern District of Texas issued decisions, which together stayed the effective date for implementation of the Fiduciary Advice Rule and the PTE Amendments. These rulings are subject to appeal by the DOL.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information about the potential effect and impact of the Fiduciary Advice Rule and the PTE Amendments, see “Management’s Discussion and Analysis of Financial Condition and Results of Operations — Industry Trends and Uncertainties — Regulatory Developments” included in our First Quarter Form 10-Q and “Business — Regulation — Standard of Conduct Regulation — Department of Labor Fiduciary Advice Rule” included in our 2023 Annual Report. We will continue to monitor developments regarding the new rule and related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adopt accounting policies and make estimates and assumptions that affect amounts reported on the Interim Condensed Consolidated Financial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estimates include those used in determining: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liability for future policy benefits;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market risk benefits (“MRB”);</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estimated fair values of freestanding derivatives and the recognition and estimated fair value of embedded derivatives requiring bifurcation;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measurement of income taxes and the valuation of deferred tax assets.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above critical accounting estimates are described in “Management’s Discussion and Analysis of Financial Condition and Results of Operations — Summary of Critical Accounting Estimates” and Note 1 of the Notes to the Consolidated Financial Statements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Non-GAAP Financial Disclosures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certain measures of our performance that are not calculated in accordance with GAAP. Our definitions of non-GAAP financial measures may differ from those used by other companies.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which may be positive or negative, focuses on our primary businesses by excluding the impact of market volatility, which could distort trends. The Company uses the term “adjusted loss” throughout this report to refer to negative adjusted earnings values.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revenues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significant items excluded from total expenses in calculating adjusted earnings: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MRBs;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 in fair value of the crediting rate on experience-rated contracts (“Market Value Adjustments”).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related to adjusted earnings is calculated using the statutory tax rate of 21%, net of impacts related to the dividends received deduction, tax credits and current period non-recurring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tbl>
      <w:tblPr>
        <w:tblW w:w="10205" w:type="dxa"/>
        <w:jc w:val="left"/>
        <w:tblInd w:w="0" w:type="dxa"/>
        <w:tblLayout w:type="fixed"/>
        <w:tblCellMar>
          <w:top w:w="28" w:type="dxa"/>
          <w:left w:w="28" w:type="dxa"/>
          <w:bottom w:w="28" w:type="dxa"/>
          <w:right w:w="28" w:type="dxa"/>
        </w:tblCellMar>
      </w:tblPr>
      <w:tblGrid>
        <w:gridCol w:w="316"/>
        <w:gridCol w:w="277"/>
        <w:gridCol w:w="277"/>
        <w:gridCol w:w="814"/>
        <w:gridCol w:w="814"/>
        <w:gridCol w:w="562"/>
        <w:gridCol w:w="219"/>
        <w:gridCol w:w="219"/>
        <w:gridCol w:w="219"/>
        <w:gridCol w:w="1872"/>
        <w:gridCol w:w="1872"/>
        <w:gridCol w:w="2744"/>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30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 of Adjusted Earnings</w:t>
            </w:r>
          </w:p>
        </w:tc>
        <w:tc>
          <w:tcPr>
            <w:tcW w:w="714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How Derived from GAAP (1)</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Universal life and investment-type product policy fees</w:t>
            </w:r>
            <w:r>
              <w:rPr>
                <w:color w:val="000000"/>
              </w:rPr>
              <w:t xml:space="preserve"> </w:t>
            </w:r>
            <w:r>
              <w:rPr>
                <w:rFonts w:ascii="Times New Roman;sans-serif" w:hAnsi="Times New Roman;sans-serif"/>
                <w:b w:val="false"/>
                <w:color w:val="000000"/>
                <w:sz w:val="20"/>
              </w:rPr>
              <w:t xml:space="preserve">plus </w:t>
            </w:r>
            <w:r>
              <w:rPr>
                <w:rFonts w:ascii="Times New Roman;sans-serif" w:hAnsi="Times New Roman;sans-serif"/>
                <w:b w:val="false"/>
                <w:i/>
                <w:color w:val="000000"/>
                <w:sz w:val="20"/>
              </w:rPr>
              <w:t>Other revenues</w:t>
            </w:r>
            <w:r>
              <w:rPr>
                <w:rFonts w:ascii="Times New Roman;sans-serif" w:hAnsi="Times New Roman;sans-serif"/>
                <w:b w:val="false"/>
                <w:color w:val="000000"/>
                <w:sz w:val="20"/>
              </w:rPr>
              <w:t>.</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spread</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Net investment income</w:t>
            </w:r>
            <w:r>
              <w:rPr>
                <w:color w:val="000000"/>
              </w:rPr>
              <w:t xml:space="preserve"> </w:t>
            </w:r>
            <w:r>
              <w:rPr>
                <w:rFonts w:ascii="Times New Roman;sans-serif" w:hAnsi="Times New Roman;sans-serif"/>
                <w:b w:val="false"/>
                <w:color w:val="000000"/>
                <w:sz w:val="20"/>
              </w:rPr>
              <w:t xml:space="preserve">plus Investment Hedge Adjustments reduced by </w:t>
            </w:r>
            <w:r>
              <w:rPr>
                <w:rFonts w:ascii="Times New Roman;sans-serif" w:hAnsi="Times New Roman;sans-serif"/>
                <w:b w:val="false"/>
                <w:i/>
                <w:color w:val="000000"/>
                <w:sz w:val="20"/>
              </w:rPr>
              <w:t xml:space="preserve">Interest credited to policyholder account balances </w:t>
            </w:r>
            <w:r>
              <w:rPr>
                <w:rFonts w:ascii="Times New Roman;sans-serif" w:hAnsi="Times New Roman;sans-serif"/>
                <w:b w:val="false"/>
                <w:color w:val="000000"/>
                <w:sz w:val="20"/>
              </w:rPr>
              <w:t>(excluding Market Value Adjustments) and interest on future policy benefits.</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Insurance-related activities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(iii)</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 xml:space="preserve">Premiums </w:t>
            </w:r>
            <w:r>
              <w:rPr>
                <w:rFonts w:ascii="Times New Roman;sans-serif" w:hAnsi="Times New Roman;sans-serif"/>
                <w:b w:val="false"/>
                <w:color w:val="000000"/>
                <w:sz w:val="20"/>
              </w:rPr>
              <w:t>less</w:t>
            </w:r>
            <w:r>
              <w:rPr>
                <w:color w:val="000000"/>
              </w:rPr>
              <w:t xml:space="preserve"> </w:t>
            </w:r>
            <w:r>
              <w:rPr>
                <w:rFonts w:ascii="Times New Roman;sans-serif" w:hAnsi="Times New Roman;sans-serif"/>
                <w:b w:val="false"/>
                <w:i/>
                <w:color w:val="000000"/>
                <w:sz w:val="20"/>
              </w:rPr>
              <w:t>Policyholder benefits and claims</w:t>
            </w:r>
            <w:r>
              <w:rPr>
                <w:rFonts w:ascii="Times New Roman;sans-serif" w:hAnsi="Times New Roman;sans-serif"/>
                <w:b w:val="false"/>
                <w:color w:val="000000"/>
                <w:sz w:val="20"/>
              </w:rPr>
              <w:t>, excluding interest on future policy benefits.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DAC and VOBA</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(iv)</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i/>
                <w:color w:val="000000"/>
                <w:sz w:val="20"/>
              </w:rPr>
              <w:t>Amortization of deferred policy acquisition costs (“DAC”) and value of business acquired (“VOBA”)</w:t>
            </w:r>
            <w:r>
              <w:rPr>
                <w:rFonts w:ascii="Times New Roman;sans-serif" w:hAnsi="Times New Roman;sans-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w:t>
            </w:r>
          </w:p>
        </w:tc>
        <w:tc>
          <w:tcPr>
            <w:tcW w:w="6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expenses.</w:t>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 expense (benefit)</w:t>
            </w:r>
          </w:p>
        </w:tc>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w:t>
            </w:r>
          </w:p>
        </w:tc>
        <w:tc>
          <w:tcPr>
            <w:tcW w:w="6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 impact of the above items, calculated using the statutory tax rate of 21%, net of impacts related to the dividends received deduction, tax credits and current period non-recurring items.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(1)Italicized items indicate GAAP statements of operations line items.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GAAP guidance for segment reporting, adjusted earnings is also our GAAP measure of segment performance. Accordingly, we report adjusted earnings by segment in Note 2 of the Notes to the Interim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adjusted net investment income to measure our performance for management purposes,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Adjusted Net Investment Income Yield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Similar to adjusted net investment income, we present adjusted net investment income yield as a performance measure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Consolidated Results for the Three Months and Six Months Ended June 30, 2024 and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all amounts in the following discussions of our results of operations are stated before income tax except for adjusted earnings, which are presented net of income tax.</w:t>
      </w:r>
    </w:p>
    <w:tbl>
      <w:tblPr>
        <w:tblW w:w="10205" w:type="dxa"/>
        <w:jc w:val="left"/>
        <w:tblInd w:w="0" w:type="dxa"/>
        <w:tblLayout w:type="fixed"/>
        <w:tblCellMar>
          <w:top w:w="28" w:type="dxa"/>
          <w:left w:w="28" w:type="dxa"/>
          <w:bottom w:w="28" w:type="dxa"/>
          <w:right w:w="28" w:type="dxa"/>
        </w:tblCellMar>
      </w:tblPr>
      <w:tblGrid>
        <w:gridCol w:w="2095"/>
        <w:gridCol w:w="1834"/>
        <w:gridCol w:w="1857"/>
        <w:gridCol w:w="109"/>
        <w:gridCol w:w="109"/>
        <w:gridCol w:w="109"/>
        <w:gridCol w:w="196"/>
        <w:gridCol w:w="421"/>
        <w:gridCol w:w="109"/>
        <w:gridCol w:w="109"/>
        <w:gridCol w:w="109"/>
        <w:gridCol w:w="109"/>
        <w:gridCol w:w="196"/>
        <w:gridCol w:w="474"/>
        <w:gridCol w:w="109"/>
        <w:gridCol w:w="109"/>
        <w:gridCol w:w="109"/>
        <w:gridCol w:w="109"/>
        <w:gridCol w:w="196"/>
        <w:gridCol w:w="474"/>
        <w:gridCol w:w="109"/>
        <w:gridCol w:w="109"/>
        <w:gridCol w:w="109"/>
        <w:gridCol w:w="109"/>
        <w:gridCol w:w="196"/>
        <w:gridCol w:w="474"/>
        <w:gridCol w:w="157"/>
      </w:tblGrid>
      <w:tr>
        <w:trPr/>
        <w:tc>
          <w:tcPr>
            <w:tcW w:w="2095"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Universal life and investment-type product policy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Policyholder benefits and claims (including liability remeasurement gains (losses) of $0, $0, $0 and $0,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credited to policyholder account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Brighthouse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Brighthouse Financial, Inc.’s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income (loss) available to shareholders were as follows:</w:t>
      </w:r>
    </w:p>
    <w:tbl>
      <w:tblPr>
        <w:tblW w:w="10205" w:type="dxa"/>
        <w:jc w:val="left"/>
        <w:tblInd w:w="0" w:type="dxa"/>
        <w:tblLayout w:type="fixed"/>
        <w:tblCellMar>
          <w:top w:w="28" w:type="dxa"/>
          <w:left w:w="28" w:type="dxa"/>
          <w:bottom w:w="28" w:type="dxa"/>
          <w:right w:w="28" w:type="dxa"/>
        </w:tblCellMar>
      </w:tblPr>
      <w:tblGrid>
        <w:gridCol w:w="2101"/>
        <w:gridCol w:w="1717"/>
        <w:gridCol w:w="1724"/>
        <w:gridCol w:w="109"/>
        <w:gridCol w:w="109"/>
        <w:gridCol w:w="109"/>
        <w:gridCol w:w="196"/>
        <w:gridCol w:w="4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5"/>
      </w:tblGrid>
      <w:tr>
        <w:trPr/>
        <w:tc>
          <w:tcPr>
            <w:tcW w:w="210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5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market risk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derivative gains (losses), excluding investment hedge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2"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available to shareholders before provision for income tax was $11 million (income of $9 million, net of income tax), a lower loss of $251 million ($209 million, net of income tax) from loss available to shareholders before provision for income tax of $262 million ($200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losses from variable annuity guaranteed benefit riders, see “— Annuity Guaranteed Benefits and Shield Annuity Liabilities for the Three Months and Six Months Ended June 30, 2024 and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pre-tax adjusted earnings, as discussed in greater detail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taxes was partially offset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investment gains (losses) reflecting higher net losses on sales of fixed maturity securities and an increase in the allowance for credit losses, and higher net losses on mortgage loans due to an increase in the allowance for credit losses;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equity markets on equity options we use to hedge our non-variable annuity business, as equity markets increased less in the current period than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income (loss) before provision for income tax, resulted in a lower effective tax rate in the current period compared to the prior period. Our effective tax rate differs from the statutory tax rate primarily due to the impacts of the dividends received deduction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available to shareholders before provision for income tax was $653 million ($510 million, net of income tax), a lower loss of $290 million ($215 million, net of income tax) from loss available to shareholders before provision for income tax of $943 million ($725 million, net of income tax) in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driven by the following 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losses from variable annuity guaranteed benefit riders, see “— Annuity Guaranteed Benefits and Shield Annuity Liabilities for the Three Months and Six Months Ended June 30, 2024 and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equity markets on equity options we use to hedge our non-variable annuity business, as equity markets increased more in the current period than the prior period.</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lower loss before provision for income tax was partially offset by the following unfavorable items: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long-term interest rates on interest rate derivatives used to manage interest rate exposure in our ULSG business, as the long-term interest rate increased in the current period resulting in a loss of $309 million and decreased in the prior period resulting in a gain of $57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pre-tax adjusted earnings, as discussed in greater detail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income (loss) before provision for income tax, resulted in an effective tax rate of 24% in both the current period and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Available to Shareholders to Adjusted Earnings (Loss)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reconciliation of net income (loss) available to shareholders to adjusted earnings (loss) was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40"/>
        <w:gridCol w:w="1439"/>
        <w:gridCol w:w="1444"/>
        <w:gridCol w:w="109"/>
        <w:gridCol w:w="109"/>
        <w:gridCol w:w="109"/>
        <w:gridCol w:w="210"/>
        <w:gridCol w:w="452"/>
        <w:gridCol w:w="119"/>
        <w:gridCol w:w="109"/>
        <w:gridCol w:w="109"/>
        <w:gridCol w:w="109"/>
        <w:gridCol w:w="196"/>
        <w:gridCol w:w="331"/>
        <w:gridCol w:w="109"/>
        <w:gridCol w:w="109"/>
        <w:gridCol w:w="109"/>
        <w:gridCol w:w="109"/>
        <w:gridCol w:w="196"/>
        <w:gridCol w:w="386"/>
        <w:gridCol w:w="109"/>
        <w:gridCol w:w="109"/>
        <w:gridCol w:w="109"/>
        <w:gridCol w:w="109"/>
        <w:gridCol w:w="350"/>
        <w:gridCol w:w="618"/>
        <w:gridCol w:w="196"/>
        <w:gridCol w:w="109"/>
        <w:gridCol w:w="109"/>
        <w:gridCol w:w="109"/>
        <w:gridCol w:w="196"/>
        <w:gridCol w:w="421"/>
        <w:gridCol w:w="158"/>
      </w:tblGrid>
      <w:tr>
        <w:trPr/>
        <w:tc>
          <w:tcPr>
            <w:tcW w:w="164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2"/>
        <w:gridCol w:w="1414"/>
        <w:gridCol w:w="1419"/>
        <w:gridCol w:w="109"/>
        <w:gridCol w:w="109"/>
        <w:gridCol w:w="109"/>
        <w:gridCol w:w="196"/>
        <w:gridCol w:w="484"/>
        <w:gridCol w:w="109"/>
        <w:gridCol w:w="109"/>
        <w:gridCol w:w="109"/>
        <w:gridCol w:w="109"/>
        <w:gridCol w:w="196"/>
        <w:gridCol w:w="331"/>
        <w:gridCol w:w="109"/>
        <w:gridCol w:w="109"/>
        <w:gridCol w:w="109"/>
        <w:gridCol w:w="109"/>
        <w:gridCol w:w="196"/>
        <w:gridCol w:w="421"/>
        <w:gridCol w:w="109"/>
        <w:gridCol w:w="109"/>
        <w:gridCol w:w="109"/>
        <w:gridCol w:w="109"/>
        <w:gridCol w:w="306"/>
        <w:gridCol w:w="681"/>
        <w:gridCol w:w="171"/>
        <w:gridCol w:w="109"/>
        <w:gridCol w:w="109"/>
        <w:gridCol w:w="109"/>
        <w:gridCol w:w="196"/>
        <w:gridCol w:w="462"/>
        <w:gridCol w:w="158"/>
      </w:tblGrid>
      <w:tr>
        <w:trPr/>
        <w:tc>
          <w:tcPr>
            <w:tcW w:w="1612"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617"/>
        <w:gridCol w:w="1419"/>
        <w:gridCol w:w="1424"/>
        <w:gridCol w:w="109"/>
        <w:gridCol w:w="109"/>
        <w:gridCol w:w="109"/>
        <w:gridCol w:w="210"/>
        <w:gridCol w:w="452"/>
        <w:gridCol w:w="119"/>
        <w:gridCol w:w="109"/>
        <w:gridCol w:w="109"/>
        <w:gridCol w:w="109"/>
        <w:gridCol w:w="196"/>
        <w:gridCol w:w="282"/>
        <w:gridCol w:w="109"/>
        <w:gridCol w:w="109"/>
        <w:gridCol w:w="109"/>
        <w:gridCol w:w="109"/>
        <w:gridCol w:w="196"/>
        <w:gridCol w:w="462"/>
        <w:gridCol w:w="109"/>
        <w:gridCol w:w="109"/>
        <w:gridCol w:w="109"/>
        <w:gridCol w:w="109"/>
        <w:gridCol w:w="306"/>
        <w:gridCol w:w="682"/>
        <w:gridCol w:w="171"/>
        <w:gridCol w:w="109"/>
        <w:gridCol w:w="109"/>
        <w:gridCol w:w="109"/>
        <w:gridCol w:w="196"/>
        <w:gridCol w:w="462"/>
        <w:gridCol w:w="158"/>
      </w:tblGrid>
      <w:tr>
        <w:trPr/>
        <w:tc>
          <w:tcPr>
            <w:tcW w:w="161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10205" w:type="dxa"/>
        <w:jc w:val="center"/>
        <w:tblInd w:w="0" w:type="dxa"/>
        <w:tblLayout w:type="fixed"/>
        <w:tblCellMar>
          <w:top w:w="28" w:type="dxa"/>
          <w:left w:w="28" w:type="dxa"/>
          <w:bottom w:w="28" w:type="dxa"/>
          <w:right w:w="28" w:type="dxa"/>
        </w:tblCellMar>
      </w:tblPr>
      <w:tblGrid>
        <w:gridCol w:w="1598"/>
        <w:gridCol w:w="1403"/>
        <w:gridCol w:w="1407"/>
        <w:gridCol w:w="109"/>
        <w:gridCol w:w="109"/>
        <w:gridCol w:w="109"/>
        <w:gridCol w:w="196"/>
        <w:gridCol w:w="484"/>
        <w:gridCol w:w="109"/>
        <w:gridCol w:w="109"/>
        <w:gridCol w:w="109"/>
        <w:gridCol w:w="109"/>
        <w:gridCol w:w="196"/>
        <w:gridCol w:w="331"/>
        <w:gridCol w:w="109"/>
        <w:gridCol w:w="109"/>
        <w:gridCol w:w="109"/>
        <w:gridCol w:w="109"/>
        <w:gridCol w:w="196"/>
        <w:gridCol w:w="462"/>
        <w:gridCol w:w="109"/>
        <w:gridCol w:w="109"/>
        <w:gridCol w:w="109"/>
        <w:gridCol w:w="109"/>
        <w:gridCol w:w="305"/>
        <w:gridCol w:w="679"/>
        <w:gridCol w:w="171"/>
        <w:gridCol w:w="109"/>
        <w:gridCol w:w="109"/>
        <w:gridCol w:w="109"/>
        <w:gridCol w:w="196"/>
        <w:gridCol w:w="462"/>
        <w:gridCol w:w="157"/>
      </w:tblGrid>
      <w:tr>
        <w:trP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Run-off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available to shareholders before provision for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investment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derivative gains (losses), excluding investment hedge adjustments of $61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Change in market risk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Market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for the Three Months and Six Months Ended June 30, 2024 and 2023 — Adjusted Earnings</w:t>
      </w:r>
    </w:p>
    <w:p>
      <w:pPr>
        <w:pStyle w:val="TextBody"/>
        <w:bidi w:val="0"/>
        <w:spacing w:lineRule="auto" w:line="288" w:before="120" w:after="283"/>
        <w:ind w:left="0" w:right="0" w:firstLine="36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adjusted earnings were as follows:</w:t>
      </w:r>
    </w:p>
    <w:tbl>
      <w:tblPr>
        <w:tblW w:w="10205" w:type="dxa"/>
        <w:jc w:val="left"/>
        <w:tblInd w:w="0" w:type="dxa"/>
        <w:tblLayout w:type="fixed"/>
        <w:tblCellMar>
          <w:top w:w="28" w:type="dxa"/>
          <w:left w:w="28" w:type="dxa"/>
          <w:bottom w:w="28" w:type="dxa"/>
          <w:right w:w="28" w:type="dxa"/>
        </w:tblCellMar>
      </w:tblPr>
      <w:tblGrid>
        <w:gridCol w:w="2106"/>
        <w:gridCol w:w="1825"/>
        <w:gridCol w:w="1746"/>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5"/>
      </w:tblGrid>
      <w:tr>
        <w:trPr/>
        <w:tc>
          <w:tcPr>
            <w:tcW w:w="210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$346 million in the current period, an increase of $75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deferred compensation and operational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expenses consistent with less favorable equity market returns in our Life segment, which is offset in fee income;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 an increase in income annuity underwriting margins.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 was: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driven by the aging in-force business in our Run-off segment, as well as less favorable equity market returns in our Life segment, which is mostly offset in other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commensurate with an increase in deposit balances resulting from increased sales in our Annuity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16% in the current period compared to 18% in the prior period. Our effective tax rate differs from the statutory tax rate primarily due to the impacts of the dividends received deduction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$248 million in the current period, a decrease of $218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in our Run-off segment resulting from a reinsurance premium rate increase associated with the conclusion of a reinsurance arbitration;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 decrease in income annuity underwriting margins;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paid claims, net of reinsurance, in our Life and Run-off segments;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fee income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ceded cost of insurance fees related to the conclusion of the aforementioned reinsurance arbitration in our Life and Run-off segments, as well as the aging in-force business in our Run-off segment;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reinsurance fees commensurate with an increase in deposit balances resulting from increased sales in our Annuity segment.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 was: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other limited partnerships;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resulted in an effective tax rate of 17% in the current period compared to 16% in the prior period. Our effective tax rate differs from the statutory tax rate primarily due to the impacts of the dividends received deduction, tax credits and current period non-recurring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Segments and Corporate &amp; Other Results for the Three Months and Six Months Ended June 30, 2024 and 2023 — Adjusted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Annuities segment were as follows:</w:t>
      </w:r>
    </w:p>
    <w:tbl>
      <w:tblPr>
        <w:tblW w:w="766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$332 million in the current period, an increase of $41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net favorable impacts were: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fee income due to higher reinsurance fees commensurate with an increase in deposit balances resulting from increased sales;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 lower operational expenses;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costs associated with insurance-related activities due an increase in income annuity underwriting margins;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returns on other limited partnerships.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the current period compared to 18% in the prior period. Our effective tax rate differs from the statutory tax rate primarily due to the impacts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$645 million in the current period, an increase of $40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fee income due to higher reinsurance fees commensurate with an increase in deposit balances resulting from increased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average invested assets resulting from positive net flows in the general account;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investment yields on our fixed income portfolio, as proceeds from maturing investments and the growth in the investment portfolio were invested at higher yields than the portfolio average;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interest credited to policyholders due to higher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operational expenses;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transition services agreement expenses;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variable compensation.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 was higher costs associated with insurance-related activities due to a decrease in income annuity underwriting margins.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Life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Life segment were as follows:</w:t>
      </w:r>
    </w:p>
    <w:tbl>
      <w:tblPr>
        <w:tblW w:w="7124"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332"/>
        <w:gridCol w:w="109"/>
        <w:gridCol w:w="109"/>
        <w:gridCol w:w="109"/>
        <w:gridCol w:w="109"/>
        <w:gridCol w:w="196"/>
        <w:gridCol w:w="332"/>
        <w:gridCol w:w="109"/>
        <w:gridCol w:w="109"/>
        <w:gridCol w:w="109"/>
        <w:gridCol w:w="109"/>
        <w:gridCol w:w="196"/>
        <w:gridCol w:w="331"/>
        <w:gridCol w:w="109"/>
        <w:gridCol w:w="109"/>
        <w:gridCol w:w="109"/>
        <w:gridCol w:w="109"/>
        <w:gridCol w:w="196"/>
        <w:gridCol w:w="421"/>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$42 million in the current period, an increase of $27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net costs associated with insurance-related activities due to lower paid claims, net of reinsurance;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 higher ceded cost of insurance expenses consistent with less favorable equity market returns, which is offset in fee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 was lower fee income due to higher ceded cost of insurance fees consistent with less favorable equity market returns, which is mostly offset in other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the current period compared to 17%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$6 million in the current period, a decrease of $10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 was lower fee income due to higher ceded cost of insurance fees related to the conclusion of the aforementioned reinsurance arbitration.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 was lower costs associated with insurance-related activities due to lower paid claims, net of reinsurance.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 lower effective tax rate in the current period compared to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Run-off</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our Run-off segment were as follows:</w:t>
      </w:r>
    </w:p>
    <w:tbl>
      <w:tblPr>
        <w:tblW w:w="7542" w:type="dxa"/>
        <w:jc w:val="left"/>
        <w:tblInd w:w="0" w:type="dxa"/>
        <w:tblLayout w:type="fixed"/>
        <w:tblCellMar>
          <w:top w:w="28" w:type="dxa"/>
          <w:left w:w="28" w:type="dxa"/>
          <w:bottom w:w="28" w:type="dxa"/>
          <w:right w:w="28" w:type="dxa"/>
        </w:tblCellMar>
      </w:tblPr>
      <w:tblGrid>
        <w:gridCol w:w="1133"/>
        <w:gridCol w:w="997"/>
        <w:gridCol w:w="1005"/>
        <w:gridCol w:w="109"/>
        <w:gridCol w:w="109"/>
        <w:gridCol w:w="109"/>
        <w:gridCol w:w="196"/>
        <w:gridCol w:w="421"/>
        <w:gridCol w:w="109"/>
        <w:gridCol w:w="109"/>
        <w:gridCol w:w="109"/>
        <w:gridCol w:w="109"/>
        <w:gridCol w:w="196"/>
        <w:gridCol w:w="421"/>
        <w:gridCol w:w="109"/>
        <w:gridCol w:w="109"/>
        <w:gridCol w:w="109"/>
        <w:gridCol w:w="109"/>
        <w:gridCol w:w="196"/>
        <w:gridCol w:w="496"/>
        <w:gridCol w:w="109"/>
        <w:gridCol w:w="109"/>
        <w:gridCol w:w="109"/>
        <w:gridCol w:w="109"/>
        <w:gridCol w:w="196"/>
        <w:gridCol w:w="496"/>
        <w:gridCol w:w="15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$30 million in the current period, a higher loss of $14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costs associated with insurance-related activities due to higher paid claims, net of reinsurance;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fee income due to higher ceded cost of insurance fees driven by the aging in-force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 lower interest credited to policyholders due to lower account balances;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 lower operational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19% in the current period compared to 24% in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$371 million in the current period, a higher loss of $249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net unfavorable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costs associated with insurance-related activities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 increase in liability balances resulting from a reinsurance premium rate increase associated with the conclusion of the aforementioned reinsurance arbitration;</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partially offset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paid claims, net of reinsurance;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fee income due to higher ceded cost of insurance fees related to the conclusion of the aforementioned reinsurance arbitration and the aging in-force business.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 was: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returns on other limited partnerships;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interest credited to policyholders due to lower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an effective tax rate of 21% in both the current period and the prior period. Our effective tax rate differs from the statutory tax rate primarily due to the impact of the dividends received deduction.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&amp; Other</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adjusted earnings for Corporate &amp; Other were as follows:</w:t>
      </w:r>
    </w:p>
    <w:tbl>
      <w:tblPr>
        <w:tblW w:w="10205" w:type="dxa"/>
        <w:jc w:val="left"/>
        <w:tblInd w:w="0" w:type="dxa"/>
        <w:tblLayout w:type="fixed"/>
        <w:tblCellMar>
          <w:top w:w="28" w:type="dxa"/>
          <w:left w:w="28" w:type="dxa"/>
          <w:bottom w:w="28" w:type="dxa"/>
          <w:right w:w="28" w:type="dxa"/>
        </w:tblCellMar>
      </w:tblPr>
      <w:tblGrid>
        <w:gridCol w:w="2242"/>
        <w:gridCol w:w="1949"/>
        <w:gridCol w:w="1882"/>
        <w:gridCol w:w="109"/>
        <w:gridCol w:w="109"/>
        <w:gridCol w:w="109"/>
        <w:gridCol w:w="196"/>
        <w:gridCol w:w="406"/>
        <w:gridCol w:w="109"/>
        <w:gridCol w:w="109"/>
        <w:gridCol w:w="109"/>
        <w:gridCol w:w="109"/>
        <w:gridCol w:w="196"/>
        <w:gridCol w:w="383"/>
        <w:gridCol w:w="109"/>
        <w:gridCol w:w="109"/>
        <w:gridCol w:w="109"/>
        <w:gridCol w:w="109"/>
        <w:gridCol w:w="196"/>
        <w:gridCol w:w="383"/>
        <w:gridCol w:w="109"/>
        <w:gridCol w:w="109"/>
        <w:gridCol w:w="109"/>
        <w:gridCol w:w="109"/>
        <w:gridCol w:w="196"/>
        <w:gridCol w:w="383"/>
        <w:gridCol w:w="158"/>
      </w:tblGrid>
      <w:tr>
        <w:trPr/>
        <w:tc>
          <w:tcPr>
            <w:tcW w:w="224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Insurance-related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DAC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 and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Pre-tax adjusted earnings (loss), less net income (loss) attributable to noncontrolling interests and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 Compared with the 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earnings were $2 million in the current period, an increase of $21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Key favorable impacts were: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net investment spread due to higher investment yields and average invested long-term assets from funding agreements issued in connection with our institutional spread margin business;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lower other expenses due to lower deferred compensation and operational expenses.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 lower effective tax rate in the current period compared to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 Compared with the 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loss was $32 million in the current period, a lower loss of $1 million.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 expressed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Annuity Guaranteed Benefits and Shield Annuity Liabilities for the Three Months and Six Months Ended June 30, 2024 and 2023</w:t>
      </w:r>
    </w:p>
    <w:p>
      <w:pPr>
        <w:pStyle w:val="TextBody"/>
        <w:bidi w:val="0"/>
        <w:spacing w:lineRule="auto" w:line="288" w:before="120" w:after="283"/>
        <w:ind w:left="0" w:right="0" w:firstLine="360"/>
        <w:jc w:val="both"/>
        <w:rPr/>
      </w:pPr>
      <w:r>
        <w:rPr>
          <w:rFonts w:ascii="Times New Roman;sans-serif" w:hAnsi="Times New Roman;sans-serif"/>
          <w:b w:val="false"/>
          <w:color w:val="000000"/>
          <w:sz w:val="20"/>
        </w:rPr>
        <w:t>The overall impact on income (loss) available to shareholders before provision for income tax from the performance of annuity guaranteed benefits and Shield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Level Annuity (“Shield” and “Shield annuity”) liabilities, which includes (i) changes in the fair value of liabilities and reinsurance, (ii) fees net of claims and (iii) the mark-to-market of hedges, was as follows:</w:t>
      </w:r>
    </w:p>
    <w:tbl>
      <w:tblPr>
        <w:tblW w:w="8892"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496"/>
        <w:gridCol w:w="109"/>
        <w:gridCol w:w="109"/>
        <w:gridCol w:w="109"/>
        <w:gridCol w:w="109"/>
        <w:gridCol w:w="196"/>
        <w:gridCol w:w="556"/>
        <w:gridCol w:w="109"/>
        <w:gridCol w:w="109"/>
        <w:gridCol w:w="109"/>
        <w:gridCol w:w="109"/>
        <w:gridCol w:w="196"/>
        <w:gridCol w:w="556"/>
        <w:gridCol w:w="109"/>
        <w:gridCol w:w="109"/>
        <w:gridCol w:w="109"/>
        <w:gridCol w:w="109"/>
        <w:gridCol w:w="196"/>
        <w:gridCol w:w="631"/>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 risk benefits mark-to-market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Annuity guaranteed benefit rider fees, net of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Ceded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changes attributable to annuity guaranteed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annuity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Shield embedded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June 30,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Three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three months ended June 30, 2023,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 and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variable annuity hedges due to increasing long-term interest rates, partially offset by increasing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six months ended June 30, 2024,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interest rates and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partially offset by increasing long-term interest rates;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Six Months Ended June 30,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Annuity guaranteed benefits and Shield annuity liabilities performance was unfavorable for the six months ended June 30, 2023, primarily driven by: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decreases in annuity guaranteed benefits liabilities due to increasing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favorable changes in variable annuity hedges due to increasing equity markets;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changes in Shield embedded derivatives due to increasing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Risk Management Strategy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Management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Current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capital markets and the economy, generally. As a U.S. insurance company, we are affected by the monetary policy of the Federal Reserve Board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Federal Reserve increased the target range for the federal funds rate four times — from between 4.25% and 4.50% to between 5.25% and 5.50%. These target range increases have contributed to the net unrealized loss position in our investment portfolio, and any additional target increases could similarly contribute to further increases in net unrealized losses.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current period, as a result of recent increases in interest rates, the unrealized losses on our fixed maturity securities exceeded the unrealized gains. If interest rates rise further, our unrealized gains would decrease, and our unrealized losses would increase, perhaps substantially.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Selected Sector Investments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 elevated levels of market volatility have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2023 Annual Report.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an increased market focus on commercial real estate, including office properties, as a result of companies shifting to hybrid work arrangements and the resulting impact on the demand for office space.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“Risk Factors — Risks Related to Our Investment Portfolio — Our investment portfolio is subject to significant financial risks both in the U.S. and global financial markets,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 as well as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Investment Portfolio Results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tbl>
      <w:tblPr>
        <w:tblW w:w="10205" w:type="dxa"/>
        <w:jc w:val="left"/>
        <w:tblInd w:w="0" w:type="dxa"/>
        <w:tblLayout w:type="fixed"/>
        <w:tblCellMar>
          <w:top w:w="28" w:type="dxa"/>
          <w:left w:w="28" w:type="dxa"/>
          <w:bottom w:w="28" w:type="dxa"/>
          <w:right w:w="28" w:type="dxa"/>
        </w:tblCellMar>
      </w:tblPr>
      <w:tblGrid>
        <w:gridCol w:w="385"/>
        <w:gridCol w:w="339"/>
        <w:gridCol w:w="340"/>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09"/>
        <w:gridCol w:w="109"/>
        <w:gridCol w:w="109"/>
        <w:gridCol w:w="109"/>
        <w:gridCol w:w="242"/>
        <w:gridCol w:w="243"/>
        <w:gridCol w:w="271"/>
        <w:gridCol w:w="109"/>
        <w:gridCol w:w="109"/>
        <w:gridCol w:w="109"/>
        <w:gridCol w:w="196"/>
        <w:gridCol w:w="556"/>
        <w:gridCol w:w="166"/>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fees and expenses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(3)Adjusted net investment income presented in the yield table varies from the most directly comparable GAAP measure due to certain reclassifications, as presented below.</w:t>
      </w:r>
    </w:p>
    <w:tbl>
      <w:tblPr>
        <w:tblW w:w="9072" w:type="dxa"/>
        <w:jc w:val="left"/>
        <w:tblInd w:w="0" w:type="dxa"/>
        <w:tblLayout w:type="fixed"/>
        <w:tblCellMar>
          <w:top w:w="28" w:type="dxa"/>
          <w:left w:w="28" w:type="dxa"/>
          <w:bottom w:w="28" w:type="dxa"/>
          <w:right w:w="28" w:type="dxa"/>
        </w:tblCellMar>
      </w:tblPr>
      <w:tblGrid>
        <w:gridCol w:w="1548"/>
        <w:gridCol w:w="1361"/>
        <w:gridCol w:w="136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Investment hedge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investment income — in the above yield table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Results of Operations — Consolidated Results for the Three Months and Six Months Ended June 30, 2024 and 2023” for an analysis of the period-over-period changes in net investment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Fixed Maturity Securities Available-For-Sale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held by type (public or private) were as follows at:</w:t>
      </w:r>
    </w:p>
    <w:tbl>
      <w:tblPr>
        <w:tblW w:w="8033" w:type="dxa"/>
        <w:jc w:val="left"/>
        <w:tblInd w:w="0" w:type="dxa"/>
        <w:tblLayout w:type="fixed"/>
        <w:tblCellMar>
          <w:top w:w="28" w:type="dxa"/>
          <w:left w:w="28" w:type="dxa"/>
          <w:bottom w:w="28" w:type="dxa"/>
          <w:right w:w="28" w:type="dxa"/>
        </w:tblCellMar>
      </w:tblPr>
      <w:tblGrid>
        <w:gridCol w:w="1025"/>
        <w:gridCol w:w="901"/>
        <w:gridCol w:w="908"/>
        <w:gridCol w:w="109"/>
        <w:gridCol w:w="109"/>
        <w:gridCol w:w="109"/>
        <w:gridCol w:w="196"/>
        <w:gridCol w:w="646"/>
        <w:gridCol w:w="256"/>
        <w:gridCol w:w="109"/>
        <w:gridCol w:w="109"/>
        <w:gridCol w:w="109"/>
        <w:gridCol w:w="278"/>
        <w:gridCol w:w="278"/>
        <w:gridCol w:w="268"/>
        <w:gridCol w:w="109"/>
        <w:gridCol w:w="109"/>
        <w:gridCol w:w="109"/>
        <w:gridCol w:w="196"/>
        <w:gridCol w:w="646"/>
        <w:gridCol w:w="256"/>
        <w:gridCol w:w="109"/>
        <w:gridCol w:w="109"/>
        <w:gridCol w:w="109"/>
        <w:gridCol w:w="278"/>
        <w:gridCol w:w="278"/>
        <w:gridCol w:w="315"/>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Publicly-traded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Privately-placed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cash and invested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 and 7 of the Notes to the Interim Condensed Consolidated Financial Statements for further information about fixed maturity securities by sector, contractual maturities, continuous gross unrealized losses and the allowance for credit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Fixed Maturity Securities Credit Quality — Ratings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Investments — Fixed Maturity Securities Available-For-Sale — Fixed Maturity Securities Credit Quality — Ratings” included in our 2023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tbl>
      <w:tblPr>
        <w:tblW w:w="12401" w:type="dxa"/>
        <w:jc w:val="left"/>
        <w:tblInd w:w="0" w:type="dxa"/>
        <w:tblLayout w:type="fixed"/>
        <w:tblCellMar>
          <w:top w:w="28" w:type="dxa"/>
          <w:left w:w="28" w:type="dxa"/>
          <w:bottom w:w="28" w:type="dxa"/>
          <w:right w:w="28" w:type="dxa"/>
        </w:tblCellMar>
      </w:tblPr>
      <w:tblGrid>
        <w:gridCol w:w="261"/>
        <w:gridCol w:w="229"/>
        <w:gridCol w:w="231"/>
        <w:gridCol w:w="109"/>
        <w:gridCol w:w="109"/>
        <w:gridCol w:w="109"/>
        <w:gridCol w:w="175"/>
        <w:gridCol w:w="175"/>
        <w:gridCol w:w="176"/>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109"/>
        <w:gridCol w:w="109"/>
        <w:gridCol w:w="109"/>
        <w:gridCol w:w="232"/>
        <w:gridCol w:w="234"/>
        <w:gridCol w:w="211"/>
        <w:gridCol w:w="109"/>
        <w:gridCol w:w="109"/>
        <w:gridCol w:w="109"/>
        <w:gridCol w:w="181"/>
        <w:gridCol w:w="541"/>
        <w:gridCol w:w="109"/>
        <w:gridCol w:w="109"/>
        <w:gridCol w:w="109"/>
        <w:gridCol w:w="109"/>
        <w:gridCol w:w="202"/>
        <w:gridCol w:w="320"/>
        <w:gridCol w:w="124"/>
        <w:gridCol w:w="109"/>
        <w:gridCol w:w="109"/>
        <w:gridCol w:w="109"/>
        <w:gridCol w:w="181"/>
        <w:gridCol w:w="481"/>
        <w:gridCol w:w="109"/>
        <w:gridCol w:w="109"/>
        <w:gridCol w:w="109"/>
        <w:gridCol w:w="109"/>
        <w:gridCol w:w="181"/>
        <w:gridCol w:w="541"/>
        <w:gridCol w:w="109"/>
        <w:gridCol w:w="327"/>
        <w:gridCol w:w="466"/>
        <w:gridCol w:w="256"/>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December 31, 2023</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NAIC</w:t>
              <w:br/>
              <w:t>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Unrealized</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 of </w:t>
              <w:br/>
              <w:t>Total</w:t>
            </w:r>
          </w:p>
        </w:tc>
      </w:tr>
      <w:tr>
        <w:trPr/>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0" w:type="dxa"/>
            <w:gridSpan w:val="5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(Dollars in millions)</w:t>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Aaa/Aa/A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Subtotal investment grade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Caa and 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In or near default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4"/>
              </w:rPr>
            </w:pPr>
            <w:r>
              <w:rPr>
                <w:rFonts w:ascii="Times New Roman;sans-serif" w:hAnsi="Times New Roman;sans-serif"/>
                <w:b w:val="false"/>
                <w:color w:val="000000"/>
                <w:sz w:val="14"/>
              </w:rPr>
              <w:t>Subtotal below investment grade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r>
        <w:trPr/>
        <w:tc>
          <w:tcPr>
            <w:tcW w:w="15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tbl>
      <w:tblPr>
        <w:tblW w:w="10205" w:type="dxa"/>
        <w:jc w:val="left"/>
        <w:tblInd w:w="0" w:type="dxa"/>
        <w:tblLayout w:type="fixed"/>
        <w:tblCellMar>
          <w:top w:w="28" w:type="dxa"/>
          <w:left w:w="28" w:type="dxa"/>
          <w:bottom w:w="28" w:type="dxa"/>
          <w:right w:w="28" w:type="dxa"/>
        </w:tblCellMar>
      </w:tblPr>
      <w:tblGrid>
        <w:gridCol w:w="655"/>
        <w:gridCol w:w="576"/>
        <w:gridCol w:w="578"/>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222"/>
        <w:gridCol w:w="375"/>
        <w:gridCol w:w="123"/>
        <w:gridCol w:w="109"/>
        <w:gridCol w:w="109"/>
        <w:gridCol w:w="109"/>
        <w:gridCol w:w="276"/>
        <w:gridCol w:w="468"/>
        <w:gridCol w:w="154"/>
        <w:gridCol w:w="109"/>
        <w:gridCol w:w="109"/>
        <w:gridCol w:w="109"/>
        <w:gridCol w:w="196"/>
        <w:gridCol w:w="646"/>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Maturity Securities — by Sector &amp; Credit Quality Rating</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NAIC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Estimated</w:t>
              <w:br/>
              <w:t>Fair Value</w:t>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NRSRO 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Aaa/Aa/A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Caa and </w:t>
              <w:br/>
              <w:t>Lower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or Near </w:t>
              <w:br/>
              <w:t>Default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80,581 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and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political subdivision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maturity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U.S. and Foreign Corporate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diversified portfolio of corporate fixed maturity securities across industries and issuers. Our portfolio does not have any exposure to any single issuer in excess of 1% of total investments and the top ten holdings in aggregate comprise 2% and 1% of total investments at June 30, 2024 and December 31, 2023, respectively. Our U.S. and foreign corporate fixed maturity securities holdings by industry were as follows at:</w:t>
      </w:r>
    </w:p>
    <w:tbl>
      <w:tblPr>
        <w:tblW w:w="6226" w:type="dxa"/>
        <w:jc w:val="left"/>
        <w:tblInd w:w="0" w:type="dxa"/>
        <w:tblLayout w:type="fixed"/>
        <w:tblCellMar>
          <w:top w:w="28" w:type="dxa"/>
          <w:left w:w="28" w:type="dxa"/>
          <w:bottom w:w="28" w:type="dxa"/>
          <w:right w:w="28" w:type="dxa"/>
        </w:tblCellMar>
      </w:tblPr>
      <w:tblGrid>
        <w:gridCol w:w="476"/>
        <w:gridCol w:w="419"/>
        <w:gridCol w:w="42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Structured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held $20.6 billion and $20.2 billion of Structured Securities, at estimated fair value, at June 30, 2024 and December 31, 2023, respectively, as presented in the RMBS, CMBS and ABS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RMBS holdings are diversified by security type, risk profile and ratings profile, which were as follows at:</w:t>
      </w:r>
    </w:p>
    <w:tbl>
      <w:tblPr>
        <w:tblW w:w="10205" w:type="dxa"/>
        <w:jc w:val="left"/>
        <w:tblInd w:w="0" w:type="dxa"/>
        <w:tblLayout w:type="fixed"/>
        <w:tblCellMar>
          <w:top w:w="28" w:type="dxa"/>
          <w:left w:w="28" w:type="dxa"/>
          <w:bottom w:w="28" w:type="dxa"/>
          <w:right w:w="28" w:type="dxa"/>
        </w:tblCellMar>
      </w:tblPr>
      <w:tblGrid>
        <w:gridCol w:w="624"/>
        <w:gridCol w:w="543"/>
        <w:gridCol w:w="528"/>
        <w:gridCol w:w="109"/>
        <w:gridCol w:w="109"/>
        <w:gridCol w:w="109"/>
        <w:gridCol w:w="198"/>
        <w:gridCol w:w="562"/>
        <w:gridCol w:w="110"/>
        <w:gridCol w:w="109"/>
        <w:gridCol w:w="109"/>
        <w:gridCol w:w="109"/>
        <w:gridCol w:w="278"/>
        <w:gridCol w:w="278"/>
        <w:gridCol w:w="268"/>
        <w:gridCol w:w="109"/>
        <w:gridCol w:w="109"/>
        <w:gridCol w:w="109"/>
        <w:gridCol w:w="410"/>
        <w:gridCol w:w="916"/>
        <w:gridCol w:w="230"/>
        <w:gridCol w:w="109"/>
        <w:gridCol w:w="109"/>
        <w:gridCol w:w="109"/>
        <w:gridCol w:w="198"/>
        <w:gridCol w:w="562"/>
        <w:gridCol w:w="110"/>
        <w:gridCol w:w="109"/>
        <w:gridCol w:w="109"/>
        <w:gridCol w:w="109"/>
        <w:gridCol w:w="278"/>
        <w:gridCol w:w="278"/>
        <w:gridCol w:w="268"/>
        <w:gridCol w:w="109"/>
        <w:gridCol w:w="109"/>
        <w:gridCol w:w="109"/>
        <w:gridCol w:w="398"/>
        <w:gridCol w:w="887"/>
        <w:gridCol w:w="319"/>
      </w:tblGrid>
      <w:tr>
        <w:trPr/>
        <w:tc>
          <w:tcPr>
            <w:tcW w:w="6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3"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Pass-through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mortgage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Sub-prime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Rated Aaa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(1)During the year ended December 31, 2023, Fitch Ratings downgraded the U.S. credit rating from Aaa to Aa1, which resulted in a decrease in Aaa assets in our RMBS holdings.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CMBS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CMBS holdings are diversified by vintage year, which were as follows at:</w:t>
      </w:r>
    </w:p>
    <w:tbl>
      <w:tblPr>
        <w:tblW w:w="8129" w:type="dxa"/>
        <w:jc w:val="left"/>
        <w:tblInd w:w="0" w:type="dxa"/>
        <w:tblLayout w:type="fixed"/>
        <w:tblCellMar>
          <w:top w:w="28" w:type="dxa"/>
          <w:left w:w="28" w:type="dxa"/>
          <w:bottom w:w="28" w:type="dxa"/>
          <w:right w:w="28" w:type="dxa"/>
        </w:tblCellMar>
      </w:tblPr>
      <w:tblGrid>
        <w:gridCol w:w="358"/>
        <w:gridCol w:w="314"/>
        <w:gridCol w:w="317"/>
        <w:gridCol w:w="109"/>
        <w:gridCol w:w="109"/>
        <w:gridCol w:w="109"/>
        <w:gridCol w:w="283"/>
        <w:gridCol w:w="803"/>
        <w:gridCol w:w="158"/>
        <w:gridCol w:w="109"/>
        <w:gridCol w:w="109"/>
        <w:gridCol w:w="109"/>
        <w:gridCol w:w="375"/>
        <w:gridCol w:w="1066"/>
        <w:gridCol w:w="209"/>
        <w:gridCol w:w="109"/>
        <w:gridCol w:w="109"/>
        <w:gridCol w:w="109"/>
        <w:gridCol w:w="283"/>
        <w:gridCol w:w="803"/>
        <w:gridCol w:w="158"/>
        <w:gridCol w:w="109"/>
        <w:gridCol w:w="109"/>
        <w:gridCol w:w="109"/>
        <w:gridCol w:w="366"/>
        <w:gridCol w:w="1040"/>
        <w:gridCol w:w="288"/>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2005 - 2011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6,383 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7,023 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6,410 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CMBS rated Aaa using rating agency ratings was $4.4 billion, or 68.9% of total CMBS, and designated NAIC 1 was $6.0 billion, or 94.6% of total CMBS, at June 30, 2024. The estimated fair value of CMBS Aaa rating agency ratings was $4.4 billion, or 68.5% of total CMBS, and designated NAIC 1 was $6.0 billion, or 94.2% of total CMBS,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ABS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ABS holdings are diversified by both collateral type and issuer. Our ABS holdings by collateral type and ratings profile were as follows at:</w:t>
      </w:r>
    </w:p>
    <w:tbl>
      <w:tblPr>
        <w:tblW w:w="9372" w:type="dxa"/>
        <w:jc w:val="left"/>
        <w:tblInd w:w="0" w:type="dxa"/>
        <w:tblLayout w:type="fixed"/>
        <w:tblCellMar>
          <w:top w:w="28" w:type="dxa"/>
          <w:left w:w="28" w:type="dxa"/>
          <w:bottom w:w="28" w:type="dxa"/>
          <w:right w:w="28" w:type="dxa"/>
        </w:tblCellMar>
      </w:tblPr>
      <w:tblGrid>
        <w:gridCol w:w="690"/>
        <w:gridCol w:w="605"/>
        <w:gridCol w:w="610"/>
        <w:gridCol w:w="201"/>
        <w:gridCol w:w="572"/>
        <w:gridCol w:w="112"/>
        <w:gridCol w:w="109"/>
        <w:gridCol w:w="109"/>
        <w:gridCol w:w="109"/>
        <w:gridCol w:w="278"/>
        <w:gridCol w:w="278"/>
        <w:gridCol w:w="268"/>
        <w:gridCol w:w="109"/>
        <w:gridCol w:w="109"/>
        <w:gridCol w:w="109"/>
        <w:gridCol w:w="356"/>
        <w:gridCol w:w="629"/>
        <w:gridCol w:w="199"/>
        <w:gridCol w:w="109"/>
        <w:gridCol w:w="109"/>
        <w:gridCol w:w="109"/>
        <w:gridCol w:w="201"/>
        <w:gridCol w:w="572"/>
        <w:gridCol w:w="112"/>
        <w:gridCol w:w="109"/>
        <w:gridCol w:w="109"/>
        <w:gridCol w:w="109"/>
        <w:gridCol w:w="278"/>
        <w:gridCol w:w="278"/>
        <w:gridCol w:w="268"/>
        <w:gridCol w:w="109"/>
        <w:gridCol w:w="109"/>
        <w:gridCol w:w="109"/>
        <w:gridCol w:w="306"/>
        <w:gridCol w:w="682"/>
        <w:gridCol w:w="242"/>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w:t>
              <w:br/>
              <w:t>Gains (Losses)</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6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 type:</w:t>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Collateralized obligations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Automobile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Student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Consumer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card loans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loans</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Ratings profile:</w:t>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Rated Aaa</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Designated NAIC 1</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89.7 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 for Fixed Maturity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information about the evaluation of fixed maturity securities for an allowance for credit losses or write-offs due to uncollectibility.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Securities Lending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 Liquidity and Capital Resources — The Company — Primary Uses of Liquidity and Capital — Securities Lending” and Note 7 of the Notes to the Interim Condensed Consolidated Financial Statements for information regarding our securities lending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loans are principally collateralized by commercial, agricultural and residential properties. Information regarding mortgage loans by portfolio segment is summarized as follows at: </w:t>
      </w:r>
    </w:p>
    <w:tbl>
      <w:tblPr>
        <w:tblW w:w="10314" w:type="dxa"/>
        <w:jc w:val="left"/>
        <w:tblInd w:w="0" w:type="dxa"/>
        <w:tblLayout w:type="fixed"/>
        <w:tblCellMar>
          <w:top w:w="28" w:type="dxa"/>
          <w:left w:w="28" w:type="dxa"/>
          <w:bottom w:w="28" w:type="dxa"/>
          <w:right w:w="28" w:type="dxa"/>
        </w:tblCellMar>
      </w:tblPr>
      <w:tblGrid>
        <w:gridCol w:w="353"/>
        <w:gridCol w:w="311"/>
        <w:gridCol w:w="312"/>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200"/>
        <w:gridCol w:w="200"/>
        <w:gridCol w:w="471"/>
        <w:gridCol w:w="109"/>
        <w:gridCol w:w="109"/>
        <w:gridCol w:w="109"/>
        <w:gridCol w:w="196"/>
        <w:gridCol w:w="646"/>
        <w:gridCol w:w="109"/>
        <w:gridCol w:w="109"/>
        <w:gridCol w:w="109"/>
        <w:gridCol w:w="109"/>
        <w:gridCol w:w="278"/>
        <w:gridCol w:w="278"/>
        <w:gridCol w:w="268"/>
        <w:gridCol w:w="109"/>
        <w:gridCol w:w="109"/>
        <w:gridCol w:w="109"/>
        <w:gridCol w:w="231"/>
        <w:gridCol w:w="496"/>
        <w:gridCol w:w="129"/>
        <w:gridCol w:w="109"/>
        <w:gridCol w:w="109"/>
        <w:gridCol w:w="109"/>
        <w:gridCol w:w="192"/>
        <w:gridCol w:w="192"/>
        <w:gridCol w:w="5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Amortized Cost</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3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Agricultural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mortgage loan portfolio is diversified by both geographic region and property type to reduce the risk of concentration. The percentage of our commercial and agricultural mortgage loan portfolios collateralized by properties located in the U.S. were 98% at both June 30, 2024 and December 31, 2023. The remainder was collateralized by properties located outside of the U.S. At June 30, 2024, the carrying value as a percentage of total commercial and agricultural mortgage loans for the top three states in the U.S. was 17% for California, 11% for Texas and 8% for New York. Additionally, we manage risk when originating commercial and agricultural mortgage loans by generally lending up to 75% of the estimated fair value of the underlying real estate collateral.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residential mortgage loan portfolio is managed in a similar manner to reduce risk of concentration. All residential mortgage loans were collateralized by properties located in the U.S. at both June 30, 2024 and December 31, 2023. At June 30, 2024, the carrying value as a percentage of total residential mortgage loans for the top three states in the U.S. was 39% for California, 11% for Florida and 6% for New York.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Commercial Mortgage Loans by Geographic Region and Property Type</w:t>
      </w:r>
      <w:r>
        <w:rPr>
          <w:rFonts w:ascii="Times New Roman;sans-serif" w:hAnsi="Times New Roman;sans-serif"/>
          <w:b w:val="false"/>
          <w:color w:val="000000"/>
          <w:sz w:val="20"/>
        </w:rPr>
        <w:t>. Commercial mortgage loans are the largest component of the mortgage loan invested asset class. The diversification across geographic regions and property types of commercial mortgage loans was as follows at:</w:t>
      </w:r>
    </w:p>
    <w:tbl>
      <w:tblPr>
        <w:tblW w:w="8490" w:type="dxa"/>
        <w:jc w:val="left"/>
        <w:tblInd w:w="0" w:type="dxa"/>
        <w:tblLayout w:type="fixed"/>
        <w:tblCellMar>
          <w:top w:w="28" w:type="dxa"/>
          <w:left w:w="28" w:type="dxa"/>
          <w:bottom w:w="28" w:type="dxa"/>
          <w:right w:w="28" w:type="dxa"/>
        </w:tblCellMar>
      </w:tblPr>
      <w:tblGrid>
        <w:gridCol w:w="1299"/>
        <w:gridCol w:w="1140"/>
        <w:gridCol w:w="1146"/>
        <w:gridCol w:w="109"/>
        <w:gridCol w:w="109"/>
        <w:gridCol w:w="109"/>
        <w:gridCol w:w="196"/>
        <w:gridCol w:w="646"/>
        <w:gridCol w:w="109"/>
        <w:gridCol w:w="109"/>
        <w:gridCol w:w="109"/>
        <w:gridCol w:w="109"/>
        <w:gridCol w:w="278"/>
        <w:gridCol w:w="278"/>
        <w:gridCol w:w="268"/>
        <w:gridCol w:w="109"/>
        <w:gridCol w:w="109"/>
        <w:gridCol w:w="109"/>
        <w:gridCol w:w="196"/>
        <w:gridCol w:w="646"/>
        <w:gridCol w:w="109"/>
        <w:gridCol w:w="109"/>
        <w:gridCol w:w="109"/>
        <w:gridCol w:w="109"/>
        <w:gridCol w:w="278"/>
        <w:gridCol w:w="278"/>
        <w:gridCol w:w="315"/>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Geographic region: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Middle 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South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Mountain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England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East South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North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Multi-region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Apartment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recorded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net of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pPr>
      <w:r>
        <w:rPr>
          <w:rFonts w:ascii="Times New Roman;sans-serif" w:hAnsi="Times New Roman;sans-serif"/>
          <w:b w:val="false"/>
          <w:i/>
          <w:color w:val="000000"/>
          <w:sz w:val="20"/>
        </w:rPr>
        <w:t>Mortgage Loan Credit Quality — Monitoring Process.</w:t>
      </w:r>
      <w:r>
        <w:rPr>
          <w:color w:val="000000"/>
        </w:rPr>
        <w:t> </w:t>
      </w:r>
      <w:r>
        <w:rPr>
          <w:rFonts w:ascii="Times New Roman;sans-serif" w:hAnsi="Times New Roman;sans-serif"/>
          <w:b w:val="false"/>
          <w:color w:val="000000"/>
          <w:sz w:val="20"/>
        </w:rPr>
        <w:t xml:space="preserve">Our mortgage loan investments are monitored on an ongoing basis, including a review of loans 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66% and 65% at June 30, 2024 and December 31, 2023, respectively, and our average debt-service coverage ratio was 2.3x at both June 30, 2024 and December 31, 2023.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at both June 30, 2024 and December 31, 2023. The values utilized in calculating the agricultural mortgage loan loan-to-value ratio are developed in connection with the ongoing review of the agricultural loan portfolio and are routinely updated. </w:t>
      </w:r>
    </w:p>
    <w:p>
      <w:pPr>
        <w:pStyle w:val="TextBody"/>
        <w:bidi w:val="0"/>
        <w:spacing w:lineRule="auto" w:line="288" w:before="120" w:after="283"/>
        <w:ind w:left="0" w:right="0" w:firstLine="360"/>
        <w:jc w:val="both"/>
        <w:rPr/>
      </w:pPr>
      <w:r>
        <w:rPr>
          <w:rFonts w:ascii="Times New Roman;sans-serif" w:hAnsi="Times New Roman;sans-serif"/>
          <w:b w:val="false"/>
          <w:i/>
          <w:color w:val="000000"/>
          <w:sz w:val="20"/>
        </w:rPr>
        <w:t>Mortgage Loan Allowance for Credit Losses</w:t>
      </w:r>
      <w:r>
        <w:rPr>
          <w:rFonts w:ascii="Times New Roman;sans-serif" w:hAnsi="Times New Roman;sans-serif"/>
          <w:b w:val="false"/>
          <w:color w:val="000000"/>
          <w:sz w:val="20"/>
        </w:rPr>
        <w:t>. See Note 7 of the Notes to the Interim Condensed Consolidated Financial Statements for information about how the allowance for credit losses is established and monitored, as well as activity in and balances of the allowance for credit losses for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Limited Partnerships and Limited Liability Companies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our limited partnerships and limited liability companies (“LLC”) were as follows at:</w:t>
      </w:r>
    </w:p>
    <w:tbl>
      <w:tblPr>
        <w:tblW w:w="6638" w:type="dxa"/>
        <w:jc w:val="left"/>
        <w:tblInd w:w="0" w:type="dxa"/>
        <w:tblLayout w:type="fixed"/>
        <w:tblCellMar>
          <w:top w:w="28" w:type="dxa"/>
          <w:left w:w="28" w:type="dxa"/>
          <w:bottom w:w="28" w:type="dxa"/>
          <w:right w:w="28" w:type="dxa"/>
        </w:tblCellMar>
      </w:tblPr>
      <w:tblGrid>
        <w:gridCol w:w="1202"/>
        <w:gridCol w:w="1053"/>
        <w:gridCol w:w="1060"/>
        <w:gridCol w:w="109"/>
        <w:gridCol w:w="109"/>
        <w:gridCol w:w="109"/>
        <w:gridCol w:w="256"/>
        <w:gridCol w:w="727"/>
        <w:gridCol w:w="142"/>
        <w:gridCol w:w="109"/>
        <w:gridCol w:w="109"/>
        <w:gridCol w:w="109"/>
        <w:gridCol w:w="334"/>
        <w:gridCol w:w="948"/>
        <w:gridCol w:w="262"/>
      </w:tblGrid>
      <w:tr>
        <w:trPr/>
        <w:tc>
          <w:tcPr>
            <w:tcW w:w="120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limited partnerships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limited partnerships and LLCs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estimated fair value of real estate limited partnerships and LLCs was $915 million and $927 million at June 30, 2024 and December 31, 2023, respectively.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Invested Assets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our other invested assets by type was as follows at:</w:t>
      </w:r>
    </w:p>
    <w:tbl>
      <w:tblPr>
        <w:tblW w:w="9014" w:type="dxa"/>
        <w:jc w:val="left"/>
        <w:tblInd w:w="0" w:type="dxa"/>
        <w:tblLayout w:type="fixed"/>
        <w:tblCellMar>
          <w:top w:w="28" w:type="dxa"/>
          <w:left w:w="28" w:type="dxa"/>
          <w:bottom w:w="28" w:type="dxa"/>
          <w:right w:w="28" w:type="dxa"/>
        </w:tblCellMar>
      </w:tblPr>
      <w:tblGrid>
        <w:gridCol w:w="1553"/>
        <w:gridCol w:w="1363"/>
        <w:gridCol w:w="1373"/>
        <w:gridCol w:w="109"/>
        <w:gridCol w:w="109"/>
        <w:gridCol w:w="109"/>
        <w:gridCol w:w="196"/>
        <w:gridCol w:w="556"/>
        <w:gridCol w:w="109"/>
        <w:gridCol w:w="109"/>
        <w:gridCol w:w="109"/>
        <w:gridCol w:w="109"/>
        <w:gridCol w:w="278"/>
        <w:gridCol w:w="278"/>
        <w:gridCol w:w="268"/>
        <w:gridCol w:w="109"/>
        <w:gridCol w:w="109"/>
        <w:gridCol w:w="109"/>
        <w:gridCol w:w="196"/>
        <w:gridCol w:w="556"/>
        <w:gridCol w:w="109"/>
        <w:gridCol w:w="109"/>
        <w:gridCol w:w="109"/>
        <w:gridCol w:w="109"/>
        <w:gridCol w:w="278"/>
        <w:gridCol w:w="278"/>
        <w:gridCol w:w="315"/>
      </w:tblGrid>
      <w:tr>
        <w:trPr/>
        <w:tc>
          <w:tcPr>
            <w:tcW w:w="15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Freestanding derivatives with positive estimated fair values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Home Loan Bank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 and renewable energy partnerships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Leveraged leases, net of non-recourse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Derivative Risks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risks relating to our ongoing business operations, including interest rate, foreign currency exchange rate, credit and equity market risks. We use a variety of strategies to manage these risks, including the use of derivatives. See Note 8 of the Notes to the Interim Condensed Consolidated Financial Statements for: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information about the gross notional amount, estimated fair value, and primary underlying risk exposure of our derivatives by type of hedge designation, excluding embedded derivatives held at June 30, 2024 and December 31,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derivatives in cash flow, fair value, or non-qualifying hedge relationships on the statements of operations for the six months ended June 30, 2024 and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“Business — Segments and Corporate &amp; Other — Annuities,” “Management’s Discussion and Analysis of Financial Condition and Results of Operations — Risk Management Strategies” included in our 2023 Annual Report for more information about our use of derivatives by major hedging programs.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Fair Value Hierarchy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categorized as Level 3 at June 30, 2024 include: credit default swaps priced using unobservable credit spreads, or that are priced through independent broker quotations; equity hybrid options with unobservable volatility inputs; and foreign currency swaps with certain unobservable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2023 Annual Report.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Derivatives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credit default swaps were as follows at:</w:t>
      </w:r>
    </w:p>
    <w:tbl>
      <w:tblPr>
        <w:tblW w:w="6213" w:type="dxa"/>
        <w:jc w:val="left"/>
        <w:tblInd w:w="0" w:type="dxa"/>
        <w:tblLayout w:type="fixed"/>
        <w:tblCellMar>
          <w:top w:w="28" w:type="dxa"/>
          <w:left w:w="28" w:type="dxa"/>
          <w:bottom w:w="28" w:type="dxa"/>
          <w:right w:w="28" w:type="dxa"/>
        </w:tblCellMar>
      </w:tblPr>
      <w:tblGrid>
        <w:gridCol w:w="250"/>
        <w:gridCol w:w="219"/>
        <w:gridCol w:w="221"/>
        <w:gridCol w:w="109"/>
        <w:gridCol w:w="109"/>
        <w:gridCol w:w="109"/>
        <w:gridCol w:w="273"/>
        <w:gridCol w:w="775"/>
        <w:gridCol w:w="152"/>
        <w:gridCol w:w="109"/>
        <w:gridCol w:w="109"/>
        <w:gridCol w:w="109"/>
        <w:gridCol w:w="272"/>
        <w:gridCol w:w="460"/>
        <w:gridCol w:w="153"/>
        <w:gridCol w:w="109"/>
        <w:gridCol w:w="109"/>
        <w:gridCol w:w="109"/>
        <w:gridCol w:w="273"/>
        <w:gridCol w:w="775"/>
        <w:gridCol w:w="152"/>
        <w:gridCol w:w="109"/>
        <w:gridCol w:w="109"/>
        <w:gridCol w:w="109"/>
        <w:gridCol w:w="267"/>
        <w:gridCol w:w="452"/>
        <w:gridCol w:w="2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Embedded Derivatives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“Management’s Discussion and Analysis of Financial Condition and Results of Operations — Summary of Critical Accounting Estimates — Derivatives” included in our 2023 Annual Report for additional information on the estimates and assumptions that affect embedded derivatives.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Policyholder Liabilities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2023 Annual Report for more details on policyholder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Policy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future amounts payable under insurance policies. See Note 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Policyholder Account Balances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Market Risk Benefits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issue certain variable annuity products with guaranteed minimum benefits (“GMxB”)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Select information that management considers relevant to understanding our variable annuity risk management strategy has been included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Net Amount at Risk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account value and NAR by type of GMxB were as follows at:</w:t>
      </w:r>
    </w:p>
    <w:tbl>
      <w:tblPr>
        <w:tblW w:w="10758" w:type="dxa"/>
        <w:jc w:val="left"/>
        <w:tblInd w:w="0" w:type="dxa"/>
        <w:tblLayout w:type="fixed"/>
        <w:tblCellMar>
          <w:top w:w="28" w:type="dxa"/>
          <w:left w:w="28" w:type="dxa"/>
          <w:bottom w:w="28" w:type="dxa"/>
          <w:right w:w="28" w:type="dxa"/>
        </w:tblCellMar>
      </w:tblPr>
      <w:tblGrid>
        <w:gridCol w:w="322"/>
        <w:gridCol w:w="191"/>
        <w:gridCol w:w="193"/>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2"/>
        <w:gridCol w:w="252"/>
        <w:gridCol w:w="59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39"/>
        <w:gridCol w:w="239"/>
        <w:gridCol w:w="663"/>
      </w:tblGrid>
      <w:tr>
        <w:trPr/>
        <w:tc>
          <w:tcPr>
            <w:tcW w:w="3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Death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Living Benefit NAR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Account Value In-the-Money (2)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5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 Max without EDB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GMAB</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 only (other than EDB) (3)</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EDB only (3)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“Death Benefit NAR” and “Living Benefit NAR” are not additive at the contract level.</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(2)In-the-money is defined as any contract with a living benefit NAR in excess of zero.</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(3)Enhanced Death Benefit (“EDB”).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These liabilities were valued at $10.0 billion at June 30, 2024.</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variable annuity MRBs by type of GMxB were as follows at:</w:t>
      </w:r>
    </w:p>
    <w:tbl>
      <w:tblPr>
        <w:tblW w:w="3703" w:type="dxa"/>
        <w:jc w:val="left"/>
        <w:tblInd w:w="0" w:type="dxa"/>
        <w:tblLayout w:type="fixed"/>
        <w:tblCellMar>
          <w:top w:w="28" w:type="dxa"/>
          <w:left w:w="28" w:type="dxa"/>
          <w:bottom w:w="28" w:type="dxa"/>
          <w:right w:w="28" w:type="dxa"/>
        </w:tblCellMar>
      </w:tblPr>
      <w:tblGrid>
        <w:gridCol w:w="254"/>
        <w:gridCol w:w="224"/>
        <w:gridCol w:w="228"/>
        <w:gridCol w:w="256"/>
        <w:gridCol w:w="727"/>
        <w:gridCol w:w="142"/>
        <w:gridCol w:w="109"/>
        <w:gridCol w:w="109"/>
        <w:gridCol w:w="109"/>
        <w:gridCol w:w="304"/>
        <w:gridCol w:w="1002"/>
        <w:gridCol w:w="239"/>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GMIB</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GMWB</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GMDB</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10,314 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these guarantees can change significantly due to changes in equity market performance, equity market volatility or interest rates. Fair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Derivatives Hedging Variable Annuity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hedging our in-force variable annuity guarantees and ULSG business viewed in aggregate in our interest rate hedging program were as follows at:</w:t>
      </w:r>
    </w:p>
    <w:tbl>
      <w:tblPr>
        <w:tblW w:w="10205" w:type="dxa"/>
        <w:jc w:val="left"/>
        <w:tblInd w:w="0" w:type="dxa"/>
        <w:tblLayout w:type="fixed"/>
        <w:tblCellMar>
          <w:top w:w="28" w:type="dxa"/>
          <w:left w:w="28" w:type="dxa"/>
          <w:bottom w:w="28" w:type="dxa"/>
          <w:right w:w="28" w:type="dxa"/>
        </w:tblCellMar>
      </w:tblPr>
      <w:tblGrid>
        <w:gridCol w:w="524"/>
        <w:gridCol w:w="459"/>
        <w:gridCol w:w="463"/>
        <w:gridCol w:w="109"/>
        <w:gridCol w:w="109"/>
        <w:gridCol w:w="109"/>
        <w:gridCol w:w="368"/>
        <w:gridCol w:w="1215"/>
        <w:gridCol w:w="205"/>
        <w:gridCol w:w="109"/>
        <w:gridCol w:w="109"/>
        <w:gridCol w:w="109"/>
        <w:gridCol w:w="196"/>
        <w:gridCol w:w="421"/>
        <w:gridCol w:w="109"/>
        <w:gridCol w:w="109"/>
        <w:gridCol w:w="109"/>
        <w:gridCol w:w="109"/>
        <w:gridCol w:w="196"/>
        <w:gridCol w:w="556"/>
        <w:gridCol w:w="109"/>
        <w:gridCol w:w="109"/>
        <w:gridCol w:w="109"/>
        <w:gridCol w:w="109"/>
        <w:gridCol w:w="368"/>
        <w:gridCol w:w="1215"/>
        <w:gridCol w:w="205"/>
        <w:gridCol w:w="109"/>
        <w:gridCol w:w="109"/>
        <w:gridCol w:w="109"/>
        <w:gridCol w:w="196"/>
        <w:gridCol w:w="421"/>
        <w:gridCol w:w="109"/>
        <w:gridCol w:w="109"/>
        <w:gridCol w:w="109"/>
        <w:gridCol w:w="109"/>
        <w:gridCol w:w="196"/>
        <w:gridCol w:w="556"/>
        <w:gridCol w:w="156"/>
      </w:tblGrid>
      <w:tr>
        <w:trPr/>
        <w:tc>
          <w:tcPr>
            <w:tcW w:w="52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8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23,037 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90,402 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73,142 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derivative instruments because certain positions were closed out by entering into offsetting positions that are not netted in the above table.</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(2)Hybrid options have equity exposure in addition to interest rate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and estimated fair value of the derivatives held in our variable annuity hedging program were as follows at:</w:t>
      </w:r>
    </w:p>
    <w:tbl>
      <w:tblPr>
        <w:tblW w:w="10205" w:type="dxa"/>
        <w:jc w:val="left"/>
        <w:tblInd w:w="0" w:type="dxa"/>
        <w:tblLayout w:type="fixed"/>
        <w:tblCellMar>
          <w:top w:w="28" w:type="dxa"/>
          <w:left w:w="28" w:type="dxa"/>
          <w:bottom w:w="28" w:type="dxa"/>
          <w:right w:w="28" w:type="dxa"/>
        </w:tblCellMar>
      </w:tblPr>
      <w:tblGrid>
        <w:gridCol w:w="534"/>
        <w:gridCol w:w="468"/>
        <w:gridCol w:w="472"/>
        <w:gridCol w:w="109"/>
        <w:gridCol w:w="109"/>
        <w:gridCol w:w="109"/>
        <w:gridCol w:w="308"/>
        <w:gridCol w:w="1159"/>
        <w:gridCol w:w="171"/>
        <w:gridCol w:w="109"/>
        <w:gridCol w:w="109"/>
        <w:gridCol w:w="109"/>
        <w:gridCol w:w="196"/>
        <w:gridCol w:w="556"/>
        <w:gridCol w:w="109"/>
        <w:gridCol w:w="109"/>
        <w:gridCol w:w="109"/>
        <w:gridCol w:w="109"/>
        <w:gridCol w:w="196"/>
        <w:gridCol w:w="556"/>
        <w:gridCol w:w="109"/>
        <w:gridCol w:w="109"/>
        <w:gridCol w:w="109"/>
        <w:gridCol w:w="109"/>
        <w:gridCol w:w="308"/>
        <w:gridCol w:w="1159"/>
        <w:gridCol w:w="171"/>
        <w:gridCol w:w="109"/>
        <w:gridCol w:w="109"/>
        <w:gridCol w:w="109"/>
        <w:gridCol w:w="196"/>
        <w:gridCol w:w="556"/>
        <w:gridCol w:w="109"/>
        <w:gridCol w:w="109"/>
        <w:gridCol w:w="109"/>
        <w:gridCol w:w="109"/>
        <w:gridCol w:w="196"/>
        <w:gridCol w:w="556"/>
        <w:gridCol w:w="158"/>
      </w:tblGrid>
      <w:tr>
        <w:trPr/>
        <w:tc>
          <w:tcPr>
            <w:tcW w:w="53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Instrument Type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Notional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4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w:t>
            </w:r>
          </w:p>
        </w:tc>
      </w:tr>
      <w:tr>
        <w:trPr/>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40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index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total return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53,446 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Hybrid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165,040 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gross notional amounts presented do not necessarily represent the relative economic coverage provided by option instruments because certain positions were closed out by entering into offsetting positions that are not netted in the above table.</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or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2023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Management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substantial short-term liquidity position, which was $4.3 billion and $3.8 billion at June 30, 2024 and December 31, 2023,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integral part of our liquidity management includes managing our level of liquid assets, which was $48.5 billion and $45.2 billion at June 30, 2024 and December 31, 2023,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2023 Annual Report.</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capital position to maintain our financial strength and credit ratings.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support of our target combined risk-based capital (“RBC”) ratio of 400% to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have no plans to declare and pay dividends on our common stock. Any future declaration and payment of dividends or other distributions or returns of capital will be at the discretion of BHF’s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BHF’s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sources and uses of liquidity and capital were as follows at:</w:t>
      </w:r>
    </w:p>
    <w:tbl>
      <w:tblPr>
        <w:tblW w:w="8978" w:type="dxa"/>
        <w:jc w:val="left"/>
        <w:tblInd w:w="0" w:type="dxa"/>
        <w:tblLayout w:type="fixed"/>
        <w:tblCellMar>
          <w:top w:w="28" w:type="dxa"/>
          <w:left w:w="28" w:type="dxa"/>
          <w:bottom w:w="28" w:type="dxa"/>
          <w:right w:w="28" w:type="dxa"/>
        </w:tblCellMar>
      </w:tblPr>
      <w:tblGrid>
        <w:gridCol w:w="2491"/>
        <w:gridCol w:w="2183"/>
        <w:gridCol w:w="2210"/>
        <w:gridCol w:w="196"/>
        <w:gridCol w:w="556"/>
        <w:gridCol w:w="109"/>
        <w:gridCol w:w="109"/>
        <w:gridCol w:w="109"/>
        <w:gridCol w:w="109"/>
        <w:gridCol w:w="196"/>
        <w:gridCol w:w="556"/>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Sources: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policyholder account balances,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sources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Uses: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payables for collateral under securities loaned and other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repaid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preferred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 in connection with 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element on certain derivative instruments and other derivative related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Operating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Investing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Flows from Financing Activities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summary description of liquidity and capital sources discussed in “— Sources and Uses of Liquidity and Capital,” the following additional information is provided regarding our primary sources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Funding Sources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Preferred Stock</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and Note 13 of the Notes to the Consolidated Financial Statements included in our 2023 Annual Report for information on preferred stock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are reported in Corporate &amp; Other. See Note 4 of the Notes to the Consolidated Financial Statements included in our 2023 Annual Report for additional information on funding agreements.</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Repurchase Agreement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Commercial Paper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Funding Agreement-Backed Notes Program</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is a member of the Federal Home Loan Bank (“FHLB”) of Atlanta, where it maintains a secured funding agreement program, under which funding agreements may be issued.</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Farmer Mac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regarding funding agreements issued for spread lending purposes is as follows:</w:t>
      </w:r>
    </w:p>
    <w:tbl>
      <w:tblPr>
        <w:tblW w:w="10205" w:type="dxa"/>
        <w:jc w:val="left"/>
        <w:tblInd w:w="0" w:type="dxa"/>
        <w:tblLayout w:type="fixed"/>
        <w:tblCellMar>
          <w:top w:w="28" w:type="dxa"/>
          <w:left w:w="28" w:type="dxa"/>
          <w:bottom w:w="28" w:type="dxa"/>
          <w:right w:w="28" w:type="dxa"/>
        </w:tblCellMar>
      </w:tblPr>
      <w:tblGrid>
        <w:gridCol w:w="823"/>
        <w:gridCol w:w="682"/>
        <w:gridCol w:w="687"/>
        <w:gridCol w:w="109"/>
        <w:gridCol w:w="109"/>
        <w:gridCol w:w="109"/>
        <w:gridCol w:w="223"/>
        <w:gridCol w:w="739"/>
        <w:gridCol w:w="124"/>
        <w:gridCol w:w="109"/>
        <w:gridCol w:w="109"/>
        <w:gridCol w:w="109"/>
        <w:gridCol w:w="283"/>
        <w:gridCol w:w="938"/>
        <w:gridCol w:w="158"/>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61"/>
      </w:tblGrid>
      <w:tr>
        <w:trPr/>
        <w:tc>
          <w:tcPr>
            <w:tcW w:w="82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Principal Amount </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r>
      <w:tr>
        <w:trPr/>
        <w:tc>
          <w:tcPr>
            <w:tcW w:w="2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FABR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FABCP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FABN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FHLB Funding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Farmer Mac Funding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Issuances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issuances.</w:t>
      </w:r>
    </w:p>
    <w:p>
      <w:pPr>
        <w:pStyle w:val="TextBody"/>
        <w:bidi w:val="0"/>
        <w:spacing w:lineRule="auto" w:line="288"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Notes 12 and 13 of the Notes to the Consolidated Financial Statements included in our 2023 Annual Report for information regarding our credit and committed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June 30, 2024, we were in compliance with these financial covenants.</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summarized description of liquidity and capital uses discussed in “— Sources and Uses of Liquidity and Capital,” the following additional information is provided regarding our primary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Repurchases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June 30, 2024. Subsequent to June 30, 2024 and through August 2, 2024, BHF repurchased an additional 509,400 shares of its common stock through open market purchases pursuant to a Rule 10b5-1 plan for $24 million.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Preferred Stock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of the Notes to the Interim Condensed Consolidated Financial Statements for information relating to dividends declared and paid on our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color w:val="000000"/>
          <w:u w:val="single"/>
        </w:rPr>
      </w:pPr>
      <w:r>
        <w:rPr>
          <w:color w:val="000000"/>
          <w:u w:val="single"/>
        </w:rPr>
        <w:t>“</w:t>
      </w:r>
      <w:r>
        <w:rPr>
          <w:rFonts w:ascii="Times New Roman;sans-serif" w:hAnsi="Times New Roman;sans-serif"/>
          <w:b w:val="false"/>
          <w:i/>
          <w:color w:val="000000"/>
          <w:sz w:val="20"/>
          <w:u w:val="single"/>
        </w:rPr>
        <w:t>Dividend Stopper” Provisions in BHF’s Preferred Stock and Junior Subordinated Debentures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Repayments, Repurchases, Redemptions and Exchanges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12 of the Notes to the Consolidated Financial Statements included in our 2023 Annual Report for information on debt repayments and repurchases, as well as debt maturities and the terms of our outstanding long-term debt.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Insurance Liabilities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Pledged Collateral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derivatives to manage various risks relating to our ongoing business operations. We pledge collateral to, and have collateral pledged to us by, counterparties in connection with our derivatives. At June 30, 2024 and December 31, 2023, we pledged $38 million and $16 million, respectively, of cash collateral to counterparties. At June 30, 2024 and December 31, 2023, we were obligated to return cash collateral pledged to us by counterparties of $627 million and $393 million, respectively. The timing of the return of the derivatives collateral is uncertain. See Note 8 of the Notes to the Interim Condensed Consolidated Financial Statements for additional information about pledged collateral. We also pledge collateral from time to time in connection with our funding agreements.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from counterparties for derivatives, which can be sold or re-pledged subject to certain constraints, and which is not recorded on our consolidated balance sheets. The amount of this non-cash collateral at estimated fair value was $2.0 billion and $2.4 billion at June 30, 2024 and December 31, 2023, respectively.</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Lending</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at both June 30, 2024 and December 31, 2023.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receive non-cash collateral for securities lending from counterparties, which cannot be sold or re-pledged, and which is not recorded on our consolidated balance sheets. There was no non-cash collateral at both June 30, 2024 and December 31, 2023.</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7 of the Notes to the Interim Condensed Consolidated Financial Statements for further discussion of our securities lending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Contingencies, Commitments and Guarantees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Parent Company</w:t>
      </w:r>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Liquidity and Liquid Assets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both June 30, 2024 and December 31, 2023, BHF and certain of its non-insurance subsidiaries had short-term liquidity of $1.2 billion. Short-term liquidity is comprised of cash and cash equivalents and short-term investments,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BHF and certain of its non-insurance subsidiaries had liquid assets of $1.2 billion and $1.3 billion, respectively, of which $1.2 billion and $1.2 billion,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Statutory Capital and Dividends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2024 would be subject to Delaware Department of Insurance approval. See Note 13 of the Notes to the Consolidated Financial Statements included in our 2023 Annual Report for additional information regarding the applicable dividend restrictions and certain of our subsidiaries’ ordinary dividend capacity, as well as the circumstances under which regulatory approval would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liquidity and capital sources discussed in “— The Company — Primary Sources of Liquidity and Capital” and “— The Company — Primary Uses of Liquidity and Capital,” the following additional information is provided regarding BHF’s primary sources and uses of liquidity and capital:</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Distributions from and Capital Contributions to BH Holdings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both the six months ended June 30, 2024 and 2023, BHF did not receive any cash distributions from BH Holdings and did not make any cash capital contributions to BH Holdings.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Intercompany Loans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2024 and 2023, BHF borrowed $290 million and $397 million, respectively, from certain of its non-insurance subsidiaries and repaid $85 million and $279 million of such borrowings during the six months ended June 30, 2024 and 2023, respectively. At June 30, 2024 and December 31, 2023, BHF had total obligations outstanding of $932 million and $727 million, respectively, under such agreements. </w:t>
      </w:r>
    </w:p>
    <w:p>
      <w:pPr>
        <w:pStyle w:val="TextBody"/>
        <w:bidi w:val="0"/>
        <w:spacing w:lineRule="auto" w:line="288" w:before="120" w:after="283"/>
        <w:ind w:left="0" w:right="0" w:firstLine="3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Intercompany Liquidity Facilities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six months ended June 30, 2024 and 2023, there were no borrowings or repayments by BHF under these facilities and, at both June 30, 2024 and December 31, 2023, BHF had no obligations outstanding under such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actual experience and actuarial assumptions and the effectiveness of our actuarial models;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higher risk management costs and exposure to increased market risk due to guarantees within certain of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variable annuity exposure risk management strategy and the impacts of such strategy on volatility in our profitability measures and the negative effects on our statutory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material differences between actual outcomes and the sensitivities calculated under certain scenarios that we may utilize in connection with our variable annuity risk management strategies;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interest rates on our future ULSG policyholder obligations and net income volatility;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adverse effect of changes in accounting standards, practices or policies applicable to us, including changes in the accounting for long-duration contracts;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loss of business and other negative impacts resulting from a downgrade or a potential downgrade in our financial strength or credit ratings;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reinsurance and the ability of the counterparties to our reinsurance or indemnification arrangements to perform their obligations thereunder;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heightened competition, including with respect to service, product features, scale, price, actual or perceived financial strength, claims-paying ratings, credit ratings, e-business capabilities and name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market and distribute our products through distribution channels;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failure of third parties to provide services we need, any failure of the practices and procedures of such third parties and any inability to obtain information or assistance we need from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of our subsidiaries to pay dividends to us, and our ability to pay dividends to our shareholders and repurchase our common stock;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risks associated with climate change;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adverse impact of public health crises, extreme mortality events or similar occurrences on our business and the economy in general;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adverse capital and credit market conditions, including with respect to our ability to meet liquidity needs and access capital;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financial risks that our investment portfolio is subject to, including credit risk, interest rate risk, inflation risk, market valuation risk, liquidity risk, real estate risk, derivatives risk, and other factors outside our control;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regulation and in supervisory and enforcement policies or interpretations thereof on our insurance business or other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potential material negative tax impact of potential future tax legislation that could make some of our products less attractive to consumers or increase our tax liability;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effectiveness of our policies, procedures and processes in managing risk;</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loss or disclosure of confidential information, damage to our reputation and impairment of our ability to conduct business effectively as a result of any failure in cyber- or other information security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described in this report and from time to time in documents that we file with the SEC.</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described above, we caution you against relying on any forward-looking statements, which should also be read in conjunction with the other cautionary statements included and the risks, uncertainties and other factors identified in our 2023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Information</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2023 Annual Report.</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market risk exposures from the market risk exposures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June 30, 2024.</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noted above, there were no changes to the Company’s internal control over financial reporting (as defined in Rules 13a-15(f) and 15d-15(f) under the Exchange Act) that occurred during the quarter ended June 30, 2024 that have materially affected, or are reasonably likely to materially affect, these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See Note 13 of the Notes to the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this report, in our 2023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Purchases of BHF common stock made by or on behalf of BHF or its affiliates during the three months ended June 30, 2024 are set forth below:</w:t>
      </w:r>
    </w:p>
    <w:tbl>
      <w:tblPr>
        <w:tblW w:w="10205" w:type="dxa"/>
        <w:jc w:val="left"/>
        <w:tblInd w:w="0" w:type="dxa"/>
        <w:tblLayout w:type="fixed"/>
        <w:tblCellMar>
          <w:top w:w="28" w:type="dxa"/>
          <w:left w:w="28" w:type="dxa"/>
          <w:bottom w:w="28" w:type="dxa"/>
          <w:right w:w="28" w:type="dxa"/>
        </w:tblCellMar>
      </w:tblPr>
      <w:tblGrid>
        <w:gridCol w:w="370"/>
        <w:gridCol w:w="326"/>
        <w:gridCol w:w="330"/>
        <w:gridCol w:w="109"/>
        <w:gridCol w:w="109"/>
        <w:gridCol w:w="109"/>
        <w:gridCol w:w="662"/>
        <w:gridCol w:w="436"/>
        <w:gridCol w:w="438"/>
        <w:gridCol w:w="109"/>
        <w:gridCol w:w="109"/>
        <w:gridCol w:w="109"/>
        <w:gridCol w:w="492"/>
        <w:gridCol w:w="368"/>
        <w:gridCol w:w="369"/>
        <w:gridCol w:w="109"/>
        <w:gridCol w:w="109"/>
        <w:gridCol w:w="109"/>
        <w:gridCol w:w="968"/>
        <w:gridCol w:w="772"/>
        <w:gridCol w:w="775"/>
        <w:gridCol w:w="109"/>
        <w:gridCol w:w="109"/>
        <w:gridCol w:w="109"/>
        <w:gridCol w:w="755"/>
        <w:gridCol w:w="755"/>
        <w:gridCol w:w="1081"/>
      </w:tblGrid>
      <w:tr>
        <w:trPr/>
        <w:tc>
          <w:tcPr>
            <w:tcW w:w="3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Programs</w:t>
            </w:r>
          </w:p>
        </w:tc>
      </w:tr>
      <w:tr>
        <w:trPr/>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444,121 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$49.51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444,121 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 —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515,699 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515,699 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426,910 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426,910 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1,386,730 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1,386,730 </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(1)On November 16, 2023, we authorized the repurchase of up to $750 million of our common stock, which does not have an expiration date. This authorization was in addition to the $1.2 billion total repurchases authorized in 2021, which were completed in the first quarter of 2024. See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Director and Officer Rule 10b5-1 Plans</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00" w:after="420"/>
        <w:ind w:left="0" w:right="0" w:firstLine="180"/>
        <w:jc w:val="both"/>
        <w:rPr/>
      </w:pPr>
      <w:r>
        <w:rPr>
          <w:rFonts w:ascii="Times New Roman;sans-serif" w:hAnsi="Times New Roman;sans-serif"/>
          <w:b w:val="false"/>
          <w:i/>
          <w:color w:val="000000"/>
          <w:sz w:val="20"/>
        </w:rPr>
        <w:t>(</w:t>
      </w:r>
      <w:r>
        <w:rPr>
          <w:rFonts w:ascii="Times New Roman;sans-serif" w:hAnsi="Times New Roman;sans-serif"/>
          <w:b/>
          <w:i/>
          <w:color w:val="000000"/>
          <w:sz w:val="20"/>
        </w:rPr>
        <w:t>Note Regarding Reliance on Statements in Our Contracts:</w:t>
      </w:r>
      <w:r>
        <w:rPr>
          <w:color w:val="000000"/>
        </w:rPr>
        <w:t xml:space="preserve"> </w:t>
      </w:r>
      <w:r>
        <w:rPr>
          <w:rFonts w:ascii="Times New Roman;sans-serif" w:hAnsi="Times New Roman;sans-serif"/>
          <w:b w:val="false"/>
          <w:i/>
          <w:color w:val="000000"/>
          <w:sz w:val="20"/>
        </w:rPr>
        <w:t>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tbl>
      <w:tblPr>
        <w:tblW w:w="10205" w:type="dxa"/>
        <w:jc w:val="left"/>
        <w:tblInd w:w="0" w:type="dxa"/>
        <w:tblLayout w:type="fixed"/>
        <w:tblCellMar>
          <w:top w:w="28" w:type="dxa"/>
          <w:left w:w="28" w:type="dxa"/>
          <w:bottom w:w="28" w:type="dxa"/>
          <w:right w:w="28" w:type="dxa"/>
        </w:tblCellMar>
      </w:tblPr>
      <w:tblGrid>
        <w:gridCol w:w="328"/>
        <w:gridCol w:w="289"/>
        <w:gridCol w:w="290"/>
        <w:gridCol w:w="109"/>
        <w:gridCol w:w="109"/>
        <w:gridCol w:w="109"/>
        <w:gridCol w:w="2706"/>
        <w:gridCol w:w="2580"/>
        <w:gridCol w:w="3685"/>
      </w:tblGrid>
      <w:tr>
        <w:trPr/>
        <w:tc>
          <w:tcPr>
            <w:tcW w:w="32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Brighthouse Financial, Inc. Employee Stock Purchase Plan (Amended and Restated Effective April 3, 2024), is incorporated by reference to Exhibit 10.1 to our Current Report on Form 8-K, filed on June 10, 2024.</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4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4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4xe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hf-06302024xe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Brighthouse Financial, Inc.’s Quarterly Report on Form 10-Q for the quarter ended June 30, 2024, formatted in Inline XBRL (included within the Exhibit 101 attachments).</w:t>
            </w:r>
          </w:p>
        </w:tc>
      </w:tr>
    </w:tbl>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Denotes management contracts or compensation plans or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120" w:after="283"/>
        <w:jc w:val="both"/>
        <w:rPr/>
      </w:pPr>
      <w:hyperlink w:anchor="ibd44759c482d44cf89a39fac776337ae_7">
        <w:r>
          <w:rPr>
            <w:rStyle w:val="InternetLink"/>
            <w:rFonts w:ascii="Times New Roman;sans-serif" w:hAnsi="Times New Roman;sans-serif"/>
            <w:b/>
            <w:color w:val="0000FF"/>
            <w:sz w:val="18"/>
            <w:u w:val="single"/>
          </w:rPr>
          <w:t xml:space="preserve">Table of </w:t>
        </w:r>
      </w:hyperlink>
      <w:hyperlink w:anchor="ibd44759c482d44cf89a39fac776337ae_7">
        <w:r>
          <w:rPr>
            <w:rStyle w:val="InternetLink"/>
            <w:rFonts w:ascii="Times New Roman;sans-serif" w:hAnsi="Times New Roman;sans-serif"/>
            <w:b/>
            <w:color w:val="0000FF"/>
            <w:sz w:val="20"/>
            <w:u w:val="single"/>
          </w:rPr>
          <w:t>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ind w:left="0" w:right="0" w:firstLine="180"/>
        <w:jc w:val="both"/>
        <w:rPr/>
      </w:pPr>
      <w:r>
        <w:rPr/>
      </w:r>
    </w:p>
    <w:tbl>
      <w:tblPr>
        <w:tblW w:w="6973" w:type="dxa"/>
        <w:jc w:val="center"/>
        <w:tblInd w:w="0" w:type="dxa"/>
        <w:tblLayout w:type="fixed"/>
        <w:tblCellMar>
          <w:top w:w="28" w:type="dxa"/>
          <w:left w:w="28" w:type="dxa"/>
          <w:bottom w:w="28" w:type="dxa"/>
          <w:right w:w="28" w:type="dxa"/>
        </w:tblCellMar>
      </w:tblPr>
      <w:tblGrid>
        <w:gridCol w:w="275"/>
        <w:gridCol w:w="241"/>
        <w:gridCol w:w="241"/>
        <w:gridCol w:w="241"/>
        <w:gridCol w:w="241"/>
        <w:gridCol w:w="241"/>
        <w:gridCol w:w="241"/>
        <w:gridCol w:w="241"/>
        <w:gridCol w:w="241"/>
        <w:gridCol w:w="1366"/>
        <w:gridCol w:w="1366"/>
        <w:gridCol w:w="2038"/>
      </w:tblGrid>
      <w:tr>
        <w:trPr/>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697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BRIGHTHOUSE FINANCIAL, INC.</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2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 and Principal Financial Officer)</w:t>
            </w:r>
          </w:p>
        </w:tc>
      </w:tr>
    </w:tbl>
    <w:p>
      <w:pPr>
        <w:pStyle w:val="TextBody"/>
        <w:bidi w:val="0"/>
        <w:spacing w:lineRule="auto" w:line="288" w:before="1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Brighthouse Financial, Inc.;</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Eric T. Steigerwalt, certify that, to my knowledge, (i) Brighthouse Financial, Inc.’s Quarterly Report on Form 10-Q for the quarter ended June 30,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p>
      <w:pPr>
        <w:pStyle w:val="TextBody"/>
        <w:bidi w:val="0"/>
        <w:spacing w:lineRule="auto" w:line="288" w:before="0" w:after="0"/>
        <w:jc w:val="left"/>
        <w:rPr>
          <w:color w:val="000000"/>
        </w:rPr>
      </w:pPr>
      <w:r>
        <w:rPr>
          <w:color w:val="000000"/>
        </w:rPr>
        <w:t> </w:t>
      </w:r>
    </w:p>
    <w:tbl>
      <w:tblPr>
        <w:tblW w:w="3224" w:type="dxa"/>
        <w:jc w:val="right"/>
        <w:tblInd w:w="0" w:type="dxa"/>
        <w:tblLayout w:type="fixed"/>
        <w:tblCellMar>
          <w:top w:w="28" w:type="dxa"/>
          <w:left w:w="28" w:type="dxa"/>
          <w:bottom w:w="28" w:type="dxa"/>
          <w:right w:w="28" w:type="dxa"/>
        </w:tblCellMar>
      </w:tblPr>
      <w:tblGrid>
        <w:gridCol w:w="1032"/>
        <w:gridCol w:w="907"/>
        <w:gridCol w:w="128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Eric T. Steigerwalt</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Eric T. Steigerwalt</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CERTIFICATION</w:t>
      </w:r>
    </w:p>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SECTION 1350 OF CHAPTER 63 OF TITLE 18 OF THE UNITED STATES CODE</w:t>
      </w:r>
    </w:p>
    <w:p>
      <w:pPr>
        <w:pStyle w:val="TextBody"/>
        <w:bidi w:val="0"/>
        <w:spacing w:lineRule="auto" w:line="288" w:before="1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 Edward A. Spehar, certify that, to my knowledge, (i) Brighthouse Financial, Inc.’s Quarterly Report on Form 10-Q for the quarter ended June 30, 2024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p>
      <w:pPr>
        <w:pStyle w:val="TextBody"/>
        <w:bidi w:val="0"/>
        <w:spacing w:lineRule="auto" w:line="288" w:before="0" w:after="0"/>
        <w:jc w:val="left"/>
        <w:rPr>
          <w:color w:val="000000"/>
        </w:rPr>
      </w:pPr>
      <w:r>
        <w:rPr>
          <w:color w:val="000000"/>
        </w:rPr>
        <w:t> </w:t>
      </w:r>
    </w:p>
    <w:tbl>
      <w:tblPr>
        <w:tblW w:w="4455" w:type="dxa"/>
        <w:jc w:val="right"/>
        <w:tblInd w:w="0" w:type="dxa"/>
        <w:tblLayout w:type="fixed"/>
        <w:tblCellMar>
          <w:top w:w="28" w:type="dxa"/>
          <w:left w:w="28" w:type="dxa"/>
          <w:bottom w:w="28" w:type="dxa"/>
          <w:right w:w="28" w:type="dxa"/>
        </w:tblCellMar>
      </w:tblPr>
      <w:tblGrid>
        <w:gridCol w:w="1428"/>
        <w:gridCol w:w="1254"/>
        <w:gridCol w:w="1773"/>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A. Spehar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Edward A. Spehar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lineRule="auto" w:line="288" w:before="1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85040/000168504024000023/exhibit101-brighthousefin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46735</Words>
  <Characters>256907</Characters>
  <CharactersWithSpaces>298813</CharactersWithSpaces>
  <Paragraphs>9725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